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4C40A">
      <w:pPr>
        <w:spacing w:line="360" w:lineRule="auto"/>
        <w:jc w:val="center"/>
        <w:rPr>
          <w:rFonts w:hint="default" w:ascii="黑体" w:hAnsi="黑体" w:eastAsia="黑体" w:cs="黑体"/>
          <w:sz w:val="44"/>
          <w:szCs w:val="44"/>
          <w:lang w:val="en-US"/>
        </w:rPr>
      </w:pPr>
      <w:r>
        <w:rPr>
          <w:rFonts w:hint="eastAsia" w:ascii="黑体" w:hAnsi="黑体" w:eastAsia="黑体" w:cs="黑体"/>
          <w:sz w:val="44"/>
          <w:szCs w:val="44"/>
          <w:lang w:val="en-US" w:eastAsia="zh-CN"/>
        </w:rPr>
        <w:t>巴中市2025年江北片区春节氛围营造工程</w:t>
      </w:r>
    </w:p>
    <w:p w14:paraId="32BD1B7C">
      <w:pPr>
        <w:spacing w:line="360" w:lineRule="auto"/>
        <w:jc w:val="center"/>
        <w:rPr>
          <w:rFonts w:hint="eastAsia" w:ascii="黑体" w:hAnsi="黑体" w:eastAsia="黑体" w:cs="黑体"/>
          <w:sz w:val="52"/>
          <w:szCs w:val="52"/>
        </w:rPr>
      </w:pPr>
    </w:p>
    <w:p w14:paraId="5970942C">
      <w:pPr>
        <w:spacing w:line="360" w:lineRule="auto"/>
        <w:jc w:val="center"/>
        <w:rPr>
          <w:rFonts w:ascii="黑体" w:hAnsi="黑体" w:eastAsia="黑体"/>
          <w:sz w:val="52"/>
          <w:szCs w:val="52"/>
        </w:rPr>
      </w:pPr>
      <w:r>
        <w:rPr>
          <w:rFonts w:hint="eastAsia" w:ascii="黑体" w:hAnsi="黑体" w:eastAsia="黑体" w:cs="黑体"/>
          <w:sz w:val="52"/>
          <w:szCs w:val="52"/>
        </w:rPr>
        <w:t>竞</w:t>
      </w:r>
    </w:p>
    <w:p w14:paraId="0298D2E9">
      <w:pPr>
        <w:spacing w:line="360" w:lineRule="auto"/>
        <w:jc w:val="center"/>
        <w:rPr>
          <w:rFonts w:ascii="黑体" w:hAnsi="黑体" w:eastAsia="黑体"/>
          <w:sz w:val="52"/>
          <w:szCs w:val="52"/>
        </w:rPr>
      </w:pPr>
      <w:r>
        <w:rPr>
          <w:rFonts w:hint="eastAsia" w:ascii="黑体" w:hAnsi="黑体" w:eastAsia="黑体" w:cs="黑体"/>
          <w:sz w:val="52"/>
          <w:szCs w:val="52"/>
        </w:rPr>
        <w:t>争</w:t>
      </w:r>
    </w:p>
    <w:p w14:paraId="1E20CA7B">
      <w:pPr>
        <w:spacing w:line="360" w:lineRule="auto"/>
        <w:jc w:val="center"/>
        <w:rPr>
          <w:rFonts w:ascii="黑体" w:hAnsi="黑体" w:eastAsia="黑体"/>
          <w:sz w:val="52"/>
          <w:szCs w:val="52"/>
        </w:rPr>
      </w:pPr>
      <w:r>
        <w:rPr>
          <w:rFonts w:hint="eastAsia" w:ascii="黑体" w:hAnsi="黑体" w:eastAsia="黑体" w:cs="黑体"/>
          <w:sz w:val="52"/>
          <w:szCs w:val="52"/>
        </w:rPr>
        <w:t>性</w:t>
      </w:r>
    </w:p>
    <w:p w14:paraId="5BC7579A">
      <w:pPr>
        <w:spacing w:line="360" w:lineRule="auto"/>
        <w:jc w:val="center"/>
        <w:rPr>
          <w:rFonts w:ascii="黑体" w:hAnsi="黑体" w:eastAsia="黑体"/>
          <w:sz w:val="52"/>
          <w:szCs w:val="52"/>
        </w:rPr>
      </w:pPr>
      <w:r>
        <w:rPr>
          <w:rFonts w:hint="eastAsia" w:ascii="黑体" w:hAnsi="黑体" w:eastAsia="黑体" w:cs="黑体"/>
          <w:sz w:val="52"/>
          <w:szCs w:val="52"/>
        </w:rPr>
        <w:t>谈</w:t>
      </w:r>
    </w:p>
    <w:p w14:paraId="2176343E">
      <w:pPr>
        <w:spacing w:line="360" w:lineRule="auto"/>
        <w:jc w:val="center"/>
        <w:rPr>
          <w:rFonts w:ascii="黑体" w:hAnsi="黑体" w:eastAsia="黑体"/>
          <w:sz w:val="52"/>
          <w:szCs w:val="52"/>
        </w:rPr>
      </w:pPr>
      <w:r>
        <w:rPr>
          <w:rFonts w:hint="eastAsia" w:ascii="黑体" w:hAnsi="黑体" w:eastAsia="黑体"/>
          <w:sz w:val="52"/>
          <w:szCs w:val="52"/>
        </w:rPr>
        <w:t>判</w:t>
      </w:r>
    </w:p>
    <w:p w14:paraId="436216D7">
      <w:pPr>
        <w:spacing w:line="360" w:lineRule="auto"/>
        <w:jc w:val="center"/>
        <w:rPr>
          <w:rFonts w:ascii="黑体" w:hAnsi="黑体" w:eastAsia="黑体"/>
          <w:sz w:val="52"/>
          <w:szCs w:val="52"/>
        </w:rPr>
      </w:pPr>
      <w:r>
        <w:rPr>
          <w:rFonts w:hint="eastAsia" w:ascii="黑体" w:hAnsi="黑体" w:eastAsia="黑体" w:cs="黑体"/>
          <w:sz w:val="52"/>
          <w:szCs w:val="52"/>
        </w:rPr>
        <w:t>文</w:t>
      </w:r>
    </w:p>
    <w:p w14:paraId="61BDC8D5">
      <w:pPr>
        <w:spacing w:line="360" w:lineRule="auto"/>
        <w:jc w:val="center"/>
        <w:rPr>
          <w:rFonts w:ascii="黑体" w:hAnsi="黑体" w:eastAsia="黑体" w:cs="黑体"/>
          <w:sz w:val="52"/>
          <w:szCs w:val="52"/>
        </w:rPr>
      </w:pPr>
      <w:r>
        <w:rPr>
          <w:rFonts w:hint="eastAsia" w:ascii="黑体" w:hAnsi="黑体" w:eastAsia="黑体" w:cs="黑体"/>
          <w:sz w:val="52"/>
          <w:szCs w:val="52"/>
        </w:rPr>
        <w:t>件</w:t>
      </w:r>
    </w:p>
    <w:p w14:paraId="722C208D">
      <w:pPr>
        <w:spacing w:line="360" w:lineRule="auto"/>
        <w:jc w:val="center"/>
        <w:rPr>
          <w:rFonts w:ascii="黑体" w:hAnsi="黑体" w:eastAsia="黑体"/>
          <w:sz w:val="52"/>
          <w:szCs w:val="52"/>
        </w:rPr>
      </w:pPr>
    </w:p>
    <w:p w14:paraId="175528D9">
      <w:pPr>
        <w:spacing w:line="360" w:lineRule="auto"/>
        <w:jc w:val="center"/>
        <w:rPr>
          <w:rFonts w:ascii="黑体" w:hAnsi="黑体" w:eastAsia="黑体"/>
          <w:sz w:val="32"/>
          <w:szCs w:val="32"/>
        </w:rPr>
      </w:pPr>
      <w:bookmarkStart w:id="0" w:name="PO_采购人_1"/>
      <w:r>
        <w:rPr>
          <w:rFonts w:hint="eastAsia" w:ascii="黑体" w:hAnsi="黑体" w:eastAsia="黑体" w:cs="黑体"/>
          <w:sz w:val="32"/>
          <w:szCs w:val="32"/>
        </w:rPr>
        <w:t>采购人</w:t>
      </w:r>
      <w:bookmarkEnd w:id="0"/>
      <w:r>
        <w:rPr>
          <w:rFonts w:hint="eastAsia" w:ascii="黑体" w:hAnsi="黑体" w:eastAsia="黑体" w:cs="黑体"/>
          <w:sz w:val="32"/>
          <w:szCs w:val="32"/>
        </w:rPr>
        <w:t>：</w:t>
      </w:r>
      <w:r>
        <w:rPr>
          <w:rFonts w:hint="eastAsia" w:ascii="黑体" w:hAnsi="黑体" w:eastAsia="黑体" w:cs="黑体"/>
          <w:sz w:val="32"/>
          <w:szCs w:val="32"/>
          <w:lang w:eastAsia="zh-CN"/>
        </w:rPr>
        <w:t>巴中市产业发展集团有限公司</w:t>
      </w:r>
    </w:p>
    <w:p w14:paraId="364F05FD">
      <w:pPr>
        <w:spacing w:line="360" w:lineRule="auto"/>
        <w:jc w:val="center"/>
        <w:rPr>
          <w:rFonts w:hint="eastAsia" w:ascii="黑体" w:hAnsi="黑体" w:eastAsia="黑体" w:cs="黑体"/>
          <w:sz w:val="32"/>
          <w:szCs w:val="32"/>
          <w:lang w:val="zh-CN"/>
        </w:rPr>
        <w:sectPr>
          <w:pgSz w:w="11906" w:h="16838"/>
          <w:pgMar w:top="1440" w:right="1800" w:bottom="1440" w:left="1800" w:header="851" w:footer="992" w:gutter="0"/>
          <w:cols w:space="425" w:num="1"/>
          <w:docGrid w:type="lines" w:linePitch="312" w:charSpace="0"/>
        </w:sectPr>
      </w:pPr>
      <w:bookmarkStart w:id="1" w:name="PO_年份小写_1"/>
      <w:r>
        <w:rPr>
          <w:rFonts w:hint="eastAsia" w:ascii="黑体" w:hAnsi="黑体" w:eastAsia="黑体" w:cs="黑体"/>
          <w:sz w:val="32"/>
          <w:szCs w:val="32"/>
          <w:lang w:val="en-US" w:eastAsia="zh-CN"/>
        </w:rPr>
        <w:t>2024</w:t>
      </w:r>
      <w:r>
        <w:rPr>
          <w:rFonts w:hint="eastAsia" w:ascii="黑体" w:hAnsi="黑体" w:eastAsia="黑体" w:cs="黑体"/>
          <w:sz w:val="32"/>
          <w:szCs w:val="32"/>
          <w:lang w:val="zh-CN"/>
        </w:rPr>
        <w:t>年</w:t>
      </w:r>
      <w:bookmarkEnd w:id="1"/>
      <w:bookmarkStart w:id="2" w:name="PO_月份小写_1"/>
      <w:r>
        <w:rPr>
          <w:rFonts w:hint="eastAsia" w:ascii="黑体" w:hAnsi="黑体" w:eastAsia="黑体" w:cs="黑体"/>
          <w:sz w:val="32"/>
          <w:szCs w:val="32"/>
          <w:lang w:val="en-US" w:eastAsia="zh-CN"/>
        </w:rPr>
        <w:t>12</w:t>
      </w:r>
      <w:r>
        <w:rPr>
          <w:rFonts w:hint="eastAsia" w:ascii="黑体" w:hAnsi="黑体" w:eastAsia="黑体" w:cs="黑体"/>
          <w:sz w:val="32"/>
          <w:szCs w:val="32"/>
          <w:lang w:val="zh-CN"/>
        </w:rPr>
        <w:t>月</w:t>
      </w:r>
      <w:bookmarkEnd w:id="2"/>
    </w:p>
    <w:p w14:paraId="768ECCB1">
      <w:pPr>
        <w:pStyle w:val="4"/>
        <w:keepNext w:val="0"/>
        <w:keepLines w:val="0"/>
        <w:spacing w:line="360" w:lineRule="auto"/>
        <w:jc w:val="center"/>
        <w:rPr>
          <w:rFonts w:ascii="仿宋_GB2312" w:hAnsi="仿宋_GB2312" w:eastAsia="仿宋_GB2312" w:cs="Times New Roman"/>
        </w:rPr>
      </w:pPr>
      <w:r>
        <w:rPr>
          <w:rFonts w:hint="eastAsia" w:ascii="仿宋_GB2312" w:hAnsi="仿宋_GB2312" w:eastAsia="仿宋_GB2312" w:cs="仿宋"/>
          <w:sz w:val="36"/>
          <w:szCs w:val="36"/>
        </w:rPr>
        <w:t>目</w:t>
      </w:r>
      <w:r>
        <w:rPr>
          <w:rFonts w:hint="eastAsia" w:ascii="仿宋_GB2312" w:hAnsi="仿宋_GB2312" w:eastAsia="仿宋_GB2312" w:cs="仿宋"/>
          <w:sz w:val="36"/>
          <w:szCs w:val="36"/>
          <w:lang w:val="en-US" w:eastAsia="zh-CN"/>
        </w:rPr>
        <w:t xml:space="preserve">  </w:t>
      </w:r>
      <w:r>
        <w:rPr>
          <w:rFonts w:hint="eastAsia" w:ascii="仿宋_GB2312" w:hAnsi="仿宋_GB2312" w:eastAsia="仿宋_GB2312" w:cs="仿宋"/>
          <w:sz w:val="36"/>
          <w:szCs w:val="36"/>
        </w:rPr>
        <w:t>录</w:t>
      </w:r>
    </w:p>
    <w:p w14:paraId="48554F11">
      <w:pPr>
        <w:pStyle w:val="10"/>
        <w:tabs>
          <w:tab w:val="right" w:leader="dot" w:pos="8303"/>
        </w:tabs>
        <w:rPr>
          <w:rFonts w:asciiTheme="minorHAnsi" w:hAnsiTheme="minorHAnsi" w:eastAsiaTheme="minorEastAsia" w:cstheme="minorBidi"/>
          <w:sz w:val="21"/>
        </w:rPr>
      </w:pPr>
      <w:r>
        <w:rPr>
          <w:rStyle w:val="16"/>
          <w:rFonts w:ascii="仿宋_GB2312" w:hAnsi="仿宋_GB2312" w:eastAsia="仿宋_GB2312"/>
          <w:caps/>
        </w:rPr>
        <w:fldChar w:fldCharType="begin"/>
      </w:r>
      <w:r>
        <w:rPr>
          <w:rStyle w:val="16"/>
          <w:rFonts w:ascii="仿宋_GB2312" w:hAnsi="仿宋_GB2312" w:eastAsia="仿宋_GB2312"/>
          <w:caps/>
        </w:rPr>
        <w:instrText xml:space="preserve">TOC \h \z \t "</w:instrText>
      </w:r>
      <w:r>
        <w:rPr>
          <w:rStyle w:val="16"/>
          <w:rFonts w:hint="eastAsia" w:ascii="仿宋_GB2312" w:hAnsi="仿宋_GB2312" w:eastAsia="仿宋_GB2312" w:cs="宋体"/>
          <w:caps/>
        </w:rPr>
        <w:instrText xml:space="preserve">标题</w:instrText>
      </w:r>
      <w:r>
        <w:rPr>
          <w:rStyle w:val="16"/>
          <w:rFonts w:ascii="仿宋_GB2312" w:hAnsi="仿宋_GB2312" w:eastAsia="仿宋_GB2312"/>
          <w:caps/>
        </w:rPr>
        <w:instrText xml:space="preserve">,1"</w:instrText>
      </w:r>
      <w:r>
        <w:rPr>
          <w:rStyle w:val="16"/>
          <w:rFonts w:ascii="仿宋_GB2312" w:hAnsi="仿宋_GB2312" w:eastAsia="仿宋_GB2312"/>
          <w:caps/>
        </w:rPr>
        <w:fldChar w:fldCharType="separate"/>
      </w:r>
      <w:r>
        <w:fldChar w:fldCharType="begin"/>
      </w:r>
      <w:r>
        <w:instrText xml:space="preserve"> HYPERLINK \l "_Toc69478553" </w:instrText>
      </w:r>
      <w:r>
        <w:fldChar w:fldCharType="separate"/>
      </w:r>
      <w:r>
        <w:rPr>
          <w:rStyle w:val="16"/>
          <w:rFonts w:ascii="仿宋_GB2312" w:hAnsi="仿宋_GB2312" w:eastAsia="仿宋_GB2312" w:cs="仿宋"/>
        </w:rPr>
        <w:t>第一章 谈判邀请</w:t>
      </w:r>
      <w:r>
        <w:tab/>
      </w:r>
      <w:r>
        <w:rPr>
          <w:rFonts w:hint="eastAsia"/>
          <w:lang w:val="en-US" w:eastAsia="zh-CN"/>
        </w:rPr>
        <w:t>3</w:t>
      </w:r>
      <w:r>
        <w:fldChar w:fldCharType="end"/>
      </w:r>
    </w:p>
    <w:p w14:paraId="4DD4E613">
      <w:pPr>
        <w:pStyle w:val="10"/>
        <w:tabs>
          <w:tab w:val="right" w:leader="dot" w:pos="8303"/>
        </w:tabs>
        <w:rPr>
          <w:rFonts w:asciiTheme="minorHAnsi" w:hAnsiTheme="minorHAnsi" w:eastAsiaTheme="minorEastAsia" w:cstheme="minorBidi"/>
          <w:sz w:val="21"/>
        </w:rPr>
      </w:pPr>
      <w:r>
        <w:fldChar w:fldCharType="begin"/>
      </w:r>
      <w:r>
        <w:instrText xml:space="preserve"> HYPERLINK \l "_Toc69478554" </w:instrText>
      </w:r>
      <w:r>
        <w:fldChar w:fldCharType="separate"/>
      </w:r>
      <w:r>
        <w:rPr>
          <w:rStyle w:val="16"/>
          <w:rFonts w:ascii="仿宋_GB2312" w:hAnsi="仿宋_GB2312" w:eastAsia="仿宋_GB2312" w:cs="仿宋"/>
        </w:rPr>
        <w:t>第二章 谈判须知</w:t>
      </w:r>
      <w:r>
        <w:tab/>
      </w:r>
      <w:r>
        <w:rPr>
          <w:rFonts w:hint="eastAsia"/>
          <w:lang w:val="en-US" w:eastAsia="zh-CN"/>
        </w:rPr>
        <w:t>5</w:t>
      </w:r>
      <w:r>
        <w:fldChar w:fldCharType="end"/>
      </w:r>
    </w:p>
    <w:p w14:paraId="0CD6F654">
      <w:pPr>
        <w:pStyle w:val="10"/>
        <w:tabs>
          <w:tab w:val="right" w:leader="dot" w:pos="8303"/>
        </w:tabs>
        <w:rPr>
          <w:rFonts w:hint="eastAsia" w:eastAsia="宋体" w:asciiTheme="minorHAnsi" w:hAnsiTheme="minorHAnsi" w:cstheme="minorBidi"/>
          <w:sz w:val="21"/>
          <w:lang w:val="en-US" w:eastAsia="zh-CN"/>
        </w:rPr>
      </w:pPr>
      <w:r>
        <w:fldChar w:fldCharType="begin"/>
      </w:r>
      <w:r>
        <w:instrText xml:space="preserve"> HYPERLINK \l "_Toc69478555" </w:instrText>
      </w:r>
      <w:r>
        <w:fldChar w:fldCharType="separate"/>
      </w:r>
      <w:r>
        <w:rPr>
          <w:rStyle w:val="16"/>
          <w:rFonts w:ascii="仿宋_GB2312" w:hAnsi="仿宋_GB2312" w:eastAsia="仿宋_GB2312" w:cs="仿宋"/>
        </w:rPr>
        <w:t>第三章 采购项目技术、服务及其他商务要求</w:t>
      </w:r>
      <w:r>
        <w:tab/>
      </w:r>
      <w:r>
        <w:rPr>
          <w:rFonts w:hint="eastAsia"/>
          <w:lang w:val="en-US" w:eastAsia="zh-CN"/>
        </w:rPr>
        <w:t>1</w:t>
      </w:r>
      <w:r>
        <w:fldChar w:fldCharType="end"/>
      </w:r>
      <w:r>
        <w:rPr>
          <w:rFonts w:hint="eastAsia"/>
          <w:lang w:val="en-US" w:eastAsia="zh-CN"/>
        </w:rPr>
        <w:t>6</w:t>
      </w:r>
    </w:p>
    <w:p w14:paraId="1AAAEE65">
      <w:pPr>
        <w:pStyle w:val="10"/>
        <w:tabs>
          <w:tab w:val="right" w:leader="dot" w:pos="8303"/>
        </w:tabs>
        <w:rPr>
          <w:rFonts w:hint="eastAsia" w:eastAsia="宋体" w:asciiTheme="minorHAnsi" w:hAnsiTheme="minorHAnsi" w:cstheme="minorBidi"/>
          <w:sz w:val="21"/>
          <w:lang w:val="en-US" w:eastAsia="zh-CN"/>
        </w:rPr>
      </w:pPr>
      <w:r>
        <w:fldChar w:fldCharType="begin"/>
      </w:r>
      <w:r>
        <w:instrText xml:space="preserve"> HYPERLINK \l "_Toc69478556" </w:instrText>
      </w:r>
      <w:r>
        <w:fldChar w:fldCharType="separate"/>
      </w:r>
      <w:r>
        <w:rPr>
          <w:rStyle w:val="16"/>
          <w:rFonts w:ascii="仿宋_GB2312" w:hAnsi="仿宋_GB2312" w:eastAsia="仿宋_GB2312" w:cs="仿宋"/>
        </w:rPr>
        <w:t>第四章 谈判过程中可实质性变动的内容</w:t>
      </w:r>
      <w:r>
        <w:tab/>
      </w:r>
      <w:r>
        <w:rPr>
          <w:rFonts w:hint="eastAsia"/>
          <w:lang w:val="en-US" w:eastAsia="zh-CN"/>
        </w:rPr>
        <w:t>1</w:t>
      </w:r>
      <w:r>
        <w:fldChar w:fldCharType="end"/>
      </w:r>
      <w:r>
        <w:rPr>
          <w:rFonts w:hint="eastAsia"/>
          <w:lang w:val="en-US" w:eastAsia="zh-CN"/>
        </w:rPr>
        <w:t>8</w:t>
      </w:r>
    </w:p>
    <w:p w14:paraId="171F76E5">
      <w:pPr>
        <w:pStyle w:val="10"/>
        <w:tabs>
          <w:tab w:val="right" w:leader="dot" w:pos="8303"/>
        </w:tabs>
        <w:rPr>
          <w:rFonts w:hint="eastAsia" w:eastAsia="宋体" w:asciiTheme="minorHAnsi" w:hAnsiTheme="minorHAnsi" w:cstheme="minorBidi"/>
          <w:sz w:val="21"/>
          <w:lang w:val="en-US" w:eastAsia="zh-CN"/>
        </w:rPr>
      </w:pPr>
      <w:r>
        <w:fldChar w:fldCharType="begin"/>
      </w:r>
      <w:r>
        <w:instrText xml:space="preserve"> HYPERLINK \l "_Toc69478557" </w:instrText>
      </w:r>
      <w:r>
        <w:fldChar w:fldCharType="separate"/>
      </w:r>
      <w:r>
        <w:rPr>
          <w:rStyle w:val="16"/>
          <w:rFonts w:ascii="仿宋_GB2312" w:hAnsi="仿宋_GB2312" w:eastAsia="仿宋_GB2312" w:cs="仿宋"/>
        </w:rPr>
        <w:t>第五章 响应文件格式</w:t>
      </w:r>
      <w:r>
        <w:tab/>
      </w:r>
      <w:r>
        <w:rPr>
          <w:rFonts w:hint="eastAsia"/>
          <w:lang w:val="en-US" w:eastAsia="zh-CN"/>
        </w:rPr>
        <w:t>1</w:t>
      </w:r>
      <w:r>
        <w:fldChar w:fldCharType="end"/>
      </w:r>
      <w:r>
        <w:rPr>
          <w:rFonts w:hint="eastAsia"/>
          <w:lang w:val="en-US" w:eastAsia="zh-CN"/>
        </w:rPr>
        <w:t>9</w:t>
      </w:r>
    </w:p>
    <w:p w14:paraId="3C219426">
      <w:pPr>
        <w:pStyle w:val="10"/>
        <w:tabs>
          <w:tab w:val="right" w:leader="dot" w:pos="8303"/>
        </w:tabs>
        <w:rPr>
          <w:rFonts w:hint="eastAsia" w:eastAsia="宋体"/>
          <w:lang w:val="en-US" w:eastAsia="zh-CN"/>
        </w:rPr>
      </w:pPr>
      <w:r>
        <w:fldChar w:fldCharType="begin"/>
      </w:r>
      <w:r>
        <w:instrText xml:space="preserve"> HYPERLINK \l "_Toc69478558" </w:instrText>
      </w:r>
      <w:r>
        <w:fldChar w:fldCharType="separate"/>
      </w:r>
      <w:r>
        <w:rPr>
          <w:rStyle w:val="16"/>
          <w:rFonts w:ascii="仿宋_GB2312" w:hAnsi="仿宋_GB2312" w:eastAsia="仿宋_GB2312" w:cs="仿宋"/>
        </w:rPr>
        <w:t>第六章 评审方法</w:t>
      </w:r>
      <w:r>
        <w:tab/>
      </w:r>
      <w:r>
        <w:rPr>
          <w:rFonts w:hint="eastAsia"/>
          <w:lang w:val="en-US" w:eastAsia="zh-CN"/>
        </w:rPr>
        <w:t>3</w:t>
      </w:r>
      <w:r>
        <w:fldChar w:fldCharType="end"/>
      </w:r>
      <w:r>
        <w:rPr>
          <w:rFonts w:hint="eastAsia"/>
          <w:lang w:val="en-US" w:eastAsia="zh-CN"/>
        </w:rPr>
        <w:t>3</w:t>
      </w:r>
    </w:p>
    <w:p w14:paraId="25539528">
      <w:pPr>
        <w:pStyle w:val="10"/>
        <w:tabs>
          <w:tab w:val="right" w:leader="dot" w:pos="8303"/>
        </w:tabs>
        <w:rPr>
          <w:rFonts w:hint="eastAsia" w:eastAsia="宋体" w:asciiTheme="minorHAnsi" w:hAnsiTheme="minorHAnsi" w:cstheme="minorBidi"/>
          <w:sz w:val="21"/>
          <w:lang w:val="en-US" w:eastAsia="zh-CN"/>
        </w:rPr>
      </w:pPr>
      <w:r>
        <w:rPr>
          <w:rStyle w:val="16"/>
          <w:rFonts w:ascii="仿宋_GB2312" w:hAnsi="仿宋_GB2312" w:eastAsia="仿宋_GB2312"/>
          <w:caps/>
        </w:rPr>
        <w:fldChar w:fldCharType="begin"/>
      </w:r>
      <w:r>
        <w:rPr>
          <w:rStyle w:val="16"/>
          <w:rFonts w:ascii="仿宋_GB2312" w:hAnsi="仿宋_GB2312" w:eastAsia="仿宋_GB2312"/>
          <w:caps/>
        </w:rPr>
        <w:instrText xml:space="preserve">TOC \h \z \t "</w:instrText>
      </w:r>
      <w:r>
        <w:rPr>
          <w:rStyle w:val="16"/>
          <w:rFonts w:hint="eastAsia" w:ascii="仿宋_GB2312" w:hAnsi="仿宋_GB2312" w:eastAsia="仿宋_GB2312" w:cs="宋体"/>
          <w:caps/>
        </w:rPr>
        <w:instrText xml:space="preserve">标题</w:instrText>
      </w:r>
      <w:r>
        <w:rPr>
          <w:rStyle w:val="16"/>
          <w:rFonts w:ascii="仿宋_GB2312" w:hAnsi="仿宋_GB2312" w:eastAsia="仿宋_GB2312"/>
          <w:caps/>
        </w:rPr>
        <w:instrText xml:space="preserve">,1"</w:instrText>
      </w:r>
      <w:r>
        <w:rPr>
          <w:rStyle w:val="16"/>
          <w:rFonts w:ascii="仿宋_GB2312" w:hAnsi="仿宋_GB2312" w:eastAsia="仿宋_GB2312"/>
          <w:caps/>
        </w:rPr>
        <w:fldChar w:fldCharType="separate"/>
      </w:r>
      <w:r>
        <w:fldChar w:fldCharType="begin"/>
      </w:r>
      <w:r>
        <w:instrText xml:space="preserve"> HYPERLINK \l "_Toc69478553" </w:instrText>
      </w:r>
      <w:r>
        <w:fldChar w:fldCharType="separate"/>
      </w:r>
      <w:r>
        <w:rPr>
          <w:rStyle w:val="16"/>
          <w:rFonts w:ascii="仿宋_GB2312" w:hAnsi="仿宋_GB2312" w:eastAsia="仿宋_GB2312" w:cs="仿宋"/>
        </w:rPr>
        <w:t>第</w:t>
      </w:r>
      <w:r>
        <w:rPr>
          <w:rStyle w:val="16"/>
          <w:rFonts w:hint="eastAsia" w:ascii="仿宋_GB2312" w:hAnsi="仿宋_GB2312" w:eastAsia="仿宋_GB2312" w:cs="仿宋"/>
          <w:lang w:eastAsia="zh-CN"/>
        </w:rPr>
        <w:t>七</w:t>
      </w:r>
      <w:r>
        <w:rPr>
          <w:rStyle w:val="16"/>
          <w:rFonts w:ascii="仿宋_GB2312" w:hAnsi="仿宋_GB2312" w:eastAsia="仿宋_GB2312" w:cs="仿宋"/>
        </w:rPr>
        <w:t xml:space="preserve">章 </w:t>
      </w:r>
      <w:r>
        <w:rPr>
          <w:rStyle w:val="16"/>
          <w:rFonts w:hint="eastAsia" w:ascii="仿宋_GB2312" w:hAnsi="仿宋_GB2312" w:eastAsia="仿宋_GB2312" w:cs="仿宋"/>
          <w:lang w:eastAsia="zh-CN"/>
        </w:rPr>
        <w:t>报名登记表</w:t>
      </w:r>
      <w:r>
        <w:tab/>
      </w:r>
      <w:r>
        <w:rPr>
          <w:rFonts w:hint="eastAsia"/>
          <w:lang w:val="en-US" w:eastAsia="zh-CN"/>
        </w:rPr>
        <w:t>3</w:t>
      </w:r>
      <w:r>
        <w:fldChar w:fldCharType="end"/>
      </w:r>
      <w:r>
        <w:rPr>
          <w:rFonts w:hint="eastAsia"/>
          <w:lang w:val="en-US" w:eastAsia="zh-CN"/>
        </w:rPr>
        <w:t>9</w:t>
      </w:r>
    </w:p>
    <w:p w14:paraId="5F678EA2">
      <w:pPr>
        <w:pStyle w:val="10"/>
        <w:tabs>
          <w:tab w:val="right" w:leader="dot" w:pos="8303"/>
        </w:tabs>
        <w:rPr>
          <w:rFonts w:hint="eastAsia"/>
          <w:lang w:val="en-US" w:eastAsia="zh-CN"/>
        </w:rPr>
      </w:pPr>
    </w:p>
    <w:p w14:paraId="3BD1BE86">
      <w:pPr>
        <w:pStyle w:val="10"/>
        <w:tabs>
          <w:tab w:val="right" w:leader="dot" w:pos="8303"/>
        </w:tabs>
        <w:rPr>
          <w:rFonts w:hint="eastAsia"/>
          <w:lang w:val="en-US" w:eastAsia="zh-CN"/>
        </w:rPr>
      </w:pPr>
      <w:r>
        <w:rPr>
          <w:rStyle w:val="16"/>
          <w:rFonts w:ascii="仿宋_GB2312" w:hAnsi="仿宋_GB2312" w:eastAsia="仿宋_GB2312"/>
          <w:caps/>
        </w:rPr>
        <w:fldChar w:fldCharType="end"/>
      </w:r>
    </w:p>
    <w:p w14:paraId="0E7DDC3E">
      <w:pPr>
        <w:pStyle w:val="10"/>
        <w:tabs>
          <w:tab w:val="right" w:leader="dot" w:pos="9345"/>
        </w:tabs>
        <w:ind w:right="-120" w:rightChars="-50"/>
        <w:jc w:val="left"/>
        <w:rPr>
          <w:rFonts w:hint="eastAsia"/>
          <w:lang w:val="en-US" w:eastAsia="zh-CN"/>
        </w:rPr>
      </w:pPr>
      <w:r>
        <w:rPr>
          <w:rStyle w:val="16"/>
          <w:rFonts w:ascii="仿宋_GB2312" w:hAnsi="仿宋_GB2312" w:eastAsia="仿宋_GB2312"/>
          <w:caps/>
        </w:rPr>
        <w:fldChar w:fldCharType="end"/>
      </w:r>
      <w:bookmarkStart w:id="3" w:name="_Toc69478553"/>
      <w:bookmarkStart w:id="4" w:name="_Toc509579140"/>
    </w:p>
    <w:p w14:paraId="3C36B8A6">
      <w:pPr>
        <w:pStyle w:val="11"/>
        <w:rPr>
          <w:rFonts w:hint="eastAsia" w:ascii="仿宋_GB2312" w:hAnsi="仿宋_GB2312" w:eastAsia="仿宋_GB2312" w:cs="仿宋"/>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2EF259FB">
      <w:pPr>
        <w:pStyle w:val="11"/>
        <w:rPr>
          <w:rFonts w:ascii="仿宋_GB2312" w:hAnsi="仿宋_GB2312" w:eastAsia="仿宋_GB2312" w:cs="Times New Roman"/>
        </w:rPr>
      </w:pPr>
      <w:r>
        <w:rPr>
          <w:rFonts w:hint="eastAsia" w:ascii="仿宋_GB2312" w:hAnsi="仿宋_GB2312" w:eastAsia="仿宋_GB2312" w:cs="仿宋"/>
        </w:rPr>
        <w:t>第一章 谈判邀请</w:t>
      </w:r>
      <w:bookmarkEnd w:id="3"/>
      <w:bookmarkEnd w:id="4"/>
    </w:p>
    <w:p w14:paraId="4E358952">
      <w:pPr>
        <w:adjustRightInd w:val="0"/>
        <w:snapToGrid w:val="0"/>
        <w:spacing w:line="360" w:lineRule="auto"/>
        <w:ind w:firstLine="480" w:firstLineChars="200"/>
        <w:jc w:val="both"/>
        <w:rPr>
          <w:rFonts w:hint="eastAsia" w:ascii="仿宋_GB2312" w:hAnsi="仿宋_GB2312" w:eastAsia="仿宋_GB2312" w:cs="仿宋"/>
          <w:color w:val="auto"/>
        </w:rPr>
      </w:pPr>
    </w:p>
    <w:p w14:paraId="0BA2B6A0">
      <w:pPr>
        <w:spacing w:line="360" w:lineRule="auto"/>
        <w:ind w:firstLine="480" w:firstLineChars="200"/>
        <w:jc w:val="both"/>
        <w:rPr>
          <w:rFonts w:hint="eastAsia" w:ascii="仿宋_GB2312" w:hAnsi="仿宋_GB2312" w:eastAsia="仿宋_GB2312" w:cs="仿宋"/>
          <w:color w:val="auto"/>
          <w:lang w:val="en-US" w:eastAsia="zh-CN"/>
        </w:rPr>
      </w:pPr>
      <w:bookmarkStart w:id="5" w:name="_Toc509579141"/>
      <w:bookmarkStart w:id="6" w:name="_Toc213396759"/>
      <w:bookmarkStart w:id="7" w:name="_Toc213396945"/>
      <w:bookmarkStart w:id="8" w:name="_Toc213397009"/>
      <w:bookmarkStart w:id="9" w:name="_Toc213496267"/>
      <w:bookmarkStart w:id="10" w:name="_Toc217446031"/>
      <w:r>
        <w:rPr>
          <w:rFonts w:hint="eastAsia" w:ascii="仿宋_GB2312" w:hAnsi="仿宋_GB2312" w:eastAsia="仿宋_GB2312" w:cs="仿宋"/>
          <w:color w:val="auto"/>
        </w:rPr>
        <w:t>巴中市产业发展集团有限公司拟对“</w:t>
      </w:r>
      <w:bookmarkStart w:id="11" w:name="PO_默认文件内容_1"/>
      <w:r>
        <w:rPr>
          <w:rFonts w:hint="eastAsia" w:ascii="仿宋_GB2312" w:hAnsi="仿宋_GB2312" w:eastAsia="仿宋_GB2312" w:cs="仿宋"/>
          <w:color w:val="auto"/>
          <w:lang w:val="en-US" w:eastAsia="zh-CN"/>
        </w:rPr>
        <w:t>巴中市2025年江北片区春节氛围营造工程</w:t>
      </w:r>
      <w:r>
        <w:rPr>
          <w:rFonts w:hint="eastAsia" w:ascii="仿宋_GB2312" w:hAnsi="仿宋_GB2312" w:eastAsia="仿宋_GB2312" w:cs="仿宋"/>
          <w:color w:val="auto"/>
          <w:lang w:eastAsia="zh-CN"/>
        </w:rPr>
        <w:t>”</w:t>
      </w:r>
      <w:r>
        <w:rPr>
          <w:rFonts w:hint="eastAsia" w:ascii="仿宋_GB2312" w:hAnsi="仿宋_GB2312" w:eastAsia="仿宋_GB2312" w:cs="仿宋"/>
          <w:color w:val="auto"/>
        </w:rPr>
        <w:t>采用竞争性谈判方式进行采购，特邀请符合本次采购要求的供应商参加本项目的竞争性谈判。</w:t>
      </w:r>
      <w:bookmarkEnd w:id="11"/>
      <w:r>
        <w:rPr>
          <w:rFonts w:hint="eastAsia" w:ascii="仿宋_GB2312" w:hAnsi="仿宋_GB2312" w:eastAsia="仿宋_GB2312" w:cs="仿宋"/>
          <w:color w:val="auto"/>
        </w:rPr>
        <w:t>本次采购活动实行</w:t>
      </w:r>
      <w:r>
        <w:rPr>
          <w:rFonts w:hint="eastAsia" w:ascii="仿宋_GB2312" w:hAnsi="仿宋_GB2312" w:eastAsia="仿宋_GB2312" w:cs="仿宋"/>
          <w:color w:val="auto"/>
          <w:lang w:val="en-US" w:eastAsia="zh-CN"/>
        </w:rPr>
        <w:t>现场谈判。</w:t>
      </w:r>
    </w:p>
    <w:p w14:paraId="15171AD2">
      <w:pPr>
        <w:numPr>
          <w:ilvl w:val="0"/>
          <w:numId w:val="1"/>
        </w:numPr>
        <w:spacing w:line="360" w:lineRule="auto"/>
        <w:ind w:firstLine="480" w:firstLineChars="200"/>
        <w:jc w:val="both"/>
        <w:rPr>
          <w:rFonts w:hint="eastAsia" w:ascii="黑体" w:hAnsi="黑体" w:eastAsia="黑体" w:cs="黑体"/>
          <w:b w:val="0"/>
          <w:bCs/>
          <w:color w:val="auto"/>
        </w:rPr>
      </w:pPr>
      <w:r>
        <w:rPr>
          <w:rFonts w:hint="eastAsia" w:ascii="黑体" w:hAnsi="黑体" w:eastAsia="黑体" w:cs="黑体"/>
          <w:b w:val="0"/>
          <w:bCs/>
          <w:color w:val="auto"/>
        </w:rPr>
        <w:t>基本情况</w:t>
      </w:r>
    </w:p>
    <w:p w14:paraId="34FFC7D2">
      <w:pPr>
        <w:numPr>
          <w:ilvl w:val="0"/>
          <w:numId w:val="0"/>
        </w:numPr>
        <w:spacing w:line="360" w:lineRule="auto"/>
        <w:ind w:firstLine="480" w:firstLineChars="200"/>
        <w:jc w:val="both"/>
        <w:rPr>
          <w:rFonts w:hint="eastAsia" w:ascii="仿宋_GB2312" w:hAnsi="仿宋_GB2312" w:eastAsia="仿宋_GB2312" w:cs="仿宋"/>
          <w:color w:val="auto"/>
          <w:lang w:val="en-US" w:eastAsia="zh-CN"/>
        </w:rPr>
      </w:pPr>
      <w:r>
        <w:rPr>
          <w:rFonts w:hint="eastAsia" w:ascii="仿宋_GB2312" w:hAnsi="仿宋_GB2312" w:eastAsia="仿宋_GB2312" w:cs="仿宋"/>
          <w:color w:val="auto"/>
        </w:rPr>
        <w:t>项目名称：</w:t>
      </w:r>
      <w:r>
        <w:rPr>
          <w:rFonts w:hint="eastAsia" w:ascii="仿宋_GB2312" w:hAnsi="仿宋_GB2312" w:eastAsia="仿宋_GB2312" w:cs="仿宋"/>
          <w:color w:val="auto"/>
          <w:lang w:val="en-US" w:eastAsia="zh-CN"/>
        </w:rPr>
        <w:t>巴中市2025年江北片区春节氛围营造工程</w:t>
      </w:r>
    </w:p>
    <w:p w14:paraId="358B09D7">
      <w:pPr>
        <w:adjustRightInd w:val="0"/>
        <w:snapToGrid w:val="0"/>
        <w:spacing w:line="360" w:lineRule="auto"/>
        <w:ind w:firstLine="480" w:firstLineChars="200"/>
        <w:rPr>
          <w:rFonts w:hint="eastAsia" w:ascii="黑体" w:hAnsi="黑体" w:eastAsia="黑体" w:cs="黑体"/>
          <w:b w:val="0"/>
          <w:bCs/>
          <w:color w:val="auto"/>
        </w:rPr>
      </w:pPr>
      <w:r>
        <w:rPr>
          <w:rFonts w:hint="eastAsia" w:ascii="黑体" w:hAnsi="黑体" w:eastAsia="黑体" w:cs="黑体"/>
          <w:b w:val="0"/>
          <w:bCs/>
          <w:color w:val="auto"/>
        </w:rPr>
        <w:t>二、资金情况</w:t>
      </w:r>
    </w:p>
    <w:p w14:paraId="51368528">
      <w:pPr>
        <w:adjustRightInd w:val="0"/>
        <w:snapToGrid w:val="0"/>
        <w:spacing w:line="360" w:lineRule="auto"/>
        <w:ind w:right="36" w:rightChars="15" w:firstLine="480" w:firstLineChars="200"/>
        <w:rPr>
          <w:rFonts w:hint="default" w:ascii="仿宋_GB2312" w:hAnsi="仿宋_GB2312" w:eastAsia="仿宋_GB2312" w:cs="仿宋"/>
          <w:color w:val="auto"/>
          <w:lang w:val="en-US" w:eastAsia="zh-CN"/>
        </w:rPr>
      </w:pPr>
      <w:r>
        <w:rPr>
          <w:rFonts w:hint="eastAsia" w:ascii="仿宋_GB2312" w:hAnsi="仿宋_GB2312" w:eastAsia="仿宋_GB2312" w:cs="仿宋"/>
          <w:color w:val="auto"/>
        </w:rPr>
        <w:t>资金来源：</w:t>
      </w:r>
      <w:r>
        <w:rPr>
          <w:rFonts w:hint="eastAsia" w:ascii="仿宋_GB2312" w:hAnsi="仿宋_GB2312" w:eastAsia="仿宋_GB2312" w:cs="仿宋"/>
          <w:color w:val="auto"/>
          <w:lang w:val="en-US" w:eastAsia="zh-CN"/>
        </w:rPr>
        <w:t>企业自筹</w:t>
      </w:r>
    </w:p>
    <w:p w14:paraId="3481B7AF">
      <w:pPr>
        <w:adjustRightInd w:val="0"/>
        <w:snapToGrid w:val="0"/>
        <w:spacing w:line="360" w:lineRule="auto"/>
        <w:ind w:right="36" w:rightChars="15" w:firstLine="480" w:firstLineChars="200"/>
        <w:rPr>
          <w:rFonts w:hint="eastAsia" w:ascii="黑体" w:hAnsi="黑体" w:eastAsia="黑体" w:cs="黑体"/>
          <w:b w:val="0"/>
          <w:bCs/>
          <w:color w:val="auto"/>
        </w:rPr>
      </w:pPr>
      <w:r>
        <w:rPr>
          <w:rFonts w:hint="eastAsia" w:ascii="黑体" w:hAnsi="黑体" w:eastAsia="黑体" w:cs="黑体"/>
          <w:b w:val="0"/>
          <w:bCs/>
          <w:color w:val="auto"/>
          <w:lang w:val="en-US" w:eastAsia="zh-CN"/>
        </w:rPr>
        <w:t>三、</w:t>
      </w:r>
      <w:r>
        <w:rPr>
          <w:rFonts w:hint="eastAsia" w:ascii="黑体" w:hAnsi="黑体" w:eastAsia="黑体" w:cs="黑体"/>
          <w:b w:val="0"/>
          <w:bCs/>
          <w:color w:val="auto"/>
        </w:rPr>
        <w:t>项目概况</w:t>
      </w:r>
      <w:bookmarkStart w:id="12" w:name="PO_默认文件内容_3"/>
    </w:p>
    <w:p w14:paraId="4A95B2E7">
      <w:pPr>
        <w:adjustRightInd w:val="0"/>
        <w:snapToGrid w:val="0"/>
        <w:spacing w:line="360" w:lineRule="auto"/>
        <w:ind w:right="36" w:rightChars="15" w:firstLine="480" w:firstLineChars="200"/>
        <w:rPr>
          <w:rFonts w:hint="eastAsia" w:ascii="仿宋_GB2312" w:hAnsi="仿宋_GB2312" w:eastAsia="仿宋_GB2312" w:cs="仿宋"/>
          <w:color w:val="auto"/>
        </w:rPr>
      </w:pPr>
      <w:r>
        <w:rPr>
          <w:rFonts w:hint="eastAsia" w:ascii="仿宋_GB2312" w:hAnsi="仿宋_GB2312" w:eastAsia="仿宋_GB2312" w:cs="仿宋"/>
          <w:color w:val="auto"/>
          <w:lang w:val="en-US" w:eastAsia="zh-CN"/>
        </w:rPr>
        <w:t>江北大道(原党校-体育馆)路灯灯笼，城市广场1层节点造型和灯饰挂件，城市广场2层灯饰挂件，城市广场3层华灯璀璨节点造型，市政府两侧道路灯饰挂件。</w:t>
      </w:r>
      <w:r>
        <w:rPr>
          <w:rFonts w:hint="eastAsia" w:ascii="仿宋_GB2312" w:hAnsi="仿宋_GB2312" w:eastAsia="仿宋_GB2312" w:cs="仿宋"/>
          <w:color w:val="auto"/>
          <w:lang w:val="zh-CN"/>
        </w:rPr>
        <w:t xml:space="preserve">  </w:t>
      </w:r>
    </w:p>
    <w:p w14:paraId="6AD7ADF9">
      <w:pPr>
        <w:adjustRightInd w:val="0"/>
        <w:snapToGrid w:val="0"/>
        <w:spacing w:line="360" w:lineRule="auto"/>
        <w:ind w:right="36" w:rightChars="15" w:firstLine="480" w:firstLineChars="200"/>
        <w:rPr>
          <w:rFonts w:hint="eastAsia" w:ascii="黑体" w:hAnsi="黑体" w:eastAsia="黑体" w:cs="黑体"/>
          <w:b w:val="0"/>
          <w:bCs/>
          <w:color w:val="auto"/>
          <w:lang w:eastAsia="zh-CN"/>
        </w:rPr>
      </w:pPr>
      <w:r>
        <w:rPr>
          <w:rFonts w:hint="eastAsia" w:ascii="黑体" w:hAnsi="黑体" w:eastAsia="黑体" w:cs="黑体"/>
          <w:b w:val="0"/>
          <w:bCs/>
          <w:color w:val="auto"/>
          <w:lang w:eastAsia="zh-CN"/>
        </w:rPr>
        <w:t>四</w:t>
      </w:r>
      <w:r>
        <w:rPr>
          <w:rFonts w:hint="eastAsia" w:ascii="黑体" w:hAnsi="黑体" w:eastAsia="黑体" w:cs="黑体"/>
          <w:b w:val="0"/>
          <w:bCs/>
          <w:color w:val="auto"/>
        </w:rPr>
        <w:t>、供应商邀请</w:t>
      </w:r>
      <w:r>
        <w:rPr>
          <w:rFonts w:hint="eastAsia" w:ascii="黑体" w:hAnsi="黑体" w:eastAsia="黑体" w:cs="黑体"/>
          <w:b w:val="0"/>
          <w:bCs/>
          <w:color w:val="auto"/>
          <w:lang w:eastAsia="zh-CN"/>
        </w:rPr>
        <w:t>方式</w:t>
      </w:r>
    </w:p>
    <w:bookmarkEnd w:id="12"/>
    <w:p w14:paraId="174F0CC8">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公告方式：本次竞争性谈判公告在巴中市国有资产监督管理委员会网站（www.gzw.cnbz.gov.cn）或巴中市产业发展集团有限公司网站（www.bzcyjt.cn）公开形式发布。</w:t>
      </w:r>
    </w:p>
    <w:p w14:paraId="63449F53">
      <w:pPr>
        <w:adjustRightInd w:val="0"/>
        <w:snapToGrid w:val="0"/>
        <w:spacing w:line="360" w:lineRule="auto"/>
        <w:ind w:right="36" w:rightChars="15" w:firstLine="480" w:firstLineChars="200"/>
        <w:rPr>
          <w:rFonts w:hint="eastAsia" w:ascii="黑体" w:hAnsi="黑体" w:eastAsia="黑体" w:cs="黑体"/>
          <w:b w:val="0"/>
          <w:bCs/>
          <w:color w:val="auto"/>
          <w:lang w:eastAsia="zh-CN"/>
        </w:rPr>
      </w:pPr>
      <w:r>
        <w:rPr>
          <w:rFonts w:hint="eastAsia" w:ascii="黑体" w:hAnsi="黑体" w:eastAsia="黑体" w:cs="黑体"/>
          <w:b w:val="0"/>
          <w:bCs/>
          <w:color w:val="auto"/>
        </w:rPr>
        <w:t>五、供应商参加本次采购活动应具备下列条件</w:t>
      </w:r>
    </w:p>
    <w:p w14:paraId="2673BB2C">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1、具有独立承担民事责任的能力。</w:t>
      </w:r>
    </w:p>
    <w:p w14:paraId="467D452B">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2、具有良好的商业信誉和健全的财务会计制度。</w:t>
      </w:r>
    </w:p>
    <w:p w14:paraId="2D16448F">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3、具有履行合同所必须的设备和专业技术能力。</w:t>
      </w:r>
    </w:p>
    <w:p w14:paraId="1427AB01">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4、具有依法缴纳税收和社会保障资金的良好记录。</w:t>
      </w:r>
    </w:p>
    <w:p w14:paraId="7D826D7C">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5、参加本次政府采购活动前三年内，在经营活动中没有重大违法记录。</w:t>
      </w:r>
    </w:p>
    <w:p w14:paraId="6E26A281">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6、符合法律、行政法规规定的其他条件。</w:t>
      </w:r>
    </w:p>
    <w:p w14:paraId="15D3EB6C">
      <w:pPr>
        <w:pStyle w:val="19"/>
        <w:adjustRightInd w:val="0"/>
        <w:snapToGrid w:val="0"/>
        <w:rPr>
          <w:rFonts w:hint="eastAsia" w:ascii="仿宋_GB2312" w:hAnsi="仿宋_GB2312" w:eastAsia="仿宋_GB2312" w:cs="仿宋"/>
          <w:color w:val="auto"/>
          <w:kern w:val="0"/>
          <w:sz w:val="24"/>
          <w:szCs w:val="24"/>
          <w:lang w:val="en-US" w:eastAsia="zh-CN" w:bidi="ar-SA"/>
        </w:rPr>
      </w:pPr>
      <w:r>
        <w:rPr>
          <w:rFonts w:hint="eastAsia" w:ascii="仿宋_GB2312" w:hAnsi="仿宋_GB2312" w:eastAsia="仿宋_GB2312" w:cs="仿宋"/>
          <w:color w:val="auto"/>
          <w:kern w:val="0"/>
          <w:sz w:val="24"/>
          <w:szCs w:val="24"/>
          <w:lang w:val="en-US" w:eastAsia="zh-CN" w:bidi="ar-SA"/>
        </w:rPr>
        <w:t>7、本项目的特殊要求：近三年（2022年1月1日至今）不少于2个类似项目业绩，类似项目业绩指：春节氛围营造。</w:t>
      </w:r>
    </w:p>
    <w:p w14:paraId="04BE2280">
      <w:pPr>
        <w:adjustRightInd w:val="0"/>
        <w:snapToGrid w:val="0"/>
        <w:spacing w:line="360" w:lineRule="auto"/>
        <w:ind w:right="36" w:rightChars="15" w:firstLine="480" w:firstLineChars="200"/>
        <w:rPr>
          <w:rFonts w:hint="eastAsia" w:ascii="黑体" w:hAnsi="黑体" w:eastAsia="黑体" w:cs="黑体"/>
          <w:b w:val="0"/>
          <w:bCs/>
          <w:color w:val="auto"/>
        </w:rPr>
      </w:pPr>
      <w:r>
        <w:rPr>
          <w:rFonts w:hint="eastAsia" w:ascii="黑体" w:hAnsi="黑体" w:eastAsia="黑体" w:cs="黑体"/>
          <w:b w:val="0"/>
          <w:bCs/>
          <w:color w:val="auto"/>
          <w:lang w:eastAsia="zh-CN"/>
        </w:rPr>
        <w:t>六</w:t>
      </w:r>
      <w:r>
        <w:rPr>
          <w:rFonts w:hint="eastAsia" w:ascii="黑体" w:hAnsi="黑体" w:eastAsia="黑体" w:cs="黑体"/>
          <w:b w:val="0"/>
          <w:bCs/>
          <w:color w:val="auto"/>
        </w:rPr>
        <w:t>、竞争性</w:t>
      </w:r>
      <w:r>
        <w:rPr>
          <w:rFonts w:hint="eastAsia" w:ascii="黑体" w:hAnsi="黑体" w:eastAsia="黑体" w:cs="黑体"/>
          <w:b w:val="0"/>
          <w:bCs/>
          <w:color w:val="auto"/>
          <w:lang w:eastAsia="zh-CN"/>
        </w:rPr>
        <w:t>谈判</w:t>
      </w:r>
      <w:r>
        <w:rPr>
          <w:rFonts w:hint="eastAsia" w:ascii="黑体" w:hAnsi="黑体" w:eastAsia="黑体" w:cs="黑体"/>
          <w:b w:val="0"/>
          <w:bCs/>
          <w:color w:val="auto"/>
        </w:rPr>
        <w:t>文件获取</w:t>
      </w:r>
      <w:r>
        <w:rPr>
          <w:rFonts w:hint="eastAsia" w:ascii="黑体" w:hAnsi="黑体" w:eastAsia="黑体" w:cs="黑体"/>
          <w:b w:val="0"/>
          <w:bCs/>
          <w:color w:val="auto"/>
          <w:lang w:eastAsia="zh-CN"/>
        </w:rPr>
        <w:t>方式、</w:t>
      </w:r>
      <w:r>
        <w:rPr>
          <w:rFonts w:hint="eastAsia" w:ascii="黑体" w:hAnsi="黑体" w:eastAsia="黑体" w:cs="黑体"/>
          <w:b w:val="0"/>
          <w:bCs/>
          <w:color w:val="auto"/>
        </w:rPr>
        <w:t>时间、地点</w:t>
      </w:r>
    </w:p>
    <w:p w14:paraId="3DCBF09B">
      <w:pPr>
        <w:adjustRightInd w:val="0"/>
        <w:snapToGrid w:val="0"/>
        <w:spacing w:line="360" w:lineRule="auto"/>
        <w:ind w:right="36" w:rightChars="15"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kern w:val="2"/>
          <w:sz w:val="24"/>
          <w:szCs w:val="24"/>
          <w:lang w:val="en-US" w:eastAsia="zh-CN" w:bidi="ar-SA"/>
        </w:rPr>
        <w:t>竞争性谈判文件自2024年12月17日09:00至2024年12月19日17:00（北京时间，法定节假日除外）远程获取。</w:t>
      </w:r>
      <w:r>
        <w:rPr>
          <w:rFonts w:hint="eastAsia" w:ascii="仿宋" w:hAnsi="仿宋" w:eastAsia="仿宋" w:cs="仿宋"/>
          <w:color w:val="auto"/>
          <w:kern w:val="2"/>
          <w:sz w:val="24"/>
          <w:szCs w:val="24"/>
          <w:lang w:val="en-US" w:eastAsia="zh-CN" w:bidi="ar-SA"/>
        </w:rPr>
        <w:br w:type="textWrapping"/>
      </w:r>
      <w:r>
        <w:rPr>
          <w:rFonts w:hint="eastAsia" w:ascii="仿宋" w:hAnsi="仿宋" w:eastAsia="仿宋" w:cs="仿宋"/>
          <w:color w:val="auto"/>
          <w:kern w:val="2"/>
          <w:sz w:val="24"/>
          <w:szCs w:val="24"/>
          <w:lang w:val="en-US" w:eastAsia="zh-CN" w:bidi="ar-SA"/>
        </w:rPr>
        <w:t xml:space="preserve">    本项目竞争性谈判文件无偿获取，</w:t>
      </w:r>
      <w:r>
        <w:rPr>
          <w:rFonts w:hint="eastAsia" w:ascii="仿宋" w:hAnsi="仿宋" w:eastAsia="仿宋" w:cs="仿宋"/>
          <w:color w:val="auto"/>
          <w:kern w:val="2"/>
          <w:sz w:val="24"/>
          <w:szCs w:val="24"/>
          <w:highlight w:val="none"/>
          <w:lang w:val="en-US" w:eastAsia="zh-CN" w:bidi="ar-SA"/>
        </w:rPr>
        <w:t>供应商将报名登记表发送至（447373108@qq.com）</w:t>
      </w:r>
      <w:r>
        <w:rPr>
          <w:rFonts w:hint="eastAsia" w:ascii="仿宋" w:hAnsi="仿宋" w:eastAsia="仿宋" w:cs="仿宋"/>
          <w:color w:val="auto"/>
          <w:kern w:val="2"/>
          <w:sz w:val="24"/>
          <w:szCs w:val="24"/>
          <w:lang w:val="en-US" w:eastAsia="zh-CN" w:bidi="ar-SA"/>
        </w:rPr>
        <w:t>，谈判资格不能转让。</w:t>
      </w:r>
    </w:p>
    <w:p w14:paraId="3B6AD857">
      <w:pPr>
        <w:adjustRightInd w:val="0"/>
        <w:snapToGrid w:val="0"/>
        <w:spacing w:line="360" w:lineRule="auto"/>
        <w:ind w:right="36" w:rightChars="15" w:firstLine="480" w:firstLineChars="200"/>
        <w:rPr>
          <w:rFonts w:hint="eastAsia" w:ascii="黑体" w:hAnsi="黑体" w:eastAsia="黑体" w:cs="黑体"/>
          <w:b w:val="0"/>
          <w:bCs/>
          <w:color w:val="auto"/>
          <w:lang w:val="en-US" w:eastAsia="zh-CN"/>
        </w:rPr>
      </w:pPr>
      <w:r>
        <w:rPr>
          <w:rFonts w:hint="eastAsia" w:ascii="黑体" w:hAnsi="黑体" w:eastAsia="黑体" w:cs="黑体"/>
          <w:b w:val="0"/>
          <w:bCs/>
          <w:color w:val="auto"/>
          <w:lang w:val="en-US" w:eastAsia="zh-CN"/>
        </w:rPr>
        <w:t>七、响应文件的提交方式、时间及谈判时间</w:t>
      </w:r>
    </w:p>
    <w:p w14:paraId="213226E3">
      <w:pPr>
        <w:adjustRightInd w:val="0"/>
        <w:snapToGrid w:val="0"/>
        <w:spacing w:line="360" w:lineRule="auto"/>
        <w:ind w:firstLine="480" w:firstLineChars="200"/>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谈判人定于202</w:t>
      </w:r>
      <w:r>
        <w:rPr>
          <w:rFonts w:hint="eastAsia" w:ascii="仿宋_GB2312" w:hAnsi="仿宋_GB2312" w:eastAsia="仿宋_GB2312" w:cs="仿宋"/>
          <w:color w:val="000000" w:themeColor="text1"/>
          <w:lang w:val="en-US" w:eastAsia="zh-CN"/>
          <w14:textFill>
            <w14:solidFill>
              <w14:schemeClr w14:val="tx1"/>
            </w14:solidFill>
          </w14:textFill>
        </w:rPr>
        <w:t>4</w:t>
      </w:r>
      <w:r>
        <w:rPr>
          <w:rFonts w:hint="eastAsia" w:ascii="仿宋_GB2312" w:hAnsi="仿宋_GB2312" w:eastAsia="仿宋_GB2312" w:cs="仿宋"/>
          <w:color w:val="000000" w:themeColor="text1"/>
          <w14:textFill>
            <w14:solidFill>
              <w14:schemeClr w14:val="tx1"/>
            </w14:solidFill>
          </w14:textFill>
        </w:rPr>
        <w:t>年</w:t>
      </w:r>
      <w:r>
        <w:rPr>
          <w:rFonts w:hint="eastAsia" w:ascii="仿宋_GB2312" w:hAnsi="仿宋_GB2312" w:eastAsia="仿宋_GB2312" w:cs="仿宋"/>
          <w:color w:val="000000" w:themeColor="text1"/>
          <w:lang w:val="en-US" w:eastAsia="zh-CN"/>
          <w14:textFill>
            <w14:solidFill>
              <w14:schemeClr w14:val="tx1"/>
            </w14:solidFill>
          </w14:textFill>
        </w:rPr>
        <w:t>12</w:t>
      </w:r>
      <w:r>
        <w:rPr>
          <w:rFonts w:hint="eastAsia" w:ascii="仿宋_GB2312" w:hAnsi="仿宋_GB2312" w:eastAsia="仿宋_GB2312" w:cs="仿宋"/>
          <w:color w:val="000000" w:themeColor="text1"/>
          <w14:textFill>
            <w14:solidFill>
              <w14:schemeClr w14:val="tx1"/>
            </w14:solidFill>
          </w14:textFill>
        </w:rPr>
        <w:t>月</w:t>
      </w:r>
      <w:r>
        <w:rPr>
          <w:rFonts w:hint="eastAsia" w:ascii="仿宋_GB2312" w:hAnsi="仿宋_GB2312" w:eastAsia="仿宋_GB2312" w:cs="仿宋"/>
          <w:color w:val="000000" w:themeColor="text1"/>
          <w:lang w:val="en-US" w:eastAsia="zh-CN"/>
          <w14:textFill>
            <w14:solidFill>
              <w14:schemeClr w14:val="tx1"/>
            </w14:solidFill>
          </w14:textFill>
        </w:rPr>
        <w:t>20</w:t>
      </w:r>
      <w:r>
        <w:rPr>
          <w:rFonts w:hint="eastAsia" w:ascii="仿宋_GB2312" w:hAnsi="仿宋_GB2312" w:eastAsia="仿宋_GB2312" w:cs="仿宋"/>
          <w:color w:val="000000" w:themeColor="text1"/>
          <w14:textFill>
            <w14:solidFill>
              <w14:schemeClr w14:val="tx1"/>
            </w14:solidFill>
          </w14:textFill>
        </w:rPr>
        <w:t>日</w:t>
      </w:r>
      <w:r>
        <w:rPr>
          <w:rFonts w:hint="eastAsia" w:ascii="仿宋_GB2312" w:hAnsi="仿宋_GB2312" w:eastAsia="仿宋_GB2312" w:cs="仿宋"/>
          <w:color w:val="000000" w:themeColor="text1"/>
          <w:lang w:val="en-US" w:eastAsia="zh-CN"/>
          <w14:textFill>
            <w14:solidFill>
              <w14:schemeClr w14:val="tx1"/>
            </w14:solidFill>
          </w14:textFill>
        </w:rPr>
        <w:t>9</w:t>
      </w:r>
      <w:r>
        <w:rPr>
          <w:rFonts w:hint="eastAsia" w:ascii="仿宋_GB2312" w:hAnsi="仿宋_GB2312" w:eastAsia="仿宋_GB2312" w:cs="仿宋"/>
          <w:color w:val="000000" w:themeColor="text1"/>
          <w14:textFill>
            <w14:solidFill>
              <w14:schemeClr w14:val="tx1"/>
            </w14:solidFill>
          </w14:textFill>
        </w:rPr>
        <w:t>时</w:t>
      </w:r>
      <w:r>
        <w:rPr>
          <w:rFonts w:hint="eastAsia" w:ascii="仿宋_GB2312" w:hAnsi="仿宋_GB2312" w:eastAsia="仿宋_GB2312" w:cs="仿宋"/>
          <w:color w:val="000000" w:themeColor="text1"/>
          <w:lang w:val="en-US" w:eastAsia="zh-CN"/>
          <w14:textFill>
            <w14:solidFill>
              <w14:schemeClr w14:val="tx1"/>
            </w14:solidFill>
          </w14:textFill>
        </w:rPr>
        <w:t>30</w:t>
      </w:r>
      <w:r>
        <w:rPr>
          <w:rFonts w:hint="eastAsia" w:ascii="仿宋_GB2312" w:hAnsi="仿宋_GB2312" w:eastAsia="仿宋_GB2312" w:cs="仿宋"/>
          <w:color w:val="000000" w:themeColor="text1"/>
          <w14:textFill>
            <w14:solidFill>
              <w14:schemeClr w14:val="tx1"/>
            </w14:solidFill>
          </w14:textFill>
        </w:rPr>
        <w:t>分（北京时间），在</w:t>
      </w:r>
      <w:r>
        <w:rPr>
          <w:rFonts w:hint="eastAsia" w:ascii="仿宋_GB2312" w:hAnsi="仿宋_GB2312" w:eastAsia="仿宋_GB2312" w:cs="仿宋"/>
          <w:color w:val="000000" w:themeColor="text1"/>
          <w:lang w:val="en-US" w:eastAsia="zh-CN"/>
          <w14:textFill>
            <w14:solidFill>
              <w14:schemeClr w14:val="tx1"/>
            </w14:solidFill>
          </w14:textFill>
        </w:rPr>
        <w:t>四川省巴中市</w:t>
      </w:r>
    </w:p>
    <w:p w14:paraId="1DB6A595">
      <w:pPr>
        <w:adjustRightInd w:val="0"/>
        <w:snapToGrid w:val="0"/>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巴中经开区石井街249号（巴中市革命老区旅游振兴暨创业孵化基地6楼）会议室</w:t>
      </w:r>
      <w:r>
        <w:rPr>
          <w:rFonts w:hint="eastAsia" w:ascii="仿宋_GB2312" w:hAnsi="仿宋_GB2312" w:eastAsia="仿宋_GB2312" w:cs="仿宋"/>
          <w:color w:val="000000" w:themeColor="text1"/>
          <w14:textFill>
            <w14:solidFill>
              <w14:schemeClr w14:val="tx1"/>
            </w14:solidFill>
          </w14:textFill>
        </w:rPr>
        <w:t>公开进行该项目的竞争性谈判</w:t>
      </w:r>
      <w:r>
        <w:rPr>
          <w:rFonts w:hint="eastAsia" w:ascii="仿宋_GB2312" w:hAnsi="仿宋_GB2312" w:eastAsia="仿宋_GB2312" w:cs="仿宋"/>
          <w:color w:val="000000" w:themeColor="text1"/>
          <w:lang w:eastAsia="zh-CN"/>
          <w14:textFill>
            <w14:solidFill>
              <w14:schemeClr w14:val="tx1"/>
            </w14:solidFill>
          </w14:textFill>
        </w:rPr>
        <w:t>，届时请参加谈判人员带上身份证原件、法定代表人/负责人身份证明书、法定代表人/负责人授权书、营业执照复印件以供查验。</w:t>
      </w:r>
    </w:p>
    <w:p w14:paraId="547C1E6D">
      <w:pPr>
        <w:adjustRightInd w:val="0"/>
        <w:snapToGrid w:val="0"/>
        <w:spacing w:line="360" w:lineRule="auto"/>
        <w:ind w:right="36" w:rightChars="15" w:firstLine="480" w:firstLineChars="200"/>
        <w:rPr>
          <w:rFonts w:hint="eastAsia" w:ascii="黑体" w:hAnsi="黑体" w:eastAsia="黑体" w:cs="黑体"/>
          <w:b w:val="0"/>
          <w:bCs/>
          <w:color w:val="auto"/>
          <w:lang w:val="en-US" w:eastAsia="zh-CN"/>
        </w:rPr>
      </w:pPr>
      <w:r>
        <w:rPr>
          <w:rFonts w:hint="eastAsia" w:ascii="黑体" w:hAnsi="黑体" w:eastAsia="黑体" w:cs="黑体"/>
          <w:b w:val="0"/>
          <w:bCs/>
          <w:color w:val="auto"/>
          <w:lang w:val="en-US" w:eastAsia="zh-CN"/>
        </w:rPr>
        <w:t>八、联系方式</w:t>
      </w:r>
    </w:p>
    <w:p w14:paraId="70A74FC0">
      <w:pPr>
        <w:pStyle w:val="19"/>
        <w:adjustRightInd w:val="0"/>
        <w:snapToGrid w:val="0"/>
        <w:rPr>
          <w:rFonts w:ascii="仿宋_GB2312" w:hAnsi="仿宋_GB2312" w:eastAsia="仿宋_GB2312"/>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采购人：</w:t>
      </w:r>
      <w:r>
        <w:rPr>
          <w:rFonts w:hint="eastAsia" w:ascii="仿宋_GB2312" w:hAnsi="仿宋_GB2312" w:eastAsia="仿宋_GB2312" w:cs="仿宋"/>
          <w:b w:val="0"/>
          <w:bCs w:val="0"/>
          <w:color w:val="auto"/>
          <w:kern w:val="0"/>
          <w:sz w:val="24"/>
          <w:szCs w:val="24"/>
          <w:lang w:val="en-US" w:eastAsia="zh-CN" w:bidi="ar-SA"/>
        </w:rPr>
        <w:t>巴中市产业发展集团有限公司</w:t>
      </w:r>
    </w:p>
    <w:p w14:paraId="4319065A">
      <w:pPr>
        <w:adjustRightInd w:val="0"/>
        <w:snapToGrid w:val="0"/>
        <w:spacing w:line="360" w:lineRule="auto"/>
        <w:ind w:firstLine="480" w:firstLineChars="200"/>
        <w:rPr>
          <w:rFonts w:hint="default" w:ascii="仿宋_GB2312" w:hAnsi="仿宋_GB2312" w:eastAsia="仿宋_GB2312" w:cs="仿宋"/>
          <w:color w:val="000000" w:themeColor="text1"/>
          <w:lang w:val="en-US"/>
          <w14:textFill>
            <w14:solidFill>
              <w14:schemeClr w14:val="tx1"/>
            </w14:solidFill>
          </w14:textFill>
        </w:rPr>
      </w:pPr>
      <w:r>
        <w:rPr>
          <w:rFonts w:hint="eastAsia" w:ascii="仿宋_GB2312" w:hAnsi="仿宋_GB2312" w:eastAsia="仿宋_GB2312" w:cs="仿宋"/>
          <w:b w:val="0"/>
          <w:bCs w:val="0"/>
          <w:color w:val="000000" w:themeColor="text1"/>
          <w14:textFill>
            <w14:solidFill>
              <w14:schemeClr w14:val="tx1"/>
            </w14:solidFill>
          </w14:textFill>
        </w:rPr>
        <w:t>通讯地址：</w:t>
      </w:r>
      <w:r>
        <w:rPr>
          <w:rFonts w:hint="eastAsia" w:ascii="仿宋_GB2312" w:hAnsi="仿宋_GB2312" w:eastAsia="仿宋_GB2312" w:cs="仿宋"/>
          <w:color w:val="000000" w:themeColor="text1"/>
          <w:lang w:val="en-US" w:eastAsia="zh-CN"/>
          <w14:textFill>
            <w14:solidFill>
              <w14:schemeClr w14:val="tx1"/>
            </w14:solidFill>
          </w14:textFill>
        </w:rPr>
        <w:t>四川省巴中市巴中经开区石井街249号产业集团5层</w:t>
      </w:r>
      <w:bookmarkStart w:id="77" w:name="_GoBack"/>
      <w:bookmarkEnd w:id="77"/>
    </w:p>
    <w:p w14:paraId="376E4318">
      <w:pPr>
        <w:adjustRightInd w:val="0"/>
        <w:snapToGrid w:val="0"/>
        <w:spacing w:line="360" w:lineRule="auto"/>
        <w:ind w:firstLine="480" w:firstLineChars="200"/>
        <w:rPr>
          <w:rFonts w:hint="default"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联系人：</w:t>
      </w:r>
      <w:r>
        <w:rPr>
          <w:rFonts w:hint="eastAsia" w:ascii="仿宋_GB2312" w:hAnsi="仿宋_GB2312" w:eastAsia="仿宋_GB2312" w:cs="仿宋"/>
          <w:color w:val="000000" w:themeColor="text1"/>
          <w:lang w:val="en-US" w:eastAsia="zh-CN"/>
          <w14:textFill>
            <w14:solidFill>
              <w14:schemeClr w14:val="tx1"/>
            </w14:solidFill>
          </w14:textFill>
        </w:rPr>
        <w:t>陈先生</w:t>
      </w:r>
    </w:p>
    <w:p w14:paraId="6C46A79C">
      <w:pPr>
        <w:adjustRightInd w:val="0"/>
        <w:snapToGrid w:val="0"/>
        <w:spacing w:line="360" w:lineRule="auto"/>
        <w:ind w:firstLine="480" w:firstLineChars="200"/>
        <w:rPr>
          <w:rFonts w:hint="default"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联系电话：</w:t>
      </w:r>
      <w:r>
        <w:rPr>
          <w:rFonts w:hint="eastAsia" w:ascii="仿宋_GB2312" w:hAnsi="仿宋_GB2312" w:eastAsia="仿宋_GB2312" w:cs="仿宋"/>
          <w:color w:val="000000" w:themeColor="text1"/>
          <w:lang w:val="en-US" w:eastAsia="zh-CN"/>
          <w14:textFill>
            <w14:solidFill>
              <w14:schemeClr w14:val="tx1"/>
            </w14:solidFill>
          </w14:textFill>
        </w:rPr>
        <w:t>13989145312</w:t>
      </w:r>
    </w:p>
    <w:p w14:paraId="4C824E4E">
      <w:pPr>
        <w:pStyle w:val="11"/>
        <w:rPr>
          <w:rFonts w:ascii="仿宋_GB2312" w:hAnsi="仿宋_GB2312" w:eastAsia="仿宋_GB2312"/>
          <w:color w:val="000000" w:themeColor="text1"/>
          <w14:textFill>
            <w14:solidFill>
              <w14:schemeClr w14:val="tx1"/>
            </w14:solidFill>
          </w14:textFill>
        </w:rPr>
      </w:pPr>
      <w:r>
        <w:rPr>
          <w:rFonts w:ascii="仿宋_GB2312" w:hAnsi="仿宋_GB2312" w:eastAsia="仿宋_GB2312"/>
          <w:b w:val="0"/>
          <w:bCs w:val="0"/>
          <w:color w:val="000000" w:themeColor="text1"/>
          <w:kern w:val="0"/>
          <w:sz w:val="24"/>
          <w:szCs w:val="24"/>
          <w14:textFill>
            <w14:solidFill>
              <w14:schemeClr w14:val="tx1"/>
            </w14:solidFill>
          </w14:textFill>
        </w:rPr>
        <w:br w:type="page"/>
      </w:r>
      <w:bookmarkStart w:id="13" w:name="_Toc69478554"/>
      <w:r>
        <w:rPr>
          <w:rFonts w:hint="eastAsia" w:ascii="仿宋_GB2312" w:hAnsi="仿宋_GB2312" w:eastAsia="仿宋_GB2312" w:cs="仿宋"/>
          <w:color w:val="000000" w:themeColor="text1"/>
          <w14:textFill>
            <w14:solidFill>
              <w14:schemeClr w14:val="tx1"/>
            </w14:solidFill>
          </w14:textFill>
        </w:rPr>
        <w:t>第二章 谈判须知</w:t>
      </w:r>
      <w:bookmarkEnd w:id="5"/>
      <w:bookmarkEnd w:id="6"/>
      <w:bookmarkEnd w:id="7"/>
      <w:bookmarkEnd w:id="8"/>
      <w:bookmarkEnd w:id="9"/>
      <w:bookmarkEnd w:id="10"/>
      <w:bookmarkEnd w:id="13"/>
    </w:p>
    <w:p w14:paraId="2B705C9E">
      <w:pPr>
        <w:pStyle w:val="4"/>
        <w:keepNext w:val="0"/>
        <w:keepLines w:val="0"/>
        <w:spacing w:line="240" w:lineRule="auto"/>
        <w:jc w:val="center"/>
        <w:rPr>
          <w:rFonts w:ascii="仿宋_GB2312" w:hAnsi="仿宋_GB2312" w:eastAsia="仿宋_GB2312" w:cs="Times New Roman"/>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一、供应商须知附表</w:t>
      </w:r>
    </w:p>
    <w:tbl>
      <w:tblPr>
        <w:tblStyle w:val="12"/>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14:paraId="1D8E806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tblHeader/>
          <w:jc w:val="center"/>
        </w:trPr>
        <w:tc>
          <w:tcPr>
            <w:tcW w:w="1013" w:type="dxa"/>
            <w:tcBorders>
              <w:top w:val="single" w:color="auto" w:sz="18" w:space="0"/>
            </w:tcBorders>
            <w:vAlign w:val="center"/>
          </w:tcPr>
          <w:p w14:paraId="2F79B030">
            <w:pPr>
              <w:pStyle w:val="20"/>
              <w:spacing w:line="360" w:lineRule="auto"/>
              <w:ind w:left="9"/>
              <w:jc w:val="center"/>
              <w:rPr>
                <w:rFonts w:ascii="仿宋_GB2312" w:hAnsi="仿宋_GB2312" w:eastAsia="仿宋_GB2312" w:cs="Times New Roman"/>
                <w:color w:val="000000" w:themeColor="text1"/>
                <w:sz w:val="21"/>
                <w:szCs w:val="21"/>
                <w:lang w:val="zh-CN"/>
                <w14:textFill>
                  <w14:solidFill>
                    <w14:schemeClr w14:val="tx1"/>
                  </w14:solidFill>
                </w14:textFill>
              </w:rPr>
            </w:pPr>
            <w:r>
              <w:rPr>
                <w:rFonts w:hint="eastAsia" w:ascii="仿宋_GB2312" w:hAnsi="仿宋_GB2312" w:eastAsia="仿宋_GB2312" w:cs="仿宋"/>
                <w:color w:val="000000" w:themeColor="text1"/>
                <w:sz w:val="21"/>
                <w:szCs w:val="21"/>
                <w:lang w:val="zh-CN"/>
                <w14:textFill>
                  <w14:solidFill>
                    <w14:schemeClr w14:val="tx1"/>
                  </w14:solidFill>
                </w14:textFill>
              </w:rPr>
              <w:t>序号</w:t>
            </w:r>
          </w:p>
        </w:tc>
        <w:tc>
          <w:tcPr>
            <w:tcW w:w="2409" w:type="dxa"/>
            <w:tcBorders>
              <w:top w:val="single" w:color="auto" w:sz="18" w:space="0"/>
            </w:tcBorders>
            <w:vAlign w:val="center"/>
          </w:tcPr>
          <w:p w14:paraId="41EBBFE9">
            <w:pPr>
              <w:pStyle w:val="20"/>
              <w:spacing w:line="360" w:lineRule="auto"/>
              <w:ind w:left="38"/>
              <w:jc w:val="center"/>
              <w:rPr>
                <w:rFonts w:ascii="仿宋_GB2312" w:hAnsi="仿宋_GB2312" w:eastAsia="仿宋_GB2312" w:cs="Times New Roman"/>
                <w:color w:val="000000" w:themeColor="text1"/>
                <w:sz w:val="21"/>
                <w:szCs w:val="21"/>
                <w:lang w:val="zh-CN"/>
                <w14:textFill>
                  <w14:solidFill>
                    <w14:schemeClr w14:val="tx1"/>
                  </w14:solidFill>
                </w14:textFill>
              </w:rPr>
            </w:pPr>
            <w:r>
              <w:rPr>
                <w:rFonts w:hint="eastAsia" w:ascii="仿宋_GB2312" w:hAnsi="仿宋_GB2312" w:eastAsia="仿宋_GB2312" w:cs="仿宋"/>
                <w:color w:val="000000" w:themeColor="text1"/>
                <w:sz w:val="21"/>
                <w:szCs w:val="21"/>
                <w:lang w:val="zh-CN"/>
                <w14:textFill>
                  <w14:solidFill>
                    <w14:schemeClr w14:val="tx1"/>
                  </w14:solidFill>
                </w14:textFill>
              </w:rPr>
              <w:t>应知事项</w:t>
            </w:r>
          </w:p>
        </w:tc>
        <w:tc>
          <w:tcPr>
            <w:tcW w:w="6084" w:type="dxa"/>
            <w:tcBorders>
              <w:top w:val="single" w:color="auto" w:sz="18" w:space="0"/>
            </w:tcBorders>
            <w:vAlign w:val="center"/>
          </w:tcPr>
          <w:p w14:paraId="690AF019">
            <w:pPr>
              <w:pStyle w:val="20"/>
              <w:spacing w:line="360" w:lineRule="auto"/>
              <w:jc w:val="center"/>
              <w:rPr>
                <w:rFonts w:ascii="仿宋_GB2312" w:hAnsi="仿宋_GB2312" w:eastAsia="仿宋_GB2312" w:cs="Times New Roman"/>
                <w:color w:val="000000" w:themeColor="text1"/>
                <w:sz w:val="21"/>
                <w:szCs w:val="21"/>
                <w:lang w:val="zh-CN"/>
                <w14:textFill>
                  <w14:solidFill>
                    <w14:schemeClr w14:val="tx1"/>
                  </w14:solidFill>
                </w14:textFill>
              </w:rPr>
            </w:pPr>
            <w:r>
              <w:rPr>
                <w:rFonts w:hint="eastAsia" w:ascii="仿宋_GB2312" w:hAnsi="仿宋_GB2312" w:eastAsia="仿宋_GB2312" w:cs="仿宋"/>
                <w:color w:val="000000" w:themeColor="text1"/>
                <w:sz w:val="21"/>
                <w:szCs w:val="21"/>
                <w:lang w:val="zh-CN"/>
                <w14:textFill>
                  <w14:solidFill>
                    <w14:schemeClr w14:val="tx1"/>
                  </w14:solidFill>
                </w14:textFill>
              </w:rPr>
              <w:t>说明和要求</w:t>
            </w:r>
          </w:p>
        </w:tc>
      </w:tr>
      <w:tr w14:paraId="7A4926C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34" w:hRule="atLeast"/>
          <w:jc w:val="center"/>
        </w:trPr>
        <w:tc>
          <w:tcPr>
            <w:tcW w:w="1013" w:type="dxa"/>
            <w:vAlign w:val="center"/>
          </w:tcPr>
          <w:p w14:paraId="7F899AFC">
            <w:pPr>
              <w:pStyle w:val="20"/>
              <w:spacing w:line="360" w:lineRule="auto"/>
              <w:ind w:right="230"/>
              <w:jc w:val="center"/>
              <w:rPr>
                <w:rFonts w:hint="eastAsia" w:ascii="仿宋_GB2312" w:hAnsi="仿宋_GB2312" w:eastAsia="仿宋_GB2312" w:cs="仿宋"/>
                <w:color w:val="000000" w:themeColor="text1"/>
                <w:sz w:val="21"/>
                <w:szCs w:val="21"/>
                <w:lang w:val="en-US" w:eastAsia="zh-CN"/>
                <w14:textFill>
                  <w14:solidFill>
                    <w14:schemeClr w14:val="tx1"/>
                  </w14:solidFill>
                </w14:textFill>
              </w:rPr>
            </w:pPr>
            <w:r>
              <w:rPr>
                <w:rFonts w:hint="eastAsia" w:ascii="仿宋_GB2312" w:hAnsi="仿宋_GB2312" w:eastAsia="仿宋_GB2312" w:cs="仿宋"/>
                <w:color w:val="000000" w:themeColor="text1"/>
                <w:sz w:val="21"/>
                <w:szCs w:val="21"/>
                <w:lang w:val="en-US" w:eastAsia="zh-CN"/>
                <w14:textFill>
                  <w14:solidFill>
                    <w14:schemeClr w14:val="tx1"/>
                  </w14:solidFill>
                </w14:textFill>
              </w:rPr>
              <w:t>1</w:t>
            </w:r>
          </w:p>
        </w:tc>
        <w:tc>
          <w:tcPr>
            <w:tcW w:w="2409" w:type="dxa"/>
            <w:vAlign w:val="center"/>
          </w:tcPr>
          <w:p w14:paraId="5A4ACC2A">
            <w:pPr>
              <w:pStyle w:val="20"/>
              <w:spacing w:line="360" w:lineRule="auto"/>
              <w:ind w:firstLine="840" w:firstLineChars="400"/>
              <w:jc w:val="both"/>
              <w:rPr>
                <w:rFonts w:hint="eastAsia" w:ascii="仿宋_GB2312" w:hAnsi="仿宋_GB2312" w:eastAsia="仿宋_GB2312" w:cs="仿宋"/>
                <w:color w:val="000000" w:themeColor="text1"/>
                <w:sz w:val="21"/>
                <w:szCs w:val="21"/>
                <w:lang w:val="en-US" w:eastAsia="zh-CN"/>
                <w14:textFill>
                  <w14:solidFill>
                    <w14:schemeClr w14:val="tx1"/>
                  </w14:solidFill>
                </w14:textFill>
              </w:rPr>
            </w:pPr>
            <w:r>
              <w:rPr>
                <w:rFonts w:hint="eastAsia" w:ascii="仿宋_GB2312" w:hAnsi="仿宋_GB2312" w:eastAsia="仿宋_GB2312" w:cs="仿宋"/>
                <w:color w:val="000000" w:themeColor="text1"/>
                <w:sz w:val="21"/>
                <w:szCs w:val="21"/>
                <w:lang w:val="en-US" w:eastAsia="zh-CN"/>
                <w14:textFill>
                  <w14:solidFill>
                    <w14:schemeClr w14:val="tx1"/>
                  </w14:solidFill>
                </w14:textFill>
              </w:rPr>
              <w:t>采购预算</w:t>
            </w:r>
          </w:p>
          <w:p w14:paraId="50C8572F">
            <w:pPr>
              <w:pStyle w:val="20"/>
              <w:spacing w:line="360" w:lineRule="auto"/>
              <w:ind w:firstLine="840" w:firstLineChars="400"/>
              <w:jc w:val="both"/>
              <w:rPr>
                <w:rFonts w:ascii="仿宋_GB2312" w:hAnsi="仿宋_GB2312" w:eastAsia="仿宋_GB2312" w:cs="Times New Roman"/>
                <w:color w:val="000000" w:themeColor="text1"/>
                <w:sz w:val="21"/>
                <w:szCs w:val="21"/>
                <w:lang w:val="zh-CN"/>
                <w14:textFill>
                  <w14:solidFill>
                    <w14:schemeClr w14:val="tx1"/>
                  </w14:solidFill>
                </w14:textFill>
              </w:rPr>
            </w:pPr>
            <w:r>
              <w:rPr>
                <w:rFonts w:hint="eastAsia" w:ascii="仿宋_GB2312" w:hAnsi="仿宋_GB2312" w:eastAsia="仿宋_GB2312" w:cs="仿宋"/>
                <w:color w:val="000000" w:themeColor="text1"/>
                <w:sz w:val="21"/>
                <w:szCs w:val="21"/>
                <w:lang w:val="zh-CN"/>
                <w14:textFill>
                  <w14:solidFill>
                    <w14:schemeClr w14:val="tx1"/>
                  </w14:solidFill>
                </w14:textFill>
              </w:rPr>
              <w:t>最高限价</w:t>
            </w:r>
          </w:p>
          <w:p w14:paraId="47563ED2">
            <w:pPr>
              <w:pStyle w:val="20"/>
              <w:spacing w:line="360" w:lineRule="auto"/>
              <w:ind w:left="38" w:leftChars="0"/>
              <w:jc w:val="center"/>
              <w:rPr>
                <w:rFonts w:ascii="仿宋_GB2312" w:hAnsi="仿宋_GB2312" w:eastAsia="仿宋_GB2312" w:cs="Times New Roman"/>
                <w:b/>
                <w:color w:val="000000" w:themeColor="text1"/>
                <w:sz w:val="21"/>
                <w:szCs w:val="21"/>
                <w:lang w:val="zh-CN"/>
                <w14:textFill>
                  <w14:solidFill>
                    <w14:schemeClr w14:val="tx1"/>
                  </w14:solidFill>
                </w14:textFill>
              </w:rPr>
            </w:pPr>
            <w:r>
              <w:rPr>
                <w:rFonts w:hint="eastAsia" w:ascii="仿宋_GB2312" w:hAnsi="仿宋_GB2312" w:eastAsia="仿宋_GB2312" w:cs="仿宋"/>
                <w:b/>
                <w:color w:val="000000" w:themeColor="text1"/>
                <w:sz w:val="21"/>
                <w:szCs w:val="21"/>
                <w:lang w:val="zh-CN"/>
                <w14:textFill>
                  <w14:solidFill>
                    <w14:schemeClr w14:val="tx1"/>
                  </w14:solidFill>
                </w14:textFill>
              </w:rPr>
              <w:t>（实质性要求）</w:t>
            </w:r>
          </w:p>
        </w:tc>
        <w:tc>
          <w:tcPr>
            <w:tcW w:w="6084" w:type="dxa"/>
            <w:vAlign w:val="center"/>
          </w:tcPr>
          <w:p w14:paraId="127E45B5">
            <w:pPr>
              <w:pStyle w:val="20"/>
              <w:spacing w:line="360" w:lineRule="auto"/>
              <w:ind w:firstLine="210" w:firstLineChars="100"/>
              <w:jc w:val="both"/>
              <w:rPr>
                <w:rFonts w:hint="eastAsia" w:ascii="仿宋_GB2312" w:hAnsi="仿宋_GB2312" w:eastAsia="仿宋_GB2312" w:cs="仿宋"/>
                <w:color w:val="auto"/>
                <w:sz w:val="21"/>
                <w:szCs w:val="21"/>
                <w:lang w:val="zh-CN" w:eastAsia="zh-CN"/>
              </w:rPr>
            </w:pPr>
            <w:r>
              <w:rPr>
                <w:rFonts w:hint="eastAsia" w:ascii="仿宋_GB2312" w:hAnsi="仿宋_GB2312" w:eastAsia="仿宋_GB2312" w:cs="仿宋"/>
                <w:color w:val="auto"/>
                <w:sz w:val="21"/>
                <w:szCs w:val="21"/>
                <w:lang w:val="zh-CN" w:eastAsia="zh-CN"/>
              </w:rPr>
              <w:t>采购预算：</w:t>
            </w:r>
            <w:r>
              <w:rPr>
                <w:rFonts w:hint="eastAsia" w:ascii="仿宋_GB2312" w:hAnsi="仿宋_GB2312" w:eastAsia="仿宋_GB2312" w:cs="仿宋"/>
                <w:color w:val="auto"/>
                <w:sz w:val="21"/>
                <w:szCs w:val="21"/>
                <w:lang w:val="en-US" w:eastAsia="zh-CN"/>
              </w:rPr>
              <w:t>924277.50元</w:t>
            </w:r>
            <w:r>
              <w:rPr>
                <w:rFonts w:hint="eastAsia" w:ascii="仿宋_GB2312" w:hAnsi="仿宋_GB2312" w:eastAsia="仿宋_GB2312" w:cs="仿宋"/>
                <w:color w:val="auto"/>
                <w:sz w:val="21"/>
                <w:szCs w:val="21"/>
                <w:lang w:val="zh-CN" w:eastAsia="zh-CN"/>
              </w:rPr>
              <w:t>；超过采购预算的报价为无效响应文件。</w:t>
            </w:r>
          </w:p>
          <w:p w14:paraId="1295CC3C">
            <w:pPr>
              <w:pStyle w:val="20"/>
              <w:spacing w:line="360" w:lineRule="auto"/>
              <w:ind w:firstLine="210" w:firstLineChars="100"/>
              <w:jc w:val="both"/>
              <w:rPr>
                <w:rFonts w:ascii="仿宋_GB2312" w:hAnsi="仿宋_GB2312" w:eastAsia="仿宋_GB2312" w:cs="Times New Roman"/>
                <w:color w:val="000000" w:themeColor="text1"/>
                <w:sz w:val="21"/>
                <w:szCs w:val="21"/>
                <w:lang w:val="zh-CN"/>
                <w14:textFill>
                  <w14:solidFill>
                    <w14:schemeClr w14:val="tx1"/>
                  </w14:solidFill>
                </w14:textFill>
              </w:rPr>
            </w:pPr>
            <w:r>
              <w:rPr>
                <w:rFonts w:hint="eastAsia" w:ascii="仿宋_GB2312" w:hAnsi="仿宋_GB2312" w:eastAsia="仿宋_GB2312" w:cs="仿宋"/>
                <w:color w:val="auto"/>
                <w:sz w:val="21"/>
                <w:szCs w:val="21"/>
                <w:lang w:val="zh-CN" w:eastAsia="zh-CN"/>
              </w:rPr>
              <w:t>最高限价：</w:t>
            </w:r>
            <w:r>
              <w:rPr>
                <w:rFonts w:hint="eastAsia" w:ascii="仿宋_GB2312" w:hAnsi="仿宋_GB2312" w:eastAsia="仿宋_GB2312" w:cs="仿宋"/>
                <w:color w:val="auto"/>
                <w:sz w:val="21"/>
                <w:szCs w:val="21"/>
                <w:lang w:val="en-US" w:eastAsia="zh-CN"/>
              </w:rPr>
              <w:t>924277.50元</w:t>
            </w:r>
            <w:r>
              <w:rPr>
                <w:rFonts w:hint="eastAsia" w:ascii="仿宋_GB2312" w:hAnsi="仿宋_GB2312" w:eastAsia="仿宋_GB2312" w:cs="仿宋"/>
                <w:color w:val="auto"/>
                <w:sz w:val="21"/>
                <w:szCs w:val="21"/>
                <w:lang w:val="zh-CN" w:eastAsia="zh-CN"/>
              </w:rPr>
              <w:t>；超过最高限价的报价为无效响应文件。</w:t>
            </w:r>
          </w:p>
        </w:tc>
      </w:tr>
      <w:tr w14:paraId="3286C0C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60A9611A">
            <w:pPr>
              <w:pStyle w:val="20"/>
              <w:spacing w:line="360" w:lineRule="auto"/>
              <w:ind w:right="230"/>
              <w:jc w:val="center"/>
              <w:rPr>
                <w:rFonts w:hint="eastAsia" w:ascii="仿宋_GB2312" w:hAnsi="仿宋_GB2312" w:eastAsia="仿宋_GB2312" w:cs="仿宋"/>
                <w:color w:val="auto"/>
                <w:sz w:val="21"/>
                <w:szCs w:val="21"/>
                <w:lang w:eastAsia="zh-CN"/>
              </w:rPr>
            </w:pPr>
            <w:r>
              <w:rPr>
                <w:rFonts w:hint="eastAsia" w:ascii="仿宋_GB2312" w:hAnsi="仿宋_GB2312" w:eastAsia="仿宋_GB2312" w:cs="仿宋"/>
                <w:color w:val="auto"/>
                <w:sz w:val="21"/>
                <w:szCs w:val="21"/>
                <w:lang w:val="en-US" w:eastAsia="zh-CN"/>
              </w:rPr>
              <w:t>2</w:t>
            </w:r>
          </w:p>
        </w:tc>
        <w:tc>
          <w:tcPr>
            <w:tcW w:w="2409" w:type="dxa"/>
            <w:vAlign w:val="center"/>
          </w:tcPr>
          <w:p w14:paraId="58CFE023">
            <w:pPr>
              <w:pStyle w:val="20"/>
              <w:spacing w:line="360" w:lineRule="auto"/>
              <w:ind w:left="38"/>
              <w:jc w:val="center"/>
              <w:rPr>
                <w:rFonts w:ascii="仿宋_GB2312" w:hAnsi="仿宋_GB2312" w:eastAsia="仿宋_GB2312" w:cs="Times New Roman"/>
                <w:color w:val="auto"/>
                <w:sz w:val="21"/>
                <w:szCs w:val="21"/>
              </w:rPr>
            </w:pPr>
            <w:r>
              <w:rPr>
                <w:rFonts w:hint="eastAsia" w:ascii="仿宋_GB2312" w:hAnsi="仿宋_GB2312" w:eastAsia="仿宋_GB2312" w:cs="仿宋"/>
                <w:color w:val="auto"/>
                <w:sz w:val="21"/>
                <w:szCs w:val="21"/>
              </w:rPr>
              <w:t>不正当竞争预防措施</w:t>
            </w:r>
          </w:p>
          <w:p w14:paraId="6941458C">
            <w:pPr>
              <w:pStyle w:val="20"/>
              <w:spacing w:line="360" w:lineRule="auto"/>
              <w:ind w:left="38"/>
              <w:jc w:val="center"/>
              <w:rPr>
                <w:rFonts w:ascii="仿宋_GB2312" w:hAnsi="仿宋_GB2312" w:eastAsia="仿宋_GB2312" w:cs="Times New Roman"/>
                <w:b/>
                <w:color w:val="auto"/>
                <w:sz w:val="21"/>
                <w:szCs w:val="21"/>
              </w:rPr>
            </w:pPr>
            <w:r>
              <w:rPr>
                <w:rFonts w:hint="eastAsia" w:ascii="仿宋_GB2312" w:hAnsi="仿宋_GB2312" w:eastAsia="仿宋_GB2312" w:cs="仿宋"/>
                <w:b/>
                <w:color w:val="auto"/>
                <w:sz w:val="21"/>
                <w:szCs w:val="21"/>
              </w:rPr>
              <w:t>（实质性要求）</w:t>
            </w:r>
          </w:p>
        </w:tc>
        <w:tc>
          <w:tcPr>
            <w:tcW w:w="6084" w:type="dxa"/>
            <w:vAlign w:val="center"/>
          </w:tcPr>
          <w:p w14:paraId="32BAAA7F">
            <w:pPr>
              <w:pStyle w:val="20"/>
              <w:spacing w:line="360" w:lineRule="auto"/>
              <w:ind w:firstLine="210" w:firstLineChars="100"/>
              <w:jc w:val="both"/>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en-US" w:eastAsia="zh-CN"/>
              </w:rPr>
              <w:t>1</w:t>
            </w:r>
            <w:r>
              <w:rPr>
                <w:rFonts w:hint="eastAsia" w:ascii="仿宋_GB2312" w:hAnsi="仿宋_GB2312" w:eastAsia="仿宋_GB2312" w:cs="仿宋"/>
                <w:color w:val="auto"/>
                <w:sz w:val="21"/>
                <w:szCs w:val="21"/>
                <w:lang w:val="zh-CN"/>
              </w:rPr>
              <w:t>.供应商书面说明应当签字确认或者加盖公章，否则无效。书面说明的签字确认，由其法定代表人</w:t>
            </w:r>
            <w:r>
              <w:rPr>
                <w:rFonts w:hint="eastAsia" w:ascii="仿宋_GB2312" w:hAnsi="仿宋_GB2312" w:eastAsia="仿宋_GB2312" w:cs="仿宋"/>
                <w:color w:val="auto"/>
                <w:sz w:val="21"/>
                <w:szCs w:val="21"/>
                <w:lang w:val="en-US" w:eastAsia="zh-CN"/>
              </w:rPr>
              <w:t>/</w:t>
            </w:r>
            <w:r>
              <w:rPr>
                <w:rFonts w:hint="eastAsia" w:ascii="仿宋_GB2312" w:hAnsi="仿宋_GB2312" w:eastAsia="仿宋_GB2312" w:cs="仿宋"/>
                <w:color w:val="auto"/>
                <w:sz w:val="21"/>
                <w:szCs w:val="21"/>
                <w:lang w:val="zh-CN"/>
              </w:rPr>
              <w:t xml:space="preserve">主要负责人/本人或者其授权代表签字确认。 </w:t>
            </w:r>
          </w:p>
          <w:p w14:paraId="24E26FAC">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en-US" w:eastAsia="zh-CN"/>
              </w:rPr>
              <w:t>2</w:t>
            </w:r>
            <w:r>
              <w:rPr>
                <w:rFonts w:hint="eastAsia" w:ascii="仿宋_GB2312" w:hAnsi="仿宋_GB2312" w:eastAsia="仿宋_GB2312" w:cs="仿宋"/>
                <w:color w:val="auto"/>
                <w:sz w:val="21"/>
                <w:szCs w:val="21"/>
                <w:lang w:val="zh-CN"/>
              </w:rPr>
              <w:t>.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14:paraId="5958973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6869441B">
            <w:pPr>
              <w:pStyle w:val="20"/>
              <w:spacing w:line="360" w:lineRule="auto"/>
              <w:ind w:right="230"/>
              <w:jc w:val="center"/>
              <w:rPr>
                <w:rFonts w:hint="eastAsia" w:ascii="仿宋_GB2312" w:hAnsi="仿宋_GB2312" w:eastAsia="仿宋_GB2312" w:cs="Times New Roman"/>
                <w:color w:val="auto"/>
                <w:sz w:val="21"/>
                <w:szCs w:val="21"/>
                <w:lang w:eastAsia="zh-CN"/>
              </w:rPr>
            </w:pPr>
            <w:r>
              <w:rPr>
                <w:rFonts w:hint="eastAsia" w:ascii="仿宋_GB2312" w:hAnsi="仿宋_GB2312" w:eastAsia="仿宋_GB2312" w:cs="Times New Roman"/>
                <w:color w:val="auto"/>
                <w:sz w:val="21"/>
                <w:szCs w:val="21"/>
                <w:lang w:val="en-US" w:eastAsia="zh-CN"/>
              </w:rPr>
              <w:t>3</w:t>
            </w:r>
          </w:p>
        </w:tc>
        <w:tc>
          <w:tcPr>
            <w:tcW w:w="2409" w:type="dxa"/>
            <w:vAlign w:val="center"/>
          </w:tcPr>
          <w:p w14:paraId="515807C9">
            <w:pPr>
              <w:pStyle w:val="20"/>
              <w:spacing w:line="360" w:lineRule="auto"/>
              <w:ind w:left="38"/>
              <w:jc w:val="center"/>
              <w:rPr>
                <w:rFonts w:ascii="仿宋_GB2312" w:hAnsi="仿宋_GB2312" w:eastAsia="仿宋_GB2312" w:cs="Times New Roman"/>
                <w:color w:val="auto"/>
                <w:sz w:val="21"/>
                <w:szCs w:val="21"/>
                <w:lang w:val="zh-CN"/>
              </w:rPr>
            </w:pPr>
            <w:r>
              <w:rPr>
                <w:rFonts w:hint="eastAsia" w:ascii="仿宋_GB2312" w:hAnsi="仿宋_GB2312" w:eastAsia="仿宋_GB2312" w:cs="仿宋"/>
                <w:color w:val="auto"/>
                <w:sz w:val="21"/>
                <w:szCs w:val="21"/>
                <w:lang w:val="zh-CN"/>
              </w:rPr>
              <w:t>履约保证金</w:t>
            </w:r>
          </w:p>
        </w:tc>
        <w:tc>
          <w:tcPr>
            <w:tcW w:w="6084" w:type="dxa"/>
            <w:vAlign w:val="center"/>
          </w:tcPr>
          <w:p w14:paraId="6C07503B">
            <w:pPr>
              <w:spacing w:line="360" w:lineRule="auto"/>
              <w:ind w:firstLine="210" w:firstLineChars="100"/>
              <w:rPr>
                <w:rFonts w:ascii="仿宋_GB2312" w:hAnsi="仿宋_GB2312" w:eastAsia="仿宋_GB2312" w:cs="仿宋"/>
                <w:color w:val="auto"/>
                <w:sz w:val="21"/>
                <w:szCs w:val="21"/>
              </w:rPr>
            </w:pPr>
            <w:r>
              <w:rPr>
                <w:rFonts w:hint="eastAsia" w:ascii="仿宋_GB2312" w:hAnsi="仿宋_GB2312" w:eastAsia="仿宋_GB2312" w:cs="仿宋"/>
                <w:color w:val="auto"/>
                <w:sz w:val="21"/>
                <w:szCs w:val="21"/>
                <w:lang w:eastAsia="zh-CN"/>
              </w:rPr>
              <w:t>☑</w:t>
            </w:r>
            <w:r>
              <w:rPr>
                <w:rFonts w:hint="eastAsia" w:ascii="仿宋_GB2312" w:hAnsi="仿宋_GB2312" w:eastAsia="仿宋_GB2312" w:cs="仿宋"/>
                <w:color w:val="auto"/>
                <w:sz w:val="21"/>
                <w:szCs w:val="21"/>
              </w:rPr>
              <w:t>本项目不收取履约保证金。</w:t>
            </w:r>
          </w:p>
        </w:tc>
      </w:tr>
      <w:tr w14:paraId="60241C0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53B8E822">
            <w:pPr>
              <w:pStyle w:val="20"/>
              <w:spacing w:line="360" w:lineRule="auto"/>
              <w:ind w:right="230"/>
              <w:jc w:val="center"/>
              <w:rPr>
                <w:rFonts w:hint="eastAsia" w:ascii="仿宋_GB2312" w:hAnsi="仿宋_GB2312" w:eastAsia="仿宋_GB2312" w:cs="Times New Roman"/>
                <w:color w:val="auto"/>
                <w:sz w:val="21"/>
                <w:szCs w:val="21"/>
                <w:lang w:eastAsia="zh-CN"/>
              </w:rPr>
            </w:pPr>
            <w:r>
              <w:rPr>
                <w:rFonts w:hint="eastAsia" w:ascii="仿宋_GB2312" w:hAnsi="仿宋_GB2312" w:eastAsia="仿宋_GB2312" w:cs="Times New Roman"/>
                <w:color w:val="auto"/>
                <w:sz w:val="21"/>
                <w:szCs w:val="21"/>
                <w:lang w:val="en-US" w:eastAsia="zh-CN"/>
              </w:rPr>
              <w:t>4</w:t>
            </w:r>
          </w:p>
        </w:tc>
        <w:tc>
          <w:tcPr>
            <w:tcW w:w="2409" w:type="dxa"/>
            <w:vAlign w:val="center"/>
          </w:tcPr>
          <w:p w14:paraId="240DBF2F">
            <w:pPr>
              <w:pStyle w:val="20"/>
              <w:spacing w:line="360" w:lineRule="auto"/>
              <w:ind w:left="38"/>
              <w:jc w:val="center"/>
              <w:rPr>
                <w:rFonts w:ascii="仿宋_GB2312" w:hAnsi="仿宋_GB2312" w:eastAsia="仿宋_GB2312" w:cs="Times New Roman"/>
                <w:color w:val="auto"/>
                <w:sz w:val="21"/>
                <w:szCs w:val="21"/>
                <w:lang w:val="zh-CN"/>
              </w:rPr>
            </w:pPr>
            <w:r>
              <w:rPr>
                <w:rFonts w:hint="eastAsia" w:ascii="仿宋_GB2312" w:hAnsi="仿宋_GB2312" w:eastAsia="仿宋_GB2312" w:cs="仿宋"/>
                <w:color w:val="auto"/>
                <w:sz w:val="21"/>
                <w:szCs w:val="21"/>
                <w:lang w:val="zh-CN"/>
              </w:rPr>
              <w:t>成交通知书发送</w:t>
            </w:r>
          </w:p>
        </w:tc>
        <w:tc>
          <w:tcPr>
            <w:tcW w:w="6084" w:type="dxa"/>
            <w:vAlign w:val="center"/>
          </w:tcPr>
          <w:p w14:paraId="433186BC">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成交通知书将通过</w:t>
            </w:r>
            <w:r>
              <w:rPr>
                <w:rFonts w:hint="eastAsia" w:ascii="仿宋_GB2312" w:hAnsi="仿宋_GB2312" w:eastAsia="仿宋_GB2312" w:cs="仿宋"/>
                <w:color w:val="auto"/>
                <w:sz w:val="21"/>
                <w:szCs w:val="21"/>
                <w:lang w:val="en-US" w:eastAsia="zh-CN"/>
              </w:rPr>
              <w:t>快递或邮件</w:t>
            </w:r>
            <w:r>
              <w:rPr>
                <w:rFonts w:hint="eastAsia" w:ascii="仿宋_GB2312" w:hAnsi="仿宋_GB2312" w:eastAsia="仿宋_GB2312" w:cs="仿宋"/>
                <w:color w:val="auto"/>
                <w:sz w:val="21"/>
                <w:szCs w:val="21"/>
                <w:lang w:val="zh-CN"/>
              </w:rPr>
              <w:t>直接推送至成交供应商。</w:t>
            </w:r>
          </w:p>
        </w:tc>
      </w:tr>
      <w:tr w14:paraId="3C051D4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70" w:hRule="atLeast"/>
          <w:jc w:val="center"/>
        </w:trPr>
        <w:tc>
          <w:tcPr>
            <w:tcW w:w="1013" w:type="dxa"/>
            <w:vAlign w:val="center"/>
          </w:tcPr>
          <w:p w14:paraId="58309E99">
            <w:pPr>
              <w:pStyle w:val="20"/>
              <w:spacing w:line="360" w:lineRule="auto"/>
              <w:ind w:right="230"/>
              <w:rPr>
                <w:rFonts w:ascii="仿宋_GB2312" w:hAnsi="仿宋_GB2312" w:eastAsia="仿宋_GB2312" w:cs="Times New Roman"/>
                <w:color w:val="auto"/>
                <w:sz w:val="21"/>
                <w:szCs w:val="21"/>
              </w:rPr>
            </w:pPr>
          </w:p>
          <w:p w14:paraId="37404A1C">
            <w:pPr>
              <w:pStyle w:val="20"/>
              <w:spacing w:line="360" w:lineRule="auto"/>
              <w:ind w:right="230"/>
              <w:jc w:val="center"/>
              <w:rPr>
                <w:rFonts w:hint="eastAsia" w:ascii="仿宋_GB2312" w:hAnsi="仿宋_GB2312" w:eastAsia="仿宋_GB2312" w:cs="Times New Roman"/>
                <w:color w:val="auto"/>
                <w:sz w:val="21"/>
                <w:szCs w:val="21"/>
                <w:lang w:eastAsia="zh-CN"/>
              </w:rPr>
            </w:pPr>
            <w:r>
              <w:rPr>
                <w:rFonts w:hint="eastAsia" w:ascii="仿宋_GB2312" w:hAnsi="仿宋_GB2312" w:eastAsia="仿宋_GB2312" w:cs="Times New Roman"/>
                <w:color w:val="auto"/>
                <w:sz w:val="21"/>
                <w:szCs w:val="21"/>
                <w:lang w:val="en-US" w:eastAsia="zh-CN"/>
              </w:rPr>
              <w:t>5</w:t>
            </w:r>
          </w:p>
          <w:p w14:paraId="65A0839D">
            <w:pPr>
              <w:pStyle w:val="20"/>
              <w:spacing w:line="360" w:lineRule="auto"/>
              <w:ind w:right="230"/>
              <w:jc w:val="center"/>
              <w:rPr>
                <w:rFonts w:ascii="仿宋_GB2312" w:hAnsi="仿宋_GB2312" w:eastAsia="仿宋_GB2312" w:cs="Times New Roman"/>
                <w:color w:val="auto"/>
                <w:sz w:val="21"/>
                <w:szCs w:val="21"/>
              </w:rPr>
            </w:pPr>
          </w:p>
        </w:tc>
        <w:tc>
          <w:tcPr>
            <w:tcW w:w="2409" w:type="dxa"/>
            <w:vAlign w:val="center"/>
          </w:tcPr>
          <w:p w14:paraId="2FF7C3DE">
            <w:pPr>
              <w:pStyle w:val="20"/>
              <w:spacing w:line="360" w:lineRule="auto"/>
              <w:ind w:left="38"/>
              <w:jc w:val="center"/>
              <w:rPr>
                <w:rFonts w:ascii="仿宋_GB2312" w:hAnsi="仿宋_GB2312" w:eastAsia="仿宋_GB2312" w:cs="Times New Roman"/>
                <w:color w:val="auto"/>
                <w:sz w:val="21"/>
                <w:szCs w:val="21"/>
                <w:lang w:val="zh-CN"/>
              </w:rPr>
            </w:pPr>
            <w:r>
              <w:rPr>
                <w:rFonts w:hint="eastAsia" w:ascii="仿宋_GB2312" w:hAnsi="仿宋_GB2312" w:eastAsia="仿宋_GB2312" w:cs="仿宋"/>
                <w:color w:val="auto"/>
                <w:sz w:val="21"/>
                <w:szCs w:val="21"/>
                <w:lang w:val="zh-CN"/>
              </w:rPr>
              <w:t>供应商询问</w:t>
            </w:r>
            <w:r>
              <w:rPr>
                <w:rFonts w:hint="eastAsia" w:ascii="仿宋_GB2312" w:hAnsi="仿宋_GB2312" w:eastAsia="仿宋_GB2312" w:cs="Times New Roman"/>
                <w:color w:val="auto"/>
                <w:sz w:val="21"/>
                <w:szCs w:val="21"/>
                <w:lang w:val="zh-CN"/>
              </w:rPr>
              <w:t>/</w:t>
            </w:r>
            <w:r>
              <w:rPr>
                <w:rFonts w:hint="eastAsia" w:ascii="仿宋_GB2312" w:hAnsi="仿宋_GB2312" w:eastAsia="仿宋_GB2312" w:cs="仿宋"/>
                <w:color w:val="auto"/>
                <w:sz w:val="21"/>
                <w:szCs w:val="21"/>
                <w:lang w:val="zh-CN"/>
              </w:rPr>
              <w:t>质疑</w:t>
            </w:r>
          </w:p>
        </w:tc>
        <w:tc>
          <w:tcPr>
            <w:tcW w:w="6084" w:type="dxa"/>
          </w:tcPr>
          <w:p w14:paraId="5E24E663">
            <w:pPr>
              <w:pStyle w:val="20"/>
              <w:spacing w:line="360" w:lineRule="auto"/>
              <w:ind w:firstLine="210" w:firstLineChars="100"/>
              <w:jc w:val="both"/>
              <w:rPr>
                <w:rFonts w:ascii="仿宋_GB2312" w:hAnsi="仿宋_GB2312" w:eastAsia="仿宋_GB2312" w:cs="仿宋"/>
                <w:color w:val="auto"/>
                <w:sz w:val="21"/>
                <w:szCs w:val="21"/>
                <w:lang w:val="zh-CN"/>
              </w:rPr>
            </w:pPr>
            <w:r>
              <w:rPr>
                <w:rFonts w:ascii="仿宋_GB2312" w:hAnsi="仿宋_GB2312" w:eastAsia="仿宋_GB2312" w:cs="仿宋"/>
                <w:color w:val="auto"/>
                <w:sz w:val="21"/>
                <w:szCs w:val="21"/>
                <w:lang w:val="zh-CN"/>
              </w:rPr>
              <w:t>供应商对</w:t>
            </w:r>
            <w:r>
              <w:rPr>
                <w:rFonts w:hint="eastAsia" w:ascii="仿宋_GB2312" w:hAnsi="仿宋_GB2312" w:eastAsia="仿宋_GB2312" w:cs="仿宋"/>
                <w:color w:val="auto"/>
                <w:sz w:val="21"/>
                <w:szCs w:val="21"/>
                <w:lang w:val="zh-CN"/>
              </w:rPr>
              <w:t>谈判</w:t>
            </w:r>
            <w:r>
              <w:rPr>
                <w:rFonts w:ascii="仿宋_GB2312" w:hAnsi="仿宋_GB2312" w:eastAsia="仿宋_GB2312" w:cs="仿宋"/>
                <w:color w:val="auto"/>
                <w:sz w:val="21"/>
                <w:szCs w:val="21"/>
                <w:lang w:val="zh-CN"/>
              </w:rPr>
              <w:t>文件的询问、质疑，</w:t>
            </w:r>
            <w:r>
              <w:rPr>
                <w:rFonts w:hint="eastAsia" w:ascii="仿宋_GB2312" w:hAnsi="仿宋_GB2312" w:eastAsia="仿宋_GB2312" w:cs="仿宋"/>
                <w:color w:val="auto"/>
                <w:sz w:val="21"/>
                <w:szCs w:val="21"/>
                <w:lang w:val="zh-CN"/>
              </w:rPr>
              <w:t>对采购过程、采购结果的询问、质疑</w:t>
            </w:r>
            <w:r>
              <w:rPr>
                <w:rFonts w:ascii="仿宋_GB2312" w:hAnsi="仿宋_GB2312" w:eastAsia="仿宋_GB2312" w:cs="仿宋"/>
                <w:color w:val="auto"/>
                <w:sz w:val="21"/>
                <w:szCs w:val="21"/>
                <w:lang w:val="zh-CN"/>
              </w:rPr>
              <w:t>由</w:t>
            </w:r>
            <w:r>
              <w:rPr>
                <w:rFonts w:hint="eastAsia" w:ascii="仿宋_GB2312" w:hAnsi="仿宋_GB2312" w:eastAsia="仿宋_GB2312" w:cs="仿宋"/>
                <w:color w:val="auto"/>
                <w:sz w:val="21"/>
                <w:szCs w:val="21"/>
                <w:lang w:val="en-US" w:eastAsia="zh-CN"/>
              </w:rPr>
              <w:t>统一由谈判小组</w:t>
            </w:r>
            <w:r>
              <w:rPr>
                <w:rFonts w:ascii="仿宋_GB2312" w:hAnsi="仿宋_GB2312" w:eastAsia="仿宋_GB2312" w:cs="仿宋"/>
                <w:color w:val="auto"/>
                <w:sz w:val="21"/>
                <w:szCs w:val="21"/>
                <w:lang w:val="zh-CN"/>
              </w:rPr>
              <w:t>负责答复</w:t>
            </w:r>
            <w:r>
              <w:rPr>
                <w:rFonts w:hint="eastAsia" w:ascii="仿宋_GB2312" w:hAnsi="仿宋_GB2312" w:eastAsia="仿宋_GB2312" w:cs="仿宋"/>
                <w:color w:val="auto"/>
                <w:sz w:val="21"/>
                <w:szCs w:val="21"/>
                <w:lang w:val="zh-CN"/>
              </w:rPr>
              <w:t>。</w:t>
            </w:r>
          </w:p>
          <w:p w14:paraId="12AFE595">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询问方式：书面询问或口头询问</w:t>
            </w:r>
          </w:p>
          <w:p w14:paraId="7C929FC9">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质疑方式：书面质疑</w:t>
            </w:r>
          </w:p>
          <w:p w14:paraId="77282E2E">
            <w:pPr>
              <w:pStyle w:val="20"/>
              <w:spacing w:line="360" w:lineRule="auto"/>
              <w:ind w:firstLine="210" w:firstLineChars="100"/>
              <w:jc w:val="both"/>
              <w:rPr>
                <w:rFonts w:ascii="仿宋_GB2312" w:hAnsi="仿宋_GB2312" w:eastAsia="仿宋_GB2312" w:cs="仿宋"/>
                <w:color w:val="auto"/>
                <w:sz w:val="21"/>
                <w:szCs w:val="21"/>
                <w:lang w:val="zh-CN"/>
              </w:rPr>
            </w:pPr>
            <w:r>
              <w:rPr>
                <w:rFonts w:ascii="仿宋_GB2312" w:hAnsi="仿宋_GB2312" w:eastAsia="仿宋_GB2312" w:cs="仿宋"/>
                <w:color w:val="auto"/>
                <w:sz w:val="21"/>
                <w:szCs w:val="21"/>
                <w:lang w:val="zh-CN"/>
              </w:rPr>
              <w:t>对</w:t>
            </w:r>
            <w:r>
              <w:rPr>
                <w:rFonts w:hint="eastAsia" w:ascii="仿宋_GB2312" w:hAnsi="仿宋_GB2312" w:eastAsia="仿宋_GB2312" w:cs="仿宋"/>
                <w:color w:val="auto"/>
                <w:sz w:val="21"/>
                <w:szCs w:val="21"/>
                <w:lang w:val="zh-CN"/>
              </w:rPr>
              <w:t>谈判</w:t>
            </w:r>
            <w:r>
              <w:rPr>
                <w:rFonts w:ascii="仿宋_GB2312" w:hAnsi="仿宋_GB2312" w:eastAsia="仿宋_GB2312" w:cs="仿宋"/>
                <w:color w:val="auto"/>
                <w:sz w:val="21"/>
                <w:szCs w:val="21"/>
                <w:lang w:val="zh-CN"/>
              </w:rPr>
              <w:t>文件的询问、质疑</w:t>
            </w:r>
            <w:r>
              <w:rPr>
                <w:rFonts w:hint="eastAsia" w:ascii="仿宋_GB2312" w:hAnsi="仿宋_GB2312" w:eastAsia="仿宋_GB2312" w:cs="仿宋"/>
                <w:color w:val="auto"/>
                <w:sz w:val="21"/>
                <w:szCs w:val="21"/>
                <w:lang w:val="zh-CN"/>
              </w:rPr>
              <w:t>接收；对采购过程、采购结果的询问、质疑接收、处理联系方式如下：</w:t>
            </w:r>
          </w:p>
          <w:p w14:paraId="38422E82">
            <w:pPr>
              <w:pStyle w:val="20"/>
              <w:spacing w:line="360" w:lineRule="auto"/>
              <w:ind w:firstLine="210" w:firstLineChars="100"/>
              <w:jc w:val="both"/>
              <w:rPr>
                <w:rFonts w:hint="eastAsia" w:ascii="仿宋_GB2312" w:hAnsi="仿宋_GB2312" w:eastAsia="仿宋_GB2312" w:cs="仿宋"/>
                <w:color w:val="auto"/>
                <w:sz w:val="21"/>
                <w:szCs w:val="21"/>
                <w:lang w:val="zh-CN" w:eastAsia="zh-CN"/>
              </w:rPr>
            </w:pPr>
            <w:r>
              <w:rPr>
                <w:rFonts w:hint="eastAsia" w:ascii="仿宋_GB2312" w:hAnsi="仿宋_GB2312" w:eastAsia="仿宋_GB2312" w:cs="仿宋"/>
                <w:color w:val="auto"/>
                <w:sz w:val="21"/>
                <w:szCs w:val="21"/>
                <w:lang w:val="zh-CN"/>
              </w:rPr>
              <w:t>联系人：</w:t>
            </w:r>
            <w:r>
              <w:rPr>
                <w:rFonts w:hint="eastAsia" w:ascii="仿宋_GB2312" w:hAnsi="仿宋_GB2312" w:eastAsia="仿宋_GB2312" w:cs="仿宋"/>
                <w:color w:val="auto"/>
                <w:sz w:val="21"/>
                <w:szCs w:val="21"/>
                <w:lang w:val="en-US" w:eastAsia="zh-CN"/>
              </w:rPr>
              <w:t>陈先生</w:t>
            </w:r>
          </w:p>
          <w:p w14:paraId="6A704B43">
            <w:pPr>
              <w:adjustRightInd w:val="0"/>
              <w:snapToGrid w:val="0"/>
              <w:spacing w:line="360" w:lineRule="auto"/>
              <w:ind w:firstLine="210" w:firstLineChars="100"/>
              <w:rPr>
                <w:rFonts w:hint="default"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auto"/>
                <w:sz w:val="21"/>
                <w:szCs w:val="21"/>
                <w:lang w:val="zh-CN" w:eastAsia="zh-CN" w:bidi="ar-SA"/>
              </w:rPr>
              <w:t>联系电话：</w:t>
            </w:r>
            <w:bookmarkStart w:id="14" w:name="PO_默认文件内容_19"/>
            <w:r>
              <w:rPr>
                <w:rFonts w:hint="eastAsia" w:ascii="仿宋_GB2312" w:hAnsi="仿宋_GB2312" w:eastAsia="仿宋_GB2312" w:cs="仿宋"/>
                <w:color w:val="000000" w:themeColor="text1"/>
                <w:lang w:val="en-US" w:eastAsia="zh-CN"/>
                <w14:textFill>
                  <w14:solidFill>
                    <w14:schemeClr w14:val="tx1"/>
                  </w14:solidFill>
                </w14:textFill>
              </w:rPr>
              <w:t>13989145312</w:t>
            </w:r>
          </w:p>
          <w:p w14:paraId="72BB5B59">
            <w:pPr>
              <w:adjustRightInd w:val="0"/>
              <w:snapToGrid w:val="0"/>
              <w:spacing w:line="360" w:lineRule="auto"/>
              <w:ind w:firstLine="210" w:firstLineChars="100"/>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通讯地址：</w:t>
            </w:r>
            <w:r>
              <w:rPr>
                <w:rFonts w:hint="eastAsia" w:ascii="仿宋_GB2312" w:hAnsi="仿宋_GB2312" w:eastAsia="仿宋_GB2312" w:cs="仿宋"/>
                <w:color w:val="auto"/>
                <w:sz w:val="21"/>
                <w:szCs w:val="21"/>
                <w:lang w:val="en-US" w:eastAsia="zh-CN"/>
              </w:rPr>
              <w:t>四川省巴中市巴州大道容邦国际写字楼16层</w:t>
            </w:r>
          </w:p>
          <w:p w14:paraId="4ACE554B">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注：供应商应按照本文件的规定获取谈判文件，才能被视为依法获取谈判文件的潜在供应商。</w:t>
            </w:r>
          </w:p>
          <w:p w14:paraId="7A5CF301">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注：根据《中华人民共和国政府采购法》《政府采购质疑和投诉办法》（财政部令第94号）等规定，供应商质疑不得超出采购文件、采购过程、采购结果的范围，供应商针对同一采购程序环节的质疑应在法定质疑期内一次性提出</w:t>
            </w:r>
            <w:bookmarkEnd w:id="14"/>
            <w:r>
              <w:rPr>
                <w:rFonts w:hint="eastAsia" w:ascii="仿宋_GB2312" w:hAnsi="仿宋_GB2312" w:eastAsia="仿宋_GB2312" w:cs="仿宋"/>
                <w:color w:val="auto"/>
                <w:sz w:val="21"/>
                <w:szCs w:val="21"/>
                <w:lang w:val="zh-CN"/>
              </w:rPr>
              <w:t>。</w:t>
            </w:r>
          </w:p>
        </w:tc>
      </w:tr>
      <w:tr w14:paraId="40931F2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70" w:hRule="atLeast"/>
          <w:jc w:val="center"/>
        </w:trPr>
        <w:tc>
          <w:tcPr>
            <w:tcW w:w="1013" w:type="dxa"/>
            <w:tcBorders>
              <w:bottom w:val="single" w:color="auto" w:sz="4" w:space="0"/>
            </w:tcBorders>
            <w:vAlign w:val="center"/>
          </w:tcPr>
          <w:p w14:paraId="6444AD92">
            <w:pPr>
              <w:pStyle w:val="20"/>
              <w:spacing w:line="360" w:lineRule="auto"/>
              <w:ind w:right="230"/>
              <w:jc w:val="center"/>
              <w:rPr>
                <w:rFonts w:hint="eastAsia" w:ascii="仿宋_GB2312" w:hAnsi="仿宋_GB2312" w:eastAsia="仿宋_GB2312" w:cs="Times New Roman"/>
                <w:color w:val="auto"/>
                <w:sz w:val="21"/>
                <w:szCs w:val="21"/>
                <w:lang w:eastAsia="zh-CN"/>
              </w:rPr>
            </w:pPr>
            <w:r>
              <w:rPr>
                <w:rFonts w:hint="eastAsia" w:ascii="仿宋_GB2312" w:hAnsi="仿宋_GB2312" w:eastAsia="仿宋_GB2312" w:cs="仿宋"/>
                <w:color w:val="auto"/>
                <w:sz w:val="21"/>
                <w:szCs w:val="21"/>
                <w:lang w:val="en-US" w:eastAsia="zh-CN"/>
              </w:rPr>
              <w:t>6</w:t>
            </w:r>
          </w:p>
        </w:tc>
        <w:tc>
          <w:tcPr>
            <w:tcW w:w="2409" w:type="dxa"/>
            <w:tcBorders>
              <w:bottom w:val="single" w:color="auto" w:sz="4" w:space="0"/>
            </w:tcBorders>
            <w:vAlign w:val="center"/>
          </w:tcPr>
          <w:p w14:paraId="642A9D37">
            <w:pPr>
              <w:pStyle w:val="20"/>
              <w:spacing w:line="360" w:lineRule="auto"/>
              <w:ind w:left="96"/>
              <w:jc w:val="center"/>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供应商投诉</w:t>
            </w:r>
          </w:p>
        </w:tc>
        <w:tc>
          <w:tcPr>
            <w:tcW w:w="6084" w:type="dxa"/>
            <w:tcBorders>
              <w:bottom w:val="single" w:color="auto" w:sz="4" w:space="0"/>
            </w:tcBorders>
            <w:vAlign w:val="center"/>
          </w:tcPr>
          <w:p w14:paraId="025DA960">
            <w:pPr>
              <w:pStyle w:val="20"/>
              <w:spacing w:line="360" w:lineRule="auto"/>
              <w:ind w:firstLine="210" w:firstLineChars="100"/>
              <w:jc w:val="both"/>
              <w:rPr>
                <w:rFonts w:hint="eastAsia"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zh-CN"/>
              </w:rPr>
              <w:t>投诉受理单位：</w:t>
            </w:r>
            <w:r>
              <w:rPr>
                <w:rFonts w:hint="eastAsia" w:ascii="仿宋_GB2312" w:hAnsi="仿宋_GB2312" w:eastAsia="仿宋_GB2312" w:cs="仿宋"/>
                <w:color w:val="auto"/>
                <w:sz w:val="21"/>
                <w:szCs w:val="21"/>
                <w:lang w:val="en-US" w:eastAsia="zh-CN"/>
              </w:rPr>
              <w:t>巴中市产业发展集团有限公司纪检监察组</w:t>
            </w:r>
          </w:p>
          <w:p w14:paraId="786F17A6">
            <w:pPr>
              <w:pStyle w:val="20"/>
              <w:spacing w:line="360" w:lineRule="auto"/>
              <w:ind w:firstLine="210" w:firstLineChars="100"/>
              <w:jc w:val="both"/>
              <w:rPr>
                <w:rFonts w:hint="eastAsia" w:ascii="仿宋_GB2312" w:hAnsi="仿宋_GB2312" w:eastAsia="仿宋_GB2312" w:cs="仿宋"/>
                <w:color w:val="auto"/>
                <w:sz w:val="21"/>
                <w:szCs w:val="21"/>
                <w:lang w:val="zh-CN" w:eastAsia="zh-CN"/>
              </w:rPr>
            </w:pPr>
            <w:r>
              <w:rPr>
                <w:rFonts w:hint="eastAsia" w:ascii="仿宋_GB2312" w:hAnsi="仿宋_GB2312" w:eastAsia="仿宋_GB2312" w:cs="仿宋"/>
                <w:color w:val="auto"/>
                <w:sz w:val="21"/>
                <w:szCs w:val="21"/>
                <w:lang w:val="zh-CN" w:eastAsia="zh-CN"/>
              </w:rPr>
              <w:t>联系人：杨萍</w:t>
            </w:r>
          </w:p>
          <w:p w14:paraId="23689104">
            <w:pPr>
              <w:pStyle w:val="20"/>
              <w:spacing w:line="360" w:lineRule="auto"/>
              <w:ind w:firstLine="210" w:firstLineChars="100"/>
              <w:jc w:val="both"/>
              <w:rPr>
                <w:rFonts w:hint="default"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zh-CN" w:eastAsia="zh-CN"/>
              </w:rPr>
              <w:t>联系电话：</w:t>
            </w:r>
            <w:r>
              <w:rPr>
                <w:rFonts w:hint="eastAsia" w:ascii="仿宋_GB2312" w:hAnsi="仿宋_GB2312" w:eastAsia="仿宋_GB2312" w:cs="仿宋"/>
                <w:color w:val="auto"/>
                <w:sz w:val="21"/>
                <w:szCs w:val="21"/>
                <w:lang w:val="en-US" w:eastAsia="zh-CN"/>
              </w:rPr>
              <w:t>18682568999</w:t>
            </w:r>
          </w:p>
          <w:p w14:paraId="70524EAB">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注：根据《中华人民共和国政府采购法》《政府采购质疑和投诉办法》（财政部令第94号）及其他有关等规定，供应商投诉事项不得超出已质疑事项的范围。</w:t>
            </w:r>
          </w:p>
        </w:tc>
      </w:tr>
      <w:tr w14:paraId="0CC98F7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723ED083">
            <w:pPr>
              <w:pStyle w:val="20"/>
              <w:spacing w:line="360" w:lineRule="auto"/>
              <w:ind w:right="230"/>
              <w:jc w:val="center"/>
              <w:rPr>
                <w:rFonts w:hint="eastAsia" w:ascii="仿宋_GB2312" w:hAnsi="仿宋_GB2312" w:eastAsia="仿宋_GB2312" w:cs="仿宋"/>
                <w:color w:val="auto"/>
                <w:sz w:val="21"/>
                <w:szCs w:val="21"/>
                <w:lang w:eastAsia="zh-CN"/>
              </w:rPr>
            </w:pPr>
            <w:r>
              <w:rPr>
                <w:rFonts w:hint="eastAsia" w:ascii="仿宋_GB2312" w:hAnsi="仿宋_GB2312" w:eastAsia="仿宋_GB2312" w:cs="仿宋"/>
                <w:color w:val="auto"/>
                <w:sz w:val="21"/>
                <w:szCs w:val="21"/>
                <w:lang w:val="en-US" w:eastAsia="zh-CN"/>
              </w:rPr>
              <w:t>7</w:t>
            </w:r>
          </w:p>
        </w:tc>
        <w:tc>
          <w:tcPr>
            <w:tcW w:w="2409" w:type="dxa"/>
            <w:vAlign w:val="center"/>
          </w:tcPr>
          <w:p w14:paraId="5DB1DF43">
            <w:pPr>
              <w:pStyle w:val="5"/>
              <w:keepNext w:val="0"/>
              <w:keepLines w:val="0"/>
              <w:spacing w:before="0" w:after="0" w:line="360" w:lineRule="auto"/>
              <w:jc w:val="center"/>
              <w:rPr>
                <w:rFonts w:ascii="仿宋_GB2312" w:hAnsi="仿宋_GB2312" w:eastAsia="仿宋_GB2312" w:cs="仿宋"/>
                <w:color w:val="auto"/>
                <w:sz w:val="21"/>
                <w:szCs w:val="21"/>
                <w:lang w:val="zh-CN"/>
              </w:rPr>
            </w:pPr>
            <w:r>
              <w:rPr>
                <w:rFonts w:hint="eastAsia" w:ascii="仿宋_GB2312" w:hAnsi="仿宋_GB2312" w:eastAsia="仿宋_GB2312" w:cs="仿宋"/>
                <w:b w:val="0"/>
                <w:bCs w:val="0"/>
                <w:color w:val="auto"/>
                <w:kern w:val="0"/>
                <w:sz w:val="21"/>
                <w:szCs w:val="21"/>
                <w:lang w:val="zh-CN"/>
              </w:rPr>
              <w:t>费用承担</w:t>
            </w:r>
          </w:p>
        </w:tc>
        <w:tc>
          <w:tcPr>
            <w:tcW w:w="6084" w:type="dxa"/>
            <w:vAlign w:val="center"/>
          </w:tcPr>
          <w:p w14:paraId="311819D1">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供应商应自行承担参加本次采购活动的全部费用。</w:t>
            </w:r>
          </w:p>
        </w:tc>
      </w:tr>
      <w:tr w14:paraId="304F03D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0904B5D4">
            <w:pPr>
              <w:pStyle w:val="20"/>
              <w:spacing w:line="360" w:lineRule="auto"/>
              <w:ind w:right="230"/>
              <w:jc w:val="center"/>
              <w:rPr>
                <w:rFonts w:hint="eastAsia" w:ascii="仿宋_GB2312" w:hAnsi="仿宋_GB2312" w:eastAsia="仿宋_GB2312" w:cs="Times New Roman"/>
                <w:color w:val="auto"/>
                <w:sz w:val="21"/>
                <w:szCs w:val="21"/>
                <w:lang w:eastAsia="zh-CN"/>
              </w:rPr>
            </w:pPr>
            <w:r>
              <w:rPr>
                <w:rFonts w:hint="eastAsia" w:ascii="仿宋_GB2312" w:hAnsi="仿宋_GB2312" w:eastAsia="仿宋_GB2312" w:cs="仿宋"/>
                <w:color w:val="auto"/>
                <w:sz w:val="21"/>
                <w:szCs w:val="21"/>
                <w:lang w:val="en-US" w:eastAsia="zh-CN"/>
              </w:rPr>
              <w:t>8</w:t>
            </w:r>
          </w:p>
        </w:tc>
        <w:tc>
          <w:tcPr>
            <w:tcW w:w="2409" w:type="dxa"/>
            <w:vAlign w:val="center"/>
          </w:tcPr>
          <w:p w14:paraId="6544D989">
            <w:pPr>
              <w:pStyle w:val="20"/>
              <w:spacing w:line="360" w:lineRule="auto"/>
              <w:ind w:left="96"/>
              <w:jc w:val="center"/>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合同分包</w:t>
            </w:r>
          </w:p>
          <w:p w14:paraId="5CC7F80E">
            <w:pPr>
              <w:pStyle w:val="20"/>
              <w:spacing w:line="360" w:lineRule="auto"/>
              <w:ind w:left="96"/>
              <w:jc w:val="center"/>
              <w:rPr>
                <w:rFonts w:ascii="仿宋_GB2312" w:hAnsi="仿宋_GB2312" w:eastAsia="仿宋_GB2312" w:cs="Times New Roman"/>
                <w:color w:val="auto"/>
                <w:sz w:val="21"/>
                <w:szCs w:val="21"/>
                <w:lang w:val="zh-CN"/>
              </w:rPr>
            </w:pPr>
            <w:r>
              <w:rPr>
                <w:rFonts w:hint="eastAsia" w:ascii="仿宋_GB2312" w:hAnsi="仿宋_GB2312" w:eastAsia="仿宋_GB2312" w:cs="仿宋"/>
                <w:b/>
                <w:color w:val="auto"/>
                <w:sz w:val="21"/>
                <w:szCs w:val="21"/>
                <w:lang w:val="zh-CN"/>
              </w:rPr>
              <w:t>（实质性要求）</w:t>
            </w:r>
          </w:p>
        </w:tc>
        <w:tc>
          <w:tcPr>
            <w:tcW w:w="6084" w:type="dxa"/>
            <w:vAlign w:val="center"/>
          </w:tcPr>
          <w:p w14:paraId="3F1DFBDC">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除为落实政府采购政策外，本项目：☑不接受合同分包；□接受合同分包。</w:t>
            </w:r>
          </w:p>
          <w:p w14:paraId="29AF8B08">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合同分包具体要求如下：</w:t>
            </w:r>
          </w:p>
          <w:p w14:paraId="137E32E2">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1.供应商根据谈判文件的规定和采购项目的实际情况，拟在成交后将成交项目的非主体、非关键性工作分包的，应当在响应文件中事前载明并明确</w:t>
            </w:r>
            <w:r>
              <w:rPr>
                <w:rFonts w:ascii="仿宋_GB2312" w:hAnsi="仿宋_GB2312" w:eastAsia="仿宋_GB2312" w:cs="仿宋"/>
                <w:color w:val="auto"/>
                <w:sz w:val="21"/>
                <w:szCs w:val="21"/>
                <w:lang w:val="zh-CN"/>
              </w:rPr>
              <w:t>分包承担主体，分包承担主体应当具备相应资质条件且不得再次分包</w:t>
            </w:r>
            <w:r>
              <w:rPr>
                <w:rFonts w:hint="eastAsia" w:ascii="仿宋_GB2312" w:hAnsi="仿宋_GB2312" w:eastAsia="仿宋_GB2312" w:cs="仿宋"/>
                <w:color w:val="auto"/>
                <w:sz w:val="21"/>
                <w:szCs w:val="21"/>
                <w:lang w:val="zh-CN"/>
              </w:rPr>
              <w:t>。</w:t>
            </w:r>
          </w:p>
          <w:p w14:paraId="0899681D">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2.分包履行合同的部分应当为采购项目的非主体、非关键性工作，不属于成交供应商的主要合同义务。</w:t>
            </w:r>
          </w:p>
        </w:tc>
      </w:tr>
      <w:tr w14:paraId="17862A9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6049A7DD">
            <w:pPr>
              <w:pStyle w:val="20"/>
              <w:spacing w:line="360" w:lineRule="auto"/>
              <w:ind w:right="230"/>
              <w:jc w:val="center"/>
              <w:rPr>
                <w:rFonts w:hint="eastAsia" w:ascii="仿宋_GB2312" w:hAnsi="仿宋_GB2312" w:eastAsia="仿宋_GB2312" w:cs="仿宋"/>
                <w:color w:val="auto"/>
                <w:sz w:val="21"/>
                <w:szCs w:val="21"/>
                <w:lang w:eastAsia="zh-CN"/>
              </w:rPr>
            </w:pPr>
            <w:r>
              <w:rPr>
                <w:rFonts w:hint="eastAsia" w:ascii="仿宋_GB2312" w:hAnsi="仿宋_GB2312" w:eastAsia="仿宋_GB2312" w:cs="仿宋"/>
                <w:color w:val="auto"/>
                <w:sz w:val="21"/>
                <w:szCs w:val="21"/>
                <w:lang w:val="en-US" w:eastAsia="zh-CN"/>
              </w:rPr>
              <w:t>9</w:t>
            </w:r>
          </w:p>
        </w:tc>
        <w:tc>
          <w:tcPr>
            <w:tcW w:w="2409" w:type="dxa"/>
            <w:vAlign w:val="center"/>
          </w:tcPr>
          <w:p w14:paraId="25C2B821">
            <w:pPr>
              <w:pStyle w:val="20"/>
              <w:spacing w:line="360" w:lineRule="auto"/>
              <w:rPr>
                <w:rFonts w:ascii="仿宋_GB2312" w:hAnsi="仿宋_GB2312" w:eastAsia="仿宋_GB2312" w:cs="仿宋"/>
                <w:bCs/>
                <w:color w:val="auto"/>
                <w:sz w:val="21"/>
                <w:szCs w:val="21"/>
              </w:rPr>
            </w:pPr>
          </w:p>
          <w:p w14:paraId="6F5A57B1">
            <w:pPr>
              <w:pStyle w:val="20"/>
              <w:spacing w:line="360" w:lineRule="auto"/>
              <w:ind w:left="96"/>
              <w:jc w:val="center"/>
              <w:rPr>
                <w:rFonts w:ascii="仿宋_GB2312" w:hAnsi="仿宋_GB2312" w:eastAsia="仿宋_GB2312" w:cs="仿宋"/>
                <w:color w:val="auto"/>
                <w:sz w:val="21"/>
                <w:szCs w:val="21"/>
                <w:lang w:val="zh-CN"/>
              </w:rPr>
            </w:pPr>
            <w:r>
              <w:rPr>
                <w:rFonts w:hint="eastAsia" w:ascii="仿宋_GB2312" w:hAnsi="仿宋_GB2312" w:eastAsia="仿宋_GB2312" w:cs="仿宋"/>
                <w:bCs/>
                <w:color w:val="auto"/>
                <w:sz w:val="21"/>
                <w:szCs w:val="21"/>
              </w:rPr>
              <w:t>充分、公平竞争保障措施</w:t>
            </w:r>
            <w:r>
              <w:rPr>
                <w:rFonts w:hint="eastAsia" w:ascii="仿宋_GB2312" w:hAnsi="仿宋_GB2312" w:eastAsia="仿宋_GB2312" w:cs="仿宋"/>
                <w:b/>
                <w:bCs/>
                <w:color w:val="auto"/>
                <w:sz w:val="21"/>
                <w:szCs w:val="21"/>
              </w:rPr>
              <w:t>（实质性要求）</w:t>
            </w:r>
          </w:p>
        </w:tc>
        <w:tc>
          <w:tcPr>
            <w:tcW w:w="6084" w:type="dxa"/>
            <w:vAlign w:val="center"/>
          </w:tcPr>
          <w:p w14:paraId="708DC18F">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 xml:space="preserve">1．单位负责人为同一人或者存在直接控股、管理关系的不同供应商不得参加同一合同项下的政府采购活动。 </w:t>
            </w:r>
          </w:p>
          <w:p w14:paraId="09E5509A">
            <w:pPr>
              <w:pStyle w:val="20"/>
              <w:spacing w:line="360" w:lineRule="auto"/>
              <w:ind w:firstLine="210" w:firstLineChars="100"/>
              <w:jc w:val="both"/>
              <w:rPr>
                <w:rFonts w:ascii="仿宋_GB2312" w:hAnsi="仿宋_GB2312" w:eastAsia="仿宋_GB2312" w:cs="仿宋"/>
                <w:color w:val="auto"/>
                <w:sz w:val="21"/>
                <w:szCs w:val="21"/>
                <w:lang w:val="zh-CN"/>
              </w:rPr>
            </w:pPr>
            <w:r>
              <w:rPr>
                <w:rFonts w:ascii="仿宋_GB2312" w:hAnsi="仿宋_GB2312" w:eastAsia="仿宋_GB2312" w:cs="仿宋"/>
                <w:color w:val="auto"/>
                <w:sz w:val="21"/>
                <w:szCs w:val="21"/>
                <w:lang w:val="zh-CN"/>
              </w:rPr>
              <w:t>2.不同供应商不得在同一合同项下的采购项目中，委托同一个自然人、同一单位的人员编制</w:t>
            </w:r>
            <w:r>
              <w:rPr>
                <w:rFonts w:hint="eastAsia" w:ascii="仿宋_GB2312" w:hAnsi="仿宋_GB2312" w:eastAsia="仿宋_GB2312" w:cs="仿宋"/>
                <w:color w:val="auto"/>
                <w:sz w:val="21"/>
                <w:szCs w:val="21"/>
                <w:lang w:val="zh-CN"/>
              </w:rPr>
              <w:t>响应</w:t>
            </w:r>
            <w:r>
              <w:rPr>
                <w:rFonts w:ascii="仿宋_GB2312" w:hAnsi="仿宋_GB2312" w:eastAsia="仿宋_GB2312" w:cs="仿宋"/>
                <w:color w:val="auto"/>
                <w:sz w:val="21"/>
                <w:szCs w:val="21"/>
                <w:lang w:val="zh-CN"/>
              </w:rPr>
              <w:t>文件。</w:t>
            </w:r>
          </w:p>
          <w:p w14:paraId="3430E2FE">
            <w:pPr>
              <w:pStyle w:val="20"/>
              <w:spacing w:line="360" w:lineRule="auto"/>
              <w:ind w:firstLine="210" w:firstLineChars="100"/>
              <w:jc w:val="both"/>
              <w:rPr>
                <w:rFonts w:ascii="仿宋_GB2312" w:hAnsi="仿宋_GB2312" w:eastAsia="仿宋_GB2312" w:cs="仿宋"/>
                <w:color w:val="auto"/>
                <w:sz w:val="21"/>
                <w:szCs w:val="21"/>
                <w:lang w:val="zh-CN"/>
              </w:rPr>
            </w:pPr>
            <w:r>
              <w:rPr>
                <w:rFonts w:ascii="仿宋_GB2312" w:hAnsi="仿宋_GB2312" w:eastAsia="仿宋_GB2312" w:cs="仿宋"/>
                <w:color w:val="auto"/>
                <w:sz w:val="21"/>
                <w:szCs w:val="21"/>
                <w:lang w:val="zh-CN"/>
              </w:rPr>
              <w:t>3.不同供应商不得在同一合同项下的采购项目中，委托同一个自然人、同一单位的人员办理响应事宜。</w:t>
            </w:r>
          </w:p>
          <w:p w14:paraId="33E13204">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4</w:t>
            </w:r>
            <w:r>
              <w:rPr>
                <w:rFonts w:ascii="仿宋_GB2312" w:hAnsi="仿宋_GB2312" w:eastAsia="仿宋_GB2312" w:cs="仿宋"/>
                <w:color w:val="auto"/>
                <w:sz w:val="21"/>
                <w:szCs w:val="21"/>
                <w:lang w:val="zh-CN"/>
              </w:rPr>
              <w:t>.</w:t>
            </w:r>
            <w:r>
              <w:rPr>
                <w:rFonts w:hint="eastAsia" w:ascii="仿宋_GB2312" w:hAnsi="仿宋_GB2312" w:eastAsia="仿宋_GB2312" w:cs="仿宋"/>
                <w:color w:val="auto"/>
                <w:sz w:val="21"/>
                <w:szCs w:val="21"/>
                <w:lang w:val="zh-CN"/>
              </w:rPr>
              <w:t>不同供应商的响应文件载明的项目管理成员或者联系人员不得为同一人。</w:t>
            </w:r>
          </w:p>
          <w:p w14:paraId="5A186E56">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5</w:t>
            </w:r>
            <w:r>
              <w:rPr>
                <w:rFonts w:ascii="仿宋_GB2312" w:hAnsi="仿宋_GB2312" w:eastAsia="仿宋_GB2312" w:cs="仿宋"/>
                <w:color w:val="auto"/>
                <w:sz w:val="21"/>
                <w:szCs w:val="21"/>
                <w:lang w:val="zh-CN"/>
              </w:rPr>
              <w:t>.</w:t>
            </w:r>
            <w:r>
              <w:rPr>
                <w:rFonts w:hint="eastAsia" w:ascii="仿宋_GB2312" w:hAnsi="仿宋_GB2312" w:eastAsia="仿宋_GB2312" w:cs="仿宋"/>
                <w:color w:val="auto"/>
                <w:sz w:val="21"/>
                <w:szCs w:val="21"/>
                <w:lang w:val="zh-CN"/>
              </w:rPr>
              <w:t>不同供应商的响应文件不得相互混装。</w:t>
            </w:r>
          </w:p>
          <w:p w14:paraId="34BB1D7E">
            <w:pPr>
              <w:pStyle w:val="20"/>
              <w:spacing w:line="360" w:lineRule="auto"/>
              <w:ind w:firstLine="210" w:firstLineChars="100"/>
              <w:jc w:val="both"/>
              <w:rPr>
                <w:rFonts w:ascii="仿宋_GB2312" w:hAnsi="仿宋_GB2312" w:eastAsia="仿宋_GB2312" w:cs="仿宋"/>
                <w:color w:val="auto"/>
                <w:sz w:val="21"/>
                <w:szCs w:val="21"/>
                <w:lang w:val="zh-CN"/>
              </w:rPr>
            </w:pPr>
            <w:r>
              <w:rPr>
                <w:rFonts w:ascii="仿宋_GB2312" w:hAnsi="仿宋_GB2312" w:eastAsia="仿宋_GB2312" w:cs="仿宋"/>
                <w:color w:val="auto"/>
                <w:sz w:val="21"/>
                <w:szCs w:val="21"/>
                <w:lang w:val="zh-CN"/>
              </w:rPr>
              <w:t>6</w:t>
            </w:r>
            <w:r>
              <w:rPr>
                <w:rFonts w:hint="eastAsia" w:ascii="仿宋_GB2312" w:hAnsi="仿宋_GB2312" w:eastAsia="仿宋_GB2312" w:cs="仿宋"/>
                <w:color w:val="auto"/>
                <w:sz w:val="21"/>
                <w:szCs w:val="21"/>
                <w:lang w:val="zh-CN"/>
              </w:rPr>
              <w:t>.为采购项目提供整体规范编制或者项目管理、监理、检测等服务的供应商，不得再参加该采购项目的其他采购活动。供应商为采购人在确定采购需求、编制采购文件过程中提供咨询论证，其提供的咨询论证意见成为采购文件中规定的供应商资格条件、技术服务商务要求、评审因素和标准、采购合同等实质性内容条款的，视同为采购项目提供规范编制。</w:t>
            </w:r>
          </w:p>
          <w:p w14:paraId="025C334B">
            <w:pPr>
              <w:pStyle w:val="20"/>
              <w:spacing w:line="360" w:lineRule="auto"/>
              <w:ind w:firstLine="210" w:firstLineChars="100"/>
              <w:jc w:val="both"/>
              <w:rPr>
                <w:rFonts w:ascii="仿宋_GB2312" w:hAnsi="仿宋_GB2312" w:eastAsia="仿宋_GB2312" w:cs="仿宋"/>
                <w:color w:val="auto"/>
                <w:sz w:val="21"/>
                <w:szCs w:val="21"/>
                <w:lang w:val="zh-CN"/>
              </w:rPr>
            </w:pPr>
          </w:p>
        </w:tc>
      </w:tr>
      <w:tr w14:paraId="5E2B351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1648E9B9">
            <w:pPr>
              <w:pStyle w:val="20"/>
              <w:spacing w:line="360" w:lineRule="auto"/>
              <w:ind w:right="230"/>
              <w:jc w:val="center"/>
              <w:rPr>
                <w:rFonts w:hint="default"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en-US" w:eastAsia="zh-CN"/>
              </w:rPr>
              <w:t>10</w:t>
            </w:r>
          </w:p>
        </w:tc>
        <w:tc>
          <w:tcPr>
            <w:tcW w:w="2409" w:type="dxa"/>
            <w:vAlign w:val="center"/>
          </w:tcPr>
          <w:p w14:paraId="681E598B">
            <w:pPr>
              <w:pStyle w:val="20"/>
              <w:spacing w:line="360" w:lineRule="auto"/>
              <w:ind w:left="96"/>
              <w:jc w:val="center"/>
              <w:rPr>
                <w:rFonts w:hint="eastAsia" w:ascii="仿宋_GB2312" w:hAnsi="仿宋_GB2312" w:eastAsia="仿宋_GB2312" w:cs="仿宋"/>
                <w:bCs/>
                <w:color w:val="auto"/>
                <w:sz w:val="21"/>
                <w:szCs w:val="21"/>
              </w:rPr>
            </w:pPr>
            <w:r>
              <w:rPr>
                <w:rFonts w:hint="eastAsia" w:ascii="仿宋_GB2312" w:hAnsi="仿宋_GB2312" w:eastAsia="仿宋_GB2312" w:cs="仿宋"/>
                <w:bCs/>
                <w:color w:val="auto"/>
                <w:sz w:val="21"/>
                <w:szCs w:val="21"/>
              </w:rPr>
              <w:t>响应有效期</w:t>
            </w:r>
          </w:p>
          <w:p w14:paraId="2A897607">
            <w:pPr>
              <w:pStyle w:val="20"/>
              <w:spacing w:line="360" w:lineRule="auto"/>
              <w:ind w:left="96"/>
              <w:jc w:val="center"/>
              <w:rPr>
                <w:rFonts w:ascii="仿宋_GB2312" w:hAnsi="仿宋_GB2312" w:eastAsia="仿宋_GB2312" w:cs="仿宋"/>
                <w:bCs/>
                <w:color w:val="auto"/>
                <w:sz w:val="21"/>
                <w:szCs w:val="21"/>
              </w:rPr>
            </w:pPr>
            <w:r>
              <w:rPr>
                <w:rFonts w:hint="eastAsia" w:ascii="仿宋_GB2312" w:hAnsi="仿宋_GB2312" w:eastAsia="仿宋_GB2312" w:cs="仿宋"/>
                <w:b/>
                <w:bCs/>
                <w:color w:val="auto"/>
                <w:sz w:val="21"/>
                <w:szCs w:val="21"/>
              </w:rPr>
              <w:t>（实质性要求）</w:t>
            </w:r>
          </w:p>
        </w:tc>
        <w:tc>
          <w:tcPr>
            <w:tcW w:w="6084" w:type="dxa"/>
            <w:vAlign w:val="center"/>
          </w:tcPr>
          <w:p w14:paraId="71B27C25">
            <w:pPr>
              <w:pStyle w:val="20"/>
              <w:spacing w:line="360" w:lineRule="auto"/>
              <w:ind w:firstLine="210" w:firstLineChars="100"/>
              <w:jc w:val="both"/>
              <w:rPr>
                <w:rFonts w:ascii="仿宋_GB2312" w:hAnsi="仿宋_GB2312" w:eastAsia="仿宋_GB2312" w:cs="仿宋"/>
                <w:color w:val="auto"/>
                <w:sz w:val="21"/>
                <w:szCs w:val="21"/>
              </w:rPr>
            </w:pPr>
            <w:r>
              <w:rPr>
                <w:rFonts w:hint="eastAsia" w:ascii="仿宋_GB2312" w:hAnsi="仿宋_GB2312" w:eastAsia="仿宋_GB2312" w:cs="仿宋"/>
                <w:color w:val="auto"/>
                <w:sz w:val="21"/>
                <w:szCs w:val="21"/>
                <w:lang w:val="zh-CN"/>
              </w:rPr>
              <w:t>本项目响应有效期：从首次提交谈判响应文件截止之日起，不得少于</w:t>
            </w:r>
            <w:r>
              <w:rPr>
                <w:rFonts w:hint="eastAsia" w:ascii="仿宋_GB2312" w:hAnsi="仿宋_GB2312" w:eastAsia="仿宋_GB2312" w:cs="仿宋"/>
                <w:color w:val="auto"/>
                <w:sz w:val="21"/>
                <w:szCs w:val="21"/>
                <w:lang w:val="en-US" w:eastAsia="zh-CN"/>
              </w:rPr>
              <w:t>90</w:t>
            </w:r>
            <w:r>
              <w:rPr>
                <w:rFonts w:hint="eastAsia" w:ascii="仿宋_GB2312" w:hAnsi="仿宋_GB2312" w:eastAsia="仿宋_GB2312" w:cs="仿宋"/>
                <w:color w:val="auto"/>
                <w:sz w:val="21"/>
                <w:szCs w:val="21"/>
                <w:lang w:val="zh-CN"/>
              </w:rPr>
              <w:t>天。在响应文件有效期内，供应商不得撤销响应文件，坚持撤销的，撤销无效。供应商响应文件中必须载明响应文件有效期，响应文件中载明的响应文件有效期可以长于谈判文件规定的期限，但不得短于谈判文件规定的期限。否则，其响应文件将作为无效处理。</w:t>
            </w:r>
          </w:p>
        </w:tc>
      </w:tr>
      <w:tr w14:paraId="31593D5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1ED6594A">
            <w:pPr>
              <w:pStyle w:val="20"/>
              <w:spacing w:line="360" w:lineRule="auto"/>
              <w:ind w:right="230"/>
              <w:jc w:val="center"/>
              <w:rPr>
                <w:rFonts w:hint="default"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en-US" w:eastAsia="zh-CN"/>
              </w:rPr>
              <w:t>11</w:t>
            </w:r>
          </w:p>
        </w:tc>
        <w:tc>
          <w:tcPr>
            <w:tcW w:w="2409" w:type="dxa"/>
            <w:vAlign w:val="center"/>
          </w:tcPr>
          <w:p w14:paraId="49FE794A">
            <w:pPr>
              <w:pStyle w:val="20"/>
              <w:spacing w:line="360" w:lineRule="auto"/>
              <w:ind w:left="96"/>
              <w:jc w:val="center"/>
              <w:rPr>
                <w:rFonts w:hint="eastAsia" w:ascii="仿宋_GB2312" w:hAnsi="仿宋_GB2312" w:eastAsia="仿宋_GB2312" w:cs="仿宋"/>
                <w:bCs/>
                <w:color w:val="auto"/>
                <w:sz w:val="21"/>
                <w:szCs w:val="21"/>
              </w:rPr>
            </w:pPr>
            <w:r>
              <w:rPr>
                <w:rFonts w:hint="eastAsia" w:ascii="仿宋_GB2312" w:hAnsi="仿宋_GB2312" w:eastAsia="仿宋_GB2312" w:cs="仿宋"/>
                <w:bCs/>
                <w:color w:val="auto"/>
                <w:sz w:val="21"/>
                <w:szCs w:val="21"/>
              </w:rPr>
              <w:t>知识产权</w:t>
            </w:r>
          </w:p>
          <w:p w14:paraId="090862FA">
            <w:pPr>
              <w:pStyle w:val="20"/>
              <w:spacing w:line="360" w:lineRule="auto"/>
              <w:ind w:left="96"/>
              <w:jc w:val="center"/>
              <w:rPr>
                <w:rFonts w:ascii="仿宋_GB2312" w:hAnsi="仿宋_GB2312" w:eastAsia="仿宋_GB2312" w:cs="仿宋"/>
                <w:bCs/>
                <w:color w:val="auto"/>
                <w:sz w:val="21"/>
                <w:szCs w:val="21"/>
              </w:rPr>
            </w:pPr>
            <w:r>
              <w:rPr>
                <w:rFonts w:hint="eastAsia" w:ascii="仿宋_GB2312" w:hAnsi="仿宋_GB2312" w:eastAsia="仿宋_GB2312" w:cs="仿宋"/>
                <w:b/>
                <w:bCs/>
                <w:color w:val="auto"/>
                <w:sz w:val="21"/>
                <w:szCs w:val="21"/>
              </w:rPr>
              <w:t>（实质性要求）</w:t>
            </w:r>
          </w:p>
        </w:tc>
        <w:tc>
          <w:tcPr>
            <w:tcW w:w="6084" w:type="dxa"/>
            <w:vAlign w:val="center"/>
          </w:tcPr>
          <w:p w14:paraId="6D198729">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1.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1EE0DB42">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2.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30345C97">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3.如采用供应商所不拥有的知识产权，则在报价中必须包括合法获取使用该知识产权的相关费用。</w:t>
            </w:r>
          </w:p>
          <w:p w14:paraId="5BC5445F">
            <w:pPr>
              <w:pStyle w:val="20"/>
              <w:spacing w:line="360" w:lineRule="auto"/>
              <w:ind w:firstLine="210" w:firstLineChars="100"/>
              <w:jc w:val="both"/>
              <w:rPr>
                <w:rFonts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4.构成本谈判文件的各组成部分，未经采购人书面同意，供应商不得擅自复印或用于非本谈判项目所需的其他目的。</w:t>
            </w:r>
          </w:p>
        </w:tc>
      </w:tr>
      <w:tr w14:paraId="0E4F10D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7D1981E3">
            <w:pPr>
              <w:pStyle w:val="20"/>
              <w:spacing w:line="360" w:lineRule="auto"/>
              <w:ind w:right="230"/>
              <w:jc w:val="center"/>
              <w:rPr>
                <w:rFonts w:hint="default"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en-US" w:eastAsia="zh-CN"/>
              </w:rPr>
              <w:t>12</w:t>
            </w:r>
          </w:p>
        </w:tc>
        <w:tc>
          <w:tcPr>
            <w:tcW w:w="2409" w:type="dxa"/>
            <w:vAlign w:val="center"/>
          </w:tcPr>
          <w:p w14:paraId="7465E795">
            <w:pPr>
              <w:pStyle w:val="20"/>
              <w:spacing w:line="360" w:lineRule="auto"/>
              <w:ind w:left="96"/>
              <w:jc w:val="center"/>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踏勘现场和工程结算</w:t>
            </w:r>
          </w:p>
          <w:p w14:paraId="3CAE5E4F">
            <w:pPr>
              <w:pStyle w:val="20"/>
              <w:spacing w:line="360" w:lineRule="auto"/>
              <w:ind w:left="96"/>
              <w:jc w:val="center"/>
              <w:rPr>
                <w:rFonts w:hint="eastAsia" w:ascii="仿宋_GB2312" w:hAnsi="仿宋_GB2312" w:eastAsia="仿宋_GB2312" w:cs="仿宋"/>
                <w:b/>
                <w:bCs/>
                <w:color w:val="auto"/>
                <w:sz w:val="21"/>
                <w:szCs w:val="21"/>
              </w:rPr>
            </w:pPr>
            <w:r>
              <w:rPr>
                <w:rFonts w:hint="eastAsia" w:ascii="仿宋_GB2312" w:hAnsi="仿宋_GB2312" w:eastAsia="仿宋_GB2312" w:cs="仿宋"/>
                <w:b/>
                <w:bCs/>
                <w:color w:val="auto"/>
                <w:sz w:val="21"/>
                <w:szCs w:val="21"/>
              </w:rPr>
              <w:t>（实质性要求）</w:t>
            </w:r>
          </w:p>
        </w:tc>
        <w:tc>
          <w:tcPr>
            <w:tcW w:w="6084" w:type="dxa"/>
            <w:vAlign w:val="center"/>
          </w:tcPr>
          <w:p w14:paraId="647782F9">
            <w:pPr>
              <w:pStyle w:val="20"/>
              <w:spacing w:line="360" w:lineRule="auto"/>
              <w:ind w:firstLine="210" w:firstLineChars="100"/>
              <w:jc w:val="both"/>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采购人不组织踏勘现场，供应商根据《巴中市2025年江北片区春节氛围营造设计方案》和《巴中市2025年江北片区春节氛围营造工程工程量清单》自行前往踏勘现场并核实工程量，供应商报价为总价包干，施工过程中不再增加任何费用，工程量清单仅作为供应商报价的基础。</w:t>
            </w:r>
          </w:p>
        </w:tc>
      </w:tr>
      <w:tr w14:paraId="32F1E09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4250A4DF">
            <w:pPr>
              <w:pStyle w:val="20"/>
              <w:spacing w:line="360" w:lineRule="auto"/>
              <w:ind w:right="230"/>
              <w:jc w:val="center"/>
              <w:rPr>
                <w:rFonts w:hint="default" w:ascii="仿宋_GB2312" w:hAnsi="仿宋_GB2312" w:eastAsia="仿宋_GB2312" w:cs="仿宋"/>
                <w:color w:val="auto"/>
                <w:sz w:val="21"/>
                <w:szCs w:val="21"/>
                <w:lang w:val="en-US" w:eastAsia="zh-CN"/>
              </w:rPr>
            </w:pPr>
            <w:r>
              <w:rPr>
                <w:rFonts w:hint="eastAsia" w:ascii="仿宋_GB2312" w:hAnsi="仿宋_GB2312" w:eastAsia="仿宋_GB2312" w:cs="仿宋"/>
                <w:color w:val="auto"/>
                <w:sz w:val="21"/>
                <w:szCs w:val="21"/>
                <w:lang w:val="en-US" w:eastAsia="zh-CN"/>
              </w:rPr>
              <w:t>13</w:t>
            </w:r>
          </w:p>
        </w:tc>
        <w:tc>
          <w:tcPr>
            <w:tcW w:w="2409" w:type="dxa"/>
            <w:vAlign w:val="center"/>
          </w:tcPr>
          <w:p w14:paraId="7F9C14A1">
            <w:pPr>
              <w:pStyle w:val="20"/>
              <w:spacing w:line="360" w:lineRule="auto"/>
              <w:ind w:left="96"/>
              <w:jc w:val="center"/>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质量要求</w:t>
            </w:r>
          </w:p>
          <w:p w14:paraId="669CAF65">
            <w:pPr>
              <w:pStyle w:val="20"/>
              <w:spacing w:line="360" w:lineRule="auto"/>
              <w:ind w:left="96"/>
              <w:jc w:val="center"/>
              <w:rPr>
                <w:rFonts w:hint="eastAsia" w:ascii="仿宋_GB2312" w:hAnsi="仿宋_GB2312" w:eastAsia="仿宋_GB2312" w:cs="仿宋"/>
                <w:color w:val="auto"/>
                <w:sz w:val="21"/>
                <w:szCs w:val="21"/>
                <w:lang w:val="zh-CN"/>
              </w:rPr>
            </w:pPr>
            <w:r>
              <w:rPr>
                <w:rFonts w:hint="eastAsia" w:ascii="仿宋_GB2312" w:hAnsi="仿宋_GB2312" w:eastAsia="仿宋_GB2312" w:cs="仿宋"/>
                <w:b/>
                <w:bCs/>
                <w:color w:val="auto"/>
                <w:sz w:val="21"/>
                <w:szCs w:val="21"/>
              </w:rPr>
              <w:t>（实质性要求）</w:t>
            </w:r>
          </w:p>
        </w:tc>
        <w:tc>
          <w:tcPr>
            <w:tcW w:w="6084" w:type="dxa"/>
            <w:vAlign w:val="center"/>
          </w:tcPr>
          <w:p w14:paraId="7523E60A">
            <w:pPr>
              <w:pStyle w:val="20"/>
              <w:spacing w:line="360" w:lineRule="auto"/>
              <w:ind w:firstLine="210" w:firstLineChars="100"/>
              <w:jc w:val="both"/>
              <w:rPr>
                <w:rFonts w:hint="eastAsia" w:ascii="仿宋_GB2312" w:hAnsi="仿宋_GB2312" w:eastAsia="仿宋_GB2312" w:cs="仿宋"/>
                <w:color w:val="auto"/>
                <w:sz w:val="21"/>
                <w:szCs w:val="21"/>
                <w:lang w:val="zh-CN"/>
              </w:rPr>
            </w:pPr>
            <w:r>
              <w:rPr>
                <w:rFonts w:hint="eastAsia" w:ascii="仿宋_GB2312" w:hAnsi="仿宋_GB2312" w:eastAsia="仿宋_GB2312" w:cs="仿宋"/>
                <w:color w:val="auto"/>
                <w:sz w:val="21"/>
                <w:szCs w:val="21"/>
                <w:lang w:val="zh-CN"/>
              </w:rPr>
              <w:t>按照《巴中市2025年江北片区春节氛围营造设计方案》、巴中市综合行政执法局和巴中市委市政府要求，全面完成建设任何并通过交付竣工验收。</w:t>
            </w:r>
          </w:p>
        </w:tc>
      </w:tr>
    </w:tbl>
    <w:p w14:paraId="0545D61D">
      <w:pPr>
        <w:pStyle w:val="18"/>
        <w:rPr>
          <w:rFonts w:hint="default" w:ascii="仿宋_GB2312" w:hAnsi="仿宋_GB2312" w:eastAsia="仿宋_GB2312"/>
          <w:color w:val="auto"/>
        </w:rPr>
      </w:pPr>
    </w:p>
    <w:p w14:paraId="0B68DF1D">
      <w:pPr>
        <w:pStyle w:val="4"/>
        <w:keepNext w:val="0"/>
        <w:keepLines w:val="0"/>
        <w:spacing w:before="0" w:after="0" w:line="360" w:lineRule="auto"/>
        <w:jc w:val="center"/>
        <w:rPr>
          <w:rFonts w:ascii="仿宋_GB2312" w:hAnsi="仿宋_GB2312" w:eastAsia="仿宋_GB2312" w:cs="Times New Roman"/>
          <w:color w:val="auto"/>
        </w:rPr>
      </w:pPr>
      <w:bookmarkStart w:id="15" w:name="_Toc217446038"/>
      <w:bookmarkStart w:id="16" w:name="_Toc183682346"/>
      <w:bookmarkStart w:id="17" w:name="_Toc183582209"/>
      <w:bookmarkStart w:id="18" w:name="_Toc77400779"/>
      <w:bookmarkStart w:id="19" w:name="_Toc89075875"/>
    </w:p>
    <w:p w14:paraId="463B3C9B">
      <w:pPr>
        <w:pStyle w:val="4"/>
        <w:keepNext w:val="0"/>
        <w:keepLines w:val="0"/>
        <w:spacing w:before="0" w:after="0" w:line="360" w:lineRule="auto"/>
        <w:jc w:val="center"/>
        <w:rPr>
          <w:rFonts w:ascii="仿宋_GB2312" w:hAnsi="仿宋_GB2312" w:eastAsia="仿宋_GB2312" w:cs="Times New Roman"/>
          <w:color w:val="auto"/>
        </w:rPr>
      </w:pPr>
      <w:r>
        <w:rPr>
          <w:rFonts w:hint="eastAsia" w:ascii="仿宋_GB2312" w:hAnsi="仿宋_GB2312" w:eastAsia="仿宋_GB2312" w:cs="仿宋"/>
          <w:color w:val="auto"/>
        </w:rPr>
        <w:t>二、谈判文件</w:t>
      </w:r>
      <w:bookmarkEnd w:id="15"/>
      <w:bookmarkEnd w:id="16"/>
      <w:bookmarkEnd w:id="17"/>
      <w:bookmarkEnd w:id="18"/>
      <w:bookmarkEnd w:id="19"/>
    </w:p>
    <w:p w14:paraId="158A1F15">
      <w:pPr>
        <w:pStyle w:val="5"/>
        <w:keepNext w:val="0"/>
        <w:keepLines w:val="0"/>
        <w:spacing w:before="0" w:after="0" w:line="360" w:lineRule="auto"/>
        <w:ind w:firstLine="482" w:firstLineChars="200"/>
        <w:rPr>
          <w:rFonts w:ascii="仿宋_GB2312" w:hAnsi="仿宋_GB2312" w:eastAsia="仿宋_GB2312"/>
          <w:color w:val="auto"/>
          <w:sz w:val="24"/>
          <w:szCs w:val="24"/>
        </w:rPr>
      </w:pPr>
      <w:bookmarkStart w:id="20" w:name="PO_默认文件内容_25"/>
      <w:r>
        <w:rPr>
          <w:rFonts w:hint="eastAsia" w:ascii="仿宋_GB2312" w:hAnsi="仿宋_GB2312" w:eastAsia="仿宋_GB2312" w:cs="仿宋"/>
          <w:color w:val="auto"/>
          <w:sz w:val="24"/>
          <w:szCs w:val="24"/>
        </w:rPr>
        <w:t>1</w:t>
      </w:r>
      <w:r>
        <w:rPr>
          <w:rFonts w:ascii="仿宋_GB2312" w:hAnsi="仿宋_GB2312" w:eastAsia="仿宋_GB2312" w:cs="仿宋"/>
          <w:color w:val="auto"/>
          <w:sz w:val="24"/>
          <w:szCs w:val="24"/>
        </w:rPr>
        <w:t>.</w:t>
      </w:r>
      <w:r>
        <w:rPr>
          <w:rFonts w:hint="eastAsia" w:ascii="仿宋_GB2312" w:hAnsi="仿宋_GB2312" w:eastAsia="仿宋_GB2312" w:cs="仿宋"/>
          <w:color w:val="auto"/>
          <w:sz w:val="24"/>
          <w:szCs w:val="24"/>
        </w:rPr>
        <w:t>谈判文件的构成</w:t>
      </w:r>
    </w:p>
    <w:p w14:paraId="4EC607A3">
      <w:pPr>
        <w:tabs>
          <w:tab w:val="left" w:pos="720"/>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谈判文件是本次采购活动的基本依据，也是供应商准备响应文件、参加采购活动的依据。谈判文件</w:t>
      </w:r>
      <w:r>
        <w:rPr>
          <w:rFonts w:ascii="仿宋_GB2312" w:hAnsi="仿宋_GB2312" w:eastAsia="仿宋_GB2312" w:cs="仿宋"/>
          <w:color w:val="auto"/>
        </w:rPr>
        <w:t>包括</w:t>
      </w:r>
      <w:r>
        <w:rPr>
          <w:rFonts w:hint="eastAsia" w:ascii="仿宋_GB2312" w:hAnsi="仿宋_GB2312" w:eastAsia="仿宋_GB2312" w:cs="仿宋"/>
          <w:color w:val="auto"/>
        </w:rPr>
        <w:t>谈判</w:t>
      </w:r>
      <w:r>
        <w:rPr>
          <w:rFonts w:ascii="仿宋_GB2312" w:hAnsi="仿宋_GB2312" w:eastAsia="仿宋_GB2312" w:cs="仿宋"/>
          <w:color w:val="auto"/>
        </w:rPr>
        <w:t>邀请</w:t>
      </w:r>
      <w:r>
        <w:rPr>
          <w:rFonts w:hint="eastAsia" w:ascii="仿宋_GB2312" w:hAnsi="仿宋_GB2312" w:eastAsia="仿宋_GB2312" w:cs="仿宋"/>
          <w:color w:val="auto"/>
        </w:rPr>
        <w:t>、</w:t>
      </w:r>
      <w:r>
        <w:rPr>
          <w:rFonts w:ascii="仿宋_GB2312" w:hAnsi="仿宋_GB2312" w:eastAsia="仿宋_GB2312" w:cs="仿宋"/>
          <w:color w:val="auto"/>
        </w:rPr>
        <w:t>采购方式</w:t>
      </w:r>
      <w:r>
        <w:rPr>
          <w:rFonts w:hint="eastAsia" w:ascii="仿宋_GB2312" w:hAnsi="仿宋_GB2312" w:eastAsia="仿宋_GB2312" w:cs="仿宋"/>
          <w:color w:val="auto"/>
        </w:rPr>
        <w:t>、</w:t>
      </w:r>
      <w:r>
        <w:rPr>
          <w:rFonts w:hint="eastAsia" w:ascii="仿宋_GB2312" w:hAnsi="仿宋_GB2312" w:eastAsia="仿宋_GB2312" w:cs="仿宋"/>
          <w:color w:val="auto"/>
          <w:lang w:eastAsia="zh-CN"/>
        </w:rPr>
        <w:t>最高限价</w:t>
      </w:r>
      <w:r>
        <w:rPr>
          <w:rFonts w:hint="eastAsia" w:ascii="仿宋_GB2312" w:hAnsi="仿宋_GB2312" w:eastAsia="仿宋_GB2312" w:cs="仿宋"/>
          <w:color w:val="auto"/>
        </w:rPr>
        <w:t>、</w:t>
      </w:r>
      <w:r>
        <w:rPr>
          <w:rFonts w:ascii="仿宋_GB2312" w:hAnsi="仿宋_GB2312" w:eastAsia="仿宋_GB2312" w:cs="仿宋"/>
          <w:color w:val="auto"/>
        </w:rPr>
        <w:t>采购需求</w:t>
      </w:r>
      <w:r>
        <w:rPr>
          <w:rFonts w:hint="eastAsia" w:ascii="仿宋_GB2312" w:hAnsi="仿宋_GB2312" w:eastAsia="仿宋_GB2312" w:cs="仿宋"/>
          <w:color w:val="auto"/>
        </w:rPr>
        <w:t>、</w:t>
      </w:r>
      <w:r>
        <w:rPr>
          <w:rFonts w:ascii="仿宋_GB2312" w:hAnsi="仿宋_GB2312" w:eastAsia="仿宋_GB2312" w:cs="仿宋"/>
          <w:color w:val="auto"/>
        </w:rPr>
        <w:t>评审程序</w:t>
      </w:r>
      <w:r>
        <w:rPr>
          <w:rFonts w:hint="eastAsia" w:ascii="仿宋_GB2312" w:hAnsi="仿宋_GB2312" w:eastAsia="仿宋_GB2312" w:cs="仿宋"/>
          <w:color w:val="auto"/>
        </w:rPr>
        <w:t>、</w:t>
      </w:r>
      <w:r>
        <w:rPr>
          <w:rFonts w:ascii="仿宋_GB2312" w:hAnsi="仿宋_GB2312" w:eastAsia="仿宋_GB2312" w:cs="仿宋"/>
          <w:color w:val="auto"/>
        </w:rPr>
        <w:t>评审方法</w:t>
      </w:r>
      <w:r>
        <w:rPr>
          <w:rFonts w:hint="eastAsia" w:ascii="仿宋_GB2312" w:hAnsi="仿宋_GB2312" w:eastAsia="仿宋_GB2312" w:cs="仿宋"/>
          <w:color w:val="auto"/>
        </w:rPr>
        <w:t>、</w:t>
      </w:r>
      <w:r>
        <w:rPr>
          <w:rFonts w:ascii="仿宋_GB2312" w:hAnsi="仿宋_GB2312" w:eastAsia="仿宋_GB2312" w:cs="仿宋"/>
          <w:color w:val="auto"/>
        </w:rPr>
        <w:t>评审标准</w:t>
      </w:r>
      <w:r>
        <w:rPr>
          <w:rFonts w:hint="eastAsia" w:ascii="仿宋_GB2312" w:hAnsi="仿宋_GB2312" w:eastAsia="仿宋_GB2312" w:cs="仿宋"/>
          <w:color w:val="auto"/>
        </w:rPr>
        <w:t>、</w:t>
      </w:r>
      <w:r>
        <w:rPr>
          <w:rFonts w:ascii="仿宋_GB2312" w:hAnsi="仿宋_GB2312" w:eastAsia="仿宋_GB2312" w:cs="仿宋"/>
          <w:color w:val="auto"/>
        </w:rPr>
        <w:t>价格构成或者报价要求</w:t>
      </w:r>
      <w:r>
        <w:rPr>
          <w:rFonts w:hint="eastAsia" w:ascii="仿宋_GB2312" w:hAnsi="仿宋_GB2312" w:eastAsia="仿宋_GB2312" w:cs="仿宋"/>
          <w:color w:val="auto"/>
        </w:rPr>
        <w:t>、</w:t>
      </w:r>
      <w:r>
        <w:rPr>
          <w:rFonts w:ascii="仿宋_GB2312" w:hAnsi="仿宋_GB2312" w:eastAsia="仿宋_GB2312" w:cs="仿宋"/>
          <w:color w:val="auto"/>
        </w:rPr>
        <w:t>响应文件编制</w:t>
      </w:r>
      <w:r>
        <w:rPr>
          <w:rFonts w:hint="eastAsia" w:ascii="仿宋_GB2312" w:hAnsi="仿宋_GB2312" w:eastAsia="仿宋_GB2312" w:cs="仿宋"/>
          <w:color w:val="auto"/>
        </w:rPr>
        <w:t>要求、谈判</w:t>
      </w:r>
      <w:r>
        <w:rPr>
          <w:rFonts w:ascii="仿宋_GB2312" w:hAnsi="仿宋_GB2312" w:eastAsia="仿宋_GB2312" w:cs="仿宋"/>
          <w:color w:val="auto"/>
        </w:rPr>
        <w:t>过程中可能实质性变动内容</w:t>
      </w:r>
      <w:r>
        <w:rPr>
          <w:rFonts w:hint="eastAsia" w:ascii="仿宋_GB2312" w:hAnsi="仿宋_GB2312" w:eastAsia="仿宋_GB2312" w:cs="仿宋"/>
          <w:color w:val="auto"/>
        </w:rPr>
        <w:t>、</w:t>
      </w:r>
      <w:r>
        <w:rPr>
          <w:rFonts w:ascii="仿宋_GB2312" w:hAnsi="仿宋_GB2312" w:eastAsia="仿宋_GB2312" w:cs="仿宋"/>
          <w:color w:val="auto"/>
        </w:rPr>
        <w:t>响应文件提交的截止时间</w:t>
      </w:r>
      <w:r>
        <w:rPr>
          <w:rFonts w:hint="eastAsia" w:ascii="仿宋_GB2312" w:hAnsi="仿宋_GB2312" w:eastAsia="仿宋_GB2312" w:cs="仿宋"/>
          <w:color w:val="auto"/>
        </w:rPr>
        <w:t>、</w:t>
      </w:r>
      <w:r>
        <w:rPr>
          <w:rFonts w:ascii="仿宋_GB2312" w:hAnsi="仿宋_GB2312" w:eastAsia="仿宋_GB2312" w:cs="仿宋"/>
          <w:color w:val="auto"/>
        </w:rPr>
        <w:t>开启时间及地点以及合同草案条款等</w:t>
      </w:r>
      <w:r>
        <w:rPr>
          <w:rFonts w:hint="eastAsia" w:ascii="仿宋_GB2312" w:hAnsi="仿宋_GB2312" w:eastAsia="仿宋_GB2312" w:cs="仿宋"/>
          <w:color w:val="auto"/>
        </w:rPr>
        <w:t>。</w:t>
      </w:r>
      <w:bookmarkStart w:id="21" w:name="_Toc183582211"/>
      <w:bookmarkStart w:id="22" w:name="_Toc183682348"/>
      <w:bookmarkStart w:id="23" w:name="_Toc217446040"/>
    </w:p>
    <w:p w14:paraId="63C4445A">
      <w:pPr>
        <w:pStyle w:val="5"/>
        <w:keepNext w:val="0"/>
        <w:keepLines w:val="0"/>
        <w:spacing w:before="0" w:after="0" w:line="360" w:lineRule="auto"/>
        <w:ind w:firstLine="482" w:firstLineChars="200"/>
        <w:rPr>
          <w:rFonts w:ascii="仿宋_GB2312" w:hAnsi="仿宋_GB2312" w:eastAsia="仿宋_GB2312"/>
          <w:color w:val="auto"/>
          <w:sz w:val="24"/>
          <w:szCs w:val="24"/>
        </w:rPr>
      </w:pPr>
      <w:r>
        <w:rPr>
          <w:rFonts w:hint="eastAsia" w:ascii="仿宋_GB2312" w:hAnsi="仿宋_GB2312" w:eastAsia="仿宋_GB2312" w:cs="仿宋"/>
          <w:color w:val="auto"/>
          <w:sz w:val="24"/>
          <w:szCs w:val="24"/>
        </w:rPr>
        <w:t>2</w:t>
      </w:r>
      <w:r>
        <w:rPr>
          <w:rFonts w:ascii="仿宋_GB2312" w:hAnsi="仿宋_GB2312" w:eastAsia="仿宋_GB2312" w:cs="仿宋"/>
          <w:color w:val="auto"/>
          <w:sz w:val="24"/>
          <w:szCs w:val="24"/>
        </w:rPr>
        <w:t>.</w:t>
      </w:r>
      <w:r>
        <w:rPr>
          <w:rFonts w:hint="eastAsia" w:ascii="仿宋_GB2312" w:hAnsi="仿宋_GB2312" w:eastAsia="仿宋_GB2312" w:cs="仿宋"/>
          <w:color w:val="auto"/>
          <w:sz w:val="24"/>
          <w:szCs w:val="24"/>
        </w:rPr>
        <w:t>谈判文件的澄清</w:t>
      </w:r>
      <w:bookmarkEnd w:id="21"/>
      <w:bookmarkEnd w:id="22"/>
      <w:r>
        <w:rPr>
          <w:rFonts w:hint="eastAsia" w:ascii="仿宋_GB2312" w:hAnsi="仿宋_GB2312" w:eastAsia="仿宋_GB2312" w:cs="仿宋"/>
          <w:color w:val="auto"/>
          <w:sz w:val="24"/>
          <w:szCs w:val="24"/>
        </w:rPr>
        <w:t>和修改</w:t>
      </w:r>
      <w:bookmarkEnd w:id="23"/>
    </w:p>
    <w:p w14:paraId="2ED44AD1">
      <w:pPr>
        <w:tabs>
          <w:tab w:val="left" w:pos="720"/>
        </w:tabs>
        <w:spacing w:line="360" w:lineRule="auto"/>
        <w:ind w:firstLine="480" w:firstLineChars="200"/>
        <w:rPr>
          <w:rFonts w:ascii="仿宋_GB2312" w:hAnsi="仿宋_GB2312" w:eastAsia="仿宋_GB2312"/>
          <w:color w:val="auto"/>
        </w:rPr>
      </w:pPr>
      <w:r>
        <w:rPr>
          <w:rFonts w:hint="eastAsia" w:ascii="仿宋_GB2312" w:hAnsi="仿宋_GB2312" w:eastAsia="仿宋_GB2312" w:cs="仿宋"/>
          <w:color w:val="auto"/>
        </w:rPr>
        <w:t>2</w:t>
      </w:r>
      <w:r>
        <w:rPr>
          <w:rFonts w:ascii="仿宋_GB2312" w:hAnsi="仿宋_GB2312" w:eastAsia="仿宋_GB2312" w:cs="仿宋"/>
          <w:color w:val="auto"/>
        </w:rPr>
        <w:t>.1</w:t>
      </w:r>
      <w:r>
        <w:rPr>
          <w:rFonts w:hint="eastAsia" w:ascii="仿宋_GB2312" w:hAnsi="仿宋_GB2312" w:eastAsia="仿宋_GB2312" w:cs="仿宋"/>
          <w:color w:val="auto"/>
        </w:rPr>
        <w:t>在提交响应文件截止时间前，采购人可以对谈判文件进行澄清或者</w:t>
      </w:r>
      <w:r>
        <w:rPr>
          <w:rFonts w:hint="eastAsia" w:ascii="仿宋_GB2312" w:hAnsi="仿宋_GB2312" w:eastAsia="仿宋_GB2312" w:cs="仿宋"/>
          <w:color w:val="auto"/>
          <w:lang w:val="en-US" w:eastAsia="zh-CN"/>
        </w:rPr>
        <w:t>修</w:t>
      </w:r>
      <w:r>
        <w:rPr>
          <w:rFonts w:hint="eastAsia" w:ascii="仿宋_GB2312" w:hAnsi="仿宋_GB2312" w:eastAsia="仿宋_GB2312" w:cs="仿宋"/>
          <w:color w:val="auto"/>
        </w:rPr>
        <w:t>改。</w:t>
      </w:r>
    </w:p>
    <w:p w14:paraId="5BAF3462">
      <w:pPr>
        <w:tabs>
          <w:tab w:val="left" w:pos="720"/>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2</w:t>
      </w:r>
      <w:r>
        <w:rPr>
          <w:rFonts w:ascii="仿宋_GB2312" w:hAnsi="仿宋_GB2312" w:eastAsia="仿宋_GB2312" w:cs="仿宋"/>
          <w:color w:val="auto"/>
        </w:rPr>
        <w:t>.2</w:t>
      </w:r>
      <w:r>
        <w:rPr>
          <w:rFonts w:hint="eastAsia" w:ascii="仿宋_GB2312" w:hAnsi="仿宋_GB2312" w:eastAsia="仿宋_GB2312" w:cs="仿宋"/>
          <w:color w:val="auto"/>
        </w:rPr>
        <w:t>采购</w:t>
      </w:r>
      <w:r>
        <w:rPr>
          <w:rFonts w:hint="eastAsia" w:ascii="仿宋_GB2312" w:hAnsi="仿宋_GB2312" w:eastAsia="仿宋_GB2312" w:cs="仿宋"/>
          <w:color w:val="auto"/>
          <w:lang w:eastAsia="zh-CN"/>
        </w:rPr>
        <w:t>人</w:t>
      </w:r>
      <w:r>
        <w:rPr>
          <w:rFonts w:hint="eastAsia" w:ascii="仿宋_GB2312" w:hAnsi="仿宋_GB2312" w:eastAsia="仿宋_GB2312" w:cs="仿宋"/>
          <w:color w:val="auto"/>
        </w:rPr>
        <w:t>对已发出的谈判文件进行澄清或者修改，应当</w:t>
      </w:r>
      <w:r>
        <w:rPr>
          <w:rFonts w:ascii="仿宋_GB2312" w:hAnsi="仿宋_GB2312" w:eastAsia="仿宋_GB2312" w:cs="仿宋"/>
          <w:color w:val="auto"/>
        </w:rPr>
        <w:t>通过</w:t>
      </w:r>
      <w:r>
        <w:rPr>
          <w:rFonts w:hint="eastAsia" w:ascii="仿宋_GB2312" w:hAnsi="仿宋_GB2312" w:eastAsia="仿宋_GB2312" w:cs="仿宋"/>
          <w:color w:val="auto"/>
        </w:rPr>
        <w:t>以书面形式将澄清或者修改的内容通知所有</w:t>
      </w:r>
      <w:r>
        <w:rPr>
          <w:rFonts w:ascii="仿宋_GB2312" w:hAnsi="仿宋_GB2312" w:eastAsia="仿宋_GB2312" w:cs="仿宋"/>
          <w:color w:val="auto"/>
        </w:rPr>
        <w:t>成功获取</w:t>
      </w:r>
      <w:r>
        <w:rPr>
          <w:rFonts w:hint="eastAsia" w:ascii="仿宋_GB2312" w:hAnsi="仿宋_GB2312" w:eastAsia="仿宋_GB2312" w:cs="仿宋"/>
          <w:color w:val="auto"/>
        </w:rPr>
        <w:t>谈判文件的供应商，同时</w:t>
      </w:r>
      <w:r>
        <w:rPr>
          <w:rFonts w:hint="eastAsia" w:ascii="仿宋_GB2312" w:hAnsi="仿宋_GB2312" w:eastAsia="仿宋_GB2312" w:cs="仿宋"/>
          <w:color w:val="auto"/>
          <w:kern w:val="0"/>
          <w:sz w:val="24"/>
          <w:szCs w:val="24"/>
          <w:lang w:val="en-US" w:eastAsia="zh-CN" w:bidi="ar-SA"/>
        </w:rPr>
        <w:t>在巴中市产业发展集团有限公司网站（www.bzcyjt.cn）</w:t>
      </w:r>
      <w:r>
        <w:rPr>
          <w:rFonts w:hint="eastAsia" w:ascii="仿宋_GB2312" w:hAnsi="仿宋_GB2312" w:eastAsia="仿宋_GB2312" w:cs="仿宋"/>
          <w:color w:val="auto"/>
          <w:lang w:val="en-US" w:eastAsia="zh-CN"/>
        </w:rPr>
        <w:t>公开发布</w:t>
      </w:r>
      <w:r>
        <w:rPr>
          <w:rFonts w:hint="eastAsia" w:ascii="仿宋_GB2312" w:hAnsi="仿宋_GB2312" w:eastAsia="仿宋_GB2312" w:cs="仿宋"/>
          <w:color w:val="auto"/>
        </w:rPr>
        <w:t>更正公告。该澄清或者修改的内容为谈判文件的组成部分，澄清或者修改的内容可能影响响应文件编制的，采购人发布澄清公告并以书面形式通知</w:t>
      </w:r>
      <w:r>
        <w:rPr>
          <w:rFonts w:ascii="仿宋_GB2312" w:hAnsi="仿宋_GB2312" w:eastAsia="仿宋_GB2312" w:cs="仿宋"/>
          <w:color w:val="auto"/>
        </w:rPr>
        <w:t>成功获取</w:t>
      </w:r>
      <w:r>
        <w:rPr>
          <w:rFonts w:hint="eastAsia" w:ascii="仿宋_GB2312" w:hAnsi="仿宋_GB2312" w:eastAsia="仿宋_GB2312" w:cs="仿宋"/>
          <w:color w:val="auto"/>
        </w:rPr>
        <w:t>谈判文件的供应商的时间，应当在提交首次响应文件截止之日3个工作日前；不足上述时间的，应当顺延提交响应文件的截止时间。</w:t>
      </w:r>
    </w:p>
    <w:p w14:paraId="5BE06A2D">
      <w:pPr>
        <w:tabs>
          <w:tab w:val="left" w:pos="7665"/>
        </w:tabs>
        <w:spacing w:line="360" w:lineRule="auto"/>
        <w:ind w:firstLine="480" w:firstLineChars="200"/>
        <w:jc w:val="both"/>
        <w:rPr>
          <w:rFonts w:ascii="仿宋_GB2312" w:hAnsi="仿宋_GB2312" w:eastAsia="仿宋_GB2312"/>
          <w:color w:val="auto"/>
        </w:rPr>
      </w:pPr>
      <w:r>
        <w:rPr>
          <w:rFonts w:hint="eastAsia" w:ascii="仿宋_GB2312" w:hAnsi="仿宋_GB2312" w:eastAsia="仿宋_GB2312" w:cs="仿宋"/>
          <w:color w:val="auto"/>
        </w:rPr>
        <w:t>2</w:t>
      </w:r>
      <w:r>
        <w:rPr>
          <w:rFonts w:ascii="仿宋_GB2312" w:hAnsi="仿宋_GB2312" w:eastAsia="仿宋_GB2312" w:cs="仿宋"/>
          <w:color w:val="auto"/>
        </w:rPr>
        <w:t>.3</w:t>
      </w:r>
      <w:r>
        <w:rPr>
          <w:rFonts w:hint="eastAsia" w:ascii="仿宋_GB2312" w:hAnsi="仿宋_GB2312" w:eastAsia="仿宋_GB2312" w:cs="仿宋"/>
          <w:color w:val="auto"/>
        </w:rPr>
        <w:t>供应商应于提交响应文件截止时间前，及时</w:t>
      </w:r>
      <w:r>
        <w:rPr>
          <w:rFonts w:ascii="仿宋_GB2312" w:hAnsi="仿宋_GB2312" w:eastAsia="仿宋_GB2312" w:cs="仿宋"/>
          <w:color w:val="auto"/>
        </w:rPr>
        <w:t>关注</w:t>
      </w:r>
      <w:r>
        <w:rPr>
          <w:rFonts w:hint="eastAsia" w:ascii="仿宋_GB2312" w:hAnsi="仿宋_GB2312" w:eastAsia="仿宋_GB2312" w:cs="仿宋"/>
          <w:color w:val="auto"/>
        </w:rPr>
        <w:t>同时</w:t>
      </w:r>
      <w:r>
        <w:rPr>
          <w:rFonts w:hint="eastAsia" w:ascii="仿宋_GB2312" w:hAnsi="仿宋_GB2312" w:eastAsia="仿宋_GB2312" w:cs="仿宋"/>
          <w:color w:val="auto"/>
          <w:kern w:val="0"/>
          <w:sz w:val="24"/>
          <w:szCs w:val="24"/>
          <w:lang w:val="en-US" w:eastAsia="zh-CN" w:bidi="ar-SA"/>
        </w:rPr>
        <w:t>在巴中市产业发展集团有限公司网站（www.bzcyjt.cn）</w:t>
      </w:r>
      <w:r>
        <w:rPr>
          <w:rFonts w:hint="eastAsia" w:ascii="仿宋_GB2312" w:hAnsi="仿宋_GB2312" w:eastAsia="仿宋_GB2312" w:cs="仿宋"/>
          <w:color w:val="auto"/>
          <w:lang w:val="en-US" w:eastAsia="zh-CN"/>
        </w:rPr>
        <w:t>公开发布</w:t>
      </w:r>
      <w:r>
        <w:rPr>
          <w:rFonts w:hint="eastAsia" w:ascii="仿宋_GB2312" w:hAnsi="仿宋_GB2312" w:eastAsia="仿宋_GB2312" w:cs="仿宋"/>
          <w:color w:val="auto"/>
        </w:rPr>
        <w:t>更正公告。以保证对谈判文件</w:t>
      </w:r>
      <w:r>
        <w:rPr>
          <w:rFonts w:hint="eastAsia" w:ascii="仿宋_GB2312" w:hAnsi="仿宋_GB2312" w:eastAsia="仿宋_GB2312" w:cs="仿宋"/>
          <w:color w:val="auto"/>
          <w:lang w:eastAsia="zh-CN"/>
        </w:rPr>
        <w:t>作出</w:t>
      </w:r>
      <w:r>
        <w:rPr>
          <w:rFonts w:hint="eastAsia" w:ascii="仿宋_GB2312" w:hAnsi="仿宋_GB2312" w:eastAsia="仿宋_GB2312" w:cs="仿宋"/>
          <w:color w:val="auto"/>
        </w:rPr>
        <w:t>正确的响应。供应商未及时关注</w:t>
      </w:r>
      <w:r>
        <w:rPr>
          <w:rFonts w:ascii="仿宋_GB2312" w:hAnsi="仿宋_GB2312" w:eastAsia="仿宋_GB2312" w:cs="仿宋"/>
          <w:color w:val="auto"/>
        </w:rPr>
        <w:t>相关信息或者</w:t>
      </w:r>
      <w:r>
        <w:rPr>
          <w:rFonts w:hint="eastAsia" w:ascii="仿宋_GB2312" w:hAnsi="仿宋_GB2312" w:eastAsia="仿宋_GB2312" w:cs="仿宋"/>
          <w:color w:val="auto"/>
        </w:rPr>
        <w:t>更正公告所造成的不利后果，由供应商自行</w:t>
      </w:r>
      <w:r>
        <w:rPr>
          <w:rFonts w:ascii="仿宋_GB2312" w:hAnsi="仿宋_GB2312" w:eastAsia="仿宋_GB2312" w:cs="仿宋"/>
          <w:color w:val="auto"/>
        </w:rPr>
        <w:t>承担</w:t>
      </w:r>
      <w:r>
        <w:rPr>
          <w:rFonts w:hint="eastAsia" w:ascii="仿宋_GB2312" w:hAnsi="仿宋_GB2312" w:eastAsia="仿宋_GB2312" w:cs="仿宋"/>
          <w:color w:val="auto"/>
        </w:rPr>
        <w:t>。</w:t>
      </w:r>
    </w:p>
    <w:p w14:paraId="3045EB43">
      <w:pPr>
        <w:pStyle w:val="5"/>
        <w:keepNext w:val="0"/>
        <w:keepLines w:val="0"/>
        <w:spacing w:before="0" w:after="0" w:line="360" w:lineRule="auto"/>
        <w:ind w:firstLine="482" w:firstLineChars="200"/>
        <w:rPr>
          <w:rFonts w:ascii="仿宋_GB2312" w:hAnsi="仿宋_GB2312" w:eastAsia="仿宋_GB2312"/>
          <w:color w:val="auto"/>
          <w:sz w:val="24"/>
          <w:szCs w:val="24"/>
        </w:rPr>
      </w:pPr>
      <w:bookmarkStart w:id="24" w:name="_Toc208848971"/>
      <w:bookmarkStart w:id="25" w:name="_Toc217446041"/>
      <w:r>
        <w:rPr>
          <w:rFonts w:hint="eastAsia" w:ascii="仿宋_GB2312" w:hAnsi="仿宋_GB2312" w:eastAsia="仿宋_GB2312" w:cs="仿宋"/>
          <w:color w:val="auto"/>
          <w:sz w:val="24"/>
          <w:szCs w:val="24"/>
        </w:rPr>
        <w:t>3</w:t>
      </w:r>
      <w:r>
        <w:rPr>
          <w:rFonts w:ascii="仿宋_GB2312" w:hAnsi="仿宋_GB2312" w:eastAsia="仿宋_GB2312" w:cs="仿宋"/>
          <w:color w:val="auto"/>
          <w:sz w:val="24"/>
          <w:szCs w:val="24"/>
        </w:rPr>
        <w:t>.</w:t>
      </w:r>
      <w:r>
        <w:rPr>
          <w:rFonts w:hint="eastAsia" w:ascii="仿宋_GB2312" w:hAnsi="仿宋_GB2312" w:eastAsia="仿宋_GB2312" w:cs="仿宋"/>
          <w:color w:val="auto"/>
          <w:sz w:val="24"/>
          <w:szCs w:val="24"/>
        </w:rPr>
        <w:t>答疑会和现场考察</w:t>
      </w:r>
      <w:bookmarkEnd w:id="24"/>
      <w:bookmarkEnd w:id="25"/>
    </w:p>
    <w:bookmarkEnd w:id="20"/>
    <w:p w14:paraId="3A2825C2">
      <w:pPr>
        <w:tabs>
          <w:tab w:val="left" w:pos="1134"/>
        </w:tabs>
        <w:spacing w:line="360" w:lineRule="auto"/>
        <w:ind w:firstLine="480" w:firstLineChars="200"/>
        <w:rPr>
          <w:rFonts w:hint="eastAsia" w:ascii="仿宋_GB2312" w:hAnsi="仿宋_GB2312" w:eastAsia="仿宋_GB2312" w:cs="仿宋"/>
          <w:color w:val="auto"/>
        </w:rPr>
      </w:pPr>
      <w:bookmarkStart w:id="26" w:name="_Toc89075876"/>
      <w:bookmarkStart w:id="27" w:name="_Toc183682351"/>
      <w:bookmarkStart w:id="28" w:name="_Toc77400780"/>
      <w:bookmarkStart w:id="29" w:name="_Toc183582214"/>
      <w:bookmarkStart w:id="30" w:name="_Toc217446042"/>
      <w:bookmarkStart w:id="31" w:name="PO_默认文件内容_26"/>
      <w:r>
        <w:rPr>
          <w:rFonts w:hint="eastAsia" w:ascii="仿宋_GB2312" w:hAnsi="仿宋_GB2312" w:eastAsia="仿宋_GB2312" w:cs="仿宋"/>
          <w:color w:val="auto"/>
          <w:lang w:val="en-US" w:eastAsia="zh-CN"/>
        </w:rPr>
        <w:t>3</w:t>
      </w:r>
      <w:r>
        <w:rPr>
          <w:rFonts w:hint="eastAsia" w:ascii="仿宋_GB2312" w:hAnsi="仿宋_GB2312" w:eastAsia="仿宋_GB2312" w:cs="仿宋"/>
          <w:color w:val="auto"/>
        </w:rPr>
        <w:t>.1 谈判申请人应在获得竞争性谈判文件后自行对工程施工现场及周围环境进行踏勘（谈判人协助），以取得与准备参加竞争性谈判及实施</w:t>
      </w:r>
      <w:r>
        <w:rPr>
          <w:rFonts w:hint="eastAsia" w:ascii="仿宋_GB2312" w:hAnsi="仿宋_GB2312" w:eastAsia="仿宋_GB2312" w:cs="仿宋"/>
          <w:color w:val="auto"/>
          <w:lang w:val="en-US" w:eastAsia="zh-CN"/>
        </w:rPr>
        <w:t>环境影响评估</w:t>
      </w:r>
      <w:r>
        <w:rPr>
          <w:rFonts w:hint="eastAsia" w:ascii="仿宋_GB2312" w:hAnsi="仿宋_GB2312" w:eastAsia="仿宋_GB2312" w:cs="仿宋"/>
          <w:color w:val="auto"/>
        </w:rPr>
        <w:t>编制工作有关的必要信息。踏勘现场所发生的费用由谈判申请人自己承担。</w:t>
      </w:r>
    </w:p>
    <w:p w14:paraId="1B352AA4">
      <w:pPr>
        <w:tabs>
          <w:tab w:val="left" w:pos="1134"/>
        </w:tabs>
        <w:spacing w:line="360" w:lineRule="auto"/>
        <w:ind w:firstLine="480" w:firstLineChars="200"/>
        <w:rPr>
          <w:rFonts w:hint="eastAsia" w:ascii="仿宋_GB2312" w:hAnsi="仿宋_GB2312" w:eastAsia="仿宋_GB2312" w:cs="仿宋"/>
          <w:color w:val="auto"/>
        </w:rPr>
      </w:pPr>
      <w:r>
        <w:rPr>
          <w:rFonts w:hint="eastAsia" w:ascii="仿宋_GB2312" w:hAnsi="仿宋_GB2312" w:eastAsia="仿宋_GB2312" w:cs="仿宋"/>
          <w:color w:val="auto"/>
          <w:lang w:val="en-US" w:eastAsia="zh-CN"/>
        </w:rPr>
        <w:t>3</w:t>
      </w:r>
      <w:r>
        <w:rPr>
          <w:rFonts w:hint="eastAsia" w:ascii="仿宋_GB2312" w:hAnsi="仿宋_GB2312" w:eastAsia="仿宋_GB2312" w:cs="仿宋"/>
          <w:color w:val="auto"/>
        </w:rPr>
        <w:t>.2 现场踏勘时，谈判人将介绍工程的地形、地貌、水文、地质、气象、通讯、交通条件等，以帮助谈判申请人了解现场情况。谈判人向谈判申请人提供的有关现场的数据和资料</w:t>
      </w:r>
      <w:r>
        <w:rPr>
          <w:rFonts w:hint="eastAsia" w:ascii="仿宋_GB2312" w:hAnsi="仿宋_GB2312" w:eastAsia="仿宋_GB2312" w:cs="仿宋"/>
          <w:color w:val="auto"/>
          <w:lang w:eastAsia="zh-CN"/>
        </w:rPr>
        <w:t>，</w:t>
      </w:r>
      <w:r>
        <w:rPr>
          <w:rFonts w:hint="eastAsia" w:ascii="仿宋_GB2312" w:hAnsi="仿宋_GB2312" w:eastAsia="仿宋_GB2312" w:cs="仿宋"/>
          <w:color w:val="auto"/>
        </w:rPr>
        <w:t xml:space="preserve"> 是谈判人现有的能供谈判申请人利用的资料</w:t>
      </w:r>
      <w:r>
        <w:rPr>
          <w:rFonts w:hint="eastAsia" w:ascii="仿宋_GB2312" w:hAnsi="仿宋_GB2312" w:eastAsia="仿宋_GB2312" w:cs="仿宋"/>
          <w:color w:val="auto"/>
          <w:lang w:eastAsia="zh-CN"/>
        </w:rPr>
        <w:t>，</w:t>
      </w:r>
      <w:r>
        <w:rPr>
          <w:rFonts w:hint="eastAsia" w:ascii="仿宋_GB2312" w:hAnsi="仿宋_GB2312" w:eastAsia="仿宋_GB2312" w:cs="仿宋"/>
          <w:color w:val="auto"/>
        </w:rPr>
        <w:t xml:space="preserve"> 谈判人对谈判申请人据此而做出的任何推论、理解和结论概不负责。</w:t>
      </w:r>
    </w:p>
    <w:p w14:paraId="5035EEAC">
      <w:pPr>
        <w:tabs>
          <w:tab w:val="left" w:pos="1134"/>
        </w:tabs>
        <w:spacing w:line="360" w:lineRule="auto"/>
        <w:ind w:firstLine="480" w:firstLineChars="200"/>
        <w:rPr>
          <w:rFonts w:hint="eastAsia" w:ascii="仿宋_GB2312" w:hAnsi="仿宋_GB2312" w:eastAsia="仿宋_GB2312" w:cs="仿宋"/>
          <w:color w:val="auto"/>
        </w:rPr>
      </w:pPr>
      <w:r>
        <w:rPr>
          <w:rFonts w:hint="eastAsia" w:ascii="仿宋_GB2312" w:hAnsi="仿宋_GB2312" w:eastAsia="仿宋_GB2312" w:cs="仿宋"/>
          <w:color w:val="auto"/>
          <w:lang w:val="en-US" w:eastAsia="zh-CN"/>
        </w:rPr>
        <w:t>3</w:t>
      </w:r>
      <w:r>
        <w:rPr>
          <w:rFonts w:hint="eastAsia" w:ascii="仿宋_GB2312" w:hAnsi="仿宋_GB2312" w:eastAsia="仿宋_GB2312" w:cs="仿宋"/>
          <w:color w:val="auto"/>
        </w:rPr>
        <w:t>.3谈判申请人应认真踏勘现场，以了解工程的具体情况和任何足以影响竞争性谈判报价的情况，若因谈判申请人疏忽或误解而导致在合同履行中的费用和工期索赔，谈判人将予以拒绝。</w:t>
      </w:r>
    </w:p>
    <w:p w14:paraId="39A34A57">
      <w:pPr>
        <w:pStyle w:val="4"/>
        <w:keepNext w:val="0"/>
        <w:keepLines w:val="0"/>
        <w:spacing w:before="0" w:after="0" w:line="360" w:lineRule="auto"/>
        <w:jc w:val="center"/>
        <w:rPr>
          <w:rFonts w:hint="eastAsia" w:ascii="仿宋_GB2312" w:hAnsi="仿宋_GB2312" w:eastAsia="仿宋_GB2312" w:cs="仿宋"/>
          <w:color w:val="auto"/>
        </w:rPr>
      </w:pPr>
    </w:p>
    <w:p w14:paraId="304E22F5">
      <w:pPr>
        <w:pStyle w:val="4"/>
        <w:keepNext w:val="0"/>
        <w:keepLines w:val="0"/>
        <w:spacing w:before="0" w:after="0" w:line="360" w:lineRule="auto"/>
        <w:jc w:val="center"/>
        <w:rPr>
          <w:rFonts w:ascii="仿宋_GB2312" w:hAnsi="仿宋_GB2312" w:eastAsia="仿宋_GB2312" w:cs="Times New Roman"/>
          <w:color w:val="auto"/>
        </w:rPr>
      </w:pPr>
      <w:r>
        <w:rPr>
          <w:rFonts w:hint="eastAsia" w:ascii="仿宋_GB2312" w:hAnsi="仿宋_GB2312" w:eastAsia="仿宋_GB2312" w:cs="仿宋"/>
          <w:color w:val="auto"/>
        </w:rPr>
        <w:t>三、响应文件</w:t>
      </w:r>
      <w:bookmarkEnd w:id="26"/>
      <w:bookmarkEnd w:id="27"/>
      <w:bookmarkEnd w:id="28"/>
      <w:bookmarkEnd w:id="29"/>
      <w:bookmarkEnd w:id="30"/>
      <w:bookmarkStart w:id="32" w:name="_Toc217446043"/>
      <w:bookmarkStart w:id="33" w:name="_Toc183682352"/>
      <w:bookmarkStart w:id="34" w:name="_Toc183582215"/>
    </w:p>
    <w:p w14:paraId="3F4E29EE">
      <w:pPr>
        <w:pStyle w:val="5"/>
        <w:keepNext w:val="0"/>
        <w:keepLines w:val="0"/>
        <w:spacing w:before="0" w:after="0" w:line="360" w:lineRule="auto"/>
        <w:ind w:firstLine="482" w:firstLineChars="200"/>
        <w:rPr>
          <w:rFonts w:ascii="仿宋_GB2312" w:hAnsi="仿宋_GB2312" w:eastAsia="仿宋_GB2312"/>
          <w:sz w:val="24"/>
          <w:szCs w:val="24"/>
        </w:rPr>
      </w:pPr>
      <w:r>
        <w:rPr>
          <w:rFonts w:ascii="仿宋_GB2312" w:hAnsi="仿宋_GB2312" w:eastAsia="仿宋_GB2312" w:cs="仿宋"/>
          <w:sz w:val="24"/>
          <w:szCs w:val="24"/>
        </w:rPr>
        <w:t>1.</w:t>
      </w:r>
      <w:r>
        <w:rPr>
          <w:rFonts w:hint="eastAsia" w:ascii="仿宋_GB2312" w:hAnsi="仿宋_GB2312" w:eastAsia="仿宋_GB2312" w:cs="仿宋"/>
          <w:sz w:val="24"/>
          <w:szCs w:val="24"/>
        </w:rPr>
        <w:t>响应文件的语言</w:t>
      </w:r>
      <w:bookmarkEnd w:id="32"/>
      <w:bookmarkEnd w:id="33"/>
      <w:bookmarkEnd w:id="34"/>
      <w:r>
        <w:rPr>
          <w:rFonts w:hint="eastAsia" w:ascii="仿宋_GB2312" w:hAnsi="仿宋_GB2312" w:eastAsia="仿宋_GB2312" w:cs="仿宋"/>
          <w:sz w:val="24"/>
          <w:szCs w:val="24"/>
        </w:rPr>
        <w:t>（实质性要求）</w:t>
      </w:r>
    </w:p>
    <w:p w14:paraId="64C9F3D0">
      <w:pPr>
        <w:tabs>
          <w:tab w:val="left" w:pos="1134"/>
        </w:tabs>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1.1</w:t>
      </w:r>
      <w:r>
        <w:rPr>
          <w:rFonts w:hint="eastAsia" w:ascii="仿宋_GB2312" w:hAnsi="仿宋_GB2312" w:eastAsia="仿宋_GB2312" w:cs="仿宋"/>
          <w:color w:val="000000" w:themeColor="text1"/>
          <w14:textFill>
            <w14:solidFill>
              <w14:schemeClr w14:val="tx1"/>
            </w14:solidFill>
          </w14:textFill>
        </w:rPr>
        <w:t>供应商提交的响应文件以及供应商与谈判小组在评审过程中的所有来往书面文件均须使用中文。响应文件中如附有外文资料，主要部分要对应翻译成中文并附在相关外文资料后面。</w:t>
      </w:r>
    </w:p>
    <w:p w14:paraId="3F430718">
      <w:pPr>
        <w:tabs>
          <w:tab w:val="left" w:pos="1134"/>
        </w:tabs>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1.2 </w:t>
      </w:r>
      <w:r>
        <w:rPr>
          <w:rFonts w:hint="eastAsia" w:ascii="仿宋_GB2312" w:hAnsi="仿宋_GB2312" w:eastAsia="仿宋_GB2312" w:cs="仿宋"/>
          <w:color w:val="000000" w:themeColor="text1"/>
          <w14:textFill>
            <w14:solidFill>
              <w14:schemeClr w14:val="tx1"/>
            </w14:solidFill>
          </w14:textFill>
        </w:rPr>
        <w:t>翻译的中文资料与外文资料如果出现差异和矛盾时，以中文为准。涉嫌提供虚假材料的按照相关法律法规处理。</w:t>
      </w:r>
    </w:p>
    <w:p w14:paraId="30ADED13">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1.3 </w:t>
      </w:r>
      <w:r>
        <w:rPr>
          <w:rFonts w:hint="eastAsia" w:ascii="仿宋_GB2312" w:hAnsi="仿宋_GB2312" w:eastAsia="仿宋_GB2312" w:cs="仿宋"/>
          <w:color w:val="000000" w:themeColor="text1"/>
          <w14:textFill>
            <w14:solidFill>
              <w14:schemeClr w14:val="tx1"/>
            </w14:solidFill>
          </w14:textFill>
        </w:rPr>
        <w:t>如因未翻译而造成对供应商的不利后果，由供应商承担。</w:t>
      </w:r>
    </w:p>
    <w:p w14:paraId="33842E8A">
      <w:pPr>
        <w:pStyle w:val="5"/>
        <w:keepNext w:val="0"/>
        <w:keepLines w:val="0"/>
        <w:spacing w:before="0" w:after="0" w:line="360" w:lineRule="auto"/>
        <w:ind w:firstLine="482" w:firstLineChars="200"/>
        <w:rPr>
          <w:rFonts w:ascii="仿宋_GB2312" w:hAnsi="仿宋_GB2312" w:eastAsia="仿宋_GB2312"/>
          <w:color w:val="000000" w:themeColor="text1"/>
          <w:sz w:val="24"/>
          <w:szCs w:val="24"/>
          <w14:textFill>
            <w14:solidFill>
              <w14:schemeClr w14:val="tx1"/>
            </w14:solidFill>
          </w14:textFill>
        </w:rPr>
      </w:pPr>
      <w:bookmarkStart w:id="35" w:name="_Toc183682353"/>
      <w:bookmarkStart w:id="36" w:name="_Toc183582216"/>
      <w:bookmarkStart w:id="37" w:name="_Toc217446044"/>
      <w:r>
        <w:rPr>
          <w:rFonts w:ascii="仿宋_GB2312" w:hAnsi="仿宋_GB2312" w:eastAsia="仿宋_GB2312" w:cs="仿宋"/>
          <w:color w:val="000000" w:themeColor="text1"/>
          <w:sz w:val="24"/>
          <w:szCs w:val="24"/>
          <w14:textFill>
            <w14:solidFill>
              <w14:schemeClr w14:val="tx1"/>
            </w14:solidFill>
          </w14:textFill>
        </w:rPr>
        <w:t>2</w:t>
      </w:r>
      <w:r>
        <w:rPr>
          <w:rFonts w:hint="eastAsia" w:ascii="仿宋_GB2312" w:hAnsi="仿宋_GB2312" w:eastAsia="仿宋_GB2312" w:cs="仿宋"/>
          <w:color w:val="000000" w:themeColor="text1"/>
          <w:sz w:val="24"/>
          <w:szCs w:val="24"/>
          <w14:textFill>
            <w14:solidFill>
              <w14:schemeClr w14:val="tx1"/>
            </w14:solidFill>
          </w14:textFill>
        </w:rPr>
        <w:t>.计量单位</w:t>
      </w:r>
      <w:bookmarkEnd w:id="35"/>
      <w:bookmarkEnd w:id="36"/>
      <w:bookmarkEnd w:id="37"/>
      <w:r>
        <w:rPr>
          <w:rFonts w:hint="eastAsia" w:ascii="仿宋_GB2312" w:hAnsi="仿宋_GB2312" w:eastAsia="仿宋_GB2312" w:cs="仿宋"/>
          <w:color w:val="000000" w:themeColor="text1"/>
          <w:sz w:val="24"/>
          <w:szCs w:val="24"/>
          <w14:textFill>
            <w14:solidFill>
              <w14:schemeClr w14:val="tx1"/>
            </w14:solidFill>
          </w14:textFill>
        </w:rPr>
        <w:t>（实质性要求）</w:t>
      </w:r>
    </w:p>
    <w:p w14:paraId="6D008FC3">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除谈判文件中另有规定外，本次采购项目所有合同项下的报价均采用国家法定的计量单位。</w:t>
      </w:r>
      <w:bookmarkStart w:id="38" w:name="_Toc217446045"/>
    </w:p>
    <w:p w14:paraId="280BFA3D">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3.</w:t>
      </w:r>
      <w:r>
        <w:rPr>
          <w:rFonts w:hint="eastAsia" w:ascii="仿宋_GB2312" w:hAnsi="仿宋_GB2312" w:eastAsia="仿宋_GB2312" w:cs="仿宋"/>
          <w:b/>
          <w:bCs/>
          <w:color w:val="000000" w:themeColor="text1"/>
          <w14:textFill>
            <w14:solidFill>
              <w14:schemeClr w14:val="tx1"/>
            </w14:solidFill>
          </w14:textFill>
        </w:rPr>
        <w:t>报价（实质性要求）</w:t>
      </w:r>
      <w:bookmarkEnd w:id="38"/>
    </w:p>
    <w:p w14:paraId="20202842">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.1供应商应认真核实本项目的工程量清单。</w:t>
      </w:r>
    </w:p>
    <w:p w14:paraId="43254CE3">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.2所有报价一律以人民币报价。</w:t>
      </w:r>
    </w:p>
    <w:p w14:paraId="1056A6C1">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.3供应商的报价是其响应本项目要求的全部工作内容的价格体现，包括供应商完成本项目所需的一切费用。</w:t>
      </w:r>
    </w:p>
    <w:p w14:paraId="0F44A5CB">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.4本项目合同价格形式为</w:t>
      </w: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color w:val="000000" w:themeColor="text1"/>
          <w:lang w:eastAsia="zh-CN"/>
          <w14:textFill>
            <w14:solidFill>
              <w14:schemeClr w14:val="tx1"/>
            </w14:solidFill>
          </w14:textFill>
        </w:rPr>
        <w:sym w:font="Wingdings 2" w:char="0052"/>
      </w:r>
      <w:r>
        <w:rPr>
          <w:rFonts w:hint="eastAsia" w:ascii="仿宋_GB2312" w:hAnsi="仿宋_GB2312" w:eastAsia="仿宋_GB2312" w:cs="仿宋"/>
          <w:color w:val="000000" w:themeColor="text1"/>
          <w14:textFill>
            <w14:solidFill>
              <w14:schemeClr w14:val="tx1"/>
            </w14:solidFill>
          </w14:textFill>
        </w:rPr>
        <w:t>项目包干价</w:t>
      </w: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color w:val="000000" w:themeColor="text1"/>
          <w14:textFill>
            <w14:solidFill>
              <w14:schemeClr w14:val="tx1"/>
            </w14:solidFill>
          </w14:textFill>
        </w:rPr>
        <w:sym w:font="Wingdings 2" w:char="00A3"/>
      </w:r>
      <w:r>
        <w:rPr>
          <w:rFonts w:hint="eastAsia" w:ascii="仿宋_GB2312" w:hAnsi="仿宋_GB2312" w:eastAsia="仿宋_GB2312" w:cs="仿宋"/>
          <w:color w:val="000000" w:themeColor="text1"/>
          <w14:textFill>
            <w14:solidFill>
              <w14:schemeClr w14:val="tx1"/>
            </w14:solidFill>
          </w14:textFill>
        </w:rPr>
        <w:t>项目单价</w:t>
      </w:r>
    </w:p>
    <w:p w14:paraId="3788AFE9">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color w:val="000000" w:themeColor="text1"/>
          <w:lang w:eastAsia="zh-CN"/>
          <w14:textFill>
            <w14:solidFill>
              <w14:schemeClr w14:val="tx1"/>
            </w14:solidFill>
          </w14:textFill>
        </w:rPr>
        <w:sym w:font="Wingdings 2" w:char="0052"/>
      </w:r>
      <w:r>
        <w:rPr>
          <w:rFonts w:hint="eastAsia" w:ascii="黑体" w:hAnsi="黑体" w:eastAsia="黑体" w:cs="仿宋"/>
          <w:b/>
          <w:color w:val="000000" w:themeColor="text1"/>
          <w14:textFill>
            <w14:solidFill>
              <w14:schemeClr w14:val="tx1"/>
            </w14:solidFill>
          </w14:textFill>
        </w:rPr>
        <w:t>项目包干价。</w:t>
      </w:r>
      <w:r>
        <w:rPr>
          <w:rFonts w:ascii="仿宋_GB2312" w:hAnsi="仿宋_GB2312" w:eastAsia="仿宋_GB2312" w:cs="仿宋"/>
          <w:color w:val="000000" w:themeColor="text1"/>
          <w14:textFill>
            <w14:solidFill>
              <w14:schemeClr w14:val="tx1"/>
            </w14:solidFill>
          </w14:textFill>
        </w:rPr>
        <w:t>适用于设计施工图纸详尽完善</w:t>
      </w:r>
      <w:r>
        <w:rPr>
          <w:rFonts w:hint="eastAsia" w:ascii="仿宋_GB2312" w:hAnsi="仿宋_GB2312" w:eastAsia="仿宋_GB2312" w:cs="仿宋"/>
          <w:color w:val="000000" w:themeColor="text1"/>
          <w14:textFill>
            <w14:solidFill>
              <w14:schemeClr w14:val="tx1"/>
            </w14:solidFill>
          </w14:textFill>
        </w:rPr>
        <w:t>（即工程量固定），</w:t>
      </w:r>
      <w:r>
        <w:rPr>
          <w:rFonts w:ascii="仿宋_GB2312" w:hAnsi="仿宋_GB2312" w:eastAsia="仿宋_GB2312" w:cs="仿宋"/>
          <w:color w:val="000000" w:themeColor="text1"/>
          <w14:textFill>
            <w14:solidFill>
              <w14:schemeClr w14:val="tx1"/>
            </w14:solidFill>
          </w14:textFill>
        </w:rPr>
        <w:t>投资规模较小</w:t>
      </w:r>
      <w:r>
        <w:rPr>
          <w:rFonts w:hint="eastAsia" w:ascii="仿宋_GB2312" w:hAnsi="仿宋_GB2312" w:eastAsia="仿宋_GB2312" w:cs="仿宋"/>
          <w:color w:val="000000" w:themeColor="text1"/>
          <w14:textFill>
            <w14:solidFill>
              <w14:schemeClr w14:val="tx1"/>
            </w14:solidFill>
          </w14:textFill>
        </w:rPr>
        <w:t>、施工工期较短且</w:t>
      </w:r>
      <w:r>
        <w:rPr>
          <w:rFonts w:ascii="仿宋_GB2312" w:hAnsi="仿宋_GB2312" w:eastAsia="仿宋_GB2312" w:cs="仿宋"/>
          <w:color w:val="000000" w:themeColor="text1"/>
          <w14:textFill>
            <w14:solidFill>
              <w14:schemeClr w14:val="tx1"/>
            </w14:solidFill>
          </w14:textFill>
        </w:rPr>
        <w:t>施工内容相对简单的工程项目</w:t>
      </w:r>
      <w:r>
        <w:rPr>
          <w:rFonts w:hint="eastAsia" w:ascii="仿宋_GB2312" w:hAnsi="仿宋_GB2312" w:eastAsia="仿宋_GB2312" w:cs="仿宋"/>
          <w:color w:val="000000" w:themeColor="text1"/>
          <w14:textFill>
            <w14:solidFill>
              <w14:schemeClr w14:val="tx1"/>
            </w14:solidFill>
          </w14:textFill>
        </w:rPr>
        <w:t>。</w:t>
      </w:r>
    </w:p>
    <w:p w14:paraId="3391E553">
      <w:pPr>
        <w:spacing w:line="360" w:lineRule="auto"/>
        <w:ind w:firstLine="480" w:firstLineChars="200"/>
        <w:rPr>
          <w:rFonts w:hint="eastAsia"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参加采购活动的供应商应当全部响应采购人提供的工程量清单，供应商直接给出其完成本项目全部工作内容所需的总价，不再提供已标价工程量清单。</w:t>
      </w:r>
    </w:p>
    <w:p w14:paraId="17727DCC">
      <w:pPr>
        <w:spacing w:line="360" w:lineRule="auto"/>
        <w:ind w:firstLine="480" w:firstLineChars="200"/>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供应商应根据采购人提供的竞争性谈判文件，按照供应商实际情况进行投标报价，报价应包括但不限于采购项目概况以及方案、图纸涉及的所有内容。供应商应充分考虑本项目合同实施期间可能发生的一切费用，合同履行期间不再增加任何费用，并充分考虑市场情况，承担由此而带来的全部风险。</w:t>
      </w:r>
    </w:p>
    <w:p w14:paraId="0D849B5D">
      <w:pPr>
        <w:pStyle w:val="21"/>
        <w:spacing w:line="360" w:lineRule="auto"/>
        <w:ind w:firstLine="602" w:firstLineChars="250"/>
        <w:rPr>
          <w:rFonts w:ascii="仿宋_GB2312" w:hAnsi="仿宋_GB2312" w:eastAsia="仿宋_GB2312" w:cs="仿宋"/>
          <w:b/>
          <w:bCs/>
          <w:color w:val="000000" w:themeColor="text1"/>
          <w14:textFill>
            <w14:solidFill>
              <w14:schemeClr w14:val="tx1"/>
            </w14:solidFill>
          </w14:textFill>
        </w:rPr>
      </w:pPr>
      <w:r>
        <w:rPr>
          <w:rFonts w:hint="eastAsia" w:ascii="仿宋_GB2312" w:hAnsi="仿宋_GB2312" w:eastAsia="仿宋_GB2312" w:cs="仿宋"/>
          <w:b/>
          <w:bCs/>
          <w:color w:val="000000" w:themeColor="text1"/>
          <w14:textFill>
            <w14:solidFill>
              <w14:schemeClr w14:val="tx1"/>
            </w14:solidFill>
          </w14:textFill>
        </w:rPr>
        <w:t>说明</w:t>
      </w:r>
      <w:r>
        <w:rPr>
          <w:rFonts w:hint="eastAsia" w:ascii="仿宋_GB2312" w:hAnsi="仿宋_GB2312" w:eastAsia="仿宋_GB2312" w:cs="仿宋"/>
          <w:b/>
          <w:bCs/>
          <w:color w:val="000000" w:themeColor="text1"/>
          <w:lang w:eastAsia="zh-CN"/>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采购人选择采用此种报价方式的，应当科学测算项目工程量，避免工程量调整造成财政资金浪费。</w:t>
      </w:r>
    </w:p>
    <w:p w14:paraId="018D3660">
      <w:pPr>
        <w:spacing w:line="360" w:lineRule="auto"/>
        <w:ind w:firstLine="482" w:firstLineChars="200"/>
        <w:rPr>
          <w:rFonts w:ascii="仿宋_GB2312" w:hAnsi="仿宋_GB2312" w:eastAsia="仿宋_GB2312" w:cs="仿宋"/>
          <w:color w:val="000000" w:themeColor="text1"/>
          <w14:textFill>
            <w14:solidFill>
              <w14:schemeClr w14:val="tx1"/>
            </w14:solidFill>
          </w14:textFill>
        </w:rPr>
      </w:pPr>
      <w:r>
        <w:rPr>
          <w:rFonts w:hint="eastAsia" w:ascii="黑体" w:hAnsi="黑体" w:eastAsia="黑体" w:cs="仿宋"/>
          <w:b/>
          <w:color w:val="000000" w:themeColor="text1"/>
          <w14:textFill>
            <w14:solidFill>
              <w14:schemeClr w14:val="tx1"/>
            </w14:solidFill>
          </w14:textFill>
        </w:rPr>
        <w:sym w:font="Wingdings 2" w:char="00A3"/>
      </w:r>
      <w:r>
        <w:rPr>
          <w:rFonts w:hint="eastAsia" w:ascii="黑体" w:hAnsi="黑体" w:eastAsia="黑体" w:cs="仿宋"/>
          <w:b/>
          <w:color w:val="000000" w:themeColor="text1"/>
          <w14:textFill>
            <w14:solidFill>
              <w14:schemeClr w14:val="tx1"/>
            </w14:solidFill>
          </w14:textFill>
        </w:rPr>
        <w:t>项目单价。</w:t>
      </w:r>
      <w:r>
        <w:rPr>
          <w:rFonts w:hint="eastAsia" w:ascii="仿宋_GB2312" w:hAnsi="仿宋_GB2312" w:eastAsia="仿宋_GB2312" w:cs="仿宋"/>
          <w:color w:val="000000" w:themeColor="text1"/>
          <w14:textFill>
            <w14:solidFill>
              <w14:schemeClr w14:val="tx1"/>
            </w14:solidFill>
          </w14:textFill>
        </w:rPr>
        <w:t>适用于工程量事先无法准确确定的工程项目。</w:t>
      </w:r>
    </w:p>
    <w:p w14:paraId="0B69C41B">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供应商在首次提交的响应文件中的报价（即首次报价）应按谈判文件及工程量清单编制要求，</w:t>
      </w:r>
      <w:r>
        <w:rPr>
          <w:rFonts w:ascii="仿宋_GB2312" w:hAnsi="仿宋_GB2312" w:eastAsia="仿宋_GB2312" w:cs="仿宋"/>
          <w:color w:val="000000" w:themeColor="text1"/>
          <w14:textFill>
            <w14:solidFill>
              <w14:schemeClr w14:val="tx1"/>
            </w14:solidFill>
          </w14:textFill>
        </w:rPr>
        <w:t>逐一</w:t>
      </w:r>
      <w:r>
        <w:rPr>
          <w:rFonts w:hint="eastAsia" w:ascii="仿宋_GB2312" w:hAnsi="仿宋_GB2312" w:eastAsia="仿宋_GB2312" w:cs="仿宋"/>
          <w:color w:val="000000" w:themeColor="text1"/>
          <w14:textFill>
            <w14:solidFill>
              <w14:schemeClr w14:val="tx1"/>
            </w14:solidFill>
          </w14:textFill>
        </w:rPr>
        <w:t>列出报价的构成及明细，并提供已标价工程量清单。</w:t>
      </w:r>
      <w:r>
        <w:rPr>
          <w:rFonts w:ascii="仿宋_GB2312" w:hAnsi="仿宋_GB2312" w:eastAsia="仿宋_GB2312" w:cs="仿宋"/>
          <w:color w:val="000000" w:themeColor="text1"/>
          <w14:textFill>
            <w14:solidFill>
              <w14:schemeClr w14:val="tx1"/>
            </w14:solidFill>
          </w14:textFill>
        </w:rPr>
        <w:t>已标价工程量清单的扉页（仅指投标总价扉页）应由注册或登记在本单位的造价人员签字并盖执业印章。除此之外，造价人员无需在响应文件其他任何地方签字或盖执业印章。供应商委托工程造价咨询企业编制已标价工程量清单的，应在响应文件中附工程造价咨询委托合同，由注册或登记在工程造价咨询企业的造价人员签字并盖执业印章。</w:t>
      </w:r>
    </w:p>
    <w:p w14:paraId="68D8F056">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供应商提交的已标价工程量清单应符合本项目工程量清单以及清单说明的要求。当供应商的已标价工程量清单有下列情形之一的，应按照无效响应文件处理。</w:t>
      </w:r>
    </w:p>
    <w:p w14:paraId="64E7994F">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（一）供应商对工程量清单中的分部分项工程量清单项目（说明：根据建筑、水利、交通等确定具体表述）的单价未填报或填报为零的，视为未完全响应工程量清单，作无效处理；</w:t>
      </w:r>
    </w:p>
    <w:p w14:paraId="115BA55C">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（二）已标价工程量清单的项目编码、项目名称、项目特征（与采购人提供的工程量清单中的项目特征的实质性内容一致的除外）、计量单位、工程量与采购人提供的工程量清单不一致的；</w:t>
      </w:r>
    </w:p>
    <w:p w14:paraId="7F3BAF5D">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三）谈判文件已明确各单位工程安全文明施工费中的环境保护费、文明施工费、安全施工费、临时设施费金额并要求按此金额填报而供应商填报错误或未填报的，或供应商未按相关计价规定计取安全文明施工费的；</w:t>
      </w:r>
    </w:p>
    <w:p w14:paraId="0B27BA1E">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（四）谈判文件已明确各单位工程规费金额并要求按此金额填报而供应商填报错误或未填报的，或供应商未按相关计价规定计取规费的；</w:t>
      </w:r>
    </w:p>
    <w:p w14:paraId="09EF9B26">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（五）谈判文件若已明确创优质工程奖补偿奖励费金额并要求按此金额填报而供应商填报错误或未填报的；</w:t>
      </w:r>
    </w:p>
    <w:p w14:paraId="11915E78">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（六）已标价工程量清单中暂列金额未按工程量清单中列明的金额填报的；</w:t>
      </w:r>
    </w:p>
    <w:p w14:paraId="085E1D44">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（七）已标价工程量清单中材料、工程设备暂估价未按工程量清单中列出的单价计入综合单价的；</w:t>
      </w:r>
    </w:p>
    <w:p w14:paraId="22EABF11">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（八）已标价工程量清单中专业工程暂估价未按工程量清单中列明的金额填写的；</w:t>
      </w:r>
    </w:p>
    <w:p w14:paraId="2610610F">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（九）已标价工程量清单中计日工未按工程量清单中列明的数量进行报价的；</w:t>
      </w:r>
    </w:p>
    <w:p w14:paraId="290AC055">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（十）单价、合价或总价，不论其大写金额或小写金额均只能有一个，否则，作无效处理。</w:t>
      </w:r>
    </w:p>
    <w:p w14:paraId="020E9BA5">
      <w:pPr>
        <w:tabs>
          <w:tab w:val="left" w:pos="1134"/>
        </w:tabs>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若供应商的最后报价只有一个总价，则供应商应当提交相应调整部分的报价构成及明细，并结合首次报价提供的已标价工程量清单，重新计算总报价。</w:t>
      </w:r>
    </w:p>
    <w:p w14:paraId="6CAB97A0">
      <w:pPr>
        <w:pStyle w:val="21"/>
        <w:spacing w:line="360" w:lineRule="auto"/>
        <w:ind w:firstLine="48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供应商报价超过政府采购预算或最高限价（金额详见“供应商须知附表”）的，</w:t>
      </w:r>
      <w:r>
        <w:rPr>
          <w:rFonts w:ascii="仿宋_GB2312" w:hAnsi="仿宋_GB2312" w:eastAsia="仿宋_GB2312" w:cs="仿宋"/>
          <w:color w:val="000000" w:themeColor="text1"/>
          <w14:textFill>
            <w14:solidFill>
              <w14:schemeClr w14:val="tx1"/>
            </w14:solidFill>
          </w14:textFill>
        </w:rPr>
        <w:t>其响应文件按无效处理</w:t>
      </w:r>
      <w:r>
        <w:rPr>
          <w:rFonts w:hint="eastAsia" w:ascii="仿宋_GB2312" w:hAnsi="仿宋_GB2312" w:eastAsia="仿宋_GB2312" w:cs="仿宋"/>
          <w:color w:val="000000" w:themeColor="text1"/>
          <w14:textFill>
            <w14:solidFill>
              <w14:schemeClr w14:val="tx1"/>
            </w14:solidFill>
          </w14:textFill>
        </w:rPr>
        <w:t>。</w:t>
      </w:r>
    </w:p>
    <w:p w14:paraId="459BFBBB">
      <w:pPr>
        <w:spacing w:line="360" w:lineRule="auto"/>
        <w:ind w:left="2" w:leftChars="1" w:firstLine="482" w:firstLineChars="200"/>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4.</w:t>
      </w:r>
      <w:r>
        <w:rPr>
          <w:rFonts w:hint="eastAsia" w:ascii="仿宋_GB2312" w:hAnsi="仿宋_GB2312" w:eastAsia="仿宋_GB2312" w:cs="仿宋"/>
          <w:b/>
          <w:bCs/>
          <w:color w:val="000000" w:themeColor="text1"/>
          <w14:textFill>
            <w14:solidFill>
              <w14:schemeClr w14:val="tx1"/>
            </w14:solidFill>
          </w14:textFill>
        </w:rPr>
        <w:t>响应文件格式</w:t>
      </w:r>
    </w:p>
    <w:p w14:paraId="72805C90">
      <w:pPr>
        <w:spacing w:line="360" w:lineRule="auto"/>
        <w:ind w:left="2" w:leftChars="1"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4.1 </w:t>
      </w:r>
      <w:r>
        <w:rPr>
          <w:rFonts w:hint="eastAsia" w:ascii="仿宋_GB2312" w:hAnsi="仿宋_GB2312" w:eastAsia="仿宋_GB2312" w:cs="仿宋"/>
          <w:color w:val="000000" w:themeColor="text1"/>
          <w14:textFill>
            <w14:solidFill>
              <w14:schemeClr w14:val="tx1"/>
            </w14:solidFill>
          </w14:textFill>
        </w:rPr>
        <w:t>供应商应执行谈判文件第七章的规定要求。</w:t>
      </w:r>
    </w:p>
    <w:p w14:paraId="437FB4BE">
      <w:pPr>
        <w:spacing w:line="360" w:lineRule="auto"/>
        <w:ind w:left="2" w:leftChars="1"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4.2 </w:t>
      </w:r>
      <w:r>
        <w:rPr>
          <w:rFonts w:hint="eastAsia" w:ascii="仿宋_GB2312" w:hAnsi="仿宋_GB2312" w:eastAsia="仿宋_GB2312" w:cs="仿宋"/>
          <w:color w:val="000000" w:themeColor="text1"/>
          <w14:textFill>
            <w14:solidFill>
              <w14:schemeClr w14:val="tx1"/>
            </w14:solidFill>
          </w14:textFill>
        </w:rPr>
        <w:t>对于谈判文件没有格式要求的由供应商自行编写。</w:t>
      </w:r>
      <w:bookmarkStart w:id="39" w:name="_Toc183682361"/>
      <w:bookmarkStart w:id="40" w:name="_Toc217446051"/>
      <w:bookmarkStart w:id="41" w:name="_Toc183582224"/>
    </w:p>
    <w:p w14:paraId="5848C624">
      <w:pPr>
        <w:spacing w:line="360" w:lineRule="auto"/>
        <w:ind w:firstLine="472" w:firstLineChars="196"/>
        <w:rPr>
          <w:rFonts w:ascii="仿宋_GB2312" w:hAnsi="仿宋_GB2312" w:eastAsia="仿宋_GB2312" w:cs="仿宋"/>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5.</w:t>
      </w:r>
      <w:r>
        <w:rPr>
          <w:rFonts w:hint="eastAsia" w:ascii="仿宋_GB2312" w:hAnsi="仿宋_GB2312" w:eastAsia="仿宋_GB2312" w:cs="仿宋"/>
          <w:b/>
          <w:bCs/>
          <w:color w:val="000000" w:themeColor="text1"/>
          <w14:textFill>
            <w14:solidFill>
              <w14:schemeClr w14:val="tx1"/>
            </w14:solidFill>
          </w14:textFill>
        </w:rPr>
        <w:t>响应文件的编制和盖章</w:t>
      </w:r>
    </w:p>
    <w:p w14:paraId="5A7B9C14">
      <w:pPr>
        <w:spacing w:line="360" w:lineRule="auto"/>
        <w:ind w:left="2" w:leftChars="1"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5.1</w:t>
      </w:r>
      <w:r>
        <w:rPr>
          <w:rFonts w:hint="eastAsia" w:ascii="仿宋_GB2312" w:hAnsi="仿宋_GB2312" w:eastAsia="仿宋_GB2312" w:cs="仿宋"/>
          <w:color w:val="000000" w:themeColor="text1"/>
          <w14:textFill>
            <w14:solidFill>
              <w14:schemeClr w14:val="tx1"/>
            </w14:solidFill>
          </w14:textFill>
        </w:rPr>
        <w:t>供应商应当认真阅读和充分理解谈判文件中所有的事项、格式条款和规范要求。</w:t>
      </w:r>
    </w:p>
    <w:p w14:paraId="0117AB76">
      <w:pPr>
        <w:spacing w:line="360" w:lineRule="auto"/>
        <w:ind w:left="2" w:leftChars="1" w:firstLine="480" w:firstLineChars="200"/>
        <w:rPr>
          <w:rFonts w:ascii="仿宋_GB2312" w:hAnsi="仿宋_GB2312" w:eastAsia="仿宋_GB2312" w:cs="仿宋"/>
          <w:color w:val="000000" w:themeColor="text1"/>
          <w:lang w:val="zh-CN"/>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w:t>
      </w:r>
      <w:r>
        <w:rPr>
          <w:rFonts w:hint="eastAsia"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lang w:val="zh-CN"/>
          <w14:textFill>
            <w14:solidFill>
              <w14:schemeClr w14:val="tx1"/>
            </w14:solidFill>
          </w14:textFill>
        </w:rPr>
        <w:t>供应商响应文件中提供的各种材料（</w:t>
      </w:r>
      <w:r>
        <w:rPr>
          <w:rFonts w:ascii="仿宋_GB2312" w:hAnsi="仿宋_GB2312" w:eastAsia="仿宋_GB2312" w:cs="仿宋"/>
          <w:color w:val="000000" w:themeColor="text1"/>
          <w14:textFill>
            <w14:solidFill>
              <w14:schemeClr w14:val="tx1"/>
            </w14:solidFill>
          </w14:textFill>
        </w:rPr>
        <w:t>包括提供的第三方出具的</w:t>
      </w:r>
      <w:r>
        <w:rPr>
          <w:rFonts w:hint="eastAsia" w:ascii="仿宋_GB2312" w:hAnsi="仿宋_GB2312" w:eastAsia="仿宋_GB2312" w:cs="仿宋"/>
          <w:color w:val="000000" w:themeColor="text1"/>
          <w14:textFill>
            <w14:solidFill>
              <w14:schemeClr w14:val="tx1"/>
            </w14:solidFill>
          </w14:textFill>
        </w:rPr>
        <w:t>材</w:t>
      </w:r>
      <w:r>
        <w:rPr>
          <w:rFonts w:ascii="仿宋_GB2312" w:hAnsi="仿宋_GB2312" w:eastAsia="仿宋_GB2312" w:cs="仿宋"/>
          <w:color w:val="000000" w:themeColor="text1"/>
          <w14:textFill>
            <w14:solidFill>
              <w14:schemeClr w14:val="tx1"/>
            </w14:solidFill>
          </w14:textFill>
        </w:rPr>
        <w:t>料</w:t>
      </w: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val="zh-CN"/>
          <w14:textFill>
            <w14:solidFill>
              <w14:schemeClr w14:val="tx1"/>
            </w14:solidFill>
          </w14:textFill>
        </w:rPr>
        <w:t>、声明和承诺等所有内容均应当真实有效，</w:t>
      </w:r>
      <w:r>
        <w:rPr>
          <w:rFonts w:ascii="仿宋_GB2312" w:hAnsi="仿宋_GB2312" w:eastAsia="仿宋_GB2312" w:cs="仿宋"/>
          <w:color w:val="000000" w:themeColor="text1"/>
          <w14:textFill>
            <w14:solidFill>
              <w14:schemeClr w14:val="tx1"/>
            </w14:solidFill>
          </w14:textFill>
        </w:rPr>
        <w:t>供应商自行承担</w:t>
      </w:r>
      <w:r>
        <w:rPr>
          <w:rFonts w:hint="eastAsia" w:ascii="仿宋_GB2312" w:hAnsi="仿宋_GB2312" w:eastAsia="仿宋_GB2312" w:cs="仿宋"/>
          <w:color w:val="000000" w:themeColor="text1"/>
          <w:lang w:val="zh-CN"/>
          <w14:textFill>
            <w14:solidFill>
              <w14:schemeClr w14:val="tx1"/>
            </w14:solidFill>
          </w14:textFill>
        </w:rPr>
        <w:t>出现无效、虚假等内容</w:t>
      </w:r>
      <w:r>
        <w:rPr>
          <w:rFonts w:ascii="仿宋_GB2312" w:hAnsi="仿宋_GB2312" w:eastAsia="仿宋_GB2312" w:cs="仿宋"/>
          <w:color w:val="000000" w:themeColor="text1"/>
          <w14:textFill>
            <w14:solidFill>
              <w14:schemeClr w14:val="tx1"/>
            </w14:solidFill>
          </w14:textFill>
        </w:rPr>
        <w:t>所带来的不利后果</w:t>
      </w:r>
      <w:r>
        <w:rPr>
          <w:rFonts w:hint="eastAsia" w:ascii="仿宋_GB2312" w:hAnsi="仿宋_GB2312" w:eastAsia="仿宋_GB2312" w:cs="仿宋"/>
          <w:color w:val="000000" w:themeColor="text1"/>
          <w:lang w:val="zh-CN"/>
          <w14:textFill>
            <w14:solidFill>
              <w14:schemeClr w14:val="tx1"/>
            </w14:solidFill>
          </w14:textFill>
        </w:rPr>
        <w:t>。</w:t>
      </w:r>
    </w:p>
    <w:p w14:paraId="3B7D0245">
      <w:pPr>
        <w:spacing w:line="360" w:lineRule="auto"/>
        <w:ind w:left="2" w:leftChars="1"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w:t>
      </w:r>
      <w:r>
        <w:rPr>
          <w:rFonts w:hint="eastAsia" w:ascii="仿宋_GB2312" w:hAnsi="仿宋_GB2312" w:eastAsia="仿宋_GB2312" w:cs="仿宋"/>
          <w:color w:val="000000" w:themeColor="text1"/>
          <w14:textFill>
            <w14:solidFill>
              <w14:schemeClr w14:val="tx1"/>
            </w14:solidFill>
          </w14:textFill>
        </w:rPr>
        <w:t>.3供应商应当按照谈判文件规定、</w:t>
      </w:r>
      <w:r>
        <w:rPr>
          <w:rFonts w:hint="eastAsia" w:ascii="仿宋_GB2312" w:hAnsi="仿宋_GB2312" w:eastAsia="仿宋_GB2312" w:cs="仿宋"/>
          <w:color w:val="000000" w:themeColor="text1"/>
          <w:lang w:val="en-US" w:eastAsia="zh-CN"/>
          <w14:textFill>
            <w14:solidFill>
              <w14:schemeClr w14:val="tx1"/>
            </w14:solidFill>
          </w14:textFill>
        </w:rPr>
        <w:t>报名领取</w:t>
      </w:r>
      <w:r>
        <w:rPr>
          <w:rFonts w:hint="eastAsia" w:ascii="仿宋_GB2312" w:hAnsi="仿宋_GB2312" w:eastAsia="仿宋_GB2312" w:cs="仿宋"/>
          <w:color w:val="000000" w:themeColor="text1"/>
          <w14:textFill>
            <w14:solidFill>
              <w14:schemeClr w14:val="tx1"/>
            </w14:solidFill>
          </w14:textFill>
        </w:rPr>
        <w:t>响应文件，并对其提交的响应文件的真实性、合法性承担法律责任。</w:t>
      </w:r>
    </w:p>
    <w:p w14:paraId="5AFDB1CA">
      <w:pPr>
        <w:spacing w:line="360" w:lineRule="auto"/>
        <w:ind w:left="2" w:leftChars="1"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w:t>
      </w:r>
      <w:r>
        <w:rPr>
          <w:rFonts w:hint="eastAsia" w:ascii="仿宋_GB2312" w:hAnsi="仿宋_GB2312" w:eastAsia="仿宋_GB2312" w:cs="仿宋"/>
          <w:color w:val="000000" w:themeColor="text1"/>
          <w14:textFill>
            <w14:solidFill>
              <w14:schemeClr w14:val="tx1"/>
            </w14:solidFill>
          </w14:textFill>
        </w:rPr>
        <w:t>.4响应文件中的附件或者图片的内容信息应当清晰可辨，否则供应商自行承担不利后果。</w:t>
      </w:r>
    </w:p>
    <w:p w14:paraId="77FC5845">
      <w:pPr>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w:t>
      </w:r>
      <w:r>
        <w:rPr>
          <w:rFonts w:hint="eastAsia" w:ascii="仿宋_GB2312" w:hAnsi="仿宋_GB2312" w:eastAsia="仿宋_GB2312" w:cs="仿宋"/>
          <w:color w:val="000000" w:themeColor="text1"/>
          <w14:textFill>
            <w14:solidFill>
              <w14:schemeClr w14:val="tx1"/>
            </w14:solidFill>
          </w14:textFill>
        </w:rPr>
        <w:t>.5</w:t>
      </w:r>
      <w:r>
        <w:rPr>
          <w:rFonts w:hint="eastAsia" w:ascii="仿宋_GB2312" w:hAnsi="仿宋_GB2312" w:eastAsia="仿宋_GB2312" w:cs="仿宋"/>
          <w:b/>
          <w:color w:val="000000" w:themeColor="text1"/>
          <w14:textFill>
            <w14:solidFill>
              <w14:schemeClr w14:val="tx1"/>
            </w14:solidFill>
          </w14:textFill>
        </w:rPr>
        <w:t>（实质性要求）</w:t>
      </w:r>
      <w:r>
        <w:rPr>
          <w:rFonts w:hint="eastAsia" w:ascii="仿宋_GB2312" w:hAnsi="仿宋_GB2312" w:eastAsia="仿宋_GB2312" w:cs="仿宋"/>
          <w:color w:val="000000" w:themeColor="text1"/>
          <w14:textFill>
            <w14:solidFill>
              <w14:schemeClr w14:val="tx1"/>
            </w14:solidFill>
          </w14:textFill>
        </w:rPr>
        <w:t>本项目谈判文件及其“响应文件格式”中规定需要供应商加盖公章。</w:t>
      </w:r>
      <w:bookmarkEnd w:id="39"/>
      <w:bookmarkEnd w:id="40"/>
      <w:bookmarkEnd w:id="41"/>
      <w:r>
        <w:rPr>
          <w:rFonts w:hint="eastAsia" w:ascii="仿宋_GB2312" w:hAnsi="仿宋_GB2312" w:eastAsia="仿宋_GB2312" w:cs="仿宋"/>
          <w:color w:val="000000" w:themeColor="text1"/>
          <w14:textFill>
            <w14:solidFill>
              <w14:schemeClr w14:val="tx1"/>
            </w14:solidFill>
          </w14:textFill>
        </w:rPr>
        <w:t>谈判过程中供应商提交的响应文件（包括澄清、说明、报价等）应当由供应商的法定代表人/负责人或授权代表现场签字确认，交由采购</w:t>
      </w:r>
      <w:r>
        <w:rPr>
          <w:rFonts w:hint="eastAsia" w:ascii="仿宋_GB2312" w:hAnsi="仿宋_GB2312" w:eastAsia="仿宋_GB2312" w:cs="仿宋"/>
          <w:color w:val="000000" w:themeColor="text1"/>
          <w:lang w:val="en-US"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供谈判小组评审。</w:t>
      </w:r>
    </w:p>
    <w:p w14:paraId="45ABD462">
      <w:pPr>
        <w:tabs>
          <w:tab w:val="left" w:pos="1080"/>
        </w:tabs>
        <w:adjustRightInd w:val="0"/>
        <w:snapToGrid w:val="0"/>
        <w:spacing w:line="360" w:lineRule="auto"/>
        <w:ind w:firstLine="463" w:firstLineChars="192"/>
        <w:rPr>
          <w:rFonts w:ascii="仿宋_GB2312" w:hAnsi="仿宋_GB2312" w:eastAsia="仿宋_GB2312"/>
          <w:b/>
          <w:bCs/>
          <w:color w:val="000000" w:themeColor="text1"/>
          <w14:textFill>
            <w14:solidFill>
              <w14:schemeClr w14:val="tx1"/>
            </w14:solidFill>
          </w14:textFill>
        </w:rPr>
      </w:pPr>
      <w:bookmarkStart w:id="42" w:name="_Toc217446053"/>
      <w:bookmarkStart w:id="43" w:name="_Toc89075877"/>
      <w:bookmarkStart w:id="44" w:name="_Toc183682363"/>
      <w:bookmarkStart w:id="45" w:name="_Toc77400781"/>
      <w:bookmarkStart w:id="46" w:name="_Toc183582226"/>
      <w:r>
        <w:rPr>
          <w:rFonts w:ascii="仿宋_GB2312" w:hAnsi="仿宋_GB2312" w:eastAsia="仿宋_GB2312" w:cs="仿宋"/>
          <w:b/>
          <w:bCs/>
          <w:color w:val="000000" w:themeColor="text1"/>
          <w14:textFill>
            <w14:solidFill>
              <w14:schemeClr w14:val="tx1"/>
            </w14:solidFill>
          </w14:textFill>
        </w:rPr>
        <w:t>7.</w:t>
      </w:r>
      <w:r>
        <w:rPr>
          <w:rFonts w:hint="eastAsia" w:ascii="仿宋_GB2312" w:hAnsi="仿宋_GB2312" w:eastAsia="仿宋_GB2312" w:cs="仿宋"/>
          <w:b/>
          <w:bCs/>
          <w:color w:val="000000" w:themeColor="text1"/>
          <w14:textFill>
            <w14:solidFill>
              <w14:schemeClr w14:val="tx1"/>
            </w14:solidFill>
          </w14:textFill>
        </w:rPr>
        <w:t>响应文件的拒收、补充、修改和撤回</w:t>
      </w:r>
    </w:p>
    <w:p w14:paraId="265C8D34">
      <w:pPr>
        <w:shd w:val="clear" w:color="auto" w:fill="FFFFFF"/>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7</w:t>
      </w:r>
      <w:r>
        <w:rPr>
          <w:rFonts w:hint="eastAsia" w:ascii="仿宋_GB2312" w:hAnsi="仿宋_GB2312" w:eastAsia="仿宋_GB2312" w:cs="仿宋"/>
          <w:color w:val="000000" w:themeColor="text1"/>
          <w14:textFill>
            <w14:solidFill>
              <w14:schemeClr w14:val="tx1"/>
            </w14:solidFill>
          </w14:textFill>
        </w:rPr>
        <w:t>.1</w:t>
      </w:r>
      <w:bookmarkEnd w:id="42"/>
      <w:bookmarkEnd w:id="43"/>
      <w:bookmarkEnd w:id="44"/>
      <w:bookmarkEnd w:id="45"/>
      <w:bookmarkEnd w:id="46"/>
      <w:bookmarkStart w:id="47" w:name="_Toc183582228"/>
      <w:bookmarkStart w:id="48" w:name="_Toc183682365"/>
      <w:bookmarkStart w:id="49" w:name="_Toc217446055"/>
      <w:r>
        <w:rPr>
          <w:rFonts w:hint="eastAsia" w:ascii="仿宋_GB2312" w:hAnsi="仿宋_GB2312" w:eastAsia="仿宋_GB2312" w:cs="仿宋"/>
          <w:color w:val="000000" w:themeColor="text1"/>
          <w14:textFill>
            <w14:solidFill>
              <w14:schemeClr w14:val="tx1"/>
            </w14:solidFill>
          </w14:textFill>
        </w:rPr>
        <w:t>供应商应当按照谈判文件规定规范编制、确认、响应文件，并在响应文件提交截止时间前</w:t>
      </w:r>
      <w:r>
        <w:rPr>
          <w:rFonts w:hint="eastAsia" w:ascii="仿宋_GB2312" w:hAnsi="仿宋_GB2312" w:eastAsia="仿宋_GB2312" w:cs="仿宋"/>
          <w:color w:val="000000" w:themeColor="text1"/>
          <w:lang w:val="en-US" w:eastAsia="zh-CN"/>
          <w14:textFill>
            <w14:solidFill>
              <w14:schemeClr w14:val="tx1"/>
            </w14:solidFill>
          </w14:textFill>
        </w:rPr>
        <w:t>现场</w:t>
      </w:r>
      <w:r>
        <w:rPr>
          <w:rFonts w:hint="eastAsia" w:ascii="仿宋_GB2312" w:hAnsi="仿宋_GB2312" w:eastAsia="仿宋_GB2312" w:cs="仿宋"/>
          <w:color w:val="000000" w:themeColor="text1"/>
          <w14:textFill>
            <w14:solidFill>
              <w14:schemeClr w14:val="tx1"/>
            </w14:solidFill>
          </w14:textFill>
        </w:rPr>
        <w:t>提交。</w:t>
      </w:r>
    </w:p>
    <w:p w14:paraId="55CE5DCF">
      <w:pPr>
        <w:shd w:val="clear" w:color="auto" w:fill="FFFFFF"/>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未按前款规定编制、确认、提交的响应文件，将被拒绝接收。</w:t>
      </w:r>
    </w:p>
    <w:p w14:paraId="0883C762">
      <w:pPr>
        <w:shd w:val="clear" w:color="auto" w:fill="FFFFFF"/>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成功提交响应文件的供应商信息，在响应文件提交截止时间前应当保密。</w:t>
      </w:r>
    </w:p>
    <w:p w14:paraId="41209FBB">
      <w:pPr>
        <w:shd w:val="clear" w:color="auto" w:fill="FFFFFF"/>
        <w:adjustRightInd w:val="0"/>
        <w:snapToGrid w:val="0"/>
        <w:spacing w:line="360" w:lineRule="auto"/>
        <w:ind w:firstLine="480" w:firstLineChars="200"/>
        <w:rPr>
          <w:rFonts w:ascii="仿宋_GB2312" w:hAnsi="仿宋_GB2312" w:eastAsia="仿宋_GB2312"/>
          <w:color w:val="000000" w:themeColor="text1"/>
          <w:sz w:val="32"/>
          <w:szCs w:val="32"/>
          <w:shd w:val="clear" w:color="auto" w:fill="FFFFFF"/>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7.</w:t>
      </w:r>
      <w:r>
        <w:rPr>
          <w:rFonts w:hint="eastAsia" w:ascii="仿宋_GB2312" w:hAnsi="仿宋_GB2312" w:eastAsia="仿宋_GB2312" w:cs="仿宋"/>
          <w:color w:val="000000" w:themeColor="text1"/>
          <w14:textFill>
            <w14:solidFill>
              <w14:schemeClr w14:val="tx1"/>
            </w14:solidFill>
          </w14:textFill>
        </w:rPr>
        <w:t>2响应文件提交截止时间前，成功提交响应文件的供应商，可以补充、修改或者撤回已提交的响应文件；进行补充、修改的，应当先行撤回已提交的响应文件，补充、修改的后重新提交。</w:t>
      </w:r>
    </w:p>
    <w:p w14:paraId="1556A0E9">
      <w:pPr>
        <w:tabs>
          <w:tab w:val="left" w:pos="1080"/>
        </w:tabs>
        <w:adjustRightInd w:val="0"/>
        <w:snapToGrid w:val="0"/>
        <w:spacing w:line="360" w:lineRule="auto"/>
        <w:ind w:firstLine="460" w:firstLineChars="192"/>
        <w:jc w:val="both"/>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7</w:t>
      </w:r>
      <w:r>
        <w:rPr>
          <w:rFonts w:hint="eastAsia" w:ascii="仿宋_GB2312" w:hAnsi="仿宋_GB2312" w:eastAsia="仿宋_GB2312" w:cs="仿宋"/>
          <w:color w:val="000000" w:themeColor="text1"/>
          <w14:textFill>
            <w14:solidFill>
              <w14:schemeClr w14:val="tx1"/>
            </w14:solidFill>
          </w14:textFill>
        </w:rPr>
        <w:t>.3除供应商外，其他任何单位和个人不得</w:t>
      </w:r>
      <w:r>
        <w:rPr>
          <w:rFonts w:hint="eastAsia" w:ascii="仿宋_GB2312" w:hAnsi="仿宋_GB2312" w:eastAsia="仿宋_GB2312" w:cs="仿宋"/>
          <w:color w:val="000000" w:themeColor="text1"/>
          <w:lang w:val="en-US" w:eastAsia="zh-CN"/>
          <w14:textFill>
            <w14:solidFill>
              <w14:schemeClr w14:val="tx1"/>
            </w14:solidFill>
          </w14:textFill>
        </w:rPr>
        <w:t>拆解</w:t>
      </w:r>
      <w:r>
        <w:rPr>
          <w:rFonts w:hint="eastAsia" w:ascii="仿宋_GB2312" w:hAnsi="仿宋_GB2312" w:eastAsia="仿宋_GB2312" w:cs="仿宋"/>
          <w:color w:val="000000" w:themeColor="text1"/>
          <w14:textFill>
            <w14:solidFill>
              <w14:schemeClr w14:val="tx1"/>
            </w14:solidFill>
          </w14:textFill>
        </w:rPr>
        <w:t>其响应文件。</w:t>
      </w:r>
      <w:bookmarkEnd w:id="47"/>
      <w:bookmarkEnd w:id="48"/>
      <w:bookmarkEnd w:id="49"/>
    </w:p>
    <w:p w14:paraId="67CF8D08">
      <w:pPr>
        <w:spacing w:line="360" w:lineRule="auto"/>
        <w:ind w:firstLine="480"/>
        <w:jc w:val="center"/>
        <w:rPr>
          <w:rFonts w:ascii="仿宋_GB2312" w:hAnsi="仿宋_GB2312" w:eastAsia="仿宋_GB2312" w:cs="仿宋"/>
          <w:b/>
          <w:bCs/>
          <w:color w:val="000000" w:themeColor="text1"/>
          <w:sz w:val="32"/>
          <w:szCs w:val="32"/>
          <w14:textFill>
            <w14:solidFill>
              <w14:schemeClr w14:val="tx1"/>
            </w14:solidFill>
          </w14:textFill>
        </w:rPr>
      </w:pPr>
      <w:bookmarkStart w:id="50" w:name="_Toc89075878"/>
      <w:bookmarkStart w:id="51" w:name="_Toc183582231"/>
      <w:bookmarkStart w:id="52" w:name="_Toc77400782"/>
      <w:bookmarkStart w:id="53" w:name="_Toc217446056"/>
      <w:bookmarkStart w:id="54" w:name="_Toc183682368"/>
      <w:r>
        <w:rPr>
          <w:rFonts w:hint="eastAsia" w:ascii="仿宋_GB2312" w:hAnsi="仿宋_GB2312" w:eastAsia="仿宋_GB2312" w:cs="仿宋"/>
          <w:b/>
          <w:bCs/>
          <w:color w:val="000000" w:themeColor="text1"/>
          <w:sz w:val="32"/>
          <w:szCs w:val="32"/>
          <w14:textFill>
            <w14:solidFill>
              <w14:schemeClr w14:val="tx1"/>
            </w14:solidFill>
          </w14:textFill>
        </w:rPr>
        <w:t>四、评审</w:t>
      </w:r>
    </w:p>
    <w:p w14:paraId="31B47CCE">
      <w:pPr>
        <w:spacing w:line="360" w:lineRule="auto"/>
        <w:ind w:firstLine="48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评审工作在</w:t>
      </w:r>
      <w:r>
        <w:rPr>
          <w:rFonts w:hint="eastAsia" w:ascii="仿宋_GB2312" w:hAnsi="仿宋_GB2312" w:eastAsia="仿宋_GB2312" w:cs="仿宋"/>
          <w:color w:val="000000" w:themeColor="text1"/>
          <w:lang w:val="en-US" w:eastAsia="zh-CN"/>
          <w14:textFill>
            <w14:solidFill>
              <w14:schemeClr w14:val="tx1"/>
            </w14:solidFill>
          </w14:textFill>
        </w:rPr>
        <w:t>谈判现场完成</w:t>
      </w:r>
      <w:r>
        <w:rPr>
          <w:rFonts w:ascii="仿宋_GB2312" w:hAnsi="仿宋_GB2312" w:eastAsia="仿宋_GB2312" w:cs="仿宋"/>
          <w:color w:val="000000" w:themeColor="text1"/>
          <w14:textFill>
            <w14:solidFill>
              <w14:schemeClr w14:val="tx1"/>
            </w14:solidFill>
          </w14:textFill>
        </w:rPr>
        <w:t>，供应商应当具备适应</w:t>
      </w:r>
      <w:r>
        <w:rPr>
          <w:rFonts w:hint="eastAsia" w:ascii="仿宋_GB2312" w:hAnsi="仿宋_GB2312" w:eastAsia="仿宋_GB2312" w:cs="仿宋"/>
          <w:color w:val="000000" w:themeColor="text1"/>
          <w:lang w:val="en-US" w:eastAsia="zh-CN"/>
          <w14:textFill>
            <w14:solidFill>
              <w14:schemeClr w14:val="tx1"/>
            </w14:solidFill>
          </w14:textFill>
        </w:rPr>
        <w:t>开标流程</w:t>
      </w:r>
      <w:r>
        <w:rPr>
          <w:rFonts w:ascii="仿宋_GB2312" w:hAnsi="仿宋_GB2312" w:eastAsia="仿宋_GB2312" w:cs="仿宋"/>
          <w:color w:val="000000" w:themeColor="text1"/>
          <w14:textFill>
            <w14:solidFill>
              <w14:schemeClr w14:val="tx1"/>
            </w14:solidFill>
          </w14:textFill>
        </w:rPr>
        <w:t>规定开展评审所需的澄清</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说明</w:t>
      </w:r>
      <w:r>
        <w:rPr>
          <w:rFonts w:hint="eastAsia" w:ascii="仿宋_GB2312" w:hAnsi="仿宋_GB2312" w:eastAsia="仿宋_GB2312" w:cs="仿宋"/>
          <w:color w:val="000000" w:themeColor="text1"/>
          <w14:textFill>
            <w14:solidFill>
              <w14:schemeClr w14:val="tx1"/>
            </w14:solidFill>
          </w14:textFill>
        </w:rPr>
        <w:t>、谈判</w:t>
      </w:r>
      <w:r>
        <w:rPr>
          <w:rFonts w:ascii="仿宋_GB2312" w:hAnsi="仿宋_GB2312" w:eastAsia="仿宋_GB2312" w:cs="仿宋"/>
          <w:color w:val="000000" w:themeColor="text1"/>
          <w14:textFill>
            <w14:solidFill>
              <w14:schemeClr w14:val="tx1"/>
            </w14:solidFill>
          </w14:textFill>
        </w:rPr>
        <w:t>和报价等活动</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因供应商自身准备不足所造成的不利后果</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由其自行承担</w:t>
      </w:r>
      <w:r>
        <w:rPr>
          <w:rFonts w:hint="eastAsia" w:ascii="仿宋_GB2312" w:hAnsi="仿宋_GB2312" w:eastAsia="仿宋_GB2312" w:cs="仿宋"/>
          <w:color w:val="000000" w:themeColor="text1"/>
          <w14:textFill>
            <w14:solidFill>
              <w14:schemeClr w14:val="tx1"/>
            </w14:solidFill>
          </w14:textFill>
        </w:rPr>
        <w:t>。</w:t>
      </w:r>
    </w:p>
    <w:p w14:paraId="129A9C50">
      <w:pPr>
        <w:pStyle w:val="18"/>
        <w:spacing w:line="360" w:lineRule="auto"/>
        <w:ind w:firstLine="480" w:firstLineChars="200"/>
        <w:rPr>
          <w:rFonts w:hint="default" w:ascii="仿宋_GB2312" w:hAnsi="仿宋_GB2312" w:eastAsia="仿宋_GB2312" w:cs="仿宋"/>
          <w:color w:val="000000" w:themeColor="text1"/>
          <w:szCs w:val="24"/>
          <w14:textFill>
            <w14:solidFill>
              <w14:schemeClr w14:val="tx1"/>
            </w14:solidFill>
          </w14:textFill>
        </w:rPr>
      </w:pPr>
      <w:r>
        <w:rPr>
          <w:rFonts w:hint="default" w:ascii="仿宋_GB2312" w:hAnsi="仿宋_GB2312" w:eastAsia="仿宋_GB2312" w:cs="仿宋"/>
          <w:color w:val="000000" w:themeColor="text1"/>
          <w:szCs w:val="24"/>
          <w14:textFill>
            <w14:solidFill>
              <w14:schemeClr w14:val="tx1"/>
            </w14:solidFill>
          </w14:textFill>
        </w:rPr>
        <w:t>采购人委派的监督人员负责评审现场的监督工作</w:t>
      </w:r>
      <w:r>
        <w:rPr>
          <w:rFonts w:ascii="仿宋_GB2312" w:hAnsi="仿宋_GB2312" w:eastAsia="仿宋_GB2312" w:cs="仿宋"/>
          <w:color w:val="000000" w:themeColor="text1"/>
          <w:szCs w:val="24"/>
          <w14:textFill>
            <w14:solidFill>
              <w14:schemeClr w14:val="tx1"/>
            </w14:solidFill>
          </w14:textFill>
        </w:rPr>
        <w:t>。</w:t>
      </w:r>
    </w:p>
    <w:p w14:paraId="608CA64F">
      <w:pPr>
        <w:pStyle w:val="18"/>
        <w:spacing w:line="360" w:lineRule="auto"/>
        <w:ind w:firstLine="480" w:firstLineChars="200"/>
        <w:rPr>
          <w:rFonts w:hint="default" w:ascii="仿宋_GB2312" w:hAnsi="仿宋_GB2312" w:eastAsia="仿宋_GB2312" w:cs="仿宋"/>
          <w:color w:val="000000" w:themeColor="text1"/>
          <w:szCs w:val="24"/>
          <w14:textFill>
            <w14:solidFill>
              <w14:schemeClr w14:val="tx1"/>
            </w14:solidFill>
          </w14:textFill>
        </w:rPr>
      </w:pPr>
    </w:p>
    <w:p w14:paraId="214F21F4">
      <w:pPr>
        <w:spacing w:line="360" w:lineRule="auto"/>
        <w:ind w:firstLine="480"/>
        <w:jc w:val="center"/>
        <w:rPr>
          <w:rFonts w:ascii="仿宋_GB2312" w:hAnsi="仿宋_GB2312" w:eastAsia="仿宋_GB2312" w:cs="仿宋"/>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五、成交事项</w:t>
      </w:r>
    </w:p>
    <w:p w14:paraId="07681AE2">
      <w:pPr>
        <w:pStyle w:val="4"/>
        <w:keepNext w:val="0"/>
        <w:keepLines w:val="0"/>
        <w:spacing w:after="0" w:line="360" w:lineRule="auto"/>
        <w:ind w:firstLine="482" w:firstLineChars="200"/>
        <w:rPr>
          <w:rFonts w:hint="eastAsia" w:ascii="仿宋_GB2312" w:hAnsi="仿宋_GB2312" w:eastAsia="仿宋_GB2312" w:cs="仿宋"/>
          <w:color w:val="000000" w:themeColor="text1"/>
          <w:sz w:val="24"/>
          <w:szCs w:val="24"/>
          <w14:textFill>
            <w14:solidFill>
              <w14:schemeClr w14:val="tx1"/>
            </w14:solidFill>
          </w14:textFill>
        </w:rPr>
      </w:pPr>
      <w:r>
        <w:rPr>
          <w:rFonts w:ascii="仿宋_GB2312" w:hAnsi="仿宋_GB2312" w:eastAsia="仿宋_GB2312" w:cs="仿宋"/>
          <w:color w:val="000000" w:themeColor="text1"/>
          <w:sz w:val="24"/>
          <w:szCs w:val="24"/>
          <w14:textFill>
            <w14:solidFill>
              <w14:schemeClr w14:val="tx1"/>
            </w14:solidFill>
          </w14:textFill>
        </w:rPr>
        <w:t>1.</w:t>
      </w:r>
      <w:r>
        <w:rPr>
          <w:rFonts w:hint="eastAsia" w:ascii="仿宋_GB2312" w:hAnsi="仿宋_GB2312" w:eastAsia="仿宋_GB2312" w:cs="仿宋"/>
          <w:color w:val="000000" w:themeColor="text1"/>
          <w:sz w:val="24"/>
          <w:szCs w:val="24"/>
          <w14:textFill>
            <w14:solidFill>
              <w14:schemeClr w14:val="tx1"/>
            </w14:solidFill>
          </w14:textFill>
        </w:rPr>
        <w:t>确定成交供应商</w:t>
      </w:r>
    </w:p>
    <w:p w14:paraId="007B9E4E">
      <w:pPr>
        <w:pStyle w:val="4"/>
        <w:keepNext w:val="0"/>
        <w:keepLines w:val="0"/>
        <w:spacing w:before="0" w:after="0" w:line="360" w:lineRule="auto"/>
        <w:ind w:firstLine="482" w:firstLineChars="200"/>
        <w:rPr>
          <w:rFonts w:hint="eastAsia"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lang w:eastAsia="zh-CN"/>
          <w14:textFill>
            <w14:solidFill>
              <w14:schemeClr w14:val="tx1"/>
            </w14:solidFill>
          </w14:textFill>
        </w:rPr>
        <w:t>采购人将按评审委员会推荐的成交候选供应商顺序（经评审报价排名）确定成交供应商</w:t>
      </w:r>
      <w:r>
        <w:rPr>
          <w:rFonts w:hint="eastAsia" w:ascii="仿宋_GB2312" w:hAnsi="仿宋_GB2312" w:eastAsia="仿宋_GB2312" w:cs="仿宋"/>
          <w:color w:val="000000" w:themeColor="text1"/>
          <w:sz w:val="24"/>
          <w:szCs w:val="24"/>
          <w14:textFill>
            <w14:solidFill>
              <w14:schemeClr w14:val="tx1"/>
            </w14:solidFill>
          </w14:textFill>
        </w:rPr>
        <w:t>。</w:t>
      </w:r>
    </w:p>
    <w:p w14:paraId="20106C43">
      <w:pPr>
        <w:pStyle w:val="4"/>
        <w:keepNext w:val="0"/>
        <w:keepLines w:val="0"/>
        <w:spacing w:before="0" w:after="0" w:line="360" w:lineRule="auto"/>
        <w:ind w:firstLine="482" w:firstLineChars="200"/>
        <w:rPr>
          <w:rFonts w:ascii="仿宋_GB2312" w:hAnsi="仿宋_GB2312" w:eastAsia="仿宋_GB2312" w:cs="Times New Roman"/>
          <w:color w:val="000000" w:themeColor="text1"/>
          <w:sz w:val="24"/>
          <w:szCs w:val="24"/>
          <w14:textFill>
            <w14:solidFill>
              <w14:schemeClr w14:val="tx1"/>
            </w14:solidFill>
          </w14:textFill>
        </w:rPr>
      </w:pPr>
      <w:r>
        <w:rPr>
          <w:rFonts w:ascii="仿宋_GB2312" w:hAnsi="仿宋_GB2312" w:eastAsia="仿宋_GB2312" w:cs="仿宋"/>
          <w:color w:val="000000" w:themeColor="text1"/>
          <w:sz w:val="24"/>
          <w:szCs w:val="24"/>
          <w14:textFill>
            <w14:solidFill>
              <w14:schemeClr w14:val="tx1"/>
            </w14:solidFill>
          </w14:textFill>
        </w:rPr>
        <w:t>2.</w:t>
      </w:r>
      <w:r>
        <w:rPr>
          <w:rFonts w:hint="eastAsia" w:ascii="仿宋_GB2312" w:hAnsi="仿宋_GB2312" w:eastAsia="仿宋_GB2312" w:cs="仿宋"/>
          <w:color w:val="000000" w:themeColor="text1"/>
          <w:sz w:val="24"/>
          <w:szCs w:val="24"/>
          <w14:textFill>
            <w14:solidFill>
              <w14:schemeClr w14:val="tx1"/>
            </w14:solidFill>
          </w14:textFill>
        </w:rPr>
        <w:t>成交结果</w:t>
      </w:r>
    </w:p>
    <w:p w14:paraId="1C9C12E0">
      <w:pPr>
        <w:shd w:val="clear" w:color="auto" w:fill="FFFFFF"/>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采购人确定成交供应商后，将发出成交通知书并发布成交结果公告。成交供应商应当及时领取成交通知书。成交供应商不能及时领取成交通知书，采购人应当通过邮寄、快递等方式将项目成交通知书送达成交供应商</w:t>
      </w:r>
      <w:r>
        <w:rPr>
          <w:rFonts w:hint="eastAsia" w:ascii="仿宋_GB2312" w:hAnsi="仿宋_GB2312" w:eastAsia="仿宋_GB2312" w:cs="仿宋"/>
          <w:color w:val="000000" w:themeColor="text1"/>
          <w:lang w:eastAsia="zh-CN"/>
          <w14:textFill>
            <w14:solidFill>
              <w14:schemeClr w14:val="tx1"/>
            </w14:solidFill>
          </w14:textFill>
        </w:rPr>
        <w:t>。</w:t>
      </w:r>
    </w:p>
    <w:p w14:paraId="3CD700C4">
      <w:pPr>
        <w:shd w:val="clear" w:color="auto" w:fill="FFFFFF"/>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成交通知书为签订合同的依据之一，是合同的有效组成部分。</w:t>
      </w:r>
    </w:p>
    <w:p w14:paraId="0ADF4A01">
      <w:pPr>
        <w:rPr>
          <w:rFonts w:ascii="仿宋_GB2312" w:hAnsi="仿宋_GB2312" w:eastAsia="仿宋_GB2312"/>
          <w:color w:val="000000" w:themeColor="text1"/>
          <w14:textFill>
            <w14:solidFill>
              <w14:schemeClr w14:val="tx1"/>
            </w14:solidFill>
          </w14:textFill>
        </w:rPr>
      </w:pPr>
    </w:p>
    <w:p w14:paraId="62011C6D">
      <w:pPr>
        <w:pStyle w:val="4"/>
        <w:keepNext w:val="0"/>
        <w:keepLines w:val="0"/>
        <w:spacing w:line="360" w:lineRule="auto"/>
        <w:jc w:val="center"/>
        <w:rPr>
          <w:rFonts w:ascii="仿宋_GB2312" w:hAnsi="仿宋_GB2312" w:eastAsia="仿宋_GB2312" w:cs="Times New Roman"/>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六、合同事项</w:t>
      </w:r>
    </w:p>
    <w:p w14:paraId="1D435528">
      <w:pPr>
        <w:pStyle w:val="4"/>
        <w:keepNext w:val="0"/>
        <w:keepLines w:val="0"/>
        <w:spacing w:before="0" w:after="0" w:line="360" w:lineRule="auto"/>
        <w:ind w:firstLine="472" w:firstLineChars="196"/>
        <w:rPr>
          <w:rFonts w:ascii="仿宋_GB2312" w:hAnsi="仿宋_GB2312" w:eastAsia="仿宋_GB2312" w:cs="Times New Roman"/>
          <w:color w:val="000000" w:themeColor="text1"/>
          <w:sz w:val="24"/>
          <w:szCs w:val="24"/>
          <w14:textFill>
            <w14:solidFill>
              <w14:schemeClr w14:val="tx1"/>
            </w14:solidFill>
          </w14:textFill>
        </w:rPr>
      </w:pPr>
      <w:bookmarkStart w:id="55" w:name="_Toc101174151"/>
      <w:bookmarkStart w:id="56" w:name="_Toc209847069"/>
      <w:bookmarkStart w:id="57" w:name="_Toc430773927"/>
      <w:bookmarkStart w:id="58" w:name="_Toc101250646"/>
      <w:bookmarkStart w:id="59" w:name="_Toc101338364"/>
      <w:r>
        <w:rPr>
          <w:rFonts w:ascii="仿宋_GB2312" w:hAnsi="仿宋_GB2312" w:eastAsia="仿宋_GB2312" w:cs="仿宋"/>
          <w:color w:val="000000" w:themeColor="text1"/>
          <w:sz w:val="24"/>
          <w:szCs w:val="24"/>
          <w14:textFill>
            <w14:solidFill>
              <w14:schemeClr w14:val="tx1"/>
            </w14:solidFill>
          </w14:textFill>
        </w:rPr>
        <w:t>1</w:t>
      </w:r>
      <w:r>
        <w:rPr>
          <w:rFonts w:hint="eastAsia" w:ascii="仿宋_GB2312" w:hAnsi="仿宋_GB2312" w:eastAsia="仿宋_GB2312" w:cs="仿宋"/>
          <w:color w:val="000000" w:themeColor="text1"/>
          <w:sz w:val="24"/>
          <w:szCs w:val="24"/>
          <w14:textFill>
            <w14:solidFill>
              <w14:schemeClr w14:val="tx1"/>
            </w14:solidFill>
          </w14:textFill>
        </w:rPr>
        <w:t>.签订合同</w:t>
      </w:r>
      <w:bookmarkEnd w:id="55"/>
      <w:bookmarkEnd w:id="56"/>
      <w:bookmarkEnd w:id="57"/>
      <w:bookmarkEnd w:id="58"/>
      <w:bookmarkEnd w:id="59"/>
    </w:p>
    <w:p w14:paraId="7717A1F5">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1</w:t>
      </w:r>
      <w:r>
        <w:rPr>
          <w:rFonts w:ascii="仿宋_GB2312" w:hAnsi="仿宋_GB2312" w:eastAsia="仿宋_GB2312" w:cs="仿宋"/>
          <w:color w:val="000000" w:themeColor="text1"/>
          <w14:textFill>
            <w14:solidFill>
              <w14:schemeClr w14:val="tx1"/>
            </w14:solidFill>
          </w14:textFill>
        </w:rPr>
        <w:t xml:space="preserve">.1 </w:t>
      </w:r>
      <w:r>
        <w:rPr>
          <w:rFonts w:hint="eastAsia" w:ascii="仿宋_GB2312" w:hAnsi="仿宋_GB2312" w:eastAsia="仿宋_GB2312" w:cs="仿宋"/>
          <w:color w:val="000000" w:themeColor="text1"/>
          <w14:textFill>
            <w14:solidFill>
              <w14:schemeClr w14:val="tx1"/>
            </w14:solidFill>
          </w14:textFill>
        </w:rPr>
        <w:t>成交供应商应</w:t>
      </w:r>
      <w:r>
        <w:rPr>
          <w:rFonts w:ascii="仿宋_GB2312" w:hAnsi="仿宋_GB2312" w:eastAsia="仿宋_GB2312" w:cs="仿宋"/>
          <w:color w:val="000000" w:themeColor="text1"/>
          <w14:textFill>
            <w14:solidFill>
              <w14:schemeClr w14:val="tx1"/>
            </w14:solidFill>
          </w14:textFill>
        </w:rPr>
        <w:t>当</w:t>
      </w:r>
      <w:r>
        <w:rPr>
          <w:rFonts w:hint="eastAsia" w:ascii="仿宋_GB2312" w:hAnsi="仿宋_GB2312" w:eastAsia="仿宋_GB2312" w:cs="仿宋"/>
          <w:color w:val="000000" w:themeColor="text1"/>
          <w14:textFill>
            <w14:solidFill>
              <w14:schemeClr w14:val="tx1"/>
            </w14:solidFill>
          </w14:textFill>
        </w:rPr>
        <w:t>在成交通知书发出之日起</w:t>
      </w:r>
      <w:r>
        <w:rPr>
          <w:rFonts w:ascii="仿宋_GB2312" w:hAnsi="仿宋_GB2312" w:eastAsia="仿宋_GB2312" w:cs="仿宋"/>
          <w:color w:val="000000" w:themeColor="text1"/>
          <w14:textFill>
            <w14:solidFill>
              <w14:schemeClr w14:val="tx1"/>
            </w14:solidFill>
          </w14:textFill>
        </w:rPr>
        <w:t>30</w:t>
      </w:r>
      <w:r>
        <w:rPr>
          <w:rFonts w:hint="eastAsia" w:ascii="仿宋_GB2312" w:hAnsi="仿宋_GB2312" w:eastAsia="仿宋_GB2312" w:cs="仿宋"/>
          <w:color w:val="000000" w:themeColor="text1"/>
          <w14:textFill>
            <w14:solidFill>
              <w14:schemeClr w14:val="tx1"/>
            </w14:solidFill>
          </w14:textFill>
        </w:rPr>
        <w:t>日内</w:t>
      </w:r>
      <w:r>
        <w:rPr>
          <w:rFonts w:ascii="仿宋_GB2312" w:hAnsi="仿宋_GB2312" w:eastAsia="仿宋_GB2312" w:cs="仿宋"/>
          <w:color w:val="000000" w:themeColor="text1"/>
          <w14:textFill>
            <w14:solidFill>
              <w14:schemeClr w14:val="tx1"/>
            </w14:solidFill>
          </w14:textFill>
        </w:rPr>
        <w:t>草拟采购合同</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提交采购人确认</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达成一致后</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正式</w:t>
      </w:r>
      <w:r>
        <w:rPr>
          <w:rFonts w:hint="eastAsia" w:ascii="仿宋_GB2312" w:hAnsi="仿宋_GB2312" w:eastAsia="仿宋_GB2312" w:cs="仿宋"/>
          <w:color w:val="000000" w:themeColor="text1"/>
          <w14:textFill>
            <w14:solidFill>
              <w14:schemeClr w14:val="tx1"/>
            </w14:solidFill>
          </w14:textFill>
        </w:rPr>
        <w:t>与采购人签订采购合同。由于成交供应商的原因逾期未与采购人签订采购合同的，将视为</w:t>
      </w:r>
      <w:r>
        <w:rPr>
          <w:rFonts w:ascii="仿宋_GB2312" w:hAnsi="仿宋_GB2312" w:eastAsia="仿宋_GB2312" w:cs="仿宋"/>
          <w:color w:val="000000" w:themeColor="text1"/>
          <w14:textFill>
            <w14:solidFill>
              <w14:schemeClr w14:val="tx1"/>
            </w14:solidFill>
          </w14:textFill>
        </w:rPr>
        <w:t>拒绝与采购人签订采购合同</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采购人</w:t>
      </w:r>
      <w:r>
        <w:rPr>
          <w:rFonts w:hint="eastAsia" w:ascii="仿宋_GB2312" w:hAnsi="仿宋_GB2312" w:eastAsia="仿宋_GB2312" w:cs="仿宋"/>
          <w:color w:val="000000" w:themeColor="text1"/>
          <w14:textFill>
            <w14:solidFill>
              <w14:schemeClr w14:val="tx1"/>
            </w14:solidFill>
          </w14:textFill>
        </w:rPr>
        <w:t>将按相关规定进行处理；</w:t>
      </w:r>
      <w:r>
        <w:rPr>
          <w:rFonts w:ascii="仿宋_GB2312" w:hAnsi="仿宋_GB2312" w:eastAsia="仿宋_GB2312" w:cs="仿宋"/>
          <w:color w:val="000000" w:themeColor="text1"/>
          <w14:textFill>
            <w14:solidFill>
              <w14:schemeClr w14:val="tx1"/>
            </w14:solidFill>
          </w14:textFill>
        </w:rPr>
        <w:t>由于采购人的原因逾期未签订采购合同的</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由采购人承担相应法律责任</w:t>
      </w:r>
      <w:r>
        <w:rPr>
          <w:rFonts w:hint="eastAsia" w:ascii="仿宋_GB2312" w:hAnsi="仿宋_GB2312" w:eastAsia="仿宋_GB2312" w:cs="仿宋"/>
          <w:color w:val="000000" w:themeColor="text1"/>
          <w14:textFill>
            <w14:solidFill>
              <w14:schemeClr w14:val="tx1"/>
            </w14:solidFill>
          </w14:textFill>
        </w:rPr>
        <w:t>。</w:t>
      </w:r>
    </w:p>
    <w:p w14:paraId="769F5B63">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1</w:t>
      </w:r>
      <w:r>
        <w:rPr>
          <w:rFonts w:ascii="仿宋_GB2312" w:hAnsi="仿宋_GB2312" w:eastAsia="仿宋_GB2312" w:cs="仿宋"/>
          <w:color w:val="000000" w:themeColor="text1"/>
          <w14:textFill>
            <w14:solidFill>
              <w14:schemeClr w14:val="tx1"/>
            </w14:solidFill>
          </w14:textFill>
        </w:rPr>
        <w:t>.2 采购合同应当依据</w:t>
      </w:r>
      <w:r>
        <w:rPr>
          <w:rFonts w:hint="eastAsia" w:ascii="仿宋_GB2312" w:hAnsi="仿宋_GB2312" w:eastAsia="仿宋_GB2312" w:cs="仿宋"/>
          <w:color w:val="000000" w:themeColor="text1"/>
          <w14:textFill>
            <w14:solidFill>
              <w14:schemeClr w14:val="tx1"/>
            </w14:solidFill>
          </w14:textFill>
        </w:rPr>
        <w:t>谈判文件、成交供应商的响应文件及双方确认的澄清文件等</w:t>
      </w:r>
      <w:r>
        <w:rPr>
          <w:rFonts w:ascii="仿宋_GB2312" w:hAnsi="仿宋_GB2312" w:eastAsia="仿宋_GB2312" w:cs="仿宋"/>
          <w:color w:val="000000" w:themeColor="text1"/>
          <w14:textFill>
            <w14:solidFill>
              <w14:schemeClr w14:val="tx1"/>
            </w14:solidFill>
          </w14:textFill>
        </w:rPr>
        <w:t>签订</w:t>
      </w:r>
      <w:r>
        <w:rPr>
          <w:rFonts w:hint="eastAsia" w:ascii="仿宋_GB2312" w:hAnsi="仿宋_GB2312" w:eastAsia="仿宋_GB2312" w:cs="仿宋"/>
          <w:color w:val="000000" w:themeColor="text1"/>
          <w14:textFill>
            <w14:solidFill>
              <w14:schemeClr w14:val="tx1"/>
            </w14:solidFill>
          </w14:textFill>
        </w:rPr>
        <w:t>；采购人不得向成交供应商提出任何不合理的要求，作为签订合同的条件，不得与成交供应商私下订立背离合同实质性内容的任何协议。</w:t>
      </w:r>
    </w:p>
    <w:p w14:paraId="24122360">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2.</w:t>
      </w:r>
      <w:r>
        <w:rPr>
          <w:rFonts w:hint="eastAsia" w:ascii="仿宋_GB2312" w:hAnsi="仿宋_GB2312" w:eastAsia="仿宋_GB2312" w:cs="仿宋"/>
          <w:b/>
          <w:bCs/>
          <w:color w:val="000000" w:themeColor="text1"/>
          <w14:textFill>
            <w14:solidFill>
              <w14:schemeClr w14:val="tx1"/>
            </w14:solidFill>
          </w14:textFill>
        </w:rPr>
        <w:t>合同分包（实质性要求）</w:t>
      </w:r>
    </w:p>
    <w:p w14:paraId="346B947C">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2.1</w:t>
      </w:r>
      <w:r>
        <w:rPr>
          <w:rFonts w:hint="eastAsia" w:ascii="仿宋_GB2312" w:hAnsi="仿宋_GB2312" w:eastAsia="仿宋_GB2312" w:cs="仿宋"/>
          <w:color w:val="000000" w:themeColor="text1"/>
          <w14:textFill>
            <w14:solidFill>
              <w14:schemeClr w14:val="tx1"/>
            </w14:solidFill>
          </w14:textFill>
        </w:rPr>
        <w:t>除落实政府采购政策外，本项目合同接受分包与否，以“供应商须知附表”勾选项为准。</w:t>
      </w:r>
    </w:p>
    <w:p w14:paraId="5DFC5790">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2.2 </w:t>
      </w:r>
      <w:r>
        <w:rPr>
          <w:rFonts w:hint="eastAsia" w:ascii="仿宋_GB2312" w:hAnsi="仿宋_GB2312" w:eastAsia="仿宋_GB2312" w:cs="仿宋"/>
          <w:color w:val="000000" w:themeColor="text1"/>
          <w14:textFill>
            <w14:solidFill>
              <w14:schemeClr w14:val="tx1"/>
            </w14:solidFill>
          </w14:textFill>
        </w:rPr>
        <w:t>采购合同实行分包履行的，成交供应商就采购项目和分包项目向采购人负责，分包供应商就分包项目承担责任。履行分包项目事项应当具备法定资质规定要求的，分包供应商应当具备相应资质。</w:t>
      </w:r>
    </w:p>
    <w:p w14:paraId="28A7A17A">
      <w:pPr>
        <w:spacing w:line="360" w:lineRule="auto"/>
        <w:ind w:firstLine="482" w:firstLineChars="200"/>
        <w:rPr>
          <w:rFonts w:ascii="仿宋_GB2312" w:hAnsi="仿宋_GB2312" w:eastAsia="仿宋_GB2312" w:cs="仿宋"/>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3</w:t>
      </w:r>
      <w:r>
        <w:rPr>
          <w:rFonts w:hint="eastAsia" w:ascii="仿宋_GB2312" w:hAnsi="仿宋_GB2312" w:eastAsia="仿宋_GB2312" w:cs="仿宋"/>
          <w:b/>
          <w:bCs/>
          <w:color w:val="000000" w:themeColor="text1"/>
          <w14:textFill>
            <w14:solidFill>
              <w14:schemeClr w14:val="tx1"/>
            </w14:solidFill>
          </w14:textFill>
        </w:rPr>
        <w:t>.合同转包（实质性要求）</w:t>
      </w:r>
    </w:p>
    <w:p w14:paraId="0EE5AEE9">
      <w:pPr>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本采购项目严禁成交供应商将任何合同转包。本项目所称转包，是指成交供应商签订合同后，不履行合同约定的责任和义务，将其全部工程转给他人或者将其全部工程肢解以后以分包的名义分别转给其他单位承包的行为。</w:t>
      </w:r>
    </w:p>
    <w:p w14:paraId="4FB6FD89">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成交供应商转包的，将依法追究法律责任。</w:t>
      </w:r>
    </w:p>
    <w:p w14:paraId="7B82C62F">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4.</w:t>
      </w:r>
      <w:r>
        <w:rPr>
          <w:rFonts w:hint="eastAsia" w:ascii="仿宋_GB2312" w:hAnsi="仿宋_GB2312" w:eastAsia="仿宋_GB2312" w:cs="仿宋"/>
          <w:b/>
          <w:bCs/>
          <w:color w:val="000000" w:themeColor="text1"/>
          <w14:textFill>
            <w14:solidFill>
              <w14:schemeClr w14:val="tx1"/>
            </w14:solidFill>
          </w14:textFill>
        </w:rPr>
        <w:t>补充合同</w:t>
      </w:r>
    </w:p>
    <w:p w14:paraId="4E02B1ED">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采购合同履行过程中，采购人需要追加与合同标的相同的货物、工程或者服务的，在不改变合同其他条款的前提下，可以与成交供应商协商签订补充合同，但所有补充合同的采购金额不得超过原合同采购金额的百分之十。</w:t>
      </w:r>
    </w:p>
    <w:p w14:paraId="45E55C67">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lang w:val="en-US" w:eastAsia="zh-CN"/>
          <w14:textFill>
            <w14:solidFill>
              <w14:schemeClr w14:val="tx1"/>
            </w14:solidFill>
          </w14:textFill>
        </w:rPr>
        <w:t>5</w:t>
      </w:r>
      <w:r>
        <w:rPr>
          <w:rFonts w:ascii="仿宋_GB2312" w:hAnsi="仿宋_GB2312" w:eastAsia="仿宋_GB2312" w:cs="仿宋"/>
          <w:b/>
          <w:bCs/>
          <w:color w:val="000000" w:themeColor="text1"/>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履行合同</w:t>
      </w:r>
    </w:p>
    <w:p w14:paraId="33E826E1">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5</w:t>
      </w:r>
      <w:r>
        <w:rPr>
          <w:rFonts w:ascii="仿宋_GB2312" w:hAnsi="仿宋_GB2312" w:eastAsia="仿宋_GB2312" w:cs="仿宋"/>
          <w:color w:val="000000" w:themeColor="text1"/>
          <w14:textFill>
            <w14:solidFill>
              <w14:schemeClr w14:val="tx1"/>
            </w14:solidFill>
          </w14:textFill>
        </w:rPr>
        <w:t xml:space="preserve">.1 </w:t>
      </w:r>
      <w:r>
        <w:rPr>
          <w:rFonts w:hint="eastAsia" w:ascii="仿宋_GB2312" w:hAnsi="仿宋_GB2312" w:eastAsia="仿宋_GB2312" w:cs="仿宋"/>
          <w:color w:val="000000" w:themeColor="text1"/>
          <w14:textFill>
            <w14:solidFill>
              <w14:schemeClr w14:val="tx1"/>
            </w14:solidFill>
          </w14:textFill>
        </w:rPr>
        <w:t>成交供应商与采购人签订合同后，合同双方应严格执行合同条款，履行合同规定的义务，保证合同的顺利完成。</w:t>
      </w:r>
    </w:p>
    <w:p w14:paraId="1DB04FA1">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5</w:t>
      </w:r>
      <w:r>
        <w:rPr>
          <w:rFonts w:ascii="仿宋_GB2312" w:hAnsi="仿宋_GB2312" w:eastAsia="仿宋_GB2312" w:cs="仿宋"/>
          <w:color w:val="000000" w:themeColor="text1"/>
          <w14:textFill>
            <w14:solidFill>
              <w14:schemeClr w14:val="tx1"/>
            </w14:solidFill>
          </w14:textFill>
        </w:rPr>
        <w:t xml:space="preserve">.2 </w:t>
      </w:r>
      <w:r>
        <w:rPr>
          <w:rFonts w:hint="eastAsia" w:ascii="仿宋_GB2312" w:hAnsi="仿宋_GB2312" w:eastAsia="仿宋_GB2312" w:cs="仿宋"/>
          <w:color w:val="000000" w:themeColor="text1"/>
          <w14:textFill>
            <w14:solidFill>
              <w14:schemeClr w14:val="tx1"/>
            </w14:solidFill>
          </w14:textFill>
        </w:rPr>
        <w:t>在合同履行过程中，如发生合同纠纷，合同双方应按照合同约定及《中华人民共和国民法典》的有关规定进行处理。</w:t>
      </w:r>
    </w:p>
    <w:p w14:paraId="16243666">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lang w:val="en-US" w:eastAsia="zh-CN"/>
          <w14:textFill>
            <w14:solidFill>
              <w14:schemeClr w14:val="tx1"/>
            </w14:solidFill>
          </w14:textFill>
        </w:rPr>
        <w:t>6</w:t>
      </w:r>
      <w:r>
        <w:rPr>
          <w:rFonts w:ascii="仿宋_GB2312" w:hAnsi="仿宋_GB2312" w:eastAsia="仿宋_GB2312" w:cs="仿宋"/>
          <w:b/>
          <w:bCs/>
          <w:color w:val="000000" w:themeColor="text1"/>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验收</w:t>
      </w:r>
    </w:p>
    <w:p w14:paraId="20D814F2">
      <w:pPr>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6</w:t>
      </w:r>
      <w:r>
        <w:rPr>
          <w:rFonts w:ascii="仿宋_GB2312" w:hAnsi="仿宋_GB2312" w:eastAsia="仿宋_GB2312" w:cs="仿宋"/>
          <w:color w:val="000000" w:themeColor="text1"/>
          <w14:textFill>
            <w14:solidFill>
              <w14:schemeClr w14:val="tx1"/>
            </w14:solidFill>
          </w14:textFill>
        </w:rPr>
        <w:t>.1</w:t>
      </w:r>
      <w:r>
        <w:rPr>
          <w:rFonts w:hint="eastAsia" w:ascii="仿宋_GB2312" w:hAnsi="仿宋_GB2312" w:eastAsia="仿宋_GB2312" w:cs="仿宋"/>
          <w:color w:val="000000" w:themeColor="text1"/>
          <w14:textFill>
            <w14:solidFill>
              <w14:schemeClr w14:val="tx1"/>
            </w14:solidFill>
          </w14:textFill>
        </w:rPr>
        <w:t>本项目采购人将</w:t>
      </w:r>
      <w:r>
        <w:rPr>
          <w:rFonts w:ascii="仿宋_GB2312" w:hAnsi="仿宋_GB2312" w:eastAsia="仿宋_GB2312" w:cs="仿宋"/>
          <w:color w:val="000000" w:themeColor="text1"/>
          <w14:textFill>
            <w14:solidFill>
              <w14:schemeClr w14:val="tx1"/>
            </w14:solidFill>
          </w14:textFill>
        </w:rPr>
        <w:t>按照合同约定</w:t>
      </w:r>
      <w:r>
        <w:rPr>
          <w:rFonts w:hint="eastAsia" w:ascii="仿宋_GB2312" w:hAnsi="仿宋_GB2312" w:eastAsia="仿宋_GB2312" w:cs="仿宋"/>
          <w:color w:val="000000" w:themeColor="text1"/>
          <w14:textFill>
            <w14:solidFill>
              <w14:schemeClr w14:val="tx1"/>
            </w14:solidFill>
          </w14:textFill>
        </w:rPr>
        <w:t>，依据政府采购相关法律法规、《财政部关于进一步加强政府采购需求和履约验收管理的指导意见》（财库〔2016〕205号）、《政府采购需求管理办法》（财库〔2021〕22号）的要求及国家行业主管部门规定的标准、方法和内容组织验收。</w:t>
      </w:r>
    </w:p>
    <w:p w14:paraId="6721CDB2">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6</w:t>
      </w:r>
      <w:r>
        <w:rPr>
          <w:rFonts w:hint="eastAsia" w:ascii="仿宋_GB2312" w:hAnsi="仿宋_GB2312" w:eastAsia="仿宋_GB2312" w:cs="仿宋"/>
          <w:color w:val="000000" w:themeColor="text1"/>
          <w14:textFill>
            <w14:solidFill>
              <w14:schemeClr w14:val="tx1"/>
            </w14:solidFill>
          </w14:textFill>
        </w:rPr>
        <w:t xml:space="preserve">.2 交付竣工验收的工程，必须符合规定的工程质量标准，有完整的工程技术经济资料和经签署的工程保修书，并具备国家规定的其他竣工条件。 </w:t>
      </w:r>
    </w:p>
    <w:p w14:paraId="50CA9E03">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工程竣工经验收合格后，方可交付使用；未经验收或者验收不合格的，不得交付使用。</w:t>
      </w:r>
    </w:p>
    <w:p w14:paraId="653E4D91">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6</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3</w:t>
      </w: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color w:val="000000" w:themeColor="text1"/>
          <w14:textFill>
            <w14:solidFill>
              <w14:schemeClr w14:val="tx1"/>
            </w14:solidFill>
          </w14:textFill>
        </w:rPr>
        <w:t>验收结果合格的，</w:t>
      </w:r>
      <w:r>
        <w:rPr>
          <w:rFonts w:hint="eastAsia" w:ascii="仿宋_GB2312" w:hAnsi="仿宋_GB2312" w:eastAsia="仿宋_GB2312"/>
          <w:color w:val="000000" w:themeColor="text1"/>
          <w14:textFill>
            <w14:solidFill>
              <w14:schemeClr w14:val="tx1"/>
            </w14:solidFill>
          </w14:textFill>
        </w:rPr>
        <w:t>采购人应向成交供应商出具履约验收报告，</w:t>
      </w:r>
      <w:r>
        <w:rPr>
          <w:rFonts w:hint="eastAsia" w:ascii="仿宋_GB2312" w:hAnsi="仿宋_GB2312" w:eastAsia="仿宋_GB2312" w:cs="仿宋"/>
          <w:color w:val="000000" w:themeColor="text1"/>
          <w14:textFill>
            <w14:solidFill>
              <w14:schemeClr w14:val="tx1"/>
            </w14:solidFill>
          </w14:textFill>
        </w:rPr>
        <w:t>成交供应商凭验收报告办理相关手续。</w:t>
      </w:r>
    </w:p>
    <w:p w14:paraId="60A74CFE">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6</w:t>
      </w:r>
      <w:r>
        <w:rPr>
          <w:rFonts w:hint="eastAsia" w:ascii="仿宋_GB2312" w:hAnsi="仿宋_GB2312" w:eastAsia="仿宋_GB2312" w:cs="仿宋"/>
          <w:color w:val="000000" w:themeColor="text1"/>
          <w14:textFill>
            <w14:solidFill>
              <w14:schemeClr w14:val="tx1"/>
            </w14:solidFill>
          </w14:textFill>
        </w:rPr>
        <w:t>.4验收结果不合格的，履约保证金将不予退还，给采购人造成的损失超过履约保证金数额的，还应当对超过部分予以赔偿；没有提交履约保证金的，应当对采购人的损失承担赔偿责任。</w:t>
      </w:r>
    </w:p>
    <w:p w14:paraId="39EA3535">
      <w:pPr>
        <w:spacing w:line="360" w:lineRule="auto"/>
        <w:ind w:firstLine="482" w:firstLineChars="200"/>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lang w:val="en-US" w:eastAsia="zh-CN"/>
          <w14:textFill>
            <w14:solidFill>
              <w14:schemeClr w14:val="tx1"/>
            </w14:solidFill>
          </w14:textFill>
        </w:rPr>
        <w:t>7</w:t>
      </w:r>
      <w:r>
        <w:rPr>
          <w:rFonts w:ascii="仿宋_GB2312" w:hAnsi="仿宋_GB2312" w:eastAsia="仿宋_GB2312" w:cs="仿宋"/>
          <w:b/>
          <w:bCs/>
          <w:color w:val="000000" w:themeColor="text1"/>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资金支付</w:t>
      </w:r>
    </w:p>
    <w:p w14:paraId="2FA3DEA1">
      <w:pPr>
        <w:pageBreakBefore w:val="0"/>
        <w:kinsoku/>
        <w:wordWrap/>
        <w:overflowPunct/>
        <w:topLinePunct w:val="0"/>
        <w:autoSpaceDE/>
        <w:autoSpaceDN/>
        <w:bidi w:val="0"/>
        <w:adjustRightInd/>
        <w:snapToGrid/>
        <w:spacing w:after="50" w:line="360" w:lineRule="auto"/>
        <w:ind w:right="-55" w:firstLine="480" w:firstLineChars="200"/>
        <w:textAlignment w:val="auto"/>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采购人将按照采购合同规定，及时向成交供应商支付采购资金。本项目采购资金付款详见第三章规定的付款方式。</w:t>
      </w:r>
    </w:p>
    <w:p w14:paraId="4F93AF77">
      <w:pPr>
        <w:pStyle w:val="4"/>
        <w:keepNext w:val="0"/>
        <w:keepLines w:val="0"/>
        <w:spacing w:before="0" w:after="0" w:line="360" w:lineRule="auto"/>
        <w:jc w:val="center"/>
        <w:rPr>
          <w:rFonts w:hint="eastAsia" w:ascii="仿宋_GB2312" w:hAnsi="仿宋_GB2312" w:eastAsia="仿宋_GB2312" w:cs="仿宋"/>
          <w:color w:val="000000" w:themeColor="text1"/>
          <w14:textFill>
            <w14:solidFill>
              <w14:schemeClr w14:val="tx1"/>
            </w14:solidFill>
          </w14:textFill>
        </w:rPr>
      </w:pPr>
    </w:p>
    <w:p w14:paraId="1F1FC1E0">
      <w:pPr>
        <w:pStyle w:val="4"/>
        <w:keepNext w:val="0"/>
        <w:keepLines w:val="0"/>
        <w:spacing w:before="0" w:after="0" w:line="360" w:lineRule="auto"/>
        <w:jc w:val="center"/>
        <w:rPr>
          <w:rFonts w:ascii="仿宋_GB2312" w:hAnsi="仿宋_GB2312" w:eastAsia="仿宋_GB2312" w:cs="Times New Roman"/>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七、纪律要求</w:t>
      </w:r>
    </w:p>
    <w:p w14:paraId="3C36F387">
      <w:pPr>
        <w:tabs>
          <w:tab w:val="left" w:pos="851"/>
        </w:tabs>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1.采购人</w:t>
      </w:r>
      <w:r>
        <w:rPr>
          <w:rFonts w:hint="eastAsia" w:ascii="仿宋_GB2312" w:hAnsi="仿宋_GB2312" w:eastAsia="仿宋_GB2312" w:cs="仿宋"/>
          <w:color w:val="000000" w:themeColor="text1"/>
          <w14:textFill>
            <w14:solidFill>
              <w14:schemeClr w14:val="tx1"/>
            </w14:solidFill>
          </w14:textFill>
        </w:rPr>
        <w:t>应</w:t>
      </w:r>
      <w:r>
        <w:rPr>
          <w:rFonts w:ascii="仿宋_GB2312" w:hAnsi="仿宋_GB2312" w:eastAsia="仿宋_GB2312" w:cs="仿宋"/>
          <w:color w:val="000000" w:themeColor="text1"/>
          <w14:textFill>
            <w14:solidFill>
              <w14:schemeClr w14:val="tx1"/>
            </w14:solidFill>
          </w14:textFill>
        </w:rPr>
        <w:t>保证</w:t>
      </w:r>
      <w:r>
        <w:rPr>
          <w:rFonts w:hint="eastAsia" w:ascii="仿宋_GB2312" w:hAnsi="仿宋_GB2312" w:eastAsia="仿宋_GB2312" w:cs="仿宋"/>
          <w:color w:val="000000" w:themeColor="text1"/>
          <w14:textFill>
            <w14:solidFill>
              <w14:schemeClr w14:val="tx1"/>
            </w14:solidFill>
          </w14:textFill>
        </w:rPr>
        <w:t>谈判</w:t>
      </w:r>
      <w:r>
        <w:rPr>
          <w:rFonts w:ascii="仿宋_GB2312" w:hAnsi="仿宋_GB2312" w:eastAsia="仿宋_GB2312" w:cs="仿宋"/>
          <w:color w:val="000000" w:themeColor="text1"/>
          <w14:textFill>
            <w14:solidFill>
              <w14:schemeClr w14:val="tx1"/>
            </w14:solidFill>
          </w14:textFill>
        </w:rPr>
        <w:t>活动在严格保密的情况下进行</w:t>
      </w:r>
      <w:r>
        <w:rPr>
          <w:rFonts w:hint="eastAsia" w:ascii="仿宋_GB2312" w:hAnsi="仿宋_GB2312" w:eastAsia="仿宋_GB2312" w:cs="仿宋"/>
          <w:color w:val="000000" w:themeColor="text1"/>
          <w14:textFill>
            <w14:solidFill>
              <w14:schemeClr w14:val="tx1"/>
            </w14:solidFill>
          </w14:textFill>
        </w:rPr>
        <w:t>，采购人、供应商和谈判小组成员应当严格遵守政府采购法律法规规章制度和本项目谈判文件以及采购</w:t>
      </w:r>
      <w:r>
        <w:rPr>
          <w:rFonts w:hint="eastAsia" w:ascii="仿宋_GB2312" w:hAnsi="仿宋_GB2312" w:eastAsia="仿宋_GB2312" w:cs="仿宋"/>
          <w:color w:val="000000" w:themeColor="text1"/>
          <w:lang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现场管理规定，接受采购人委派的监督人员的监督，</w:t>
      </w:r>
      <w:r>
        <w:rPr>
          <w:rFonts w:ascii="仿宋_GB2312" w:hAnsi="仿宋_GB2312" w:eastAsia="仿宋_GB2312" w:cs="仿宋"/>
          <w:color w:val="000000" w:themeColor="text1"/>
          <w14:textFill>
            <w14:solidFill>
              <w14:schemeClr w14:val="tx1"/>
            </w14:solidFill>
          </w14:textFill>
        </w:rPr>
        <w:t>任何单位和个人不得非法干预和影响</w:t>
      </w:r>
      <w:r>
        <w:rPr>
          <w:rFonts w:hint="eastAsia" w:ascii="仿宋_GB2312" w:hAnsi="仿宋_GB2312" w:eastAsia="仿宋_GB2312" w:cs="仿宋"/>
          <w:color w:val="000000" w:themeColor="text1"/>
          <w14:textFill>
            <w14:solidFill>
              <w14:schemeClr w14:val="tx1"/>
            </w14:solidFill>
          </w14:textFill>
        </w:rPr>
        <w:t>谈判</w:t>
      </w:r>
      <w:r>
        <w:rPr>
          <w:rFonts w:ascii="仿宋_GB2312" w:hAnsi="仿宋_GB2312" w:eastAsia="仿宋_GB2312" w:cs="仿宋"/>
          <w:color w:val="000000" w:themeColor="text1"/>
          <w14:textFill>
            <w14:solidFill>
              <w14:schemeClr w14:val="tx1"/>
            </w14:solidFill>
          </w14:textFill>
        </w:rPr>
        <w:t>过程和结果</w:t>
      </w:r>
      <w:r>
        <w:rPr>
          <w:rFonts w:hint="eastAsia" w:ascii="仿宋_GB2312" w:hAnsi="仿宋_GB2312" w:eastAsia="仿宋_GB2312" w:cs="仿宋"/>
          <w:color w:val="000000" w:themeColor="text1"/>
          <w14:textFill>
            <w14:solidFill>
              <w14:schemeClr w14:val="tx1"/>
            </w14:solidFill>
          </w14:textFill>
        </w:rPr>
        <w:t>。</w:t>
      </w:r>
    </w:p>
    <w:p w14:paraId="09AAB55B">
      <w:pPr>
        <w:pStyle w:val="2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采购活动中，采购人员及相关人员与供应商有下列利害关系之一的，应当回避：</w:t>
      </w:r>
    </w:p>
    <w:p w14:paraId="37F060B2">
      <w:pPr>
        <w:pStyle w:val="20"/>
        <w:spacing w:line="360" w:lineRule="auto"/>
        <w:ind w:firstLine="240" w:firstLineChars="1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（1）参加采购活动前3年内与供应商存在劳动关系；</w:t>
      </w:r>
    </w:p>
    <w:p w14:paraId="0A80F31A">
      <w:pPr>
        <w:pStyle w:val="20"/>
        <w:spacing w:line="360" w:lineRule="auto"/>
        <w:ind w:firstLine="240" w:firstLineChars="1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（2）参加采购活动前3年内担任供应商的董事、监事；</w:t>
      </w:r>
    </w:p>
    <w:p w14:paraId="051BE783">
      <w:pPr>
        <w:pStyle w:val="20"/>
        <w:spacing w:line="360" w:lineRule="auto"/>
        <w:ind w:firstLine="240" w:firstLineChars="1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（3）参加采购活动前3年内是供应商的控股股东或者实际控制人；</w:t>
      </w:r>
    </w:p>
    <w:p w14:paraId="1A818971">
      <w:pPr>
        <w:pStyle w:val="20"/>
        <w:spacing w:line="360" w:lineRule="auto"/>
        <w:ind w:firstLine="240" w:firstLineChars="1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（4）与供应商的法定代表人或者负责人有夫妻、直系血亲、三代以内旁系血亲或者近姻亲关系；</w:t>
      </w:r>
    </w:p>
    <w:p w14:paraId="2AD125F1">
      <w:pPr>
        <w:pStyle w:val="20"/>
        <w:spacing w:line="360" w:lineRule="auto"/>
        <w:ind w:firstLine="240" w:firstLineChars="1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（5）与供应商有其他可能影响政府采购活动公平、公正进行的关系。</w:t>
      </w:r>
    </w:p>
    <w:p w14:paraId="5E41D172">
      <w:pPr>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供应商认为采购人员及相关人员与其他供应商有利害关系的，可以向采购</w:t>
      </w:r>
      <w:r>
        <w:rPr>
          <w:rFonts w:hint="eastAsia" w:ascii="仿宋_GB2312" w:hAnsi="仿宋_GB2312" w:eastAsia="仿宋_GB2312" w:cs="仿宋"/>
          <w:color w:val="000000" w:themeColor="text1"/>
          <w:lang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书面提出回避申请，并说明理由。采购</w:t>
      </w:r>
      <w:r>
        <w:rPr>
          <w:rFonts w:hint="eastAsia" w:ascii="仿宋_GB2312" w:hAnsi="仿宋_GB2312" w:eastAsia="仿宋_GB2312" w:cs="仿宋"/>
          <w:color w:val="000000" w:themeColor="text1"/>
          <w:lang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将及时询问被申请回避人员，有利害关系的被申请回避人员应当回避。</w:t>
      </w:r>
    </w:p>
    <w:p w14:paraId="013A3F3D">
      <w:pPr>
        <w:tabs>
          <w:tab w:val="left" w:pos="851"/>
        </w:tabs>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在谈判过程中，供应商不得以任何形式和谈判小组成员进行旨在影响谈判结果的私下接触，否则将取消其参与谈判的资格。</w:t>
      </w:r>
    </w:p>
    <w:p w14:paraId="00C428B0">
      <w:pPr>
        <w:tabs>
          <w:tab w:val="left" w:pos="851"/>
        </w:tabs>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4.</w:t>
      </w:r>
      <w:r>
        <w:rPr>
          <w:rFonts w:hint="eastAsia" w:ascii="仿宋_GB2312" w:hAnsi="仿宋_GB2312" w:eastAsia="仿宋_GB2312" w:cs="仿宋"/>
          <w:color w:val="000000" w:themeColor="text1"/>
          <w14:textFill>
            <w14:solidFill>
              <w14:schemeClr w14:val="tx1"/>
            </w14:solidFill>
          </w14:textFill>
        </w:rPr>
        <w:t>对各供应商的商业秘密，谈判小组成员应予以保密，不得泄露给其他供应商。</w:t>
      </w:r>
    </w:p>
    <w:p w14:paraId="65634781">
      <w:pPr>
        <w:tabs>
          <w:tab w:val="left" w:pos="851"/>
        </w:tabs>
        <w:spacing w:line="360" w:lineRule="auto"/>
        <w:rPr>
          <w:rFonts w:ascii="仿宋_GB2312" w:hAnsi="仿宋_GB2312" w:eastAsia="仿宋_GB2312"/>
          <w:color w:val="000000" w:themeColor="text1"/>
          <w14:textFill>
            <w14:solidFill>
              <w14:schemeClr w14:val="tx1"/>
            </w14:solidFill>
          </w14:textFill>
        </w:rPr>
      </w:pPr>
    </w:p>
    <w:p w14:paraId="4778982B">
      <w:pPr>
        <w:pStyle w:val="2"/>
        <w:rPr>
          <w:rFonts w:ascii="仿宋_GB2312" w:hAnsi="仿宋_GB2312" w:eastAsia="仿宋_GB2312"/>
          <w:color w:val="000000" w:themeColor="text1"/>
          <w14:textFill>
            <w14:solidFill>
              <w14:schemeClr w14:val="tx1"/>
            </w14:solidFill>
          </w14:textFill>
        </w:rPr>
      </w:pPr>
    </w:p>
    <w:p w14:paraId="2AA336FC">
      <w:pPr>
        <w:rPr>
          <w:rFonts w:ascii="仿宋_GB2312" w:hAnsi="仿宋_GB2312" w:eastAsia="仿宋_GB2312"/>
          <w:color w:val="000000" w:themeColor="text1"/>
          <w14:textFill>
            <w14:solidFill>
              <w14:schemeClr w14:val="tx1"/>
            </w14:solidFill>
          </w14:textFill>
        </w:rPr>
      </w:pPr>
    </w:p>
    <w:p w14:paraId="2D9C5500">
      <w:pPr>
        <w:pStyle w:val="2"/>
        <w:rPr>
          <w:rFonts w:ascii="仿宋_GB2312" w:hAnsi="仿宋_GB2312" w:eastAsia="仿宋_GB2312"/>
          <w:color w:val="000000" w:themeColor="text1"/>
          <w14:textFill>
            <w14:solidFill>
              <w14:schemeClr w14:val="tx1"/>
            </w14:solidFill>
          </w14:textFill>
        </w:rPr>
      </w:pPr>
    </w:p>
    <w:p w14:paraId="4BCB3208">
      <w:pPr>
        <w:rPr>
          <w:rFonts w:ascii="仿宋_GB2312" w:hAnsi="仿宋_GB2312" w:eastAsia="仿宋_GB2312"/>
          <w:color w:val="000000" w:themeColor="text1"/>
          <w14:textFill>
            <w14:solidFill>
              <w14:schemeClr w14:val="tx1"/>
            </w14:solidFill>
          </w14:textFill>
        </w:rPr>
      </w:pPr>
    </w:p>
    <w:p w14:paraId="23929BD2">
      <w:pPr>
        <w:pStyle w:val="2"/>
      </w:pPr>
    </w:p>
    <w:p w14:paraId="12E78DB6">
      <w:pPr>
        <w:tabs>
          <w:tab w:val="left" w:pos="851"/>
        </w:tabs>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八、询问、质疑和投诉</w:t>
      </w:r>
    </w:p>
    <w:p w14:paraId="58EAA561">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询问、质疑、投诉的提出和处理严格按照《中华人民共和国政府采购法》、《中华人民共和国政府采购法实施条例》和财政部《政府采购质疑和投诉办法》（财政部令第94号）的规定执行。</w:t>
      </w:r>
    </w:p>
    <w:p w14:paraId="26A8377B">
      <w:pPr>
        <w:tabs>
          <w:tab w:val="left" w:pos="851"/>
        </w:tabs>
        <w:spacing w:line="360" w:lineRule="auto"/>
        <w:jc w:val="center"/>
        <w:rPr>
          <w:rFonts w:ascii="仿宋_GB2312" w:hAnsi="仿宋_GB2312" w:eastAsia="仿宋_GB2312"/>
          <w:color w:val="000000" w:themeColor="text1"/>
          <w14:textFill>
            <w14:solidFill>
              <w14:schemeClr w14:val="tx1"/>
            </w14:solidFill>
          </w14:textFill>
        </w:rPr>
      </w:pPr>
    </w:p>
    <w:p w14:paraId="7DA7834B">
      <w:pPr>
        <w:tabs>
          <w:tab w:val="left" w:pos="851"/>
        </w:tabs>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九、其他</w:t>
      </w:r>
    </w:p>
    <w:p w14:paraId="356176D2">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注：采购人如有未尽事宜可在此处进行补充，但不得违反政府采购法律法规规章制度的规定。</w:t>
      </w:r>
    </w:p>
    <w:p w14:paraId="704636D0">
      <w:pPr>
        <w:rPr>
          <w:rFonts w:ascii="仿宋_GB2312" w:hAnsi="仿宋_GB2312" w:eastAsia="仿宋_GB2312" w:cs="仿宋"/>
          <w:color w:val="000000" w:themeColor="text1"/>
          <w14:textFill>
            <w14:solidFill>
              <w14:schemeClr w14:val="tx1"/>
            </w14:solidFill>
          </w14:textFill>
        </w:rPr>
      </w:pPr>
    </w:p>
    <w:p w14:paraId="0E5BCD9F">
      <w:pPr>
        <w:pStyle w:val="2"/>
        <w:rPr>
          <w:rFonts w:ascii="仿宋_GB2312" w:hAnsi="仿宋_GB2312" w:eastAsia="仿宋_GB2312" w:cs="仿宋"/>
          <w:color w:val="000000" w:themeColor="text1"/>
          <w14:textFill>
            <w14:solidFill>
              <w14:schemeClr w14:val="tx1"/>
            </w14:solidFill>
          </w14:textFill>
        </w:rPr>
      </w:pPr>
    </w:p>
    <w:p w14:paraId="182C8874">
      <w:pPr>
        <w:rPr>
          <w:rFonts w:ascii="仿宋_GB2312" w:hAnsi="仿宋_GB2312" w:eastAsia="仿宋_GB2312" w:cs="仿宋"/>
          <w:color w:val="000000" w:themeColor="text1"/>
          <w14:textFill>
            <w14:solidFill>
              <w14:schemeClr w14:val="tx1"/>
            </w14:solidFill>
          </w14:textFill>
        </w:rPr>
      </w:pPr>
    </w:p>
    <w:p w14:paraId="1DB8029F">
      <w:pPr>
        <w:pStyle w:val="2"/>
        <w:rPr>
          <w:rFonts w:ascii="仿宋_GB2312" w:hAnsi="仿宋_GB2312" w:eastAsia="仿宋_GB2312" w:cs="仿宋"/>
          <w:color w:val="000000" w:themeColor="text1"/>
          <w14:textFill>
            <w14:solidFill>
              <w14:schemeClr w14:val="tx1"/>
            </w14:solidFill>
          </w14:textFill>
        </w:rPr>
      </w:pPr>
    </w:p>
    <w:p w14:paraId="1F744878"/>
    <w:p w14:paraId="1E3A7F20">
      <w:pPr>
        <w:rPr>
          <w:rFonts w:ascii="仿宋_GB2312" w:hAnsi="仿宋_GB2312" w:eastAsia="仿宋_GB2312" w:cs="仿宋"/>
          <w:color w:val="000000" w:themeColor="text1"/>
          <w14:textFill>
            <w14:solidFill>
              <w14:schemeClr w14:val="tx1"/>
            </w14:solidFill>
          </w14:textFill>
        </w:rPr>
      </w:pPr>
    </w:p>
    <w:p w14:paraId="03726B46">
      <w:pPr>
        <w:pStyle w:val="2"/>
      </w:pPr>
    </w:p>
    <w:p w14:paraId="3854E026">
      <w:pPr>
        <w:pStyle w:val="11"/>
        <w:rPr>
          <w:rFonts w:ascii="仿宋_GB2312" w:hAnsi="仿宋_GB2312" w:eastAsia="仿宋_GB2312" w:cs="Times New Roman"/>
          <w:color w:val="000000" w:themeColor="text1"/>
          <w14:textFill>
            <w14:solidFill>
              <w14:schemeClr w14:val="tx1"/>
            </w14:solidFill>
          </w14:textFill>
        </w:rPr>
      </w:pPr>
      <w:bookmarkStart w:id="60" w:name="_Toc69478555"/>
      <w:bookmarkStart w:id="61" w:name="_Toc509579144"/>
      <w:r>
        <w:rPr>
          <w:rFonts w:hint="eastAsia" w:ascii="仿宋_GB2312" w:hAnsi="仿宋_GB2312" w:eastAsia="仿宋_GB2312" w:cs="仿宋"/>
          <w:color w:val="000000" w:themeColor="text1"/>
          <w14:textFill>
            <w14:solidFill>
              <w14:schemeClr w14:val="tx1"/>
            </w14:solidFill>
          </w14:textFill>
        </w:rPr>
        <w:t>第三章 采购项目技术、服务</w:t>
      </w:r>
      <w:r>
        <w:rPr>
          <w:rFonts w:ascii="仿宋_GB2312" w:hAnsi="仿宋_GB2312" w:eastAsia="仿宋_GB2312" w:cs="Times New Roman"/>
          <w:color w:val="000000" w:themeColor="text1"/>
          <w14:textFill>
            <w14:solidFill>
              <w14:schemeClr w14:val="tx1"/>
            </w14:solidFill>
          </w14:textFill>
        </w:rPr>
        <w:br w:type="textWrapping"/>
      </w:r>
      <w:r>
        <w:rPr>
          <w:rFonts w:hint="eastAsia" w:ascii="仿宋_GB2312" w:hAnsi="仿宋_GB2312" w:eastAsia="仿宋_GB2312" w:cs="仿宋"/>
          <w:color w:val="000000" w:themeColor="text1"/>
          <w14:textFill>
            <w14:solidFill>
              <w14:schemeClr w14:val="tx1"/>
            </w14:solidFill>
          </w14:textFill>
        </w:rPr>
        <w:t>及其他商务要求</w:t>
      </w:r>
      <w:bookmarkEnd w:id="60"/>
      <w:bookmarkEnd w:id="61"/>
    </w:p>
    <w:p w14:paraId="6DD72E59">
      <w:pPr>
        <w:pStyle w:val="4"/>
        <w:keepNext w:val="0"/>
        <w:keepLines w:val="0"/>
        <w:spacing w:before="0" w:after="0" w:line="360" w:lineRule="auto"/>
        <w:ind w:firstLine="118" w:firstLineChars="49"/>
        <w:jc w:val="left"/>
        <w:rPr>
          <w:rFonts w:ascii="仿宋_GB2312" w:hAnsi="仿宋_GB2312" w:eastAsia="仿宋_GB2312" w:cs="Times New Roman"/>
          <w:color w:val="000000" w:themeColor="text1"/>
          <w:sz w:val="24"/>
          <w:szCs w:val="24"/>
          <w14:textFill>
            <w14:solidFill>
              <w14:schemeClr w14:val="tx1"/>
            </w14:solidFill>
          </w14:textFill>
        </w:rPr>
      </w:pPr>
    </w:p>
    <w:p w14:paraId="4DBB02B7">
      <w:pPr>
        <w:pStyle w:val="4"/>
        <w:keepNext w:val="0"/>
        <w:keepLines w:val="0"/>
        <w:spacing w:before="0" w:after="0" w:line="360" w:lineRule="auto"/>
        <w:ind w:firstLine="590" w:firstLineChars="245"/>
        <w:jc w:val="left"/>
        <w:rPr>
          <w:rFonts w:ascii="仿宋_GB2312" w:hAnsi="仿宋_GB2312" w:eastAsia="仿宋_GB2312" w:cs="Times New Roman"/>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（注：根据项目实际情况确定哪些条款标注“</w:t>
      </w:r>
      <w:r>
        <w:rPr>
          <w:rFonts w:hint="eastAsia" w:ascii="仿宋_GB2312" w:hAnsi="仿宋_GB2312" w:eastAsia="仿宋_GB2312" w:cs="微软雅黑"/>
          <w:color w:val="000000" w:themeColor="text1"/>
          <w:sz w:val="24"/>
          <w:szCs w:val="24"/>
          <w14:textFill>
            <w14:solidFill>
              <w14:schemeClr w14:val="tx1"/>
            </w14:solidFill>
          </w14:textFill>
        </w:rPr>
        <w:t>★</w:t>
      </w:r>
      <w:r>
        <w:rPr>
          <w:rFonts w:hint="eastAsia" w:ascii="仿宋_GB2312" w:hAnsi="仿宋_GB2312" w:eastAsia="仿宋_GB2312" w:cs="仿宋"/>
          <w:color w:val="000000" w:themeColor="text1"/>
          <w:sz w:val="24"/>
          <w:szCs w:val="24"/>
          <w14:textFill>
            <w14:solidFill>
              <w14:schemeClr w14:val="tx1"/>
            </w14:solidFill>
          </w14:textFill>
        </w:rPr>
        <w:t>”号）</w:t>
      </w:r>
    </w:p>
    <w:p w14:paraId="26D8930C">
      <w:pPr>
        <w:pStyle w:val="4"/>
        <w:keepNext w:val="0"/>
        <w:keepLines w:val="0"/>
        <w:adjustRightInd w:val="0"/>
        <w:snapToGrid w:val="0"/>
        <w:spacing w:before="0" w:after="0" w:line="360" w:lineRule="auto"/>
        <w:ind w:firstLine="482" w:firstLineChars="200"/>
        <w:jc w:val="left"/>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一、</w:t>
      </w:r>
      <w:r>
        <w:rPr>
          <w:rFonts w:ascii="仿宋_GB2312" w:hAnsi="仿宋_GB2312" w:eastAsia="仿宋_GB2312" w:cs="仿宋"/>
          <w:color w:val="000000" w:themeColor="text1"/>
          <w:sz w:val="24"/>
          <w:szCs w:val="24"/>
          <w14:textFill>
            <w14:solidFill>
              <w14:schemeClr w14:val="tx1"/>
            </w14:solidFill>
          </w14:textFill>
        </w:rPr>
        <w:t xml:space="preserve"> </w:t>
      </w:r>
      <w:r>
        <w:rPr>
          <w:rFonts w:hint="eastAsia" w:ascii="仿宋_GB2312" w:hAnsi="仿宋_GB2312" w:eastAsia="仿宋_GB2312" w:cs="仿宋"/>
          <w:color w:val="000000" w:themeColor="text1"/>
          <w:sz w:val="24"/>
          <w:szCs w:val="24"/>
          <w14:textFill>
            <w14:solidFill>
              <w14:schemeClr w14:val="tx1"/>
            </w14:solidFill>
          </w14:textFill>
        </w:rPr>
        <w:t>技术、服务标准和要求</w:t>
      </w:r>
    </w:p>
    <w:p w14:paraId="062A88F6">
      <w:pPr>
        <w:spacing w:before="236" w:line="357" w:lineRule="auto"/>
        <w:ind w:right="562" w:firstLine="480" w:firstLineChars="200"/>
        <w:jc w:val="both"/>
        <w:rPr>
          <w:rFonts w:hint="eastAsia" w:ascii="仿宋_GB2312" w:hAnsi="仿宋_GB2312" w:eastAsia="仿宋_GB2312" w:cs="仿宋"/>
          <w:color w:val="auto"/>
          <w:lang w:val="zh-CN"/>
        </w:rPr>
      </w:pPr>
      <w:r>
        <w:rPr>
          <w:rFonts w:hint="eastAsia" w:ascii="仿宋_GB2312" w:hAnsi="仿宋_GB2312" w:eastAsia="仿宋_GB2312" w:cs="仿宋"/>
          <w:color w:val="000000" w:themeColor="text1"/>
          <w14:textFill>
            <w14:solidFill>
              <w14:schemeClr w14:val="tx1"/>
            </w14:solidFill>
          </w14:textFill>
        </w:rPr>
        <w:t>1</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技术、服务标准和要求</w:t>
      </w:r>
      <w:r>
        <w:rPr>
          <w:rFonts w:hint="eastAsia" w:ascii="仿宋_GB2312" w:hAnsi="仿宋_GB2312" w:eastAsia="仿宋_GB2312" w:cs="仿宋"/>
          <w:color w:val="000000" w:themeColor="text1"/>
          <w:lang w:eastAsia="zh-CN"/>
          <w14:textFill>
            <w14:solidFill>
              <w14:schemeClr w14:val="tx1"/>
            </w14:solidFill>
          </w14:textFill>
        </w:rPr>
        <w:t>：</w:t>
      </w:r>
      <w:r>
        <w:rPr>
          <w:rFonts w:hint="eastAsia" w:ascii="仿宋_GB2312" w:hAnsi="仿宋_GB2312" w:eastAsia="仿宋_GB2312" w:cs="仿宋"/>
          <w:color w:val="auto"/>
          <w:lang w:val="en-US" w:eastAsia="zh-CN"/>
        </w:rPr>
        <w:t>江北大道(原党校-体育馆)路灯灯笼，城市广场1层节点造型和灯饰挂件，城市广场2层灯饰挂件，城市广场3层华灯璀璨节点造型，市政府两侧道路灯饰挂件。</w:t>
      </w:r>
      <w:r>
        <w:rPr>
          <w:rFonts w:hint="eastAsia" w:ascii="仿宋_GB2312" w:hAnsi="仿宋_GB2312" w:eastAsia="仿宋_GB2312" w:cs="仿宋"/>
          <w:color w:val="auto"/>
          <w:lang w:val="zh-CN"/>
        </w:rPr>
        <w:t xml:space="preserve"> </w:t>
      </w:r>
    </w:p>
    <w:p w14:paraId="5C8C0C9C">
      <w:pPr>
        <w:spacing w:before="236" w:line="357" w:lineRule="auto"/>
        <w:ind w:right="562" w:firstLine="480" w:firstLineChars="200"/>
        <w:jc w:val="both"/>
        <w:rPr>
          <w:rFonts w:hint="eastAsia" w:ascii="仿宋_GB2312" w:hAnsi="仿宋_GB2312" w:eastAsia="仿宋_GB2312" w:cs="仿宋"/>
          <w:color w:val="000000" w:themeColor="text1"/>
          <w:lang w:eastAsia="zh-CN"/>
          <w14:textFill>
            <w14:solidFill>
              <w14:schemeClr w14:val="tx1"/>
            </w14:solidFill>
          </w14:textFill>
        </w:rPr>
      </w:pPr>
      <w:r>
        <w:rPr>
          <w:rFonts w:hint="eastAsia" w:ascii="仿宋_GB2312" w:hAnsi="仿宋_GB2312" w:eastAsia="仿宋_GB2312" w:cs="仿宋"/>
          <w:bCs/>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.按照设计方案要求按时高质量完成</w:t>
      </w:r>
      <w:r>
        <w:rPr>
          <w:rFonts w:hint="eastAsia" w:ascii="仿宋_GB2312" w:hAnsi="仿宋_GB2312" w:eastAsia="仿宋_GB2312" w:cs="仿宋"/>
          <w:color w:val="000000" w:themeColor="text1"/>
          <w:lang w:eastAsia="zh-CN"/>
          <w14:textFill>
            <w14:solidFill>
              <w14:schemeClr w14:val="tx1"/>
            </w14:solidFill>
          </w14:textFill>
        </w:rPr>
        <w:t>。</w:t>
      </w:r>
    </w:p>
    <w:p w14:paraId="3E20798D">
      <w:pPr>
        <w:adjustRightInd w:val="0"/>
        <w:snapToGrid w:val="0"/>
        <w:spacing w:line="360" w:lineRule="auto"/>
        <w:ind w:firstLine="480" w:firstLineChars="200"/>
        <w:rPr>
          <w:rFonts w:ascii="仿宋_GB2312" w:hAnsi="仿宋_GB2312" w:eastAsia="仿宋_GB2312" w:cs="仿宋"/>
          <w:color w:val="000000" w:themeColor="text1"/>
          <w14:textFill>
            <w14:solidFill>
              <w14:schemeClr w14:val="tx1"/>
            </w14:solidFill>
          </w14:textFill>
        </w:rPr>
      </w:pPr>
    </w:p>
    <w:p w14:paraId="468C98D2">
      <w:pPr>
        <w:adjustRightInd w:val="0"/>
        <w:snapToGrid w:val="0"/>
        <w:spacing w:line="360" w:lineRule="auto"/>
        <w:ind w:firstLine="480" w:firstLineChars="200"/>
        <w:rPr>
          <w:rFonts w:hint="eastAsia" w:eastAsia="仿宋_GB2312"/>
          <w:color w:val="000000" w:themeColor="text1"/>
          <w:lang w:val="en-US" w:eastAsia="zh-CN"/>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针对本项目的其他技术服务要求：</w:t>
      </w:r>
      <w:r>
        <w:rPr>
          <w:rFonts w:hint="eastAsia" w:ascii="仿宋_GB2312" w:hAnsi="仿宋_GB2312" w:eastAsia="仿宋_GB2312" w:cs="仿宋"/>
          <w:color w:val="000000" w:themeColor="text1"/>
          <w:lang w:val="en-US" w:eastAsia="zh-CN"/>
          <w14:textFill>
            <w14:solidFill>
              <w14:schemeClr w14:val="tx1"/>
            </w14:solidFill>
          </w14:textFill>
        </w:rPr>
        <w:t>无。</w:t>
      </w:r>
    </w:p>
    <w:p w14:paraId="152B5649">
      <w:pPr>
        <w:adjustRightInd w:val="0"/>
        <w:snapToGrid w:val="0"/>
        <w:spacing w:line="360" w:lineRule="auto"/>
        <w:ind w:firstLine="480" w:firstLineChars="200"/>
        <w:jc w:val="both"/>
        <w:rPr>
          <w:rFonts w:hint="eastAsia" w:ascii="仿宋_GB2312" w:hAnsi="仿宋_GB2312" w:eastAsia="仿宋_GB2312" w:cs="仿宋"/>
          <w:color w:val="000000" w:themeColor="text1"/>
          <w14:textFill>
            <w14:solidFill>
              <w14:schemeClr w14:val="tx1"/>
            </w14:solidFill>
          </w14:textFill>
        </w:rPr>
      </w:pPr>
    </w:p>
    <w:p w14:paraId="14B98C2E">
      <w:pPr>
        <w:adjustRightInd w:val="0"/>
        <w:snapToGrid w:val="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4</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工程量清单（详见附件）。</w:t>
      </w:r>
    </w:p>
    <w:p w14:paraId="7D9719E1">
      <w:pPr>
        <w:pStyle w:val="4"/>
        <w:keepNext w:val="0"/>
        <w:keepLines w:val="0"/>
        <w:adjustRightInd w:val="0"/>
        <w:snapToGrid w:val="0"/>
        <w:spacing w:before="0" w:after="0" w:line="360" w:lineRule="auto"/>
        <w:ind w:firstLine="482" w:firstLineChars="200"/>
        <w:jc w:val="left"/>
        <w:rPr>
          <w:rFonts w:ascii="仿宋_GB2312" w:hAnsi="仿宋_GB2312" w:eastAsia="仿宋_GB2312" w:cs="Times New Roman"/>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二、商务要求</w:t>
      </w:r>
    </w:p>
    <w:tbl>
      <w:tblPr>
        <w:tblStyle w:val="12"/>
        <w:tblW w:w="7494" w:type="dxa"/>
        <w:jc w:val="center"/>
        <w:tblLayout w:type="fixed"/>
        <w:tblCellMar>
          <w:top w:w="0" w:type="dxa"/>
          <w:left w:w="108" w:type="dxa"/>
          <w:bottom w:w="0" w:type="dxa"/>
          <w:right w:w="108" w:type="dxa"/>
        </w:tblCellMar>
      </w:tblPr>
      <w:tblGrid>
        <w:gridCol w:w="877"/>
        <w:gridCol w:w="1800"/>
        <w:gridCol w:w="4817"/>
      </w:tblGrid>
      <w:tr w14:paraId="673FE28E">
        <w:tblPrEx>
          <w:tblCellMar>
            <w:top w:w="0" w:type="dxa"/>
            <w:left w:w="108" w:type="dxa"/>
            <w:bottom w:w="0" w:type="dxa"/>
            <w:right w:w="108" w:type="dxa"/>
          </w:tblCellMar>
        </w:tblPrEx>
        <w:trPr>
          <w:trHeight w:val="705"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06EA91A2">
            <w:pPr>
              <w:spacing w:line="360" w:lineRule="auto"/>
              <w:ind w:right="24" w:rightChars="10"/>
              <w:jc w:val="center"/>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14:textFill>
                  <w14:solidFill>
                    <w14:schemeClr w14:val="tx1"/>
                  </w14:solidFill>
                </w14:textFill>
              </w:rPr>
              <w:t>序号</w:t>
            </w:r>
          </w:p>
        </w:tc>
        <w:tc>
          <w:tcPr>
            <w:tcW w:w="1800" w:type="dxa"/>
            <w:tcBorders>
              <w:top w:val="single" w:color="auto" w:sz="4" w:space="0"/>
              <w:left w:val="nil"/>
              <w:bottom w:val="single" w:color="auto" w:sz="4" w:space="0"/>
              <w:right w:val="single" w:color="auto" w:sz="4" w:space="0"/>
            </w:tcBorders>
            <w:vAlign w:val="center"/>
          </w:tcPr>
          <w:p w14:paraId="505734D9">
            <w:pPr>
              <w:spacing w:line="360" w:lineRule="auto"/>
              <w:ind w:right="24" w:rightChars="10"/>
              <w:jc w:val="center"/>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14:textFill>
                  <w14:solidFill>
                    <w14:schemeClr w14:val="tx1"/>
                  </w14:solidFill>
                </w14:textFill>
              </w:rPr>
              <w:t>项目</w:t>
            </w:r>
          </w:p>
        </w:tc>
        <w:tc>
          <w:tcPr>
            <w:tcW w:w="4817" w:type="dxa"/>
            <w:tcBorders>
              <w:top w:val="single" w:color="auto" w:sz="4" w:space="0"/>
              <w:left w:val="nil"/>
              <w:bottom w:val="single" w:color="auto" w:sz="4" w:space="0"/>
              <w:right w:val="single" w:color="auto" w:sz="4" w:space="0"/>
            </w:tcBorders>
            <w:vAlign w:val="center"/>
          </w:tcPr>
          <w:p w14:paraId="35D6E864">
            <w:pPr>
              <w:spacing w:line="360" w:lineRule="auto"/>
              <w:ind w:right="24" w:rightChars="10"/>
              <w:jc w:val="center"/>
              <w:rPr>
                <w:rFonts w:ascii="仿宋_GB2312" w:hAnsi="仿宋_GB2312" w:eastAsia="仿宋_GB2312"/>
                <w:b/>
                <w:bCs/>
                <w:color w:val="000000" w:themeColor="text1"/>
                <w14:textFill>
                  <w14:solidFill>
                    <w14:schemeClr w14:val="tx1"/>
                  </w14:solidFill>
                </w14:textFill>
              </w:rPr>
            </w:pPr>
            <w:r>
              <w:rPr>
                <w:rFonts w:hint="eastAsia" w:ascii="仿宋_GB2312" w:hAnsi="仿宋_GB2312" w:eastAsia="仿宋_GB2312" w:cs="仿宋"/>
                <w:b/>
                <w:bCs/>
                <w:color w:val="000000" w:themeColor="text1"/>
                <w14:textFill>
                  <w14:solidFill>
                    <w14:schemeClr w14:val="tx1"/>
                  </w14:solidFill>
                </w14:textFill>
              </w:rPr>
              <w:t>要求</w:t>
            </w:r>
          </w:p>
        </w:tc>
      </w:tr>
      <w:tr w14:paraId="4831D832">
        <w:tblPrEx>
          <w:tblCellMar>
            <w:top w:w="0" w:type="dxa"/>
            <w:left w:w="108" w:type="dxa"/>
            <w:bottom w:w="0" w:type="dxa"/>
            <w:right w:w="108" w:type="dxa"/>
          </w:tblCellMar>
        </w:tblPrEx>
        <w:trPr>
          <w:trHeight w:val="508"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179B017F">
            <w:pPr>
              <w:spacing w:line="360" w:lineRule="auto"/>
              <w:ind w:right="24" w:rightChars="10"/>
              <w:jc w:val="center"/>
              <w:rPr>
                <w:rFonts w:hint="eastAsia" w:ascii="仿宋_GB2312" w:hAnsi="仿宋_GB2312" w:eastAsia="仿宋_GB2312"/>
                <w:color w:val="000000" w:themeColor="text1"/>
                <w:lang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1</w:t>
            </w:r>
          </w:p>
        </w:tc>
        <w:tc>
          <w:tcPr>
            <w:tcW w:w="1800" w:type="dxa"/>
            <w:tcBorders>
              <w:top w:val="single" w:color="auto" w:sz="4" w:space="0"/>
              <w:left w:val="nil"/>
              <w:bottom w:val="single" w:color="auto" w:sz="4" w:space="0"/>
              <w:right w:val="single" w:color="auto" w:sz="4" w:space="0"/>
            </w:tcBorders>
            <w:vAlign w:val="center"/>
          </w:tcPr>
          <w:p w14:paraId="30551150">
            <w:pPr>
              <w:spacing w:line="360" w:lineRule="auto"/>
              <w:ind w:right="24" w:rightChars="10"/>
              <w:jc w:val="center"/>
              <w:rPr>
                <w:rFonts w:hint="eastAsia" w:ascii="仿宋_GB2312" w:hAnsi="仿宋_GB2312" w:eastAsia="仿宋_GB2312"/>
                <w:color w:val="000000" w:themeColor="text1"/>
                <w:lang w:eastAsia="zh-CN"/>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竣工时间</w:t>
            </w:r>
          </w:p>
        </w:tc>
        <w:tc>
          <w:tcPr>
            <w:tcW w:w="4817" w:type="dxa"/>
            <w:tcBorders>
              <w:top w:val="single" w:color="auto" w:sz="4" w:space="0"/>
              <w:left w:val="nil"/>
              <w:bottom w:val="single" w:color="auto" w:sz="4" w:space="0"/>
              <w:right w:val="single" w:color="auto" w:sz="4" w:space="0"/>
            </w:tcBorders>
            <w:vAlign w:val="center"/>
          </w:tcPr>
          <w:p w14:paraId="1092D3D5">
            <w:pPr>
              <w:pStyle w:val="18"/>
              <w:jc w:val="center"/>
              <w:rPr>
                <w:rFonts w:hint="default" w:ascii="仿宋_GB2312" w:hAnsi="仿宋_GB2312" w:eastAsia="仿宋_GB2312"/>
                <w:color w:val="000000" w:themeColor="text1"/>
                <w:kern w:val="2"/>
                <w:lang w:val="en-US"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2025年1月20日</w:t>
            </w:r>
          </w:p>
        </w:tc>
      </w:tr>
      <w:tr w14:paraId="1F08DFCD">
        <w:tblPrEx>
          <w:tblCellMar>
            <w:top w:w="0" w:type="dxa"/>
            <w:left w:w="108" w:type="dxa"/>
            <w:bottom w:w="0" w:type="dxa"/>
            <w:right w:w="108" w:type="dxa"/>
          </w:tblCellMar>
        </w:tblPrEx>
        <w:trPr>
          <w:trHeight w:val="524"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6F660EB8">
            <w:pPr>
              <w:spacing w:line="360" w:lineRule="auto"/>
              <w:ind w:right="24" w:rightChars="10"/>
              <w:jc w:val="center"/>
              <w:rPr>
                <w:rFonts w:hint="default"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2</w:t>
            </w:r>
          </w:p>
        </w:tc>
        <w:tc>
          <w:tcPr>
            <w:tcW w:w="1800" w:type="dxa"/>
            <w:tcBorders>
              <w:top w:val="single" w:color="auto" w:sz="4" w:space="0"/>
              <w:left w:val="nil"/>
              <w:bottom w:val="single" w:color="auto" w:sz="4" w:space="0"/>
              <w:right w:val="single" w:color="auto" w:sz="4" w:space="0"/>
            </w:tcBorders>
            <w:vAlign w:val="center"/>
          </w:tcPr>
          <w:p w14:paraId="69DF4FEE">
            <w:pPr>
              <w:spacing w:line="360" w:lineRule="auto"/>
              <w:ind w:right="24" w:rightChars="10"/>
              <w:jc w:val="center"/>
              <w:rPr>
                <w:rFonts w:hint="eastAsia" w:ascii="仿宋_GB2312" w:hAnsi="仿宋_GB2312" w:eastAsia="仿宋_GB2312" w:cs="仿宋"/>
                <w:color w:val="000000" w:themeColor="text1"/>
                <w:lang w:eastAsia="zh-CN"/>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对外开放时间</w:t>
            </w:r>
          </w:p>
        </w:tc>
        <w:tc>
          <w:tcPr>
            <w:tcW w:w="4817" w:type="dxa"/>
            <w:tcBorders>
              <w:top w:val="single" w:color="auto" w:sz="4" w:space="0"/>
              <w:left w:val="nil"/>
              <w:bottom w:val="single" w:color="auto" w:sz="4" w:space="0"/>
              <w:right w:val="single" w:color="auto" w:sz="4" w:space="0"/>
            </w:tcBorders>
            <w:vAlign w:val="center"/>
          </w:tcPr>
          <w:p w14:paraId="7138D5E2">
            <w:pPr>
              <w:pStyle w:val="18"/>
              <w:jc w:val="center"/>
              <w:rPr>
                <w:rFonts w:hint="eastAsia"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2025年1月22日</w:t>
            </w:r>
          </w:p>
        </w:tc>
      </w:tr>
      <w:tr w14:paraId="6B45E2B7">
        <w:tblPrEx>
          <w:tblCellMar>
            <w:top w:w="0" w:type="dxa"/>
            <w:left w:w="108" w:type="dxa"/>
            <w:bottom w:w="0" w:type="dxa"/>
            <w:right w:w="108" w:type="dxa"/>
          </w:tblCellMar>
        </w:tblPrEx>
        <w:trPr>
          <w:trHeight w:val="542"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2F4B2E54">
            <w:pPr>
              <w:spacing w:line="360" w:lineRule="auto"/>
              <w:ind w:right="24" w:rightChars="10"/>
              <w:jc w:val="center"/>
              <w:rPr>
                <w:rFonts w:hint="default"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3</w:t>
            </w:r>
          </w:p>
        </w:tc>
        <w:tc>
          <w:tcPr>
            <w:tcW w:w="1800" w:type="dxa"/>
            <w:tcBorders>
              <w:top w:val="single" w:color="auto" w:sz="4" w:space="0"/>
              <w:left w:val="nil"/>
              <w:bottom w:val="single" w:color="auto" w:sz="4" w:space="0"/>
              <w:right w:val="single" w:color="auto" w:sz="4" w:space="0"/>
            </w:tcBorders>
            <w:vAlign w:val="center"/>
          </w:tcPr>
          <w:p w14:paraId="1A08D503">
            <w:pPr>
              <w:spacing w:line="360" w:lineRule="auto"/>
              <w:ind w:right="24" w:rightChars="10"/>
              <w:jc w:val="center"/>
              <w:rPr>
                <w:rFonts w:hint="eastAsia" w:ascii="仿宋_GB2312" w:hAnsi="仿宋_GB2312" w:eastAsia="仿宋_GB2312" w:cs="仿宋"/>
                <w:color w:val="000000" w:themeColor="text1"/>
                <w:lang w:eastAsia="zh-CN"/>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拆除时间</w:t>
            </w:r>
          </w:p>
        </w:tc>
        <w:tc>
          <w:tcPr>
            <w:tcW w:w="4817" w:type="dxa"/>
            <w:tcBorders>
              <w:top w:val="single" w:color="auto" w:sz="4" w:space="0"/>
              <w:left w:val="nil"/>
              <w:bottom w:val="single" w:color="auto" w:sz="4" w:space="0"/>
              <w:right w:val="single" w:color="auto" w:sz="4" w:space="0"/>
            </w:tcBorders>
            <w:vAlign w:val="center"/>
          </w:tcPr>
          <w:p w14:paraId="5D2C1479">
            <w:pPr>
              <w:pStyle w:val="18"/>
              <w:jc w:val="center"/>
              <w:rPr>
                <w:rFonts w:hint="eastAsia" w:ascii="仿宋_GB2312" w:hAnsi="仿宋_GB2312" w:eastAsia="仿宋_GB2312"/>
                <w:color w:val="000000" w:themeColor="text1"/>
                <w:lang w:val="en-US" w:eastAsia="zh-CN"/>
                <w14:textFill>
                  <w14:solidFill>
                    <w14:schemeClr w14:val="tx1"/>
                  </w14:solidFill>
                </w14:textFill>
              </w:rPr>
            </w:pPr>
            <w:r>
              <w:rPr>
                <w:rFonts w:hint="eastAsia" w:ascii="仿宋_GB2312" w:hAnsi="仿宋_GB2312" w:eastAsia="仿宋_GB2312"/>
                <w:color w:val="000000" w:themeColor="text1"/>
                <w:lang w:val="en-US" w:eastAsia="zh-CN"/>
                <w14:textFill>
                  <w14:solidFill>
                    <w14:schemeClr w14:val="tx1"/>
                  </w14:solidFill>
                </w14:textFill>
              </w:rPr>
              <w:t>2025年2月19日</w:t>
            </w:r>
          </w:p>
        </w:tc>
      </w:tr>
      <w:tr w14:paraId="21B51A03">
        <w:tblPrEx>
          <w:tblCellMar>
            <w:top w:w="0" w:type="dxa"/>
            <w:left w:w="108" w:type="dxa"/>
            <w:bottom w:w="0" w:type="dxa"/>
            <w:right w:w="108" w:type="dxa"/>
          </w:tblCellMar>
        </w:tblPrEx>
        <w:trPr>
          <w:trHeight w:val="355"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26496009">
            <w:pPr>
              <w:spacing w:line="360" w:lineRule="auto"/>
              <w:ind w:right="24" w:rightChars="10"/>
              <w:jc w:val="center"/>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4</w:t>
            </w:r>
          </w:p>
        </w:tc>
        <w:tc>
          <w:tcPr>
            <w:tcW w:w="1800" w:type="dxa"/>
            <w:tcBorders>
              <w:top w:val="single" w:color="auto" w:sz="4" w:space="0"/>
              <w:left w:val="nil"/>
              <w:bottom w:val="single" w:color="auto" w:sz="4" w:space="0"/>
              <w:right w:val="single" w:color="auto" w:sz="4" w:space="0"/>
            </w:tcBorders>
            <w:vAlign w:val="center"/>
          </w:tcPr>
          <w:p w14:paraId="604EEA57">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付款方式</w:t>
            </w:r>
          </w:p>
        </w:tc>
        <w:tc>
          <w:tcPr>
            <w:tcW w:w="4817" w:type="dxa"/>
            <w:tcBorders>
              <w:top w:val="single" w:color="auto" w:sz="4" w:space="0"/>
              <w:left w:val="nil"/>
              <w:bottom w:val="single" w:color="auto" w:sz="4" w:space="0"/>
              <w:right w:val="single" w:color="auto" w:sz="4" w:space="0"/>
            </w:tcBorders>
            <w:vAlign w:val="center"/>
          </w:tcPr>
          <w:p w14:paraId="2AF1FCAF">
            <w:pPr>
              <w:spacing w:line="240" w:lineRule="auto"/>
              <w:ind w:right="24" w:rightChars="10"/>
              <w:jc w:val="left"/>
              <w:rPr>
                <w:rFonts w:hint="default"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签订合同后支付合同金额30%，完工后支付合同金额50%，现场拆除后支付合同金额13%，待竣工结算审计后支付剩余工程款。</w:t>
            </w:r>
          </w:p>
        </w:tc>
      </w:tr>
      <w:tr w14:paraId="7A1A6EDB">
        <w:tblPrEx>
          <w:tblCellMar>
            <w:top w:w="0" w:type="dxa"/>
            <w:left w:w="108" w:type="dxa"/>
            <w:bottom w:w="0" w:type="dxa"/>
            <w:right w:w="108" w:type="dxa"/>
          </w:tblCellMar>
        </w:tblPrEx>
        <w:trPr>
          <w:trHeight w:val="876"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56542D27">
            <w:pPr>
              <w:spacing w:line="360" w:lineRule="auto"/>
              <w:ind w:right="24" w:rightChars="10"/>
              <w:jc w:val="center"/>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5</w:t>
            </w:r>
          </w:p>
        </w:tc>
        <w:tc>
          <w:tcPr>
            <w:tcW w:w="1800" w:type="dxa"/>
            <w:tcBorders>
              <w:top w:val="single" w:color="auto" w:sz="4" w:space="0"/>
              <w:left w:val="nil"/>
              <w:bottom w:val="single" w:color="auto" w:sz="4" w:space="0"/>
              <w:right w:val="single" w:color="auto" w:sz="4" w:space="0"/>
            </w:tcBorders>
            <w:vAlign w:val="center"/>
          </w:tcPr>
          <w:p w14:paraId="5F328E1E">
            <w:pPr>
              <w:spacing w:line="360" w:lineRule="auto"/>
              <w:ind w:right="24" w:rightChars="10"/>
              <w:jc w:val="center"/>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验收</w:t>
            </w:r>
          </w:p>
        </w:tc>
        <w:tc>
          <w:tcPr>
            <w:tcW w:w="4817" w:type="dxa"/>
            <w:tcBorders>
              <w:top w:val="single" w:color="auto" w:sz="4" w:space="0"/>
              <w:left w:val="nil"/>
              <w:bottom w:val="single" w:color="auto" w:sz="4" w:space="0"/>
              <w:right w:val="single" w:color="auto" w:sz="4" w:space="0"/>
            </w:tcBorders>
            <w:vAlign w:val="center"/>
          </w:tcPr>
          <w:p w14:paraId="2FBDA57E">
            <w:pPr>
              <w:spacing w:line="360" w:lineRule="auto"/>
              <w:ind w:right="24" w:rightChars="10"/>
              <w:jc w:val="center"/>
              <w:rPr>
                <w:rFonts w:hint="default"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按时按质完成采购人服务内容</w:t>
            </w:r>
          </w:p>
        </w:tc>
      </w:tr>
      <w:tr w14:paraId="36896362">
        <w:tblPrEx>
          <w:tblCellMar>
            <w:top w:w="0" w:type="dxa"/>
            <w:left w:w="108" w:type="dxa"/>
            <w:bottom w:w="0" w:type="dxa"/>
            <w:right w:w="108" w:type="dxa"/>
          </w:tblCellMar>
        </w:tblPrEx>
        <w:trPr>
          <w:trHeight w:val="1209" w:hRule="atLeast"/>
          <w:jc w:val="center"/>
        </w:trPr>
        <w:tc>
          <w:tcPr>
            <w:tcW w:w="877" w:type="dxa"/>
            <w:tcBorders>
              <w:top w:val="single" w:color="auto" w:sz="4" w:space="0"/>
              <w:left w:val="single" w:color="auto" w:sz="4" w:space="0"/>
              <w:bottom w:val="single" w:color="auto" w:sz="4" w:space="0"/>
              <w:right w:val="single" w:color="auto" w:sz="4" w:space="0"/>
            </w:tcBorders>
            <w:vAlign w:val="center"/>
          </w:tcPr>
          <w:p w14:paraId="730561C8">
            <w:pPr>
              <w:spacing w:line="360" w:lineRule="auto"/>
              <w:ind w:right="24" w:rightChars="10"/>
              <w:jc w:val="center"/>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6</w:t>
            </w:r>
          </w:p>
        </w:tc>
        <w:tc>
          <w:tcPr>
            <w:tcW w:w="1800" w:type="dxa"/>
            <w:tcBorders>
              <w:top w:val="single" w:color="auto" w:sz="4" w:space="0"/>
              <w:left w:val="nil"/>
              <w:bottom w:val="single" w:color="auto" w:sz="4" w:space="0"/>
              <w:right w:val="single" w:color="auto" w:sz="4" w:space="0"/>
            </w:tcBorders>
            <w:vAlign w:val="center"/>
          </w:tcPr>
          <w:p w14:paraId="4015A41A">
            <w:pPr>
              <w:spacing w:line="360" w:lineRule="auto"/>
              <w:ind w:right="24" w:rightChars="10"/>
              <w:jc w:val="center"/>
              <w:rPr>
                <w:rFonts w:hint="eastAsia" w:ascii="仿宋_GB2312" w:hAnsi="仿宋_GB2312" w:eastAsia="仿宋_GB2312" w:cs="仿宋"/>
                <w:color w:val="000000" w:themeColor="text1"/>
                <w:lang w:eastAsia="zh-CN"/>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安全责任</w:t>
            </w:r>
          </w:p>
        </w:tc>
        <w:tc>
          <w:tcPr>
            <w:tcW w:w="4817" w:type="dxa"/>
            <w:tcBorders>
              <w:top w:val="single" w:color="auto" w:sz="4" w:space="0"/>
              <w:left w:val="nil"/>
              <w:bottom w:val="single" w:color="auto" w:sz="4" w:space="0"/>
              <w:right w:val="single" w:color="auto" w:sz="4" w:space="0"/>
            </w:tcBorders>
            <w:vAlign w:val="center"/>
          </w:tcPr>
          <w:p w14:paraId="749F7BCF">
            <w:pPr>
              <w:spacing w:line="360" w:lineRule="auto"/>
              <w:jc w:val="center"/>
              <w:rPr>
                <w:rFonts w:hint="default"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lang w:val="en-US" w:eastAsia="zh-CN"/>
                <w14:textFill>
                  <w14:solidFill>
                    <w14:schemeClr w14:val="tx1"/>
                  </w14:solidFill>
                </w14:textFill>
              </w:rPr>
              <w:t>供应商负责作业期间一切安全责任</w:t>
            </w:r>
          </w:p>
        </w:tc>
      </w:tr>
    </w:tbl>
    <w:p w14:paraId="676CB2B5">
      <w:pPr>
        <w:pStyle w:val="11"/>
        <w:rPr>
          <w:rFonts w:ascii="仿宋_GB2312" w:hAnsi="仿宋_GB2312" w:eastAsia="仿宋_GB2312" w:cs="Times New Roman"/>
          <w:color w:val="000000" w:themeColor="text1"/>
          <w:sz w:val="24"/>
          <w:szCs w:val="24"/>
          <w14:textFill>
            <w14:solidFill>
              <w14:schemeClr w14:val="tx1"/>
            </w14:solidFill>
          </w14:textFill>
        </w:rPr>
      </w:pPr>
    </w:p>
    <w:p w14:paraId="68D4ADD7">
      <w:pPr>
        <w:adjustRightInd w:val="0"/>
        <w:snapToGrid w:val="0"/>
        <w:spacing w:line="360" w:lineRule="auto"/>
        <w:ind w:firstLine="480" w:firstLineChars="200"/>
        <w:jc w:val="both"/>
        <w:rPr>
          <w:color w:val="000000" w:themeColor="text1"/>
          <w14:textFill>
            <w14:solidFill>
              <w14:schemeClr w14:val="tx1"/>
            </w14:solidFill>
          </w14:textFill>
        </w:rPr>
      </w:pPr>
    </w:p>
    <w:p w14:paraId="4CF94DCB">
      <w:pPr>
        <w:adjustRightInd w:val="0"/>
        <w:snapToGrid w:val="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说明：1</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对于不允许偏离的实质性要求和条件，采购人应当在谈判文件中规定，并以醒目的方式标明。</w:t>
      </w:r>
    </w:p>
    <w:p w14:paraId="3F689DAE">
      <w:pPr>
        <w:adjustRightInd w:val="0"/>
        <w:snapToGrid w:val="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除相关法律或行政法规或规章要求供应商在响应或谈判阶段提供检测报告的，不</w:t>
      </w:r>
      <w:r>
        <w:rPr>
          <w:rFonts w:ascii="仿宋_GB2312" w:hAnsi="仿宋_GB2312" w:eastAsia="仿宋_GB2312" w:cs="仿宋"/>
          <w:color w:val="000000" w:themeColor="text1"/>
          <w14:textFill>
            <w14:solidFill>
              <w14:schemeClr w14:val="tx1"/>
            </w14:solidFill>
          </w14:textFill>
        </w:rPr>
        <w:t>得要求供应商在</w:t>
      </w:r>
      <w:r>
        <w:rPr>
          <w:rFonts w:hint="eastAsia" w:ascii="仿宋_GB2312" w:hAnsi="仿宋_GB2312" w:eastAsia="仿宋_GB2312" w:cs="仿宋"/>
          <w:color w:val="000000" w:themeColor="text1"/>
          <w14:textFill>
            <w14:solidFill>
              <w14:schemeClr w14:val="tx1"/>
            </w14:solidFill>
          </w14:textFill>
        </w:rPr>
        <w:t>响应、谈判</w:t>
      </w:r>
      <w:r>
        <w:rPr>
          <w:rFonts w:ascii="仿宋_GB2312" w:hAnsi="仿宋_GB2312" w:eastAsia="仿宋_GB2312" w:cs="仿宋"/>
          <w:color w:val="000000" w:themeColor="text1"/>
          <w14:textFill>
            <w14:solidFill>
              <w14:schemeClr w14:val="tx1"/>
            </w14:solidFill>
          </w14:textFill>
        </w:rPr>
        <w:t>阶段提供检测报告，</w:t>
      </w:r>
      <w:r>
        <w:rPr>
          <w:rFonts w:hint="eastAsia" w:ascii="仿宋_GB2312" w:hAnsi="仿宋_GB2312" w:eastAsia="仿宋_GB2312" w:cs="仿宋"/>
          <w:color w:val="000000" w:themeColor="text1"/>
          <w14:textFill>
            <w14:solidFill>
              <w14:schemeClr w14:val="tx1"/>
            </w14:solidFill>
          </w14:textFill>
        </w:rPr>
        <w:t>如</w:t>
      </w:r>
      <w:r>
        <w:rPr>
          <w:rFonts w:ascii="仿宋_GB2312" w:hAnsi="仿宋_GB2312" w:eastAsia="仿宋_GB2312" w:cs="仿宋"/>
          <w:color w:val="000000" w:themeColor="text1"/>
          <w14:textFill>
            <w14:solidFill>
              <w14:schemeClr w14:val="tx1"/>
            </w14:solidFill>
          </w14:textFill>
        </w:rPr>
        <w:t>确实需要检测报告</w:t>
      </w:r>
      <w:r>
        <w:rPr>
          <w:rFonts w:hint="eastAsia" w:ascii="仿宋_GB2312" w:hAnsi="仿宋_GB2312" w:eastAsia="仿宋_GB2312" w:cs="仿宋"/>
          <w:color w:val="000000" w:themeColor="text1"/>
          <w14:textFill>
            <w14:solidFill>
              <w14:schemeClr w14:val="tx1"/>
            </w14:solidFill>
          </w14:textFill>
        </w:rPr>
        <w:t>，可要求</w:t>
      </w:r>
      <w:r>
        <w:rPr>
          <w:rFonts w:ascii="仿宋_GB2312" w:hAnsi="仿宋_GB2312" w:eastAsia="仿宋_GB2312" w:cs="仿宋"/>
          <w:color w:val="000000" w:themeColor="text1"/>
          <w14:textFill>
            <w14:solidFill>
              <w14:schemeClr w14:val="tx1"/>
            </w14:solidFill>
          </w14:textFill>
        </w:rPr>
        <w:t>供应商承诺在签订合同阶段或项目实施阶段提供。</w:t>
      </w:r>
    </w:p>
    <w:p w14:paraId="6176E610">
      <w:pPr>
        <w:adjustRightInd w:val="0"/>
        <w:snapToGrid w:val="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3</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若要求供应商提供相关人员的职业资格的，</w:t>
      </w:r>
      <w:r>
        <w:rPr>
          <w:rFonts w:ascii="仿宋_GB2312" w:hAnsi="仿宋_GB2312" w:eastAsia="仿宋_GB2312" w:cs="仿宋"/>
          <w:color w:val="000000" w:themeColor="text1"/>
          <w14:textFill>
            <w14:solidFill>
              <w14:schemeClr w14:val="tx1"/>
            </w14:solidFill>
          </w14:textFill>
        </w:rPr>
        <w:t>不得要求提供</w:t>
      </w:r>
      <w:r>
        <w:rPr>
          <w:rFonts w:hint="eastAsia" w:ascii="仿宋_GB2312" w:hAnsi="仿宋_GB2312" w:eastAsia="仿宋_GB2312" w:cs="仿宋"/>
          <w:color w:val="000000" w:themeColor="text1"/>
          <w14:textFill>
            <w14:solidFill>
              <w14:schemeClr w14:val="tx1"/>
            </w14:solidFill>
          </w14:textFill>
        </w:rPr>
        <w:t>除现行</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国</w:t>
      </w:r>
      <w:r>
        <w:rPr>
          <w:rFonts w:ascii="仿宋_GB2312" w:hAnsi="仿宋_GB2312" w:eastAsia="仿宋_GB2312" w:cs="仿宋"/>
          <w:color w:val="000000" w:themeColor="text1"/>
          <w14:textFill>
            <w14:solidFill>
              <w14:schemeClr w14:val="tx1"/>
            </w14:solidFill>
          </w14:textFill>
        </w:rPr>
        <w:t>家职业资格目录》以外</w:t>
      </w:r>
      <w:r>
        <w:rPr>
          <w:rFonts w:hint="eastAsia" w:ascii="仿宋_GB2312" w:hAnsi="仿宋_GB2312" w:eastAsia="仿宋_GB2312" w:cs="仿宋"/>
          <w:color w:val="000000" w:themeColor="text1"/>
          <w14:textFill>
            <w14:solidFill>
              <w14:schemeClr w14:val="tx1"/>
            </w14:solidFill>
          </w14:textFill>
        </w:rPr>
        <w:t>的职业资格，不得以不合理条件对供应商实行差别待遇或者歧视性待遇。</w:t>
      </w:r>
    </w:p>
    <w:p w14:paraId="63B76FA6">
      <w:pPr>
        <w:pStyle w:val="11"/>
        <w:tabs>
          <w:tab w:val="left" w:pos="1471"/>
          <w:tab w:val="left" w:pos="3539"/>
        </w:tabs>
        <w:jc w:val="left"/>
        <w:rPr>
          <w:color w:val="000000" w:themeColor="text1"/>
          <w14:textFill>
            <w14:solidFill>
              <w14:schemeClr w14:val="tx1"/>
            </w14:solidFill>
          </w14:textFill>
        </w:rPr>
      </w:pPr>
    </w:p>
    <w:p w14:paraId="1C036342">
      <w:pPr>
        <w:pStyle w:val="11"/>
        <w:rPr>
          <w:rFonts w:ascii="仿宋_GB2312" w:hAnsi="仿宋_GB2312" w:eastAsia="仿宋_GB2312" w:cs="Times New Roman"/>
          <w:color w:val="000000" w:themeColor="text1"/>
          <w14:textFill>
            <w14:solidFill>
              <w14:schemeClr w14:val="tx1"/>
            </w14:solidFill>
          </w14:textFill>
        </w:rPr>
      </w:pPr>
      <w:r>
        <w:rPr>
          <w:color w:val="000000" w:themeColor="text1"/>
          <w14:textFill>
            <w14:solidFill>
              <w14:schemeClr w14:val="tx1"/>
            </w14:solidFill>
          </w14:textFill>
        </w:rPr>
        <w:br w:type="page"/>
      </w:r>
      <w:bookmarkEnd w:id="50"/>
      <w:bookmarkEnd w:id="51"/>
      <w:bookmarkEnd w:id="52"/>
      <w:bookmarkEnd w:id="53"/>
      <w:bookmarkEnd w:id="54"/>
      <w:bookmarkStart w:id="62" w:name="_Toc509579145"/>
      <w:bookmarkStart w:id="63" w:name="_Toc69478556"/>
      <w:bookmarkStart w:id="64" w:name="_Toc183582232"/>
      <w:bookmarkStart w:id="65" w:name="_Toc183682369"/>
      <w:bookmarkStart w:id="66" w:name="_Toc217446057"/>
      <w:r>
        <w:rPr>
          <w:rFonts w:hint="eastAsia" w:ascii="仿宋_GB2312" w:hAnsi="仿宋_GB2312" w:eastAsia="仿宋_GB2312" w:cs="仿宋"/>
          <w:color w:val="000000" w:themeColor="text1"/>
          <w14:textFill>
            <w14:solidFill>
              <w14:schemeClr w14:val="tx1"/>
            </w14:solidFill>
          </w14:textFill>
        </w:rPr>
        <w:t>第四章 谈判过程中可实质性变动的内容</w:t>
      </w:r>
      <w:bookmarkEnd w:id="62"/>
      <w:bookmarkEnd w:id="63"/>
    </w:p>
    <w:p w14:paraId="1EE9AAC9">
      <w:pPr>
        <w:tabs>
          <w:tab w:val="left" w:pos="7665"/>
        </w:tabs>
        <w:spacing w:line="360" w:lineRule="auto"/>
        <w:ind w:firstLine="480"/>
        <w:rPr>
          <w:rFonts w:ascii="仿宋_GB2312" w:hAnsi="仿宋_GB2312" w:eastAsia="仿宋_GB2312"/>
          <w:color w:val="000000" w:themeColor="text1"/>
          <w14:textFill>
            <w14:solidFill>
              <w14:schemeClr w14:val="tx1"/>
            </w14:solidFill>
          </w14:textFill>
        </w:rPr>
      </w:pPr>
    </w:p>
    <w:p w14:paraId="31ED943D">
      <w:pPr>
        <w:tabs>
          <w:tab w:val="left" w:pos="7665"/>
        </w:tabs>
        <w:spacing w:line="360" w:lineRule="auto"/>
        <w:ind w:firstLine="48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第三章中标注“★”号的条款，以及第七章合同草案条款，为本次谈判采购项目的可变动的实质性要求，供应商在谈判结束后应全部满足。</w:t>
      </w:r>
    </w:p>
    <w:p w14:paraId="5F202080">
      <w:pPr>
        <w:tabs>
          <w:tab w:val="left" w:pos="7665"/>
        </w:tabs>
        <w:spacing w:line="360" w:lineRule="auto"/>
        <w:ind w:firstLine="48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在谈判过程中，谈判小组根据项目实际需要制定谈判内容，在获得采购人代表确认的前提下，可以根据谈判情况实质性变动相关内容。谈判小组对谈判文件作出的实质性变动是谈判文件的有效组成部分，谈判小组应及时以书面形式通知所有参加谈判的供应商。</w:t>
      </w:r>
    </w:p>
    <w:p w14:paraId="1D5B63BF">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注：工程量清单不属于谈判过程中可以实质性变动的内容。</w:t>
      </w:r>
    </w:p>
    <w:p w14:paraId="66B3C57D">
      <w:pPr>
        <w:tabs>
          <w:tab w:val="left" w:pos="7665"/>
        </w:tabs>
        <w:spacing w:line="360" w:lineRule="auto"/>
        <w:ind w:firstLine="480"/>
        <w:rPr>
          <w:rFonts w:ascii="仿宋_GB2312" w:hAnsi="仿宋_GB2312" w:eastAsia="仿宋_GB2312" w:cs="仿宋"/>
          <w:color w:val="000000" w:themeColor="text1"/>
          <w14:textFill>
            <w14:solidFill>
              <w14:schemeClr w14:val="tx1"/>
            </w14:solidFill>
          </w14:textFill>
        </w:rPr>
      </w:pPr>
    </w:p>
    <w:p w14:paraId="318E91D2">
      <w:pPr>
        <w:tabs>
          <w:tab w:val="left" w:pos="7665"/>
        </w:tabs>
        <w:spacing w:line="360" w:lineRule="auto"/>
        <w:ind w:firstLine="480"/>
        <w:rPr>
          <w:rFonts w:ascii="仿宋_GB2312" w:hAnsi="仿宋_GB2312" w:eastAsia="仿宋_GB2312"/>
          <w:color w:val="000000" w:themeColor="text1"/>
          <w14:textFill>
            <w14:solidFill>
              <w14:schemeClr w14:val="tx1"/>
            </w14:solidFill>
          </w14:textFill>
        </w:rPr>
      </w:pPr>
    </w:p>
    <w:p w14:paraId="3D6465FA">
      <w:pPr>
        <w:tabs>
          <w:tab w:val="left" w:pos="7665"/>
        </w:tabs>
        <w:spacing w:line="360" w:lineRule="auto"/>
        <w:ind w:firstLine="480"/>
        <w:rPr>
          <w:rFonts w:ascii="仿宋_GB2312" w:hAnsi="仿宋_GB2312" w:eastAsia="仿宋_GB2312"/>
          <w:color w:val="000000" w:themeColor="text1"/>
          <w14:textFill>
            <w14:solidFill>
              <w14:schemeClr w14:val="tx1"/>
            </w14:solidFill>
          </w14:textFill>
        </w:rPr>
      </w:pPr>
    </w:p>
    <w:p w14:paraId="56267E97">
      <w:pPr>
        <w:tabs>
          <w:tab w:val="left" w:pos="7665"/>
        </w:tabs>
        <w:spacing w:line="360" w:lineRule="auto"/>
        <w:ind w:firstLine="480"/>
        <w:rPr>
          <w:rFonts w:ascii="仿宋_GB2312" w:hAnsi="仿宋_GB2312" w:eastAsia="仿宋_GB2312"/>
          <w:color w:val="000000" w:themeColor="text1"/>
          <w14:textFill>
            <w14:solidFill>
              <w14:schemeClr w14:val="tx1"/>
            </w14:solidFill>
          </w14:textFill>
        </w:rPr>
      </w:pPr>
    </w:p>
    <w:p w14:paraId="3C800704">
      <w:pPr>
        <w:tabs>
          <w:tab w:val="left" w:pos="7665"/>
        </w:tabs>
        <w:spacing w:line="360" w:lineRule="auto"/>
        <w:ind w:firstLine="480"/>
        <w:jc w:val="center"/>
        <w:rPr>
          <w:rFonts w:ascii="仿宋_GB2312" w:hAnsi="仿宋_GB2312" w:eastAsia="仿宋_GB2312"/>
          <w:b/>
          <w:bCs/>
          <w:color w:val="000000" w:themeColor="text1"/>
          <w:sz w:val="32"/>
          <w:szCs w:val="32"/>
          <w14:textFill>
            <w14:solidFill>
              <w14:schemeClr w14:val="tx1"/>
            </w14:solidFill>
          </w14:textFill>
        </w:rPr>
      </w:pPr>
    </w:p>
    <w:p w14:paraId="09EE8DC9">
      <w:pPr>
        <w:tabs>
          <w:tab w:val="left" w:pos="7665"/>
        </w:tabs>
        <w:spacing w:line="360" w:lineRule="auto"/>
        <w:ind w:firstLine="480"/>
        <w:jc w:val="center"/>
        <w:rPr>
          <w:rFonts w:ascii="仿宋_GB2312" w:hAnsi="仿宋_GB2312" w:eastAsia="仿宋_GB2312"/>
          <w:b/>
          <w:bCs/>
          <w:color w:val="000000" w:themeColor="text1"/>
          <w:sz w:val="32"/>
          <w:szCs w:val="32"/>
          <w14:textFill>
            <w14:solidFill>
              <w14:schemeClr w14:val="tx1"/>
            </w14:solidFill>
          </w14:textFill>
        </w:rPr>
      </w:pPr>
    </w:p>
    <w:p w14:paraId="5F564129">
      <w:pPr>
        <w:tabs>
          <w:tab w:val="left" w:pos="7665"/>
        </w:tabs>
        <w:spacing w:line="360" w:lineRule="auto"/>
        <w:ind w:firstLine="480"/>
        <w:jc w:val="center"/>
        <w:rPr>
          <w:rFonts w:ascii="仿宋_GB2312" w:hAnsi="仿宋_GB2312" w:eastAsia="仿宋_GB2312"/>
          <w:b/>
          <w:bCs/>
          <w:color w:val="000000" w:themeColor="text1"/>
          <w:sz w:val="32"/>
          <w:szCs w:val="32"/>
          <w14:textFill>
            <w14:solidFill>
              <w14:schemeClr w14:val="tx1"/>
            </w14:solidFill>
          </w14:textFill>
        </w:rPr>
      </w:pPr>
    </w:p>
    <w:p w14:paraId="2A553F79">
      <w:pPr>
        <w:tabs>
          <w:tab w:val="left" w:pos="7665"/>
        </w:tabs>
        <w:spacing w:line="360" w:lineRule="auto"/>
        <w:ind w:firstLine="480"/>
        <w:rPr>
          <w:rFonts w:ascii="仿宋_GB2312" w:hAnsi="仿宋_GB2312" w:eastAsia="仿宋_GB2312"/>
          <w:color w:val="000000" w:themeColor="text1"/>
          <w14:textFill>
            <w14:solidFill>
              <w14:schemeClr w14:val="tx1"/>
            </w14:solidFill>
          </w14:textFill>
        </w:rPr>
      </w:pPr>
    </w:p>
    <w:p w14:paraId="42F4F2C1">
      <w:pPr>
        <w:tabs>
          <w:tab w:val="left" w:pos="7665"/>
        </w:tabs>
        <w:spacing w:line="360" w:lineRule="auto"/>
        <w:ind w:firstLine="480"/>
        <w:rPr>
          <w:rFonts w:ascii="仿宋_GB2312" w:hAnsi="仿宋_GB2312" w:eastAsia="仿宋_GB2312"/>
          <w:b/>
          <w:bCs/>
          <w:color w:val="000000" w:themeColor="text1"/>
          <w:sz w:val="32"/>
          <w:szCs w:val="32"/>
          <w14:textFill>
            <w14:solidFill>
              <w14:schemeClr w14:val="tx1"/>
            </w14:solidFill>
          </w14:textFill>
        </w:rPr>
      </w:pPr>
    </w:p>
    <w:p w14:paraId="0CE61E20">
      <w:pPr>
        <w:tabs>
          <w:tab w:val="left" w:pos="7665"/>
        </w:tabs>
        <w:spacing w:line="360" w:lineRule="auto"/>
        <w:ind w:firstLine="480"/>
        <w:rPr>
          <w:rFonts w:ascii="仿宋_GB2312" w:hAnsi="仿宋_GB2312" w:eastAsia="仿宋_GB2312"/>
          <w:b/>
          <w:bCs/>
          <w:color w:val="000000" w:themeColor="text1"/>
          <w:sz w:val="32"/>
          <w:szCs w:val="32"/>
          <w14:textFill>
            <w14:solidFill>
              <w14:schemeClr w14:val="tx1"/>
            </w14:solidFill>
          </w14:textFill>
        </w:rPr>
      </w:pPr>
    </w:p>
    <w:p w14:paraId="74AC9090">
      <w:pPr>
        <w:pStyle w:val="18"/>
        <w:rPr>
          <w:rFonts w:hint="default" w:ascii="仿宋_GB2312" w:hAnsi="仿宋_GB2312" w:eastAsia="仿宋_GB2312"/>
          <w:b/>
          <w:bCs/>
          <w:color w:val="000000" w:themeColor="text1"/>
          <w:sz w:val="32"/>
          <w:szCs w:val="32"/>
          <w14:textFill>
            <w14:solidFill>
              <w14:schemeClr w14:val="tx1"/>
            </w14:solidFill>
          </w14:textFill>
        </w:rPr>
      </w:pPr>
    </w:p>
    <w:p w14:paraId="039CAA46">
      <w:pPr>
        <w:pStyle w:val="18"/>
        <w:rPr>
          <w:rFonts w:hint="default" w:ascii="仿宋_GB2312" w:hAnsi="仿宋_GB2312" w:eastAsia="仿宋_GB2312"/>
          <w:b/>
          <w:bCs/>
          <w:color w:val="000000" w:themeColor="text1"/>
          <w:sz w:val="32"/>
          <w:szCs w:val="32"/>
          <w14:textFill>
            <w14:solidFill>
              <w14:schemeClr w14:val="tx1"/>
            </w14:solidFill>
          </w14:textFill>
        </w:rPr>
      </w:pPr>
    </w:p>
    <w:p w14:paraId="62362FF5">
      <w:pPr>
        <w:pStyle w:val="18"/>
        <w:rPr>
          <w:rFonts w:hint="default" w:ascii="仿宋_GB2312" w:hAnsi="仿宋_GB2312" w:eastAsia="仿宋_GB2312"/>
          <w:b/>
          <w:bCs/>
          <w:color w:val="000000" w:themeColor="text1"/>
          <w:sz w:val="32"/>
          <w:szCs w:val="32"/>
          <w14:textFill>
            <w14:solidFill>
              <w14:schemeClr w14:val="tx1"/>
            </w14:solidFill>
          </w14:textFill>
        </w:rPr>
      </w:pPr>
    </w:p>
    <w:p w14:paraId="5ED38631">
      <w:pPr>
        <w:pStyle w:val="18"/>
        <w:rPr>
          <w:rFonts w:hint="default" w:ascii="仿宋_GB2312" w:hAnsi="仿宋_GB2312" w:eastAsia="仿宋_GB2312"/>
          <w:b/>
          <w:bCs/>
          <w:color w:val="000000" w:themeColor="text1"/>
          <w:sz w:val="32"/>
          <w:szCs w:val="32"/>
          <w14:textFill>
            <w14:solidFill>
              <w14:schemeClr w14:val="tx1"/>
            </w14:solidFill>
          </w14:textFill>
        </w:rPr>
      </w:pPr>
    </w:p>
    <w:p w14:paraId="71A89377">
      <w:pPr>
        <w:pStyle w:val="18"/>
        <w:rPr>
          <w:rFonts w:hint="default" w:ascii="仿宋_GB2312" w:hAnsi="仿宋_GB2312" w:eastAsia="仿宋_GB2312"/>
          <w:b/>
          <w:bCs/>
          <w:color w:val="000000" w:themeColor="text1"/>
          <w:sz w:val="32"/>
          <w:szCs w:val="32"/>
          <w14:textFill>
            <w14:solidFill>
              <w14:schemeClr w14:val="tx1"/>
            </w14:solidFill>
          </w14:textFill>
        </w:rPr>
      </w:pPr>
    </w:p>
    <w:p w14:paraId="0AE90FAE">
      <w:pPr>
        <w:pStyle w:val="18"/>
        <w:rPr>
          <w:rFonts w:hint="default" w:ascii="仿宋_GB2312" w:hAnsi="仿宋_GB2312" w:eastAsia="仿宋_GB2312"/>
          <w:b/>
          <w:bCs/>
          <w:color w:val="000000" w:themeColor="text1"/>
          <w:sz w:val="32"/>
          <w:szCs w:val="32"/>
          <w14:textFill>
            <w14:solidFill>
              <w14:schemeClr w14:val="tx1"/>
            </w14:solidFill>
          </w14:textFill>
        </w:rPr>
      </w:pPr>
    </w:p>
    <w:p w14:paraId="37CDE20E">
      <w:pPr>
        <w:pStyle w:val="11"/>
        <w:rPr>
          <w:rFonts w:ascii="仿宋_GB2312" w:hAnsi="仿宋_GB2312" w:eastAsia="仿宋_GB2312" w:cs="Times New Roman"/>
          <w:color w:val="000000" w:themeColor="text1"/>
          <w14:textFill>
            <w14:solidFill>
              <w14:schemeClr w14:val="tx1"/>
            </w14:solidFill>
          </w14:textFill>
        </w:rPr>
      </w:pPr>
      <w:bookmarkStart w:id="67" w:name="_Toc69478557"/>
      <w:r>
        <w:rPr>
          <w:rFonts w:hint="eastAsia" w:ascii="仿宋_GB2312" w:hAnsi="仿宋_GB2312" w:eastAsia="仿宋_GB2312" w:cs="仿宋"/>
          <w:color w:val="000000" w:themeColor="text1"/>
          <w14:textFill>
            <w14:solidFill>
              <w14:schemeClr w14:val="tx1"/>
            </w14:solidFill>
          </w14:textFill>
        </w:rPr>
        <w:t>第五章 响应文件格式</w:t>
      </w:r>
      <w:bookmarkEnd w:id="67"/>
    </w:p>
    <w:p w14:paraId="4ADACAC9">
      <w:pPr>
        <w:spacing w:line="360" w:lineRule="auto"/>
        <w:rPr>
          <w:rFonts w:ascii="仿宋_GB2312" w:hAnsi="仿宋_GB2312" w:eastAsia="仿宋_GB2312"/>
          <w:b/>
          <w:bCs/>
          <w:color w:val="000000" w:themeColor="text1"/>
          <w:sz w:val="32"/>
          <w:szCs w:val="32"/>
          <w14:textFill>
            <w14:solidFill>
              <w14:schemeClr w14:val="tx1"/>
            </w14:solidFill>
          </w14:textFill>
        </w:rPr>
      </w:pPr>
    </w:p>
    <w:p w14:paraId="0EF67C0A">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一、本章所制响应文件格式，除格式中明确将该格式作为实质性要求的，不具有强制性。</w:t>
      </w:r>
    </w:p>
    <w:p w14:paraId="734645C7">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二、本章所制响应文件格式有关表格中的备注栏，由供应商根据自身响应情况作解释性说明，不作为必填项。</w:t>
      </w:r>
    </w:p>
    <w:p w14:paraId="4FA1902F">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p>
    <w:p w14:paraId="362A355D">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ascii="仿宋_GB2312" w:hAnsi="仿宋_GB2312" w:eastAsia="仿宋_GB2312"/>
          <w:b/>
          <w:bCs/>
          <w:color w:val="000000" w:themeColor="text1"/>
          <w:sz w:val="32"/>
          <w:szCs w:val="32"/>
          <w14:textFill>
            <w14:solidFill>
              <w14:schemeClr w14:val="tx1"/>
            </w14:solidFill>
          </w14:textFill>
        </w:rPr>
        <w:br w:type="page"/>
      </w:r>
    </w:p>
    <w:p w14:paraId="680E70D6">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 xml:space="preserve"> “响应文件”格式</w:t>
      </w:r>
    </w:p>
    <w:p w14:paraId="27B62BBB">
      <w:pPr>
        <w:spacing w:line="360" w:lineRule="auto"/>
        <w:rPr>
          <w:rFonts w:ascii="仿宋_GB2312" w:hAnsi="仿宋_GB2312" w:eastAsia="仿宋_GB2312"/>
          <w:b/>
          <w:bCs/>
          <w:color w:val="000000" w:themeColor="text1"/>
          <w:sz w:val="28"/>
          <w:szCs w:val="28"/>
          <w14:textFill>
            <w14:solidFill>
              <w14:schemeClr w14:val="tx1"/>
            </w14:solidFill>
          </w14:textFill>
        </w:rPr>
      </w:pPr>
    </w:p>
    <w:p w14:paraId="1D3F61F8">
      <w:pPr>
        <w:spacing w:line="360" w:lineRule="auto"/>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封面：</w:t>
      </w:r>
    </w:p>
    <w:p w14:paraId="20114758">
      <w:pPr>
        <w:spacing w:line="360" w:lineRule="auto"/>
        <w:rPr>
          <w:rFonts w:ascii="仿宋_GB2312" w:hAnsi="仿宋_GB2312" w:eastAsia="仿宋_GB2312" w:cs="仿宋"/>
          <w:b/>
          <w:bCs/>
          <w:color w:val="000000" w:themeColor="text1"/>
          <w:sz w:val="36"/>
          <w:szCs w:val="36"/>
          <w14:textFill>
            <w14:solidFill>
              <w14:schemeClr w14:val="tx1"/>
            </w14:solidFill>
          </w14:textFill>
        </w:rPr>
      </w:pPr>
    </w:p>
    <w:p w14:paraId="7F7FAA35">
      <w:pPr>
        <w:spacing w:line="360" w:lineRule="auto"/>
        <w:rPr>
          <w:rFonts w:ascii="仿宋_GB2312" w:hAnsi="仿宋_GB2312" w:eastAsia="仿宋_GB2312"/>
          <w:b/>
          <w:bCs/>
          <w:color w:val="000000" w:themeColor="text1"/>
          <w:sz w:val="32"/>
          <w:szCs w:val="32"/>
          <w14:textFill>
            <w14:solidFill>
              <w14:schemeClr w14:val="tx1"/>
            </w14:solidFill>
          </w14:textFill>
        </w:rPr>
      </w:pPr>
    </w:p>
    <w:p w14:paraId="0B51D242">
      <w:pPr>
        <w:spacing w:line="360" w:lineRule="auto"/>
        <w:jc w:val="center"/>
        <w:rPr>
          <w:rFonts w:hint="eastAsia" w:ascii="仿宋_GB2312" w:hAnsi="仿宋_GB2312" w:eastAsia="仿宋_GB2312"/>
          <w:b/>
          <w:bCs/>
          <w:color w:val="000000" w:themeColor="text1"/>
          <w:sz w:val="72"/>
          <w:szCs w:val="72"/>
          <w:lang w:eastAsia="zh-CN"/>
          <w14:textFill>
            <w14:solidFill>
              <w14:schemeClr w14:val="tx1"/>
            </w14:solidFill>
          </w14:textFill>
        </w:rPr>
      </w:pPr>
      <w:r>
        <w:rPr>
          <w:rFonts w:ascii="仿宋_GB2312" w:hAnsi="仿宋_GB2312" w:eastAsia="仿宋_GB2312" w:cs="仿宋"/>
          <w:b/>
          <w:bCs/>
          <w:color w:val="000000" w:themeColor="text1"/>
          <w:sz w:val="40"/>
          <w:szCs w:val="40"/>
          <w14:textFill>
            <w14:solidFill>
              <w14:schemeClr w14:val="tx1"/>
            </w14:solidFill>
          </w14:textFill>
        </w:rPr>
        <w:t>XX</w:t>
      </w:r>
      <w:r>
        <w:rPr>
          <w:rFonts w:hint="eastAsia" w:ascii="仿宋_GB2312" w:hAnsi="仿宋_GB2312" w:eastAsia="仿宋_GB2312" w:cs="仿宋"/>
          <w:b/>
          <w:bCs/>
          <w:color w:val="000000" w:themeColor="text1"/>
          <w:sz w:val="40"/>
          <w:szCs w:val="40"/>
          <w14:textFill>
            <w14:solidFill>
              <w14:schemeClr w14:val="tx1"/>
            </w14:solidFill>
          </w14:textFill>
        </w:rPr>
        <w:t>项目</w:t>
      </w:r>
    </w:p>
    <w:p w14:paraId="21A4D32D">
      <w:pPr>
        <w:spacing w:line="360" w:lineRule="auto"/>
        <w:rPr>
          <w:rFonts w:ascii="仿宋_GB2312" w:hAnsi="仿宋_GB2312" w:eastAsia="仿宋_GB2312"/>
          <w:b/>
          <w:bCs/>
          <w:color w:val="000000" w:themeColor="text1"/>
          <w:sz w:val="52"/>
          <w:szCs w:val="52"/>
          <w14:textFill>
            <w14:solidFill>
              <w14:schemeClr w14:val="tx1"/>
            </w14:solidFill>
          </w14:textFill>
        </w:rPr>
      </w:pPr>
    </w:p>
    <w:p w14:paraId="13AB99D7">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52"/>
          <w:szCs w:val="52"/>
          <w14:textFill>
            <w14:solidFill>
              <w14:schemeClr w14:val="tx1"/>
            </w14:solidFill>
          </w14:textFill>
        </w:rPr>
        <w:t>响应文件</w:t>
      </w:r>
    </w:p>
    <w:p w14:paraId="6AD41D3E">
      <w:pPr>
        <w:spacing w:line="360" w:lineRule="auto"/>
        <w:rPr>
          <w:rFonts w:ascii="仿宋_GB2312" w:hAnsi="仿宋_GB2312" w:eastAsia="仿宋_GB2312"/>
          <w:b/>
          <w:bCs/>
          <w:color w:val="000000" w:themeColor="text1"/>
          <w:sz w:val="36"/>
          <w:szCs w:val="36"/>
          <w14:textFill>
            <w14:solidFill>
              <w14:schemeClr w14:val="tx1"/>
            </w14:solidFill>
          </w14:textFill>
        </w:rPr>
      </w:pPr>
    </w:p>
    <w:p w14:paraId="6115C41A">
      <w:pPr>
        <w:spacing w:line="360" w:lineRule="auto"/>
        <w:rPr>
          <w:rFonts w:ascii="仿宋_GB2312" w:hAnsi="仿宋_GB2312" w:eastAsia="仿宋_GB2312"/>
          <w:b/>
          <w:bCs/>
          <w:color w:val="000000" w:themeColor="text1"/>
          <w:sz w:val="36"/>
          <w:szCs w:val="36"/>
          <w14:textFill>
            <w14:solidFill>
              <w14:schemeClr w14:val="tx1"/>
            </w14:solidFill>
          </w14:textFill>
        </w:rPr>
      </w:pPr>
    </w:p>
    <w:p w14:paraId="660E96BF">
      <w:pPr>
        <w:spacing w:line="360" w:lineRule="auto"/>
        <w:ind w:firstLine="643" w:firstLineChars="200"/>
        <w:rPr>
          <w:rFonts w:ascii="仿宋_GB2312" w:hAnsi="仿宋_GB2312" w:eastAsia="仿宋_GB2312"/>
          <w:b/>
          <w:bCs/>
          <w:color w:val="000000" w:themeColor="text1"/>
          <w:sz w:val="32"/>
          <w:szCs w:val="32"/>
          <w:u w:val="single"/>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供应商名称：</w:t>
      </w:r>
    </w:p>
    <w:p w14:paraId="387656C8">
      <w:pPr>
        <w:spacing w:line="360" w:lineRule="auto"/>
        <w:ind w:firstLine="643" w:firstLineChars="200"/>
        <w:rPr>
          <w:rFonts w:ascii="仿宋_GB2312" w:hAnsi="仿宋_GB2312" w:eastAsia="仿宋_GB2312"/>
          <w:b/>
          <w:bCs/>
          <w:color w:val="000000" w:themeColor="text1"/>
          <w:sz w:val="32"/>
          <w:szCs w:val="32"/>
          <w:u w:val="single"/>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采购项目编号：</w:t>
      </w:r>
    </w:p>
    <w:p w14:paraId="7B089B33">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ascii="仿宋_GB2312" w:hAnsi="仿宋_GB2312" w:eastAsia="仿宋_GB2312" w:cs="仿宋"/>
          <w:b/>
          <w:bCs/>
          <w:color w:val="000000" w:themeColor="text1"/>
          <w:sz w:val="32"/>
          <w:szCs w:val="32"/>
          <w14:textFill>
            <w14:solidFill>
              <w14:schemeClr w14:val="tx1"/>
            </w14:solidFill>
          </w14:textFill>
        </w:rPr>
        <w:t>XX</w:t>
      </w:r>
      <w:r>
        <w:rPr>
          <w:rFonts w:hint="eastAsia" w:ascii="仿宋_GB2312" w:hAnsi="仿宋_GB2312" w:eastAsia="仿宋_GB2312" w:cs="仿宋"/>
          <w:b/>
          <w:bCs/>
          <w:color w:val="000000" w:themeColor="text1"/>
          <w:sz w:val="32"/>
          <w:szCs w:val="32"/>
          <w14:textFill>
            <w14:solidFill>
              <w14:schemeClr w14:val="tx1"/>
            </w14:solidFill>
          </w14:textFill>
        </w:rPr>
        <w:t>年</w:t>
      </w:r>
      <w:r>
        <w:rPr>
          <w:rFonts w:ascii="仿宋_GB2312" w:hAnsi="仿宋_GB2312" w:eastAsia="仿宋_GB2312" w:cs="仿宋"/>
          <w:b/>
          <w:bCs/>
          <w:color w:val="000000" w:themeColor="text1"/>
          <w:sz w:val="32"/>
          <w:szCs w:val="32"/>
          <w14:textFill>
            <w14:solidFill>
              <w14:schemeClr w14:val="tx1"/>
            </w14:solidFill>
          </w14:textFill>
        </w:rPr>
        <w:t>XX</w:t>
      </w:r>
      <w:r>
        <w:rPr>
          <w:rFonts w:hint="eastAsia" w:ascii="仿宋_GB2312" w:hAnsi="仿宋_GB2312" w:eastAsia="仿宋_GB2312" w:cs="仿宋"/>
          <w:b/>
          <w:bCs/>
          <w:color w:val="000000" w:themeColor="text1"/>
          <w:sz w:val="32"/>
          <w:szCs w:val="32"/>
          <w14:textFill>
            <w14:solidFill>
              <w14:schemeClr w14:val="tx1"/>
            </w14:solidFill>
          </w14:textFill>
        </w:rPr>
        <w:t>月</w:t>
      </w:r>
      <w:r>
        <w:rPr>
          <w:rFonts w:ascii="仿宋_GB2312" w:hAnsi="仿宋_GB2312" w:eastAsia="仿宋_GB2312" w:cs="仿宋"/>
          <w:b/>
          <w:bCs/>
          <w:color w:val="000000" w:themeColor="text1"/>
          <w:sz w:val="32"/>
          <w:szCs w:val="32"/>
          <w14:textFill>
            <w14:solidFill>
              <w14:schemeClr w14:val="tx1"/>
            </w14:solidFill>
          </w14:textFill>
        </w:rPr>
        <w:t>XX</w:t>
      </w:r>
      <w:r>
        <w:rPr>
          <w:rFonts w:hint="eastAsia" w:ascii="仿宋_GB2312" w:hAnsi="仿宋_GB2312" w:eastAsia="仿宋_GB2312" w:cs="仿宋"/>
          <w:b/>
          <w:bCs/>
          <w:color w:val="000000" w:themeColor="text1"/>
          <w:sz w:val="32"/>
          <w:szCs w:val="32"/>
          <w14:textFill>
            <w14:solidFill>
              <w14:schemeClr w14:val="tx1"/>
            </w14:solidFill>
          </w14:textFill>
        </w:rPr>
        <w:t>日</w:t>
      </w:r>
    </w:p>
    <w:p w14:paraId="03FD8580">
      <w:pPr>
        <w:ind w:firstLine="640" w:firstLineChars="200"/>
        <w:rPr>
          <w:rFonts w:ascii="仿宋_GB2312" w:hAnsi="仿宋_GB2312" w:eastAsia="仿宋_GB2312"/>
          <w:color w:val="000000" w:themeColor="text1"/>
          <w:sz w:val="32"/>
          <w:szCs w:val="32"/>
          <w14:textFill>
            <w14:solidFill>
              <w14:schemeClr w14:val="tx1"/>
            </w14:solidFill>
          </w14:textFill>
        </w:rPr>
      </w:pPr>
    </w:p>
    <w:p w14:paraId="7B7E5833">
      <w:pPr>
        <w:rPr>
          <w:rFonts w:ascii="仿宋_GB2312" w:hAnsi="仿宋_GB2312" w:eastAsia="仿宋_GB2312" w:cs="仿宋"/>
          <w:b/>
          <w:bCs/>
          <w:color w:val="000000" w:themeColor="text1"/>
          <w:sz w:val="28"/>
          <w:szCs w:val="28"/>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br w:type="page"/>
      </w: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ascii="仿宋_GB2312" w:hAnsi="仿宋_GB2312" w:eastAsia="仿宋_GB2312" w:cs="仿宋"/>
          <w:b/>
          <w:bCs/>
          <w:color w:val="000000" w:themeColor="text1"/>
          <w:sz w:val="28"/>
          <w:szCs w:val="28"/>
          <w14:textFill>
            <w14:solidFill>
              <w14:schemeClr w14:val="tx1"/>
            </w14:solidFill>
          </w14:textFill>
        </w:rPr>
        <w:t>1</w:t>
      </w:r>
    </w:p>
    <w:p w14:paraId="13EACB39">
      <w:pPr>
        <w:pStyle w:val="5"/>
        <w:tabs>
          <w:tab w:val="left" w:pos="709"/>
        </w:tabs>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宋体"/>
          <w:color w:val="000000" w:themeColor="text1"/>
          <w14:textFill>
            <w14:solidFill>
              <w14:schemeClr w14:val="tx1"/>
            </w14:solidFill>
          </w14:textFill>
        </w:rPr>
        <w:t>一、法定代表人/负责人身份证明书</w:t>
      </w:r>
    </w:p>
    <w:p w14:paraId="2A4D7875">
      <w:pPr>
        <w:spacing w:line="360" w:lineRule="auto"/>
        <w:ind w:firstLine="470" w:firstLineChars="196"/>
        <w:jc w:val="center"/>
        <w:outlineLvl w:val="1"/>
        <w:rPr>
          <w:rFonts w:ascii="仿宋_GB2312" w:hAnsi="仿宋_GB2312" w:eastAsia="仿宋_GB2312"/>
          <w:bCs/>
          <w:color w:val="000000" w:themeColor="text1"/>
          <w14:textFill>
            <w14:solidFill>
              <w14:schemeClr w14:val="tx1"/>
            </w14:solidFill>
          </w14:textFill>
        </w:rPr>
      </w:pPr>
      <w:r>
        <w:rPr>
          <w:rFonts w:hint="eastAsia" w:ascii="仿宋_GB2312" w:hAnsi="仿宋_GB2312" w:eastAsia="仿宋_GB2312"/>
          <w:bCs/>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法定代表人/负责人参加谈判时提供</w:t>
      </w:r>
      <w:r>
        <w:rPr>
          <w:rFonts w:hint="eastAsia" w:ascii="仿宋_GB2312" w:hAnsi="仿宋_GB2312" w:eastAsia="仿宋_GB2312"/>
          <w:bCs/>
          <w:color w:val="000000" w:themeColor="text1"/>
          <w14:textFill>
            <w14:solidFill>
              <w14:schemeClr w14:val="tx1"/>
            </w14:solidFill>
          </w14:textFill>
        </w:rPr>
        <w:t>）</w:t>
      </w:r>
    </w:p>
    <w:p w14:paraId="18E0EA62">
      <w:pPr>
        <w:spacing w:line="360" w:lineRule="auto"/>
        <w:ind w:firstLine="470" w:firstLineChars="196"/>
        <w:outlineLvl w:val="1"/>
        <w:rPr>
          <w:rFonts w:ascii="仿宋_GB2312" w:hAnsi="仿宋_GB2312" w:eastAsia="仿宋_GB2312" w:cs="仿宋"/>
          <w:color w:val="000000" w:themeColor="text1"/>
          <w14:textFill>
            <w14:solidFill>
              <w14:schemeClr w14:val="tx1"/>
            </w14:solidFill>
          </w14:textFill>
        </w:rPr>
      </w:pPr>
    </w:p>
    <w:p w14:paraId="668A6A42">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r>
        <w:rPr>
          <w:rFonts w:hint="eastAsia" w:ascii="仿宋_GB2312" w:hAnsi="仿宋_GB2312" w:eastAsia="仿宋_GB2312" w:cs="仿宋"/>
          <w:color w:val="000000" w:themeColor="text1"/>
          <w:lang w:val="zh-CN"/>
          <w14:textFill>
            <w14:solidFill>
              <w14:schemeClr w14:val="tx1"/>
            </w14:solidFill>
          </w14:textFill>
        </w:rPr>
        <w:t>（法定代表人/负责人姓名）在（供应商名称）处任（职务名称）职务，是（供应商名称）的法定代表人。</w:t>
      </w:r>
    </w:p>
    <w:p w14:paraId="7EA8B142">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r>
        <w:rPr>
          <w:rFonts w:hint="eastAsia" w:ascii="仿宋_GB2312" w:hAnsi="仿宋_GB2312" w:eastAsia="仿宋_GB2312" w:cs="仿宋"/>
          <w:color w:val="000000" w:themeColor="text1"/>
          <w:lang w:val="zh-CN"/>
          <w14:textFill>
            <w14:solidFill>
              <w14:schemeClr w14:val="tx1"/>
            </w14:solidFill>
          </w14:textFill>
        </w:rPr>
        <w:t>特此证明。</w:t>
      </w:r>
    </w:p>
    <w:p w14:paraId="23E3BF60">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p>
    <w:p w14:paraId="7D994A16">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r>
        <w:rPr>
          <w:rFonts w:hint="eastAsia" w:ascii="仿宋_GB2312" w:hAnsi="仿宋_GB2312" w:eastAsia="仿宋_GB2312" w:cs="仿宋"/>
          <w:color w:val="000000" w:themeColor="text1"/>
          <w:lang w:val="zh-CN"/>
          <w14:textFill>
            <w14:solidFill>
              <w14:schemeClr w14:val="tx1"/>
            </w14:solidFill>
          </w14:textFill>
        </w:rPr>
        <w:t>附件：法定代表人/负责人的身份证/护照/户口本</w:t>
      </w:r>
    </w:p>
    <w:p w14:paraId="24E5D9D0">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p>
    <w:p w14:paraId="4D5C58DA">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p>
    <w:p w14:paraId="69012C0C">
      <w:pPr>
        <w:spacing w:line="360" w:lineRule="auto"/>
        <w:ind w:firstLine="470" w:firstLineChars="196"/>
        <w:outlineLvl w:val="1"/>
        <w:rPr>
          <w:rFonts w:ascii="仿宋_GB2312" w:hAnsi="仿宋_GB2312" w:eastAsia="仿宋_GB2312" w:cs="仿宋"/>
          <w:color w:val="000000" w:themeColor="text1"/>
          <w:lang w:val="zh-CN"/>
          <w14:textFill>
            <w14:solidFill>
              <w14:schemeClr w14:val="tx1"/>
            </w14:solidFill>
          </w14:textFill>
        </w:rPr>
      </w:pPr>
    </w:p>
    <w:p w14:paraId="73E2DFA3">
      <w:pPr>
        <w:spacing w:line="360" w:lineRule="auto"/>
        <w:ind w:firstLine="5028" w:firstLineChars="2095"/>
        <w:outlineLvl w:val="1"/>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val="zh-CN"/>
          <w14:textFill>
            <w14:solidFill>
              <w14:schemeClr w14:val="tx1"/>
            </w14:solidFill>
          </w14:textFill>
        </w:rPr>
        <w:t>供应商名称：XXXX（加盖公章）</w:t>
      </w:r>
    </w:p>
    <w:p w14:paraId="132B4EA2">
      <w:pPr>
        <w:spacing w:line="360" w:lineRule="auto"/>
        <w:ind w:firstLine="5268" w:firstLineChars="2195"/>
        <w:outlineLvl w:val="1"/>
        <w:rPr>
          <w:color w:val="000000" w:themeColor="text1"/>
          <w:sz w:val="28"/>
          <w:szCs w:val="28"/>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日期：XX年XX月XX日</w:t>
      </w:r>
    </w:p>
    <w:p w14:paraId="7F6A04D4">
      <w:pPr>
        <w:spacing w:line="500" w:lineRule="exact"/>
        <w:ind w:right="560"/>
        <w:jc w:val="right"/>
        <w:rPr>
          <w:color w:val="000000" w:themeColor="text1"/>
          <w:sz w:val="28"/>
          <w:szCs w:val="28"/>
          <w14:textFill>
            <w14:solidFill>
              <w14:schemeClr w14:val="tx1"/>
            </w14:solidFill>
          </w14:textFill>
        </w:rPr>
      </w:pPr>
    </w:p>
    <w:p w14:paraId="62AAD55F">
      <w:pPr>
        <w:spacing w:line="500" w:lineRule="exact"/>
        <w:ind w:right="560"/>
        <w:jc w:val="right"/>
        <w:rPr>
          <w:color w:val="000000" w:themeColor="text1"/>
          <w:sz w:val="28"/>
          <w:szCs w:val="28"/>
          <w14:textFill>
            <w14:solidFill>
              <w14:schemeClr w14:val="tx1"/>
            </w14:solidFill>
          </w14:textFill>
        </w:rPr>
      </w:pPr>
    </w:p>
    <w:p w14:paraId="60D4BCB9">
      <w:pPr>
        <w:spacing w:line="500" w:lineRule="exact"/>
        <w:ind w:right="560"/>
        <w:jc w:val="right"/>
        <w:rPr>
          <w:color w:val="000000" w:themeColor="text1"/>
          <w:sz w:val="28"/>
          <w:szCs w:val="28"/>
          <w14:textFill>
            <w14:solidFill>
              <w14:schemeClr w14:val="tx1"/>
            </w14:solidFill>
          </w14:textFill>
        </w:rPr>
      </w:pPr>
    </w:p>
    <w:p w14:paraId="741D343B">
      <w:pPr>
        <w:spacing w:line="500" w:lineRule="exact"/>
        <w:ind w:right="560"/>
        <w:jc w:val="right"/>
        <w:rPr>
          <w:color w:val="000000" w:themeColor="text1"/>
          <w:sz w:val="28"/>
          <w:szCs w:val="28"/>
          <w14:textFill>
            <w14:solidFill>
              <w14:schemeClr w14:val="tx1"/>
            </w14:solidFill>
          </w14:textFill>
        </w:rPr>
      </w:pPr>
    </w:p>
    <w:p w14:paraId="5A568E8F">
      <w:pPr>
        <w:spacing w:line="360" w:lineRule="auto"/>
        <w:ind w:left="840" w:leftChars="150" w:hanging="480" w:hangingChars="200"/>
        <w:jc w:val="both"/>
        <w:rPr>
          <w:rFonts w:ascii="仿宋_GB2312" w:hAnsi="仿宋_GB2312" w:eastAsia="仿宋_GB2312" w:cs="仿宋"/>
          <w:color w:val="000000" w:themeColor="text1"/>
          <w14:textFill>
            <w14:solidFill>
              <w14:schemeClr w14:val="tx1"/>
            </w14:solidFill>
          </w14:textFill>
        </w:rPr>
      </w:pPr>
    </w:p>
    <w:p w14:paraId="225287E5">
      <w:pPr>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注：本法定代表人/负责人身份证明书应当附法定代表人/负责人的居民身份证（包括正反两面）或护照（为外籍人士的，则提供护照）或户口本。</w:t>
      </w:r>
    </w:p>
    <w:p w14:paraId="1C8913EA">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p>
    <w:p w14:paraId="42476D2A">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p>
    <w:p w14:paraId="517A819F">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p>
    <w:p w14:paraId="0F263577">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p>
    <w:p w14:paraId="662CE0A9">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p>
    <w:p w14:paraId="1EC0B983">
      <w:pPr>
        <w:spacing w:line="360" w:lineRule="auto"/>
        <w:rPr>
          <w:rFonts w:ascii="仿宋_GB2312" w:hAnsi="仿宋_GB2312" w:eastAsia="仿宋_GB2312" w:cs="仿宋"/>
          <w:b/>
          <w:bCs/>
          <w:color w:val="000000" w:themeColor="text1"/>
          <w:sz w:val="28"/>
          <w:szCs w:val="28"/>
          <w14:textFill>
            <w14:solidFill>
              <w14:schemeClr w14:val="tx1"/>
            </w14:solidFill>
          </w14:textFill>
        </w:rPr>
      </w:pP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ascii="仿宋_GB2312" w:hAnsi="仿宋_GB2312" w:eastAsia="仿宋_GB2312" w:cs="仿宋"/>
          <w:b/>
          <w:bCs/>
          <w:color w:val="000000" w:themeColor="text1"/>
          <w:sz w:val="28"/>
          <w:szCs w:val="28"/>
          <w14:textFill>
            <w14:solidFill>
              <w14:schemeClr w14:val="tx1"/>
            </w14:solidFill>
          </w14:textFill>
        </w:rPr>
        <w:t>2</w:t>
      </w:r>
    </w:p>
    <w:p w14:paraId="6C330641">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二、法定代表人</w:t>
      </w:r>
      <w:r>
        <w:rPr>
          <w:rFonts w:ascii="仿宋_GB2312" w:hAnsi="仿宋_GB2312" w:eastAsia="仿宋_GB2312" w:cs="仿宋"/>
          <w:b/>
          <w:bCs/>
          <w:color w:val="000000" w:themeColor="text1"/>
          <w:sz w:val="32"/>
          <w:szCs w:val="32"/>
          <w14:textFill>
            <w14:solidFill>
              <w14:schemeClr w14:val="tx1"/>
            </w14:solidFill>
          </w14:textFill>
        </w:rPr>
        <w:t>/</w:t>
      </w:r>
      <w:r>
        <w:rPr>
          <w:rFonts w:hint="eastAsia" w:ascii="仿宋_GB2312" w:hAnsi="仿宋_GB2312" w:eastAsia="仿宋_GB2312" w:cs="仿宋"/>
          <w:b/>
          <w:bCs/>
          <w:color w:val="000000" w:themeColor="text1"/>
          <w:sz w:val="32"/>
          <w:szCs w:val="32"/>
          <w14:textFill>
            <w14:solidFill>
              <w14:schemeClr w14:val="tx1"/>
            </w14:solidFill>
          </w14:textFill>
        </w:rPr>
        <w:t>负责人授权书</w:t>
      </w:r>
    </w:p>
    <w:p w14:paraId="1BF2710A">
      <w:pPr>
        <w:spacing w:line="360" w:lineRule="auto"/>
        <w:ind w:firstLine="470" w:firstLineChars="196"/>
        <w:jc w:val="center"/>
        <w:outlineLvl w:val="1"/>
        <w:rPr>
          <w:rFonts w:ascii="仿宋_GB2312" w:hAnsi="仿宋_GB2312" w:eastAsia="仿宋_GB2312"/>
          <w:bCs/>
          <w:color w:val="000000" w:themeColor="text1"/>
          <w14:textFill>
            <w14:solidFill>
              <w14:schemeClr w14:val="tx1"/>
            </w14:solidFill>
          </w14:textFill>
        </w:rPr>
      </w:pPr>
      <w:r>
        <w:rPr>
          <w:rFonts w:hint="eastAsia" w:ascii="仿宋_GB2312" w:hAnsi="仿宋_GB2312" w:eastAsia="仿宋_GB2312"/>
          <w:bCs/>
          <w:color w:val="000000" w:themeColor="text1"/>
          <w14:textFill>
            <w14:solidFill>
              <w14:schemeClr w14:val="tx1"/>
            </w14:solidFill>
          </w14:textFill>
        </w:rPr>
        <w:t>（非</w:t>
      </w:r>
      <w:r>
        <w:rPr>
          <w:rFonts w:hint="eastAsia" w:ascii="仿宋_GB2312" w:hAnsi="仿宋_GB2312" w:eastAsia="仿宋_GB2312" w:cs="仿宋"/>
          <w:color w:val="000000" w:themeColor="text1"/>
          <w14:textFill>
            <w14:solidFill>
              <w14:schemeClr w14:val="tx1"/>
            </w14:solidFill>
          </w14:textFill>
        </w:rPr>
        <w:t>法定代表人/负责人参加谈判时提供</w:t>
      </w:r>
      <w:r>
        <w:rPr>
          <w:rFonts w:hint="eastAsia" w:ascii="仿宋_GB2312" w:hAnsi="仿宋_GB2312" w:eastAsia="仿宋_GB2312"/>
          <w:bCs/>
          <w:color w:val="000000" w:themeColor="text1"/>
          <w14:textFill>
            <w14:solidFill>
              <w14:schemeClr w14:val="tx1"/>
            </w14:solidFill>
          </w14:textFill>
        </w:rPr>
        <w:t>）</w:t>
      </w:r>
    </w:p>
    <w:p w14:paraId="5DF21CFF">
      <w:pPr>
        <w:spacing w:line="360" w:lineRule="auto"/>
        <w:ind w:firstLine="472" w:firstLineChars="196"/>
        <w:outlineLvl w:val="1"/>
        <w:rPr>
          <w:rFonts w:ascii="仿宋_GB2312" w:hAnsi="仿宋_GB2312" w:eastAsia="仿宋_GB2312"/>
          <w:b/>
          <w:bCs/>
          <w:color w:val="000000" w:themeColor="text1"/>
          <w14:textFill>
            <w14:solidFill>
              <w14:schemeClr w14:val="tx1"/>
            </w14:solidFill>
          </w14:textFill>
        </w:rPr>
      </w:pPr>
    </w:p>
    <w:p w14:paraId="722E4F9D">
      <w:pPr>
        <w:spacing w:line="360" w:lineRule="auto"/>
        <w:outlineLvl w:val="1"/>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XXXXXXXX</w:t>
      </w:r>
      <w:r>
        <w:rPr>
          <w:rFonts w:hint="eastAsia" w:ascii="仿宋_GB2312" w:hAnsi="仿宋_GB2312" w:eastAsia="仿宋_GB2312" w:cs="仿宋"/>
          <w:color w:val="000000" w:themeColor="text1"/>
          <w14:textFill>
            <w14:solidFill>
              <w14:schemeClr w14:val="tx1"/>
            </w14:solidFill>
          </w14:textFill>
        </w:rPr>
        <w:t>（采购人名称）：</w:t>
      </w:r>
    </w:p>
    <w:p w14:paraId="00EE127E">
      <w:pPr>
        <w:spacing w:line="360" w:lineRule="auto"/>
        <w:ind w:firstLine="470" w:firstLineChars="196"/>
        <w:outlineLvl w:val="1"/>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本授权声明：</w:t>
      </w:r>
      <w:r>
        <w:rPr>
          <w:rFonts w:ascii="仿宋_GB2312" w:hAnsi="仿宋_GB2312" w:eastAsia="仿宋_GB2312" w:cs="仿宋"/>
          <w:color w:val="000000" w:themeColor="text1"/>
          <w14:textFill>
            <w14:solidFill>
              <w14:schemeClr w14:val="tx1"/>
            </w14:solidFill>
          </w14:textFill>
        </w:rPr>
        <w:t xml:space="preserve"> XXXX</w:t>
      </w:r>
      <w:r>
        <w:rPr>
          <w:rFonts w:hint="eastAsia" w:ascii="仿宋_GB2312" w:hAnsi="仿宋_GB2312" w:eastAsia="仿宋_GB2312" w:cs="仿宋"/>
          <w:color w:val="000000" w:themeColor="text1"/>
          <w14:textFill>
            <w14:solidFill>
              <w14:schemeClr w14:val="tx1"/>
            </w14:solidFill>
          </w14:textFill>
        </w:rPr>
        <w:t>（供应商名称）授权</w:t>
      </w:r>
      <w:r>
        <w:rPr>
          <w:rFonts w:ascii="仿宋_GB2312" w:hAnsi="仿宋_GB2312" w:eastAsia="仿宋_GB2312" w:cs="仿宋"/>
          <w:color w:val="000000" w:themeColor="text1"/>
          <w14:textFill>
            <w14:solidFill>
              <w14:schemeClr w14:val="tx1"/>
            </w14:solidFill>
          </w14:textFill>
        </w:rPr>
        <w:t>XXXX</w:t>
      </w:r>
      <w:r>
        <w:rPr>
          <w:rFonts w:hint="eastAsia" w:ascii="仿宋_GB2312" w:hAnsi="仿宋_GB2312" w:eastAsia="仿宋_GB2312" w:cs="仿宋"/>
          <w:color w:val="000000" w:themeColor="text1"/>
          <w14:textFill>
            <w14:solidFill>
              <w14:schemeClr w14:val="tx1"/>
            </w14:solidFill>
          </w14:textFill>
        </w:rPr>
        <w:t>（被授权人姓名、职务）为参加“</w:t>
      </w:r>
      <w:r>
        <w:rPr>
          <w:rFonts w:ascii="仿宋_GB2312" w:hAnsi="仿宋_GB2312" w:eastAsia="仿宋_GB2312" w:cs="仿宋"/>
          <w:color w:val="000000" w:themeColor="text1"/>
          <w14:textFill>
            <w14:solidFill>
              <w14:schemeClr w14:val="tx1"/>
            </w14:solidFill>
          </w14:textFill>
        </w:rPr>
        <w:t>XXXXXXXX</w:t>
      </w:r>
      <w:r>
        <w:rPr>
          <w:rFonts w:hint="eastAsia" w:ascii="仿宋_GB2312" w:hAnsi="仿宋_GB2312" w:eastAsia="仿宋_GB2312" w:cs="仿宋"/>
          <w:color w:val="000000" w:themeColor="text1"/>
          <w14:textFill>
            <w14:solidFill>
              <w14:schemeClr w14:val="tx1"/>
            </w14:solidFill>
          </w14:textFill>
        </w:rPr>
        <w:t>”项目（采购项目</w:t>
      </w:r>
      <w:r>
        <w:rPr>
          <w:rFonts w:hint="eastAsia" w:ascii="仿宋_GB2312" w:hAnsi="仿宋_GB2312" w:eastAsia="仿宋_GB2312" w:cs="仿宋"/>
          <w:color w:val="000000" w:themeColor="text1"/>
          <w:lang w:eastAsia="zh-CN"/>
          <w14:textFill>
            <w14:solidFill>
              <w14:schemeClr w14:val="tx1"/>
            </w14:solidFill>
          </w14:textFill>
        </w:rPr>
        <w:t>备案号</w:t>
      </w:r>
      <w:r>
        <w:rPr>
          <w:rFonts w:hint="eastAsia" w:ascii="仿宋_GB2312" w:hAnsi="仿宋_GB2312" w:eastAsia="仿宋_GB2312" w:cs="仿宋"/>
          <w:color w:val="000000" w:themeColor="text1"/>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XXXX</w:t>
      </w:r>
      <w:r>
        <w:rPr>
          <w:rFonts w:hint="eastAsia" w:ascii="仿宋_GB2312" w:hAnsi="仿宋_GB2312" w:eastAsia="仿宋_GB2312" w:cs="仿宋"/>
          <w:color w:val="000000" w:themeColor="text1"/>
          <w14:textFill>
            <w14:solidFill>
              <w14:schemeClr w14:val="tx1"/>
            </w14:solidFill>
          </w14:textFill>
        </w:rPr>
        <w:t>）的合法代表，代表我方与谈判小组进行谈判。</w:t>
      </w:r>
    </w:p>
    <w:p w14:paraId="2A69FFD7">
      <w:pPr>
        <w:spacing w:line="360" w:lineRule="auto"/>
        <w:ind w:firstLine="470" w:firstLineChars="196"/>
        <w:outlineLvl w:val="1"/>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特此声明。</w:t>
      </w:r>
    </w:p>
    <w:p w14:paraId="34DF0A25">
      <w:pPr>
        <w:spacing w:line="360" w:lineRule="auto"/>
        <w:ind w:firstLine="470" w:firstLineChars="196"/>
        <w:outlineLvl w:val="1"/>
        <w:rPr>
          <w:rFonts w:ascii="仿宋_GB2312" w:hAnsi="仿宋_GB2312" w:eastAsia="仿宋_GB2312" w:cs="仿宋"/>
          <w:color w:val="000000" w:themeColor="text1"/>
          <w14:textFill>
            <w14:solidFill>
              <w14:schemeClr w14:val="tx1"/>
            </w14:solidFill>
          </w14:textFill>
        </w:rPr>
      </w:pPr>
    </w:p>
    <w:p w14:paraId="19558C68">
      <w:pPr>
        <w:spacing w:line="360" w:lineRule="auto"/>
        <w:ind w:firstLine="470" w:firstLineChars="196"/>
        <w:outlineLvl w:val="1"/>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附件：授权代表的身份证/护照/户口本</w:t>
      </w:r>
    </w:p>
    <w:p w14:paraId="54F748B8">
      <w:pPr>
        <w:spacing w:line="360" w:lineRule="auto"/>
        <w:ind w:firstLine="470" w:firstLineChars="196"/>
        <w:outlineLvl w:val="1"/>
        <w:rPr>
          <w:rFonts w:ascii="仿宋_GB2312" w:hAnsi="仿宋_GB2312" w:eastAsia="仿宋_GB2312"/>
          <w:color w:val="000000" w:themeColor="text1"/>
          <w14:textFill>
            <w14:solidFill>
              <w14:schemeClr w14:val="tx1"/>
            </w14:solidFill>
          </w14:textFill>
        </w:rPr>
      </w:pPr>
    </w:p>
    <w:p w14:paraId="080FB7BC">
      <w:pPr>
        <w:spacing w:line="360" w:lineRule="auto"/>
        <w:ind w:firstLine="470" w:firstLineChars="196"/>
        <w:outlineLvl w:val="1"/>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法定代表人</w:t>
      </w:r>
      <w:r>
        <w:rPr>
          <w:rFonts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14:textFill>
            <w14:solidFill>
              <w14:schemeClr w14:val="tx1"/>
            </w14:solidFill>
          </w14:textFill>
        </w:rPr>
        <w:t>负责人（签名）：</w:t>
      </w:r>
      <w:r>
        <w:rPr>
          <w:rFonts w:ascii="仿宋_GB2312" w:hAnsi="仿宋_GB2312" w:eastAsia="仿宋_GB2312" w:cs="仿宋"/>
          <w:color w:val="000000" w:themeColor="text1"/>
          <w14:textFill>
            <w14:solidFill>
              <w14:schemeClr w14:val="tx1"/>
            </w14:solidFill>
          </w14:textFill>
        </w:rPr>
        <w:t>XXXX</w:t>
      </w:r>
    </w:p>
    <w:p w14:paraId="09F69083">
      <w:pPr>
        <w:spacing w:line="360" w:lineRule="auto"/>
        <w:ind w:firstLine="470" w:firstLineChars="196"/>
        <w:outlineLvl w:val="1"/>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授权代表（签名）：</w:t>
      </w:r>
      <w:r>
        <w:rPr>
          <w:rFonts w:ascii="仿宋_GB2312" w:hAnsi="仿宋_GB2312" w:eastAsia="仿宋_GB2312" w:cs="仿宋"/>
          <w:color w:val="000000" w:themeColor="text1"/>
          <w14:textFill>
            <w14:solidFill>
              <w14:schemeClr w14:val="tx1"/>
            </w14:solidFill>
          </w14:textFill>
        </w:rPr>
        <w:t>XXXX</w:t>
      </w:r>
    </w:p>
    <w:p w14:paraId="6BE26216">
      <w:pPr>
        <w:spacing w:line="360" w:lineRule="auto"/>
        <w:ind w:firstLine="470" w:firstLineChars="196"/>
        <w:outlineLvl w:val="1"/>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XXXX</w:t>
      </w:r>
      <w:r>
        <w:rPr>
          <w:rFonts w:hint="eastAsia" w:ascii="仿宋_GB2312" w:hAnsi="仿宋_GB2312" w:eastAsia="仿宋_GB2312" w:cs="仿宋"/>
          <w:color w:val="000000" w:themeColor="text1"/>
          <w14:textFill>
            <w14:solidFill>
              <w14:schemeClr w14:val="tx1"/>
            </w14:solidFill>
          </w14:textFill>
        </w:rPr>
        <w:t>（加盖公章）</w:t>
      </w:r>
    </w:p>
    <w:p w14:paraId="31D61A9A">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p>
    <w:p w14:paraId="7F2F74A1">
      <w:pPr>
        <w:spacing w:line="360" w:lineRule="auto"/>
        <w:outlineLvl w:val="1"/>
        <w:rPr>
          <w:rFonts w:ascii="仿宋_GB2312" w:hAnsi="仿宋_GB2312" w:eastAsia="仿宋_GB2312"/>
          <w:b/>
          <w:bCs/>
          <w:color w:val="000000" w:themeColor="text1"/>
          <w14:textFill>
            <w14:solidFill>
              <w14:schemeClr w14:val="tx1"/>
            </w14:solidFill>
          </w14:textFill>
        </w:rPr>
      </w:pPr>
    </w:p>
    <w:p w14:paraId="589B832E">
      <w:pPr>
        <w:spacing w:line="360" w:lineRule="auto"/>
        <w:ind w:left="840" w:hanging="840" w:hangingChars="35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w:t>
      </w:r>
    </w:p>
    <w:p w14:paraId="794DD024">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r>
        <w:rPr>
          <w:rFonts w:hint="eastAsia" w:ascii="仿宋_GB2312" w:hAnsi="仿宋_GB2312" w:eastAsia="仿宋_GB2312" w:cs="仿宋"/>
          <w:color w:val="000000" w:themeColor="text1"/>
          <w14:textFill>
            <w14:solidFill>
              <w14:schemeClr w14:val="tx1"/>
            </w14:solidFill>
          </w14:textFill>
        </w:rPr>
        <w:t>．本法定代表人/负责人授权书应附授权代表身份证明材料。</w:t>
      </w:r>
    </w:p>
    <w:p w14:paraId="4BA9939E">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．身份证明材料包括居民身份证（包括正反两面）或护照（为外籍人士的，则提供护照）或户口本。</w:t>
      </w:r>
    </w:p>
    <w:p w14:paraId="7381A1F1">
      <w:pPr>
        <w:pStyle w:val="5"/>
        <w:tabs>
          <w:tab w:val="left" w:pos="709"/>
        </w:tabs>
        <w:jc w:val="center"/>
        <w:rPr>
          <w:rFonts w:ascii="仿宋_GB2312" w:hAnsi="仿宋_GB2312" w:eastAsia="仿宋_GB2312"/>
          <w:color w:val="000000" w:themeColor="text1"/>
          <w14:textFill>
            <w14:solidFill>
              <w14:schemeClr w14:val="tx1"/>
            </w14:solidFill>
          </w14:textFill>
        </w:rPr>
      </w:pPr>
    </w:p>
    <w:p w14:paraId="35AA6F57">
      <w:pPr>
        <w:rPr>
          <w:rFonts w:ascii="仿宋_GB2312" w:hAnsi="仿宋_GB2312" w:eastAsia="仿宋_GB2312" w:cs="仿宋"/>
          <w:b/>
          <w:bCs/>
          <w:color w:val="000000" w:themeColor="text1"/>
          <w:sz w:val="28"/>
          <w:szCs w:val="28"/>
          <w14:textFill>
            <w14:solidFill>
              <w14:schemeClr w14:val="tx1"/>
            </w14:solidFill>
          </w14:textFill>
        </w:rPr>
      </w:pPr>
      <w:r>
        <w:rPr>
          <w:rFonts w:ascii="仿宋_GB2312" w:hAnsi="仿宋_GB2312" w:eastAsia="仿宋_GB2312"/>
          <w:b/>
          <w:bCs/>
          <w:color w:val="000000" w:themeColor="text1"/>
          <w:sz w:val="28"/>
          <w:szCs w:val="28"/>
          <w14:textFill>
            <w14:solidFill>
              <w14:schemeClr w14:val="tx1"/>
            </w14:solidFill>
          </w14:textFill>
        </w:rPr>
        <w:br w:type="page"/>
      </w: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ascii="仿宋_GB2312" w:hAnsi="仿宋_GB2312" w:eastAsia="仿宋_GB2312" w:cs="仿宋"/>
          <w:b/>
          <w:bCs/>
          <w:color w:val="000000" w:themeColor="text1"/>
          <w:sz w:val="28"/>
          <w:szCs w:val="28"/>
          <w14:textFill>
            <w14:solidFill>
              <w14:schemeClr w14:val="tx1"/>
            </w14:solidFill>
          </w14:textFill>
        </w:rPr>
        <w:t>3</w:t>
      </w:r>
    </w:p>
    <w:p w14:paraId="3B144B30">
      <w:pPr>
        <w:spacing w:line="360" w:lineRule="auto"/>
        <w:ind w:right="480" w:firstLine="470" w:firstLineChars="196"/>
        <w:jc w:val="center"/>
        <w:outlineLvl w:val="1"/>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b/>
          <w:bCs/>
          <w:color w:val="000000" w:themeColor="text1"/>
          <w:sz w:val="32"/>
          <w:szCs w:val="32"/>
          <w14:textFill>
            <w14:solidFill>
              <w14:schemeClr w14:val="tx1"/>
            </w14:solidFill>
          </w14:textFill>
        </w:rPr>
        <w:t>三、承诺函（实质性要求）</w:t>
      </w:r>
    </w:p>
    <w:p w14:paraId="6F25887E">
      <w:pPr>
        <w:jc w:val="center"/>
        <w:outlineLvl w:val="1"/>
        <w:rPr>
          <w:rFonts w:ascii="仿宋_GB2312" w:hAnsi="仿宋_GB2312" w:eastAsia="仿宋_GB2312"/>
          <w:b/>
          <w:bCs/>
          <w:color w:val="000000" w:themeColor="text1"/>
          <w14:textFill>
            <w14:solidFill>
              <w14:schemeClr w14:val="tx1"/>
            </w14:solidFill>
          </w14:textFill>
        </w:rPr>
      </w:pPr>
    </w:p>
    <w:p w14:paraId="097F406D">
      <w:pPr>
        <w:spacing w:line="360" w:lineRule="auto"/>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（采购人名称）：</w:t>
      </w:r>
    </w:p>
    <w:p w14:paraId="71A98F1C">
      <w:pPr>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我方作为本次采购项目的供应商，根据谈判文件要求，现郑重承诺如下：</w:t>
      </w:r>
    </w:p>
    <w:p w14:paraId="4C794795">
      <w:pPr>
        <w:spacing w:line="360" w:lineRule="auto"/>
        <w:ind w:firstLine="480" w:firstLineChars="200"/>
        <w:outlineLvl w:val="1"/>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一、具备《中华人民共和国政府采购法》第二十二条第一款和本项目规定的条件。</w:t>
      </w:r>
    </w:p>
    <w:p w14:paraId="4C2616EC">
      <w:pPr>
        <w:adjustRightInd w:val="0"/>
        <w:snapToGrid w:val="0"/>
        <w:spacing w:line="360" w:lineRule="auto"/>
        <w:ind w:firstLine="480" w:firstLineChars="200"/>
        <w:jc w:val="both"/>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二、截至响应文件提交截止日未被列入失信被执行人、重大税收违法案件当事人名单、政府采购严重违法失信行为记录名单等。</w:t>
      </w:r>
    </w:p>
    <w:p w14:paraId="68C39D4F">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三、已认真阅读并接受本项目谈判文件的全部实质性要求。</w:t>
      </w:r>
    </w:p>
    <w:p w14:paraId="0E82018D">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四、我方承诺在响应文件有效期</w:t>
      </w:r>
      <w:r>
        <w:rPr>
          <w:rFonts w:hint="eastAsia" w:ascii="仿宋_GB2312" w:hAnsi="仿宋_GB2312" w:eastAsia="仿宋_GB2312" w:cs="仿宋"/>
          <w:color w:val="000000" w:themeColor="text1"/>
          <w:lang w:val="en-US" w:eastAsia="zh-CN"/>
          <w14:textFill>
            <w14:solidFill>
              <w14:schemeClr w14:val="tx1"/>
            </w14:solidFill>
          </w14:textFill>
        </w:rPr>
        <w:t>90</w:t>
      </w:r>
      <w:r>
        <w:rPr>
          <w:rFonts w:hint="eastAsia" w:ascii="仿宋_GB2312" w:hAnsi="仿宋_GB2312" w:eastAsia="仿宋_GB2312" w:cs="仿宋"/>
          <w:color w:val="000000" w:themeColor="text1"/>
          <w14:textFill>
            <w14:solidFill>
              <w14:schemeClr w14:val="tx1"/>
            </w14:solidFill>
          </w14:textFill>
        </w:rPr>
        <w:t>天内不撤销响应文件。</w:t>
      </w:r>
    </w:p>
    <w:p w14:paraId="7F37FE4B">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五、在参加本次采购活动中，不存在与单位负责人为同一人或者存在直接控股、管理关系的其他供应商参与同一合同项下的政府采购活动的行为。与我方存在直接控股关系的单位为：</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；存在管理关系单位为：</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w:t>
      </w:r>
    </w:p>
    <w:p w14:paraId="42BCC452">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六、为采购项目提供整体设计、规范编制或者项目管理、监理、检测等服务的供应商，不得再参加该采购项目的其他采购活动，我方承诺不属于此类禁止参加本项目的供应商。</w:t>
      </w:r>
    </w:p>
    <w:p w14:paraId="2EDA4C55">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七</w:t>
      </w:r>
      <w:r>
        <w:rPr>
          <w:rFonts w:ascii="仿宋_GB2312" w:hAnsi="仿宋_GB2312" w:eastAsia="仿宋_GB2312" w:cs="仿宋"/>
          <w:color w:val="000000" w:themeColor="text1"/>
          <w14:textFill>
            <w14:solidFill>
              <w14:schemeClr w14:val="tx1"/>
            </w14:solidFill>
          </w14:textFill>
        </w:rPr>
        <w:t>、在同一合同项下的采购项目中，不存在与其他供应商委托同一个自然人、同一单位的人员编制</w:t>
      </w:r>
      <w:r>
        <w:rPr>
          <w:rFonts w:hint="eastAsia" w:ascii="仿宋_GB2312" w:hAnsi="仿宋_GB2312" w:eastAsia="仿宋_GB2312" w:cs="仿宋"/>
          <w:color w:val="000000" w:themeColor="text1"/>
          <w14:textFill>
            <w14:solidFill>
              <w14:schemeClr w14:val="tx1"/>
            </w14:solidFill>
          </w14:textFill>
        </w:rPr>
        <w:t>响应文</w:t>
      </w:r>
      <w:r>
        <w:rPr>
          <w:rFonts w:ascii="仿宋_GB2312" w:hAnsi="仿宋_GB2312" w:eastAsia="仿宋_GB2312" w:cs="仿宋"/>
          <w:color w:val="000000" w:themeColor="text1"/>
          <w14:textFill>
            <w14:solidFill>
              <w14:schemeClr w14:val="tx1"/>
            </w14:solidFill>
          </w14:textFill>
        </w:rPr>
        <w:t>件。</w:t>
      </w:r>
    </w:p>
    <w:p w14:paraId="4F92F594">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八</w:t>
      </w:r>
      <w:r>
        <w:rPr>
          <w:rFonts w:ascii="仿宋_GB2312" w:hAnsi="仿宋_GB2312" w:eastAsia="仿宋_GB2312" w:cs="仿宋"/>
          <w:color w:val="000000" w:themeColor="text1"/>
          <w14:textFill>
            <w14:solidFill>
              <w14:schemeClr w14:val="tx1"/>
            </w14:solidFill>
          </w14:textFill>
        </w:rPr>
        <w:t>、在同一合同项下的采购项目中，不存在与其他供应商委托同一个自然人、同一单位的人员办理</w:t>
      </w:r>
      <w:r>
        <w:rPr>
          <w:rFonts w:hint="eastAsia" w:ascii="仿宋_GB2312" w:hAnsi="仿宋_GB2312" w:eastAsia="仿宋_GB2312" w:cs="仿宋"/>
          <w:color w:val="000000" w:themeColor="text1"/>
          <w14:textFill>
            <w14:solidFill>
              <w14:schemeClr w14:val="tx1"/>
            </w14:solidFill>
          </w14:textFill>
        </w:rPr>
        <w:t>响应</w:t>
      </w:r>
      <w:r>
        <w:rPr>
          <w:rFonts w:ascii="仿宋_GB2312" w:hAnsi="仿宋_GB2312" w:eastAsia="仿宋_GB2312" w:cs="仿宋"/>
          <w:color w:val="000000" w:themeColor="text1"/>
          <w14:textFill>
            <w14:solidFill>
              <w14:schemeClr w14:val="tx1"/>
            </w14:solidFill>
          </w14:textFill>
        </w:rPr>
        <w:t>相关事宜。</w:t>
      </w:r>
    </w:p>
    <w:p w14:paraId="3ACEFE14">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九、我方与采购</w:t>
      </w:r>
      <w:r>
        <w:rPr>
          <w:rFonts w:hint="eastAsia" w:ascii="仿宋_GB2312" w:hAnsi="仿宋_GB2312" w:eastAsia="仿宋_GB2312" w:cs="仿宋"/>
          <w:color w:val="000000" w:themeColor="text1"/>
          <w:lang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不属于同一单位。</w:t>
      </w:r>
    </w:p>
    <w:p w14:paraId="6EBF270C">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十、响应文件中提供的任何资料和技术、服务、商务等响应承诺情况都是真实的、有效的、合法的。</w:t>
      </w:r>
    </w:p>
    <w:p w14:paraId="7FFA23CD">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一、如本项目谈判采购过程中需要提供样品，则我方提供的样品即为成交后将要提供的成交产品，我方对提供样品的性能和质量负责，因样品存在缺陷或者不符合谈判文件要求导致未能成交的，我方愿意承担相应不利后果。</w:t>
      </w:r>
    </w:p>
    <w:p w14:paraId="56FA455A">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十二、国家或行业主管部门对工程项目的技术标准、质量标准和资格资质条件等有强制性规定的，我方承诺符合其要求。</w:t>
      </w:r>
    </w:p>
    <w:p w14:paraId="42D223CE">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十三、参加本次采购活动，我方完全同意谈判文件第二章关于“谈判费用”“合同分包”“合同转包”“履约保证金”的实质性要求，并承诺严格按照谈判文件要求履行。</w:t>
      </w:r>
    </w:p>
    <w:p w14:paraId="7B2EE80A">
      <w:pPr>
        <w:spacing w:line="440" w:lineRule="exact"/>
        <w:ind w:firstLine="480" w:firstLineChars="200"/>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sz w:val="24"/>
          <w:szCs w:val="24"/>
          <w:lang w:val="en-US" w:eastAsia="zh-CN" w:bidi="ar-SA"/>
          <w14:textFill>
            <w14:solidFill>
              <w14:schemeClr w14:val="tx1"/>
            </w14:solidFill>
          </w14:textFill>
        </w:rPr>
        <w:t>十四、</w:t>
      </w:r>
      <w:r>
        <w:rPr>
          <w:rFonts w:hint="eastAsia" w:ascii="仿宋_GB2312" w:hAnsi="仿宋_GB2312" w:eastAsia="仿宋_GB2312" w:cs="仿宋"/>
          <w:color w:val="000000" w:themeColor="text1"/>
          <w:lang w:val="en-US" w:eastAsia="zh-CN"/>
          <w14:textFill>
            <w14:solidFill>
              <w14:schemeClr w14:val="tx1"/>
            </w14:solidFill>
          </w14:textFill>
        </w:rPr>
        <w:t>供应商应根据采购人提供的竞争性谈判文件，按照供应商实际情况进行投标报价，报价应包括但不限于采购项目概况以及方案、图纸涉及的所有内容。供应商应充分考虑本项目合同实施期间可能发生的一切费用，合同履行期间不再增加任何费用，并充分考虑市场情况，承担由此而带来的全部风险。</w:t>
      </w:r>
    </w:p>
    <w:p w14:paraId="408AB93C">
      <w:pPr>
        <w:spacing w:line="440" w:lineRule="exact"/>
        <w:ind w:firstLine="480" w:firstLineChars="200"/>
        <w:rPr>
          <w:rFonts w:hint="eastAsia"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十</w:t>
      </w:r>
      <w:r>
        <w:rPr>
          <w:rFonts w:hint="eastAsia" w:ascii="仿宋_GB2312" w:hAnsi="仿宋_GB2312" w:eastAsia="仿宋_GB2312" w:cs="仿宋"/>
          <w:color w:val="000000" w:themeColor="text1"/>
          <w:lang w:eastAsia="zh-CN"/>
          <w14:textFill>
            <w14:solidFill>
              <w14:schemeClr w14:val="tx1"/>
            </w14:solidFill>
          </w14:textFill>
        </w:rPr>
        <w:t>五</w:t>
      </w:r>
      <w:r>
        <w:rPr>
          <w:rFonts w:hint="eastAsia" w:ascii="仿宋_GB2312" w:hAnsi="仿宋_GB2312" w:eastAsia="仿宋_GB2312" w:cs="仿宋"/>
          <w:color w:val="000000" w:themeColor="text1"/>
          <w14:textFill>
            <w14:solidFill>
              <w14:schemeClr w14:val="tx1"/>
            </w14:solidFill>
          </w14:textFill>
        </w:rPr>
        <w:t>、我方保证在本项目中使用的任何技术、产品和服务（包括部分使用），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我方将在采购项目实施过程中采用自有或者第三方知识成果的，使用该知识成果后，我方需提供开发接口和开发手册等技术资料，并承诺提供无限期支持，采购人享有使用权（含采购人委托第三方在该项目后续开发的使用权）。如采用我方所不拥有的知识产权，则在报价中必须包括合法获取使用该知识产权的相关费用。构成本谈判文件的各组成部分，未经采购人书面同意，我方不得擅自复印或用于非本谈判项目所需的其他目的。</w:t>
      </w:r>
    </w:p>
    <w:p w14:paraId="50141E90">
      <w:pPr>
        <w:spacing w:line="440" w:lineRule="exact"/>
        <w:ind w:firstLine="482" w:firstLineChars="200"/>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pPr>
      <w:r>
        <w:rPr>
          <w:rFonts w:hint="eastAsia" w:ascii="仿宋_GB2312" w:hAnsi="仿宋_GB2312" w:eastAsia="仿宋_GB2312" w:cs="仿宋"/>
          <w:b/>
          <w:bCs/>
          <w:color w:val="000000" w:themeColor="text1"/>
          <w:lang w:eastAsia="zh-CN"/>
          <w14:textFill>
            <w14:solidFill>
              <w14:schemeClr w14:val="tx1"/>
            </w14:solidFill>
          </w14:textFill>
        </w:rPr>
        <w:t>十六、</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我方根据巴中市 2025 年江北片区春节氛围营造工程竞争性谈判文件（含工程量清单）和巴中市 2025 年江北片区春节氛围营造设计方案，自行组织实地勘测，按照实际情况进行报价。报价包括但不限于采购项目概况、方案、图纸涉及的所有内容，达到设计方案效果并经巴中市综合行政执法局验收合格。我方已充分考虑本项目合同实施期间可能发生的一切费用，合同履行期间不再增加任何费用。我方充分考虑了市场情况，并承担包括市场价格波动、</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工程量增减</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等带来的全部风险。</w:t>
      </w:r>
    </w:p>
    <w:p w14:paraId="7C79FF44">
      <w:pPr>
        <w:pStyle w:val="2"/>
        <w:rPr>
          <w:rFonts w:hint="eastAsia"/>
          <w:lang w:val="en-US" w:eastAsia="zh-CN"/>
        </w:rPr>
      </w:pPr>
    </w:p>
    <w:p w14:paraId="0B90CF08">
      <w:pPr>
        <w:spacing w:line="440" w:lineRule="exact"/>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我方</w:t>
      </w:r>
      <w:r>
        <w:rPr>
          <w:rFonts w:ascii="仿宋_GB2312" w:hAnsi="仿宋_GB2312" w:eastAsia="仿宋_GB2312" w:cs="仿宋"/>
          <w:color w:val="000000" w:themeColor="text1"/>
          <w14:textFill>
            <w14:solidFill>
              <w14:schemeClr w14:val="tx1"/>
            </w14:solidFill>
          </w14:textFill>
        </w:rPr>
        <w:t>对上述承诺内容的真实性负责，如经查证承诺内容存在虚假，我</w:t>
      </w:r>
      <w:r>
        <w:rPr>
          <w:rFonts w:hint="eastAsia" w:ascii="仿宋_GB2312" w:hAnsi="仿宋_GB2312" w:eastAsia="仿宋_GB2312" w:cs="仿宋"/>
          <w:color w:val="000000" w:themeColor="text1"/>
          <w14:textFill>
            <w14:solidFill>
              <w14:schemeClr w14:val="tx1"/>
            </w14:solidFill>
          </w14:textFill>
        </w:rPr>
        <w:t>方</w:t>
      </w:r>
      <w:r>
        <w:rPr>
          <w:rFonts w:ascii="仿宋_GB2312" w:hAnsi="仿宋_GB2312" w:eastAsia="仿宋_GB2312" w:cs="仿宋"/>
          <w:color w:val="000000" w:themeColor="text1"/>
          <w14:textFill>
            <w14:solidFill>
              <w14:schemeClr w14:val="tx1"/>
            </w14:solidFill>
          </w14:textFill>
        </w:rPr>
        <w:t>愿意依法承担因提供虚假材料谋取成交的法律责任。</w:t>
      </w:r>
    </w:p>
    <w:p w14:paraId="17D9463E">
      <w:pPr>
        <w:spacing w:line="440" w:lineRule="exact"/>
        <w:ind w:firstLine="480" w:firstLineChars="200"/>
        <w:rPr>
          <w:rFonts w:ascii="仿宋_GB2312" w:hAnsi="仿宋_GB2312" w:eastAsia="仿宋_GB2312"/>
          <w:color w:val="000000" w:themeColor="text1"/>
          <w14:textFill>
            <w14:solidFill>
              <w14:schemeClr w14:val="tx1"/>
            </w14:solidFill>
          </w14:textFill>
        </w:rPr>
      </w:pPr>
    </w:p>
    <w:p w14:paraId="00FAE5B9">
      <w:pPr>
        <w:spacing w:line="440" w:lineRule="exact"/>
        <w:rPr>
          <w:rFonts w:ascii="仿宋_GB2312" w:hAnsi="仿宋_GB2312" w:eastAsia="仿宋_GB2312"/>
          <w:color w:val="000000" w:themeColor="text1"/>
          <w14:textFill>
            <w14:solidFill>
              <w14:schemeClr w14:val="tx1"/>
            </w14:solidFill>
          </w14:textFill>
        </w:rPr>
      </w:pPr>
    </w:p>
    <w:p w14:paraId="3FB4B7E0">
      <w:pPr>
        <w:spacing w:line="440" w:lineRule="exact"/>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XXXX</w:t>
      </w:r>
      <w:r>
        <w:rPr>
          <w:rFonts w:hint="eastAsia" w:ascii="仿宋_GB2312" w:hAnsi="仿宋_GB2312" w:eastAsia="仿宋_GB2312" w:cs="仿宋"/>
          <w:color w:val="000000" w:themeColor="text1"/>
          <w14:textFill>
            <w14:solidFill>
              <w14:schemeClr w14:val="tx1"/>
            </w14:solidFill>
          </w14:textFill>
        </w:rPr>
        <w:t>（加盖公章）</w:t>
      </w:r>
    </w:p>
    <w:p w14:paraId="20C7B44F">
      <w:pPr>
        <w:spacing w:line="440" w:lineRule="exact"/>
        <w:ind w:firstLine="480" w:firstLineChars="200"/>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p>
    <w:p w14:paraId="321312AC">
      <w:pPr>
        <w:spacing w:line="360" w:lineRule="auto"/>
        <w:rPr>
          <w:rFonts w:ascii="仿宋_GB2312" w:hAnsi="仿宋_GB2312" w:eastAsia="仿宋_GB2312"/>
          <w:b/>
          <w:bCs/>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br w:type="page"/>
      </w: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ascii="仿宋_GB2312" w:hAnsi="仿宋_GB2312" w:eastAsia="仿宋_GB2312" w:cs="仿宋"/>
          <w:b/>
          <w:bCs/>
          <w:color w:val="000000" w:themeColor="text1"/>
          <w:sz w:val="28"/>
          <w:szCs w:val="28"/>
          <w14:textFill>
            <w14:solidFill>
              <w14:schemeClr w14:val="tx1"/>
            </w14:solidFill>
          </w14:textFill>
        </w:rPr>
        <w:t>4</w:t>
      </w:r>
    </w:p>
    <w:p w14:paraId="0A9B63AA">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14:textFill>
            <w14:solidFill>
              <w14:schemeClr w14:val="tx1"/>
            </w14:solidFill>
          </w14:textFill>
        </w:rPr>
        <w:t>四、报价函</w:t>
      </w:r>
    </w:p>
    <w:p w14:paraId="35C5D52B">
      <w:pPr>
        <w:spacing w:line="360" w:lineRule="auto"/>
        <w:rPr>
          <w:rFonts w:ascii="仿宋_GB2312" w:hAnsi="仿宋_GB2312" w:eastAsia="仿宋_GB2312" w:cs="仿宋"/>
          <w:color w:val="000000" w:themeColor="text1"/>
          <w:u w:val="single"/>
          <w14:textFill>
            <w14:solidFill>
              <w14:schemeClr w14:val="tx1"/>
            </w14:solidFill>
          </w14:textFill>
        </w:rPr>
      </w:pPr>
    </w:p>
    <w:p w14:paraId="51E5770F">
      <w:pPr>
        <w:spacing w:line="360" w:lineRule="auto"/>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u w:val="single"/>
          <w14:textFill>
            <w14:solidFill>
              <w14:schemeClr w14:val="tx1"/>
            </w14:solidFill>
          </w14:textFill>
        </w:rPr>
        <w:t>XXXXXXX</w:t>
      </w:r>
      <w:r>
        <w:rPr>
          <w:rFonts w:hint="eastAsia" w:ascii="仿宋_GB2312" w:hAnsi="仿宋_GB2312" w:eastAsia="仿宋_GB2312" w:cs="仿宋"/>
          <w:color w:val="000000" w:themeColor="text1"/>
          <w14:textFill>
            <w14:solidFill>
              <w14:schemeClr w14:val="tx1"/>
            </w14:solidFill>
          </w14:textFill>
        </w:rPr>
        <w:t>（采购</w:t>
      </w:r>
      <w:r>
        <w:rPr>
          <w:rFonts w:hint="eastAsia" w:ascii="仿宋_GB2312" w:hAnsi="仿宋_GB2312" w:eastAsia="仿宋_GB2312" w:cs="仿宋"/>
          <w:color w:val="000000" w:themeColor="text1"/>
          <w:lang w:eastAsia="zh-CN"/>
          <w14:textFill>
            <w14:solidFill>
              <w14:schemeClr w14:val="tx1"/>
            </w14:solidFill>
          </w14:textFill>
        </w:rPr>
        <w:t>人</w:t>
      </w:r>
      <w:r>
        <w:rPr>
          <w:rFonts w:hint="eastAsia" w:ascii="仿宋_GB2312" w:hAnsi="仿宋_GB2312" w:eastAsia="仿宋_GB2312" w:cs="仿宋"/>
          <w:color w:val="000000" w:themeColor="text1"/>
          <w14:textFill>
            <w14:solidFill>
              <w14:schemeClr w14:val="tx1"/>
            </w14:solidFill>
          </w14:textFill>
        </w:rPr>
        <w:t>名称）</w:t>
      </w:r>
      <w:r>
        <w:rPr>
          <w:rFonts w:ascii="仿宋_GB2312" w:hAnsi="仿宋_GB2312" w:eastAsia="仿宋_GB2312" w:cs="仿宋"/>
          <w:color w:val="000000" w:themeColor="text1"/>
          <w14:textFill>
            <w14:solidFill>
              <w14:schemeClr w14:val="tx1"/>
            </w14:solidFill>
          </w14:textFill>
        </w:rPr>
        <w:t xml:space="preserve">: </w:t>
      </w:r>
    </w:p>
    <w:p w14:paraId="41F5A6C9">
      <w:pPr>
        <w:pStyle w:val="21"/>
        <w:numPr>
          <w:ilvl w:val="0"/>
          <w:numId w:val="2"/>
        </w:numPr>
        <w:tabs>
          <w:tab w:val="left" w:pos="227"/>
        </w:tabs>
        <w:spacing w:line="360" w:lineRule="auto"/>
        <w:ind w:firstLineChars="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我方己仔细研究了（项目名称）谈判文件的全部内容，愿意以人民币（大写）</w:t>
      </w:r>
    </w:p>
    <w:p w14:paraId="4B772D7D">
      <w:pPr>
        <w:pStyle w:val="21"/>
        <w:spacing w:line="360" w:lineRule="auto"/>
        <w:ind w:left="-50" w:leftChars="-21" w:firstLine="0" w:firstLineChars="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u w:val="single"/>
          <w14:textFill>
            <w14:solidFill>
              <w14:schemeClr w14:val="tx1"/>
            </w14:solidFill>
          </w14:textFill>
        </w:rPr>
        <w:t>XX</w:t>
      </w:r>
      <w:r>
        <w:rPr>
          <w:rFonts w:hint="eastAsia" w:ascii="仿宋_GB2312" w:hAnsi="仿宋_GB2312" w:eastAsia="仿宋_GB2312" w:cs="仿宋"/>
          <w:color w:val="000000" w:themeColor="text1"/>
          <w:u w:val="single"/>
          <w:lang w:val="en-US" w:eastAsia="zh-CN"/>
          <w14:textFill>
            <w14:solidFill>
              <w14:schemeClr w14:val="tx1"/>
            </w14:solidFill>
          </w14:textFill>
        </w:rPr>
        <w:t xml:space="preserve"> </w:t>
      </w: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u w:val="single"/>
          <w:lang w:val="en-US" w:eastAsia="zh-CN"/>
          <w14:textFill>
            <w14:solidFill>
              <w14:schemeClr w14:val="tx1"/>
            </w14:solidFill>
          </w14:textFill>
        </w:rPr>
        <w:t xml:space="preserve">   </w:t>
      </w:r>
      <w:r>
        <w:rPr>
          <w:rFonts w:hint="eastAsia" w:ascii="仿宋_GB2312" w:hAnsi="仿宋_GB2312" w:eastAsia="仿宋_GB2312" w:cs="仿宋"/>
          <w:color w:val="000000" w:themeColor="text1"/>
          <w14:textFill>
            <w14:solidFill>
              <w14:schemeClr w14:val="tx1"/>
            </w14:solidFill>
          </w14:textFill>
        </w:rPr>
        <w:t>）的总报价，</w:t>
      </w:r>
      <w:r>
        <w:rPr>
          <w:rFonts w:hint="eastAsia" w:ascii="仿宋_GB2312" w:hAnsi="仿宋_GB2312" w:eastAsia="仿宋_GB2312" w:cs="仿宋"/>
          <w:color w:val="000000" w:themeColor="text1"/>
          <w:lang w:eastAsia="zh-CN"/>
          <w14:textFill>
            <w14:solidFill>
              <w14:schemeClr w14:val="tx1"/>
            </w14:solidFill>
          </w14:textFill>
        </w:rPr>
        <w:t>服务</w:t>
      </w:r>
      <w:r>
        <w:rPr>
          <w:rFonts w:hint="eastAsia" w:ascii="仿宋_GB2312" w:hAnsi="仿宋_GB2312" w:eastAsia="仿宋_GB2312" w:cs="仿宋"/>
          <w:color w:val="000000" w:themeColor="text1"/>
          <w14:textFill>
            <w14:solidFill>
              <w14:schemeClr w14:val="tx1"/>
            </w14:solidFill>
          </w14:textFill>
        </w:rPr>
        <w:t>时间：合同签订日起至项目</w:t>
      </w:r>
      <w:r>
        <w:rPr>
          <w:rFonts w:hint="eastAsia" w:ascii="仿宋_GB2312" w:hAnsi="仿宋_GB2312" w:eastAsia="仿宋_GB2312" w:cs="仿宋"/>
          <w:color w:val="000000" w:themeColor="text1"/>
          <w:lang w:eastAsia="zh-CN"/>
          <w14:textFill>
            <w14:solidFill>
              <w14:schemeClr w14:val="tx1"/>
            </w14:solidFill>
          </w14:textFill>
        </w:rPr>
        <w:t>合格验收</w:t>
      </w:r>
      <w:r>
        <w:rPr>
          <w:rFonts w:hint="eastAsia" w:ascii="仿宋_GB2312" w:hAnsi="仿宋_GB2312" w:eastAsia="仿宋_GB2312" w:cs="仿宋"/>
          <w:color w:val="000000" w:themeColor="text1"/>
          <w14:textFill>
            <w14:solidFill>
              <w14:schemeClr w14:val="tx1"/>
            </w14:solidFill>
          </w14:textFill>
        </w:rPr>
        <w:t>。按合同约定实施和完成承包工程，修补工程中的任何缺陷，工程质量达到规定要求标准。</w:t>
      </w:r>
    </w:p>
    <w:p w14:paraId="2A2679E3">
      <w:pPr>
        <w:spacing w:line="360" w:lineRule="auto"/>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．如我方成交：</w:t>
      </w:r>
    </w:p>
    <w:p w14:paraId="2D065013">
      <w:pPr>
        <w:spacing w:line="360" w:lineRule="auto"/>
        <w:ind w:firstLine="120" w:firstLineChars="5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(l</w:t>
      </w:r>
      <w:r>
        <w:rPr>
          <w:rFonts w:hint="eastAsia" w:ascii="仿宋_GB2312" w:hAnsi="仿宋_GB2312" w:eastAsia="仿宋_GB2312" w:cs="仿宋"/>
          <w:color w:val="000000" w:themeColor="text1"/>
          <w14:textFill>
            <w14:solidFill>
              <w14:schemeClr w14:val="tx1"/>
            </w14:solidFill>
          </w14:textFill>
        </w:rPr>
        <w:t>）我方承诺在收到成交通知书后，在规定的期限内与采购人签订合同。</w:t>
      </w:r>
    </w:p>
    <w:p w14:paraId="35C921F1">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val="en-US" w:eastAsia="zh-CN"/>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）我方将严格履行政府采购合同约定的责任和义务。</w:t>
      </w:r>
    </w:p>
    <w:p w14:paraId="6B160763">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val="en-US" w:eastAsia="zh-CN"/>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）我方愿意提供贵单位可能另外要求的，与谈判报价有关的文件资料，并保证我方已提供和将要提供的文件资料是真实、准确的。</w:t>
      </w:r>
    </w:p>
    <w:p w14:paraId="7A7B3459">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val="en-US" w:eastAsia="zh-CN"/>
          <w14:textFill>
            <w14:solidFill>
              <w14:schemeClr w14:val="tx1"/>
            </w14:solidFill>
          </w14:textFill>
        </w:rPr>
        <w:t>4</w:t>
      </w:r>
      <w:r>
        <w:rPr>
          <w:rFonts w:hint="eastAsia" w:ascii="仿宋_GB2312" w:hAnsi="仿宋_GB2312" w:eastAsia="仿宋_GB2312" w:cs="仿宋"/>
          <w:color w:val="000000" w:themeColor="text1"/>
          <w14:textFill>
            <w14:solidFill>
              <w14:schemeClr w14:val="tx1"/>
            </w14:solidFill>
          </w14:textFill>
        </w:rPr>
        <w:t>）我方自愿按照谈判文件规定的各项要求完成工程建设项目，最后报价以《最后报价表》为准，接受采购人按照政府采购合同约定金额支付采购资金。</w:t>
      </w:r>
    </w:p>
    <w:p w14:paraId="7C04FD4D">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val="en-US" w:eastAsia="zh-CN"/>
          <w14:textFill>
            <w14:solidFill>
              <w14:schemeClr w14:val="tx1"/>
            </w14:solidFill>
          </w14:textFill>
        </w:rPr>
        <w:t>5</w:t>
      </w:r>
      <w:r>
        <w:rPr>
          <w:rFonts w:hint="eastAsia" w:ascii="仿宋_GB2312" w:hAnsi="仿宋_GB2312" w:eastAsia="仿宋_GB2312" w:cs="仿宋"/>
          <w:color w:val="000000" w:themeColor="text1"/>
          <w14:textFill>
            <w14:solidFill>
              <w14:schemeClr w14:val="tx1"/>
            </w14:solidFill>
          </w14:textFill>
        </w:rPr>
        <w:t>）（其他补充说明）。</w:t>
      </w:r>
    </w:p>
    <w:p w14:paraId="2294A4CF">
      <w:pPr>
        <w:adjustRightInd w:val="0"/>
        <w:spacing w:line="360" w:lineRule="auto"/>
        <w:ind w:firstLine="480" w:firstLineChars="200"/>
        <w:rPr>
          <w:rFonts w:ascii="仿宋_GB2312" w:hAnsi="仿宋_GB2312" w:eastAsia="仿宋_GB2312"/>
          <w:color w:val="000000" w:themeColor="text1"/>
          <w14:textFill>
            <w14:solidFill>
              <w14:schemeClr w14:val="tx1"/>
            </w14:solidFill>
          </w14:textFill>
        </w:rPr>
      </w:pPr>
    </w:p>
    <w:p w14:paraId="02D1C926">
      <w:pPr>
        <w:adjustRightInd w:val="0"/>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（加盖公章）</w:t>
      </w:r>
    </w:p>
    <w:p w14:paraId="7E75E4B8">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通讯地址：</w:t>
      </w:r>
      <w:r>
        <w:rPr>
          <w:rFonts w:ascii="仿宋_GB2312" w:hAnsi="仿宋_GB2312" w:eastAsia="仿宋_GB2312" w:cs="仿宋"/>
          <w:color w:val="000000" w:themeColor="text1"/>
          <w14:textFill>
            <w14:solidFill>
              <w14:schemeClr w14:val="tx1"/>
            </w14:solidFill>
          </w14:textFill>
        </w:rPr>
        <w:t>XXX</w:t>
      </w:r>
    </w:p>
    <w:p w14:paraId="00BD4B9B">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邮政编码：</w:t>
      </w:r>
      <w:r>
        <w:rPr>
          <w:rFonts w:ascii="仿宋_GB2312" w:hAnsi="仿宋_GB2312" w:eastAsia="仿宋_GB2312" w:cs="仿宋"/>
          <w:color w:val="000000" w:themeColor="text1"/>
          <w14:textFill>
            <w14:solidFill>
              <w14:schemeClr w14:val="tx1"/>
            </w14:solidFill>
          </w14:textFill>
        </w:rPr>
        <w:t>XXX</w:t>
      </w:r>
    </w:p>
    <w:p w14:paraId="3BE30592">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联系电话：</w:t>
      </w:r>
      <w:r>
        <w:rPr>
          <w:rFonts w:ascii="仿宋_GB2312" w:hAnsi="仿宋_GB2312" w:eastAsia="仿宋_GB2312" w:cs="仿宋"/>
          <w:color w:val="000000" w:themeColor="text1"/>
          <w14:textFill>
            <w14:solidFill>
              <w14:schemeClr w14:val="tx1"/>
            </w14:solidFill>
          </w14:textFill>
        </w:rPr>
        <w:t>XXX</w:t>
      </w:r>
    </w:p>
    <w:p w14:paraId="6DC9757C">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传真：</w:t>
      </w:r>
      <w:r>
        <w:rPr>
          <w:rFonts w:ascii="仿宋_GB2312" w:hAnsi="仿宋_GB2312" w:eastAsia="仿宋_GB2312" w:cs="仿宋"/>
          <w:color w:val="000000" w:themeColor="text1"/>
          <w14:textFill>
            <w14:solidFill>
              <w14:schemeClr w14:val="tx1"/>
            </w14:solidFill>
          </w14:textFill>
        </w:rPr>
        <w:t>XXX</w:t>
      </w:r>
    </w:p>
    <w:p w14:paraId="511BCE85">
      <w:pPr>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r>
        <w:rPr>
          <w:rFonts w:ascii="仿宋_GB2312" w:hAnsi="仿宋_GB2312" w:eastAsia="仿宋_GB2312"/>
          <w:b/>
          <w:bCs/>
          <w:color w:val="000000" w:themeColor="text1"/>
          <w:sz w:val="32"/>
          <w:szCs w:val="32"/>
          <w14:textFill>
            <w14:solidFill>
              <w14:schemeClr w14:val="tx1"/>
            </w14:solidFill>
          </w14:textFill>
        </w:rPr>
        <w:br w:type="page"/>
      </w:r>
    </w:p>
    <w:p w14:paraId="6D6D68F6">
      <w:pPr>
        <w:spacing w:line="360" w:lineRule="auto"/>
        <w:rPr>
          <w:rFonts w:hint="eastAsia" w:ascii="仿宋_GB2312" w:hAnsi="仿宋_GB2312" w:eastAsia="仿宋_GB2312" w:cs="仿宋"/>
          <w:b/>
          <w:bCs/>
          <w:color w:val="000000" w:themeColor="text1"/>
          <w:sz w:val="28"/>
          <w:szCs w:val="28"/>
          <w:lang w:val="en-US" w:eastAsia="zh-CN"/>
          <w14:textFill>
            <w14:solidFill>
              <w14:schemeClr w14:val="tx1"/>
            </w14:solidFill>
          </w14:textFill>
        </w:rPr>
      </w:pP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hint="eastAsia" w:ascii="仿宋_GB2312" w:hAnsi="仿宋_GB2312" w:eastAsia="仿宋_GB2312" w:cs="仿宋"/>
          <w:b/>
          <w:bCs/>
          <w:color w:val="000000" w:themeColor="text1"/>
          <w:sz w:val="28"/>
          <w:szCs w:val="28"/>
          <w:lang w:val="en-US" w:eastAsia="zh-CN"/>
          <w14:textFill>
            <w14:solidFill>
              <w14:schemeClr w14:val="tx1"/>
            </w14:solidFill>
          </w14:textFill>
        </w:rPr>
        <w:t>5</w:t>
      </w:r>
    </w:p>
    <w:p w14:paraId="03B4E08B">
      <w:pPr>
        <w:spacing w:line="360" w:lineRule="auto"/>
        <w:jc w:val="center"/>
        <w:rPr>
          <w:rFonts w:ascii="仿宋_GB2312" w:hAnsi="仿宋_GB2312" w:eastAsia="仿宋_GB2312" w:cs="仿宋"/>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lang w:eastAsia="zh-CN"/>
          <w14:textFill>
            <w14:solidFill>
              <w14:schemeClr w14:val="tx1"/>
            </w14:solidFill>
          </w14:textFill>
        </w:rPr>
        <w:t>五</w:t>
      </w:r>
      <w:r>
        <w:rPr>
          <w:rFonts w:hint="eastAsia" w:ascii="仿宋_GB2312" w:hAnsi="仿宋_GB2312" w:eastAsia="仿宋_GB2312" w:cs="仿宋"/>
          <w:b/>
          <w:bCs/>
          <w:color w:val="000000" w:themeColor="text1"/>
          <w:sz w:val="32"/>
          <w:szCs w:val="32"/>
          <w14:textFill>
            <w14:solidFill>
              <w14:schemeClr w14:val="tx1"/>
            </w14:solidFill>
          </w14:textFill>
        </w:rPr>
        <w:t>、技术、服务及其他商务要求应答表</w:t>
      </w:r>
    </w:p>
    <w:p w14:paraId="62B99053">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p>
    <w:tbl>
      <w:tblPr>
        <w:tblStyle w:val="12"/>
        <w:tblW w:w="8613" w:type="dxa"/>
        <w:tblInd w:w="2" w:type="dxa"/>
        <w:tblLayout w:type="fixed"/>
        <w:tblCellMar>
          <w:top w:w="0" w:type="dxa"/>
          <w:left w:w="108" w:type="dxa"/>
          <w:bottom w:w="0" w:type="dxa"/>
          <w:right w:w="108" w:type="dxa"/>
        </w:tblCellMar>
      </w:tblPr>
      <w:tblGrid>
        <w:gridCol w:w="877"/>
        <w:gridCol w:w="2990"/>
        <w:gridCol w:w="3452"/>
        <w:gridCol w:w="1294"/>
      </w:tblGrid>
      <w:tr w14:paraId="5550F6A2">
        <w:tblPrEx>
          <w:tblCellMar>
            <w:top w:w="0" w:type="dxa"/>
            <w:left w:w="108" w:type="dxa"/>
            <w:bottom w:w="0" w:type="dxa"/>
            <w:right w:w="108" w:type="dxa"/>
          </w:tblCellMar>
        </w:tblPrEx>
        <w:trPr>
          <w:trHeight w:val="817" w:hRule="atLeast"/>
        </w:trPr>
        <w:tc>
          <w:tcPr>
            <w:tcW w:w="877" w:type="dxa"/>
            <w:tcBorders>
              <w:top w:val="single" w:color="auto" w:sz="4" w:space="0"/>
              <w:left w:val="single" w:color="auto" w:sz="4" w:space="0"/>
              <w:bottom w:val="single" w:color="auto" w:sz="4" w:space="0"/>
              <w:right w:val="single" w:color="auto" w:sz="4" w:space="0"/>
            </w:tcBorders>
            <w:vAlign w:val="center"/>
          </w:tcPr>
          <w:p w14:paraId="1EAF6F9C">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序号</w:t>
            </w:r>
          </w:p>
        </w:tc>
        <w:tc>
          <w:tcPr>
            <w:tcW w:w="2990" w:type="dxa"/>
            <w:tcBorders>
              <w:top w:val="single" w:color="auto" w:sz="4" w:space="0"/>
              <w:left w:val="nil"/>
              <w:bottom w:val="single" w:color="auto" w:sz="4" w:space="0"/>
              <w:right w:val="single" w:color="auto" w:sz="4" w:space="0"/>
            </w:tcBorders>
            <w:vAlign w:val="center"/>
          </w:tcPr>
          <w:p w14:paraId="7E59B928">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w:t>
            </w:r>
          </w:p>
        </w:tc>
        <w:tc>
          <w:tcPr>
            <w:tcW w:w="3452" w:type="dxa"/>
            <w:tcBorders>
              <w:top w:val="single" w:color="auto" w:sz="4" w:space="0"/>
              <w:left w:val="nil"/>
              <w:bottom w:val="single" w:color="auto" w:sz="4" w:space="0"/>
              <w:right w:val="single" w:color="auto" w:sz="4" w:space="0"/>
            </w:tcBorders>
            <w:vAlign w:val="center"/>
          </w:tcPr>
          <w:p w14:paraId="41FCB790">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响应内容</w:t>
            </w:r>
          </w:p>
        </w:tc>
        <w:tc>
          <w:tcPr>
            <w:tcW w:w="1294" w:type="dxa"/>
            <w:tcBorders>
              <w:top w:val="single" w:color="auto" w:sz="4" w:space="0"/>
              <w:left w:val="nil"/>
              <w:bottom w:val="single" w:color="auto" w:sz="4" w:space="0"/>
              <w:right w:val="single" w:color="auto" w:sz="4" w:space="0"/>
            </w:tcBorders>
            <w:vAlign w:val="center"/>
          </w:tcPr>
          <w:p w14:paraId="75412848">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备注</w:t>
            </w:r>
          </w:p>
        </w:tc>
      </w:tr>
      <w:tr w14:paraId="63CE10AF">
        <w:tblPrEx>
          <w:tblCellMar>
            <w:top w:w="0" w:type="dxa"/>
            <w:left w:w="108" w:type="dxa"/>
            <w:bottom w:w="0" w:type="dxa"/>
            <w:right w:w="108" w:type="dxa"/>
          </w:tblCellMar>
        </w:tblPrEx>
        <w:trPr>
          <w:trHeight w:val="817" w:hRule="atLeast"/>
        </w:trPr>
        <w:tc>
          <w:tcPr>
            <w:tcW w:w="877" w:type="dxa"/>
            <w:tcBorders>
              <w:top w:val="single" w:color="auto" w:sz="4" w:space="0"/>
              <w:left w:val="single" w:color="auto" w:sz="4" w:space="0"/>
              <w:bottom w:val="single" w:color="auto" w:sz="4" w:space="0"/>
              <w:right w:val="single" w:color="auto" w:sz="4" w:space="0"/>
            </w:tcBorders>
            <w:vAlign w:val="center"/>
          </w:tcPr>
          <w:p w14:paraId="4EFAFB78">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p>
        </w:tc>
        <w:tc>
          <w:tcPr>
            <w:tcW w:w="2990" w:type="dxa"/>
            <w:tcBorders>
              <w:top w:val="single" w:color="auto" w:sz="4" w:space="0"/>
              <w:left w:val="nil"/>
              <w:bottom w:val="single" w:color="auto" w:sz="4" w:space="0"/>
              <w:right w:val="single" w:color="auto" w:sz="4" w:space="0"/>
            </w:tcBorders>
            <w:vAlign w:val="center"/>
          </w:tcPr>
          <w:p w14:paraId="2CBD8D3D">
            <w:pPr>
              <w:spacing w:line="360" w:lineRule="auto"/>
              <w:jc w:val="center"/>
              <w:rPr>
                <w:rFonts w:ascii="仿宋_GB2312" w:hAnsi="仿宋_GB2312" w:eastAsia="仿宋_GB2312"/>
                <w:color w:val="000000" w:themeColor="text1"/>
                <w14:textFill>
                  <w14:solidFill>
                    <w14:schemeClr w14:val="tx1"/>
                  </w14:solidFill>
                </w14:textFill>
              </w:rPr>
            </w:pPr>
          </w:p>
        </w:tc>
        <w:tc>
          <w:tcPr>
            <w:tcW w:w="3452" w:type="dxa"/>
            <w:tcBorders>
              <w:top w:val="single" w:color="auto" w:sz="4" w:space="0"/>
              <w:left w:val="nil"/>
              <w:bottom w:val="single" w:color="auto" w:sz="4" w:space="0"/>
              <w:right w:val="single" w:color="auto" w:sz="4" w:space="0"/>
            </w:tcBorders>
            <w:vAlign w:val="center"/>
          </w:tcPr>
          <w:p w14:paraId="748AE648">
            <w:pPr>
              <w:pStyle w:val="18"/>
              <w:rPr>
                <w:rFonts w:hint="default" w:ascii="仿宋_GB2312" w:hAnsi="仿宋_GB2312" w:eastAsia="仿宋_GB2312"/>
                <w:color w:val="000000" w:themeColor="text1"/>
                <w14:textFill>
                  <w14:solidFill>
                    <w14:schemeClr w14:val="tx1"/>
                  </w14:solidFill>
                </w14:textFill>
              </w:rPr>
            </w:pPr>
          </w:p>
        </w:tc>
        <w:tc>
          <w:tcPr>
            <w:tcW w:w="1294" w:type="dxa"/>
            <w:tcBorders>
              <w:top w:val="single" w:color="auto" w:sz="4" w:space="0"/>
              <w:left w:val="nil"/>
              <w:bottom w:val="single" w:color="auto" w:sz="4" w:space="0"/>
              <w:right w:val="single" w:color="auto" w:sz="4" w:space="0"/>
            </w:tcBorders>
            <w:vAlign w:val="center"/>
          </w:tcPr>
          <w:p w14:paraId="37ED30D2">
            <w:pPr>
              <w:spacing w:line="360" w:lineRule="auto"/>
              <w:ind w:right="24" w:rightChars="10"/>
              <w:jc w:val="center"/>
              <w:rPr>
                <w:rFonts w:ascii="仿宋_GB2312" w:hAnsi="仿宋_GB2312" w:eastAsia="仿宋_GB2312"/>
                <w:color w:val="000000" w:themeColor="text1"/>
                <w14:textFill>
                  <w14:solidFill>
                    <w14:schemeClr w14:val="tx1"/>
                  </w14:solidFill>
                </w14:textFill>
              </w:rPr>
            </w:pPr>
          </w:p>
        </w:tc>
      </w:tr>
      <w:tr w14:paraId="370397BD">
        <w:tblPrEx>
          <w:tblCellMar>
            <w:top w:w="0" w:type="dxa"/>
            <w:left w:w="108" w:type="dxa"/>
            <w:bottom w:w="0" w:type="dxa"/>
            <w:right w:w="108" w:type="dxa"/>
          </w:tblCellMar>
        </w:tblPrEx>
        <w:trPr>
          <w:trHeight w:val="817" w:hRule="atLeast"/>
        </w:trPr>
        <w:tc>
          <w:tcPr>
            <w:tcW w:w="877" w:type="dxa"/>
            <w:tcBorders>
              <w:top w:val="single" w:color="auto" w:sz="4" w:space="0"/>
              <w:left w:val="single" w:color="auto" w:sz="4" w:space="0"/>
              <w:bottom w:val="single" w:color="auto" w:sz="4" w:space="0"/>
              <w:right w:val="single" w:color="auto" w:sz="4" w:space="0"/>
            </w:tcBorders>
            <w:vAlign w:val="center"/>
          </w:tcPr>
          <w:p w14:paraId="4BCE005B">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p>
        </w:tc>
        <w:tc>
          <w:tcPr>
            <w:tcW w:w="2990" w:type="dxa"/>
            <w:tcBorders>
              <w:top w:val="single" w:color="auto" w:sz="4" w:space="0"/>
              <w:left w:val="nil"/>
              <w:bottom w:val="single" w:color="auto" w:sz="4" w:space="0"/>
              <w:right w:val="single" w:color="auto" w:sz="4" w:space="0"/>
            </w:tcBorders>
            <w:vAlign w:val="center"/>
          </w:tcPr>
          <w:p w14:paraId="67593E08">
            <w:pPr>
              <w:spacing w:line="360" w:lineRule="auto"/>
              <w:jc w:val="center"/>
              <w:rPr>
                <w:rFonts w:ascii="仿宋_GB2312" w:hAnsi="仿宋_GB2312" w:eastAsia="仿宋_GB2312"/>
                <w:color w:val="000000" w:themeColor="text1"/>
                <w14:textFill>
                  <w14:solidFill>
                    <w14:schemeClr w14:val="tx1"/>
                  </w14:solidFill>
                </w14:textFill>
              </w:rPr>
            </w:pPr>
          </w:p>
        </w:tc>
        <w:tc>
          <w:tcPr>
            <w:tcW w:w="3452" w:type="dxa"/>
            <w:tcBorders>
              <w:top w:val="single" w:color="auto" w:sz="4" w:space="0"/>
              <w:left w:val="nil"/>
              <w:bottom w:val="single" w:color="auto" w:sz="4" w:space="0"/>
              <w:right w:val="single" w:color="auto" w:sz="4" w:space="0"/>
            </w:tcBorders>
            <w:vAlign w:val="center"/>
          </w:tcPr>
          <w:p w14:paraId="19E1EA74">
            <w:pPr>
              <w:pStyle w:val="18"/>
              <w:rPr>
                <w:rFonts w:hint="default" w:ascii="仿宋_GB2312" w:hAnsi="仿宋_GB2312" w:eastAsia="仿宋_GB2312"/>
                <w:color w:val="000000" w:themeColor="text1"/>
                <w14:textFill>
                  <w14:solidFill>
                    <w14:schemeClr w14:val="tx1"/>
                  </w14:solidFill>
                </w14:textFill>
              </w:rPr>
            </w:pPr>
          </w:p>
        </w:tc>
        <w:tc>
          <w:tcPr>
            <w:tcW w:w="1294" w:type="dxa"/>
            <w:tcBorders>
              <w:top w:val="single" w:color="auto" w:sz="4" w:space="0"/>
              <w:left w:val="nil"/>
              <w:bottom w:val="single" w:color="auto" w:sz="4" w:space="0"/>
              <w:right w:val="single" w:color="auto" w:sz="4" w:space="0"/>
            </w:tcBorders>
            <w:vAlign w:val="center"/>
          </w:tcPr>
          <w:p w14:paraId="74D86DDF">
            <w:pPr>
              <w:spacing w:line="360" w:lineRule="auto"/>
              <w:ind w:right="24" w:rightChars="10"/>
              <w:jc w:val="center"/>
              <w:rPr>
                <w:rFonts w:ascii="仿宋_GB2312" w:hAnsi="仿宋_GB2312" w:eastAsia="仿宋_GB2312"/>
                <w:color w:val="000000" w:themeColor="text1"/>
                <w14:textFill>
                  <w14:solidFill>
                    <w14:schemeClr w14:val="tx1"/>
                  </w14:solidFill>
                </w14:textFill>
              </w:rPr>
            </w:pPr>
          </w:p>
        </w:tc>
      </w:tr>
      <w:tr w14:paraId="359A33B0">
        <w:tblPrEx>
          <w:tblCellMar>
            <w:top w:w="0" w:type="dxa"/>
            <w:left w:w="108" w:type="dxa"/>
            <w:bottom w:w="0" w:type="dxa"/>
            <w:right w:w="108" w:type="dxa"/>
          </w:tblCellMar>
        </w:tblPrEx>
        <w:trPr>
          <w:trHeight w:val="254" w:hRule="atLeast"/>
        </w:trPr>
        <w:tc>
          <w:tcPr>
            <w:tcW w:w="877" w:type="dxa"/>
            <w:tcBorders>
              <w:top w:val="single" w:color="auto" w:sz="4" w:space="0"/>
              <w:left w:val="single" w:color="auto" w:sz="4" w:space="0"/>
              <w:bottom w:val="single" w:color="auto" w:sz="4" w:space="0"/>
              <w:right w:val="single" w:color="auto" w:sz="4" w:space="0"/>
            </w:tcBorders>
            <w:vAlign w:val="center"/>
          </w:tcPr>
          <w:p w14:paraId="1042DC5D">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2990" w:type="dxa"/>
            <w:tcBorders>
              <w:top w:val="single" w:color="auto" w:sz="4" w:space="0"/>
              <w:left w:val="nil"/>
              <w:bottom w:val="single" w:color="auto" w:sz="4" w:space="0"/>
              <w:right w:val="single" w:color="auto" w:sz="4" w:space="0"/>
            </w:tcBorders>
            <w:vAlign w:val="center"/>
          </w:tcPr>
          <w:p w14:paraId="6A5E5C40">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3452" w:type="dxa"/>
            <w:tcBorders>
              <w:top w:val="single" w:color="auto" w:sz="4" w:space="0"/>
              <w:left w:val="nil"/>
              <w:bottom w:val="single" w:color="auto" w:sz="4" w:space="0"/>
              <w:right w:val="single" w:color="auto" w:sz="4" w:space="0"/>
            </w:tcBorders>
            <w:vAlign w:val="center"/>
          </w:tcPr>
          <w:p w14:paraId="2E58153D">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1294" w:type="dxa"/>
            <w:tcBorders>
              <w:top w:val="single" w:color="auto" w:sz="4" w:space="0"/>
              <w:left w:val="nil"/>
              <w:bottom w:val="single" w:color="auto" w:sz="4" w:space="0"/>
              <w:right w:val="single" w:color="auto" w:sz="4" w:space="0"/>
            </w:tcBorders>
            <w:vAlign w:val="center"/>
          </w:tcPr>
          <w:p w14:paraId="363C5A29">
            <w:pPr>
              <w:spacing w:line="360" w:lineRule="auto"/>
              <w:ind w:right="24" w:rightChars="10"/>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r>
    </w:tbl>
    <w:p w14:paraId="0A507A29">
      <w:pPr>
        <w:spacing w:line="360" w:lineRule="auto"/>
        <w:ind w:firstLine="482" w:firstLineChars="200"/>
        <w:rPr>
          <w:rFonts w:ascii="仿宋_GB2312" w:hAnsi="仿宋_GB2312" w:eastAsia="仿宋_GB2312"/>
          <w:b/>
          <w:bCs/>
          <w:color w:val="000000" w:themeColor="text1"/>
          <w14:textFill>
            <w14:solidFill>
              <w14:schemeClr w14:val="tx1"/>
            </w14:solidFill>
          </w14:textFill>
        </w:rPr>
      </w:pPr>
    </w:p>
    <w:p w14:paraId="12177ED4">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注：供应商必须根据谈判文件第三章要求据实逐条填写，不得虚假陈述。</w:t>
      </w:r>
    </w:p>
    <w:p w14:paraId="67C6F5F5">
      <w:pPr>
        <w:spacing w:line="360" w:lineRule="auto"/>
        <w:ind w:firstLine="482" w:firstLineChars="200"/>
        <w:rPr>
          <w:rFonts w:ascii="仿宋_GB2312" w:hAnsi="仿宋_GB2312" w:eastAsia="仿宋_GB2312"/>
          <w:b/>
          <w:bCs/>
          <w:color w:val="000000" w:themeColor="text1"/>
          <w14:textFill>
            <w14:solidFill>
              <w14:schemeClr w14:val="tx1"/>
            </w14:solidFill>
          </w14:textFill>
        </w:rPr>
      </w:pPr>
    </w:p>
    <w:p w14:paraId="77C68B64">
      <w:pPr>
        <w:spacing w:line="360" w:lineRule="auto"/>
        <w:ind w:firstLine="482" w:firstLineChars="200"/>
        <w:rPr>
          <w:rFonts w:ascii="仿宋_GB2312" w:hAnsi="仿宋_GB2312" w:eastAsia="仿宋_GB2312"/>
          <w:b/>
          <w:bCs/>
          <w:color w:val="000000" w:themeColor="text1"/>
          <w14:textFill>
            <w14:solidFill>
              <w14:schemeClr w14:val="tx1"/>
            </w14:solidFill>
          </w14:textFill>
        </w:rPr>
      </w:pPr>
    </w:p>
    <w:p w14:paraId="507AD52B">
      <w:pPr>
        <w:adjustRightInd w:val="0"/>
        <w:spacing w:line="360" w:lineRule="auto"/>
        <w:ind w:firstLine="480" w:firstLineChars="2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（加盖公章）</w:t>
      </w:r>
    </w:p>
    <w:p w14:paraId="27F67FFA">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p>
    <w:p w14:paraId="5B656D17">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48BBDE88">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7B71C254">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34A18CB8">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35E8FF6D">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4779CEC3">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3ABE0FC7">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62C0CBA8">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235AB28B">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5AD7A338">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6DCA7FA6">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3D3DE237">
      <w:pPr>
        <w:adjustRightInd w:val="0"/>
        <w:spacing w:line="360" w:lineRule="auto"/>
        <w:ind w:firstLine="540" w:firstLineChars="225"/>
        <w:rPr>
          <w:rFonts w:ascii="仿宋_GB2312" w:hAnsi="仿宋_GB2312" w:eastAsia="仿宋_GB2312"/>
          <w:color w:val="000000" w:themeColor="text1"/>
          <w14:textFill>
            <w14:solidFill>
              <w14:schemeClr w14:val="tx1"/>
            </w14:solidFill>
          </w14:textFill>
        </w:rPr>
      </w:pPr>
    </w:p>
    <w:p w14:paraId="73C0448D">
      <w:pPr>
        <w:adjustRightInd w:val="0"/>
        <w:spacing w:line="360" w:lineRule="auto"/>
        <w:rPr>
          <w:rFonts w:ascii="仿宋_GB2312" w:hAnsi="仿宋_GB2312" w:eastAsia="仿宋_GB2312"/>
          <w:color w:val="000000" w:themeColor="text1"/>
          <w14:textFill>
            <w14:solidFill>
              <w14:schemeClr w14:val="tx1"/>
            </w14:solidFill>
          </w14:textFill>
        </w:rPr>
      </w:pPr>
    </w:p>
    <w:p w14:paraId="645663EB">
      <w:pPr>
        <w:adjustRightInd w:val="0"/>
        <w:spacing w:line="360" w:lineRule="auto"/>
        <w:rPr>
          <w:rFonts w:ascii="仿宋_GB2312" w:hAnsi="仿宋_GB2312" w:eastAsia="仿宋_GB2312"/>
          <w:color w:val="000000" w:themeColor="text1"/>
          <w14:textFill>
            <w14:solidFill>
              <w14:schemeClr w14:val="tx1"/>
            </w14:solidFill>
          </w14:textFill>
        </w:rPr>
      </w:pPr>
    </w:p>
    <w:p w14:paraId="458CE67F">
      <w:pPr>
        <w:spacing w:line="360" w:lineRule="auto"/>
        <w:rPr>
          <w:rFonts w:hint="eastAsia" w:ascii="仿宋_GB2312" w:hAnsi="仿宋_GB2312" w:eastAsia="仿宋_GB2312" w:cs="仿宋"/>
          <w:b/>
          <w:bCs/>
          <w:color w:val="000000" w:themeColor="text1"/>
          <w:sz w:val="28"/>
          <w:szCs w:val="28"/>
          <w:lang w:eastAsia="zh-CN"/>
          <w14:textFill>
            <w14:solidFill>
              <w14:schemeClr w14:val="tx1"/>
            </w14:solidFill>
          </w14:textFill>
        </w:rPr>
      </w:pP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hint="eastAsia" w:ascii="仿宋_GB2312" w:hAnsi="仿宋_GB2312" w:eastAsia="仿宋_GB2312" w:cs="仿宋"/>
          <w:b/>
          <w:bCs/>
          <w:color w:val="000000" w:themeColor="text1"/>
          <w:sz w:val="28"/>
          <w:szCs w:val="28"/>
          <w:lang w:val="en-US" w:eastAsia="zh-CN"/>
          <w14:textFill>
            <w14:solidFill>
              <w14:schemeClr w14:val="tx1"/>
            </w14:solidFill>
          </w14:textFill>
        </w:rPr>
        <w:t>6</w:t>
      </w:r>
    </w:p>
    <w:p w14:paraId="52FEEEE5">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lang w:eastAsia="zh-CN"/>
          <w14:textFill>
            <w14:solidFill>
              <w14:schemeClr w14:val="tx1"/>
            </w14:solidFill>
          </w14:textFill>
        </w:rPr>
        <w:t>六</w:t>
      </w:r>
      <w:r>
        <w:rPr>
          <w:rFonts w:hint="eastAsia" w:ascii="仿宋_GB2312" w:hAnsi="仿宋_GB2312" w:eastAsia="仿宋_GB2312" w:cs="仿宋"/>
          <w:b/>
          <w:bCs/>
          <w:color w:val="000000" w:themeColor="text1"/>
          <w:sz w:val="32"/>
          <w:szCs w:val="32"/>
          <w14:textFill>
            <w14:solidFill>
              <w14:schemeClr w14:val="tx1"/>
            </w14:solidFill>
          </w14:textFill>
        </w:rPr>
        <w:t>、供应商类似项目业绩一览表</w:t>
      </w:r>
    </w:p>
    <w:p w14:paraId="3CF7014E">
      <w:pPr>
        <w:spacing w:line="360" w:lineRule="auto"/>
        <w:rPr>
          <w:rFonts w:ascii="仿宋_GB2312" w:hAnsi="仿宋_GB2312" w:eastAsia="仿宋_GB2312"/>
          <w:color w:val="000000" w:themeColor="text1"/>
          <w14:textFill>
            <w14:solidFill>
              <w14:schemeClr w14:val="tx1"/>
            </w14:solidFill>
          </w14:textFill>
        </w:rPr>
      </w:pPr>
    </w:p>
    <w:tbl>
      <w:tblPr>
        <w:tblStyle w:val="12"/>
        <w:tblW w:w="8707" w:type="dxa"/>
        <w:jc w:val="center"/>
        <w:tblLayout w:type="fixed"/>
        <w:tblCellMar>
          <w:top w:w="0" w:type="dxa"/>
          <w:left w:w="108" w:type="dxa"/>
          <w:bottom w:w="0" w:type="dxa"/>
          <w:right w:w="108" w:type="dxa"/>
        </w:tblCellMar>
      </w:tblPr>
      <w:tblGrid>
        <w:gridCol w:w="658"/>
        <w:gridCol w:w="1417"/>
        <w:gridCol w:w="1559"/>
        <w:gridCol w:w="1276"/>
        <w:gridCol w:w="1418"/>
        <w:gridCol w:w="1382"/>
        <w:gridCol w:w="997"/>
      </w:tblGrid>
      <w:tr w14:paraId="3849DA6B">
        <w:tblPrEx>
          <w:tblCellMar>
            <w:top w:w="0" w:type="dxa"/>
            <w:left w:w="108" w:type="dxa"/>
            <w:bottom w:w="0" w:type="dxa"/>
            <w:right w:w="108" w:type="dxa"/>
          </w:tblCellMar>
        </w:tblPrEx>
        <w:trPr>
          <w:trHeight w:val="601" w:hRule="atLeast"/>
          <w:jc w:val="center"/>
        </w:trPr>
        <w:tc>
          <w:tcPr>
            <w:tcW w:w="658" w:type="dxa"/>
            <w:tcBorders>
              <w:top w:val="single" w:color="auto" w:sz="4" w:space="0"/>
              <w:left w:val="single" w:color="auto" w:sz="4" w:space="0"/>
              <w:bottom w:val="single" w:color="auto" w:sz="4" w:space="0"/>
              <w:right w:val="single" w:color="auto" w:sz="4" w:space="0"/>
            </w:tcBorders>
            <w:vAlign w:val="center"/>
          </w:tcPr>
          <w:p w14:paraId="1DE09652">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序号</w:t>
            </w:r>
          </w:p>
        </w:tc>
        <w:tc>
          <w:tcPr>
            <w:tcW w:w="1417" w:type="dxa"/>
            <w:tcBorders>
              <w:top w:val="single" w:color="auto" w:sz="4" w:space="0"/>
              <w:left w:val="nil"/>
              <w:bottom w:val="single" w:color="auto" w:sz="4" w:space="0"/>
              <w:right w:val="single" w:color="auto" w:sz="4" w:space="0"/>
            </w:tcBorders>
            <w:vAlign w:val="center"/>
          </w:tcPr>
          <w:p w14:paraId="6C52718D">
            <w:pPr>
              <w:spacing w:line="360" w:lineRule="auto"/>
              <w:ind w:left="-79" w:leftChars="-33" w:right="-108" w:rightChars="-45"/>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项目业主</w:t>
            </w:r>
          </w:p>
        </w:tc>
        <w:tc>
          <w:tcPr>
            <w:tcW w:w="1559" w:type="dxa"/>
            <w:tcBorders>
              <w:top w:val="single" w:color="auto" w:sz="4" w:space="0"/>
              <w:left w:val="nil"/>
              <w:bottom w:val="single" w:color="auto" w:sz="4" w:space="0"/>
              <w:right w:val="single" w:color="auto" w:sz="4" w:space="0"/>
            </w:tcBorders>
            <w:vAlign w:val="center"/>
          </w:tcPr>
          <w:p w14:paraId="747EA4D3">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项目名称</w:t>
            </w:r>
          </w:p>
        </w:tc>
        <w:tc>
          <w:tcPr>
            <w:tcW w:w="1276" w:type="dxa"/>
            <w:tcBorders>
              <w:top w:val="single" w:color="auto" w:sz="4" w:space="0"/>
              <w:left w:val="nil"/>
              <w:bottom w:val="single" w:color="auto" w:sz="4" w:space="0"/>
              <w:right w:val="single" w:color="auto" w:sz="4" w:space="0"/>
            </w:tcBorders>
            <w:vAlign w:val="center"/>
          </w:tcPr>
          <w:p w14:paraId="1E8BEF3A">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工程类别</w:t>
            </w:r>
          </w:p>
        </w:tc>
        <w:tc>
          <w:tcPr>
            <w:tcW w:w="1418" w:type="dxa"/>
            <w:tcBorders>
              <w:top w:val="single" w:color="auto" w:sz="4" w:space="0"/>
              <w:left w:val="nil"/>
              <w:bottom w:val="single" w:color="auto" w:sz="4" w:space="0"/>
              <w:right w:val="single" w:color="auto" w:sz="4" w:space="0"/>
            </w:tcBorders>
            <w:vAlign w:val="center"/>
          </w:tcPr>
          <w:p w14:paraId="7119B08A">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开工日期</w:t>
            </w:r>
          </w:p>
        </w:tc>
        <w:tc>
          <w:tcPr>
            <w:tcW w:w="1382" w:type="dxa"/>
            <w:tcBorders>
              <w:top w:val="single" w:color="auto" w:sz="4" w:space="0"/>
              <w:left w:val="nil"/>
              <w:bottom w:val="single" w:color="auto" w:sz="4" w:space="0"/>
              <w:right w:val="single" w:color="auto" w:sz="4" w:space="0"/>
            </w:tcBorders>
            <w:vAlign w:val="center"/>
          </w:tcPr>
          <w:p w14:paraId="008770F9">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竣工日期</w:t>
            </w:r>
          </w:p>
        </w:tc>
        <w:tc>
          <w:tcPr>
            <w:tcW w:w="997" w:type="dxa"/>
            <w:tcBorders>
              <w:top w:val="single" w:color="auto" w:sz="4" w:space="0"/>
              <w:left w:val="nil"/>
              <w:bottom w:val="single" w:color="auto" w:sz="4" w:space="0"/>
              <w:right w:val="single" w:color="auto" w:sz="4" w:space="0"/>
            </w:tcBorders>
            <w:vAlign w:val="center"/>
          </w:tcPr>
          <w:p w14:paraId="257C98AD">
            <w:pPr>
              <w:spacing w:line="360" w:lineRule="auto"/>
              <w:ind w:right="-108" w:rightChars="-45"/>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备注</w:t>
            </w:r>
          </w:p>
        </w:tc>
      </w:tr>
      <w:tr w14:paraId="40948F0C">
        <w:tblPrEx>
          <w:tblCellMar>
            <w:top w:w="0" w:type="dxa"/>
            <w:left w:w="108" w:type="dxa"/>
            <w:bottom w:w="0" w:type="dxa"/>
            <w:right w:w="108" w:type="dxa"/>
          </w:tblCellMar>
        </w:tblPrEx>
        <w:trPr>
          <w:trHeight w:val="601" w:hRule="atLeast"/>
          <w:jc w:val="center"/>
        </w:trPr>
        <w:tc>
          <w:tcPr>
            <w:tcW w:w="658" w:type="dxa"/>
            <w:tcBorders>
              <w:top w:val="single" w:color="auto" w:sz="4" w:space="0"/>
              <w:left w:val="single" w:color="auto" w:sz="4" w:space="0"/>
              <w:bottom w:val="single" w:color="auto" w:sz="4" w:space="0"/>
              <w:right w:val="single" w:color="auto" w:sz="4" w:space="0"/>
            </w:tcBorders>
            <w:vAlign w:val="center"/>
          </w:tcPr>
          <w:p w14:paraId="63EFD966">
            <w:pPr>
              <w:spacing w:line="360" w:lineRule="auto"/>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p>
        </w:tc>
        <w:tc>
          <w:tcPr>
            <w:tcW w:w="1417" w:type="dxa"/>
            <w:tcBorders>
              <w:top w:val="single" w:color="auto" w:sz="4" w:space="0"/>
              <w:left w:val="nil"/>
              <w:bottom w:val="single" w:color="auto" w:sz="4" w:space="0"/>
              <w:right w:val="single" w:color="auto" w:sz="4" w:space="0"/>
            </w:tcBorders>
            <w:vAlign w:val="center"/>
          </w:tcPr>
          <w:p w14:paraId="28B11D44">
            <w:pPr>
              <w:spacing w:line="360" w:lineRule="auto"/>
              <w:jc w:val="center"/>
              <w:rPr>
                <w:rFonts w:ascii="仿宋_GB2312" w:hAnsi="仿宋_GB2312" w:eastAsia="仿宋_GB2312"/>
                <w:color w:val="000000" w:themeColor="text1"/>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vAlign w:val="center"/>
          </w:tcPr>
          <w:p w14:paraId="163905F4">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7DEBE321">
            <w:pPr>
              <w:spacing w:line="360" w:lineRule="auto"/>
              <w:jc w:val="center"/>
              <w:rPr>
                <w:rFonts w:ascii="仿宋_GB2312" w:hAnsi="仿宋_GB2312" w:eastAsia="仿宋_GB2312"/>
                <w:color w:val="000000" w:themeColor="text1"/>
                <w14:textFill>
                  <w14:solidFill>
                    <w14:schemeClr w14:val="tx1"/>
                  </w14:solidFill>
                </w14:textFill>
              </w:rPr>
            </w:pPr>
          </w:p>
        </w:tc>
        <w:tc>
          <w:tcPr>
            <w:tcW w:w="1418" w:type="dxa"/>
            <w:tcBorders>
              <w:top w:val="single" w:color="auto" w:sz="4" w:space="0"/>
              <w:left w:val="nil"/>
              <w:bottom w:val="single" w:color="auto" w:sz="4" w:space="0"/>
              <w:right w:val="single" w:color="auto" w:sz="4" w:space="0"/>
            </w:tcBorders>
            <w:vAlign w:val="center"/>
          </w:tcPr>
          <w:p w14:paraId="17B62E25">
            <w:pPr>
              <w:spacing w:line="360" w:lineRule="auto"/>
              <w:jc w:val="center"/>
              <w:rPr>
                <w:rFonts w:ascii="仿宋_GB2312" w:hAnsi="仿宋_GB2312" w:eastAsia="仿宋_GB2312"/>
                <w:color w:val="000000" w:themeColor="text1"/>
                <w14:textFill>
                  <w14:solidFill>
                    <w14:schemeClr w14:val="tx1"/>
                  </w14:solidFill>
                </w14:textFill>
              </w:rPr>
            </w:pPr>
          </w:p>
        </w:tc>
        <w:tc>
          <w:tcPr>
            <w:tcW w:w="1382" w:type="dxa"/>
            <w:tcBorders>
              <w:top w:val="single" w:color="auto" w:sz="4" w:space="0"/>
              <w:left w:val="nil"/>
              <w:bottom w:val="single" w:color="auto" w:sz="4" w:space="0"/>
              <w:right w:val="single" w:color="auto" w:sz="4" w:space="0"/>
            </w:tcBorders>
            <w:vAlign w:val="center"/>
          </w:tcPr>
          <w:p w14:paraId="7DDDB66C">
            <w:pPr>
              <w:spacing w:line="360" w:lineRule="auto"/>
              <w:jc w:val="center"/>
              <w:rPr>
                <w:rFonts w:ascii="仿宋_GB2312" w:hAnsi="仿宋_GB2312" w:eastAsia="仿宋_GB2312"/>
                <w:color w:val="000000" w:themeColor="text1"/>
                <w14:textFill>
                  <w14:solidFill>
                    <w14:schemeClr w14:val="tx1"/>
                  </w14:solidFill>
                </w14:textFill>
              </w:rPr>
            </w:pPr>
          </w:p>
        </w:tc>
        <w:tc>
          <w:tcPr>
            <w:tcW w:w="997" w:type="dxa"/>
            <w:tcBorders>
              <w:top w:val="single" w:color="auto" w:sz="4" w:space="0"/>
              <w:left w:val="nil"/>
              <w:bottom w:val="single" w:color="auto" w:sz="4" w:space="0"/>
              <w:right w:val="single" w:color="auto" w:sz="4" w:space="0"/>
            </w:tcBorders>
          </w:tcPr>
          <w:p w14:paraId="4F3F3909">
            <w:pPr>
              <w:spacing w:line="360" w:lineRule="auto"/>
              <w:jc w:val="center"/>
              <w:rPr>
                <w:rFonts w:ascii="仿宋_GB2312" w:hAnsi="仿宋_GB2312" w:eastAsia="仿宋_GB2312"/>
                <w:color w:val="000000" w:themeColor="text1"/>
                <w14:textFill>
                  <w14:solidFill>
                    <w14:schemeClr w14:val="tx1"/>
                  </w14:solidFill>
                </w14:textFill>
              </w:rPr>
            </w:pPr>
          </w:p>
        </w:tc>
      </w:tr>
      <w:tr w14:paraId="77B2759D">
        <w:tblPrEx>
          <w:tblCellMar>
            <w:top w:w="0" w:type="dxa"/>
            <w:left w:w="108" w:type="dxa"/>
            <w:bottom w:w="0" w:type="dxa"/>
            <w:right w:w="108" w:type="dxa"/>
          </w:tblCellMar>
        </w:tblPrEx>
        <w:trPr>
          <w:trHeight w:val="537" w:hRule="atLeast"/>
          <w:jc w:val="center"/>
        </w:trPr>
        <w:tc>
          <w:tcPr>
            <w:tcW w:w="658" w:type="dxa"/>
            <w:tcBorders>
              <w:top w:val="single" w:color="auto" w:sz="4" w:space="0"/>
              <w:left w:val="single" w:color="auto" w:sz="4" w:space="0"/>
              <w:bottom w:val="single" w:color="auto" w:sz="4" w:space="0"/>
              <w:right w:val="single" w:color="auto" w:sz="4" w:space="0"/>
            </w:tcBorders>
            <w:vAlign w:val="center"/>
          </w:tcPr>
          <w:p w14:paraId="34D41DB9">
            <w:pPr>
              <w:spacing w:line="360" w:lineRule="auto"/>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p>
        </w:tc>
        <w:tc>
          <w:tcPr>
            <w:tcW w:w="1417" w:type="dxa"/>
            <w:tcBorders>
              <w:top w:val="single" w:color="auto" w:sz="4" w:space="0"/>
              <w:left w:val="nil"/>
              <w:bottom w:val="single" w:color="auto" w:sz="4" w:space="0"/>
              <w:right w:val="single" w:color="auto" w:sz="4" w:space="0"/>
            </w:tcBorders>
            <w:vAlign w:val="center"/>
          </w:tcPr>
          <w:p w14:paraId="38D98B26">
            <w:pPr>
              <w:spacing w:line="360" w:lineRule="auto"/>
              <w:jc w:val="center"/>
              <w:rPr>
                <w:rFonts w:ascii="仿宋_GB2312" w:hAnsi="仿宋_GB2312" w:eastAsia="仿宋_GB2312"/>
                <w:color w:val="000000" w:themeColor="text1"/>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vAlign w:val="center"/>
          </w:tcPr>
          <w:p w14:paraId="759DFE41">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31E073B7">
            <w:pPr>
              <w:spacing w:line="360" w:lineRule="auto"/>
              <w:jc w:val="center"/>
              <w:rPr>
                <w:rFonts w:ascii="仿宋_GB2312" w:hAnsi="仿宋_GB2312" w:eastAsia="仿宋_GB2312"/>
                <w:color w:val="000000" w:themeColor="text1"/>
                <w14:textFill>
                  <w14:solidFill>
                    <w14:schemeClr w14:val="tx1"/>
                  </w14:solidFill>
                </w14:textFill>
              </w:rPr>
            </w:pPr>
          </w:p>
        </w:tc>
        <w:tc>
          <w:tcPr>
            <w:tcW w:w="1418" w:type="dxa"/>
            <w:tcBorders>
              <w:top w:val="single" w:color="auto" w:sz="4" w:space="0"/>
              <w:left w:val="nil"/>
              <w:bottom w:val="single" w:color="auto" w:sz="4" w:space="0"/>
              <w:right w:val="single" w:color="auto" w:sz="4" w:space="0"/>
            </w:tcBorders>
            <w:vAlign w:val="center"/>
          </w:tcPr>
          <w:p w14:paraId="4460830A">
            <w:pPr>
              <w:spacing w:line="360" w:lineRule="auto"/>
              <w:jc w:val="center"/>
              <w:rPr>
                <w:rFonts w:ascii="仿宋_GB2312" w:hAnsi="仿宋_GB2312" w:eastAsia="仿宋_GB2312"/>
                <w:color w:val="000000" w:themeColor="text1"/>
                <w14:textFill>
                  <w14:solidFill>
                    <w14:schemeClr w14:val="tx1"/>
                  </w14:solidFill>
                </w14:textFill>
              </w:rPr>
            </w:pPr>
          </w:p>
        </w:tc>
        <w:tc>
          <w:tcPr>
            <w:tcW w:w="1382" w:type="dxa"/>
            <w:tcBorders>
              <w:top w:val="single" w:color="auto" w:sz="4" w:space="0"/>
              <w:left w:val="nil"/>
              <w:bottom w:val="single" w:color="auto" w:sz="4" w:space="0"/>
              <w:right w:val="single" w:color="auto" w:sz="4" w:space="0"/>
            </w:tcBorders>
            <w:vAlign w:val="center"/>
          </w:tcPr>
          <w:p w14:paraId="2C15AE92">
            <w:pPr>
              <w:spacing w:line="360" w:lineRule="auto"/>
              <w:jc w:val="center"/>
              <w:rPr>
                <w:rFonts w:ascii="仿宋_GB2312" w:hAnsi="仿宋_GB2312" w:eastAsia="仿宋_GB2312"/>
                <w:color w:val="000000" w:themeColor="text1"/>
                <w14:textFill>
                  <w14:solidFill>
                    <w14:schemeClr w14:val="tx1"/>
                  </w14:solidFill>
                </w14:textFill>
              </w:rPr>
            </w:pPr>
          </w:p>
        </w:tc>
        <w:tc>
          <w:tcPr>
            <w:tcW w:w="997" w:type="dxa"/>
            <w:tcBorders>
              <w:top w:val="single" w:color="auto" w:sz="4" w:space="0"/>
              <w:left w:val="nil"/>
              <w:bottom w:val="single" w:color="auto" w:sz="4" w:space="0"/>
              <w:right w:val="single" w:color="auto" w:sz="4" w:space="0"/>
            </w:tcBorders>
          </w:tcPr>
          <w:p w14:paraId="2BEF7056">
            <w:pPr>
              <w:spacing w:line="360" w:lineRule="auto"/>
              <w:jc w:val="center"/>
              <w:rPr>
                <w:rFonts w:ascii="仿宋_GB2312" w:hAnsi="仿宋_GB2312" w:eastAsia="仿宋_GB2312"/>
                <w:color w:val="000000" w:themeColor="text1"/>
                <w14:textFill>
                  <w14:solidFill>
                    <w14:schemeClr w14:val="tx1"/>
                  </w14:solidFill>
                </w14:textFill>
              </w:rPr>
            </w:pPr>
          </w:p>
        </w:tc>
      </w:tr>
      <w:tr w14:paraId="2A20214A">
        <w:tblPrEx>
          <w:tblCellMar>
            <w:top w:w="0" w:type="dxa"/>
            <w:left w:w="108" w:type="dxa"/>
            <w:bottom w:w="0" w:type="dxa"/>
            <w:right w:w="108" w:type="dxa"/>
          </w:tblCellMar>
        </w:tblPrEx>
        <w:trPr>
          <w:trHeight w:val="537" w:hRule="atLeast"/>
          <w:jc w:val="center"/>
        </w:trPr>
        <w:tc>
          <w:tcPr>
            <w:tcW w:w="658" w:type="dxa"/>
            <w:tcBorders>
              <w:top w:val="single" w:color="auto" w:sz="4" w:space="0"/>
              <w:left w:val="single" w:color="auto" w:sz="4" w:space="0"/>
              <w:bottom w:val="single" w:color="auto" w:sz="4" w:space="0"/>
              <w:right w:val="single" w:color="auto" w:sz="4" w:space="0"/>
            </w:tcBorders>
            <w:vAlign w:val="center"/>
          </w:tcPr>
          <w:p w14:paraId="6446101E">
            <w:pPr>
              <w:spacing w:line="360" w:lineRule="auto"/>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p>
        </w:tc>
        <w:tc>
          <w:tcPr>
            <w:tcW w:w="1417" w:type="dxa"/>
            <w:tcBorders>
              <w:top w:val="single" w:color="auto" w:sz="4" w:space="0"/>
              <w:left w:val="nil"/>
              <w:bottom w:val="single" w:color="auto" w:sz="4" w:space="0"/>
              <w:right w:val="single" w:color="auto" w:sz="4" w:space="0"/>
            </w:tcBorders>
            <w:vAlign w:val="center"/>
          </w:tcPr>
          <w:p w14:paraId="4C10443E">
            <w:pPr>
              <w:spacing w:line="360" w:lineRule="auto"/>
              <w:jc w:val="center"/>
              <w:rPr>
                <w:rFonts w:ascii="仿宋_GB2312" w:hAnsi="仿宋_GB2312" w:eastAsia="仿宋_GB2312"/>
                <w:color w:val="000000" w:themeColor="text1"/>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vAlign w:val="center"/>
          </w:tcPr>
          <w:p w14:paraId="6927E280">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398082C0">
            <w:pPr>
              <w:spacing w:line="360" w:lineRule="auto"/>
              <w:jc w:val="center"/>
              <w:rPr>
                <w:rFonts w:ascii="仿宋_GB2312" w:hAnsi="仿宋_GB2312" w:eastAsia="仿宋_GB2312"/>
                <w:color w:val="000000" w:themeColor="text1"/>
                <w14:textFill>
                  <w14:solidFill>
                    <w14:schemeClr w14:val="tx1"/>
                  </w14:solidFill>
                </w14:textFill>
              </w:rPr>
            </w:pPr>
          </w:p>
        </w:tc>
        <w:tc>
          <w:tcPr>
            <w:tcW w:w="1418" w:type="dxa"/>
            <w:tcBorders>
              <w:top w:val="single" w:color="auto" w:sz="4" w:space="0"/>
              <w:left w:val="nil"/>
              <w:bottom w:val="single" w:color="auto" w:sz="4" w:space="0"/>
              <w:right w:val="single" w:color="auto" w:sz="4" w:space="0"/>
            </w:tcBorders>
            <w:vAlign w:val="center"/>
          </w:tcPr>
          <w:p w14:paraId="7EB9D4CF">
            <w:pPr>
              <w:spacing w:line="360" w:lineRule="auto"/>
              <w:jc w:val="center"/>
              <w:rPr>
                <w:rFonts w:ascii="仿宋_GB2312" w:hAnsi="仿宋_GB2312" w:eastAsia="仿宋_GB2312"/>
                <w:color w:val="000000" w:themeColor="text1"/>
                <w14:textFill>
                  <w14:solidFill>
                    <w14:schemeClr w14:val="tx1"/>
                  </w14:solidFill>
                </w14:textFill>
              </w:rPr>
            </w:pPr>
          </w:p>
        </w:tc>
        <w:tc>
          <w:tcPr>
            <w:tcW w:w="1382" w:type="dxa"/>
            <w:tcBorders>
              <w:top w:val="single" w:color="auto" w:sz="4" w:space="0"/>
              <w:left w:val="nil"/>
              <w:bottom w:val="single" w:color="auto" w:sz="4" w:space="0"/>
              <w:right w:val="single" w:color="auto" w:sz="4" w:space="0"/>
            </w:tcBorders>
            <w:vAlign w:val="center"/>
          </w:tcPr>
          <w:p w14:paraId="71014269">
            <w:pPr>
              <w:spacing w:line="360" w:lineRule="auto"/>
              <w:jc w:val="center"/>
              <w:rPr>
                <w:rFonts w:ascii="仿宋_GB2312" w:hAnsi="仿宋_GB2312" w:eastAsia="仿宋_GB2312"/>
                <w:color w:val="000000" w:themeColor="text1"/>
                <w14:textFill>
                  <w14:solidFill>
                    <w14:schemeClr w14:val="tx1"/>
                  </w14:solidFill>
                </w14:textFill>
              </w:rPr>
            </w:pPr>
          </w:p>
        </w:tc>
        <w:tc>
          <w:tcPr>
            <w:tcW w:w="997" w:type="dxa"/>
            <w:tcBorders>
              <w:top w:val="single" w:color="auto" w:sz="4" w:space="0"/>
              <w:left w:val="nil"/>
              <w:bottom w:val="single" w:color="auto" w:sz="4" w:space="0"/>
              <w:right w:val="single" w:color="auto" w:sz="4" w:space="0"/>
            </w:tcBorders>
          </w:tcPr>
          <w:p w14:paraId="37EF0FC2">
            <w:pPr>
              <w:spacing w:line="360" w:lineRule="auto"/>
              <w:jc w:val="center"/>
              <w:rPr>
                <w:rFonts w:ascii="仿宋_GB2312" w:hAnsi="仿宋_GB2312" w:eastAsia="仿宋_GB2312"/>
                <w:color w:val="000000" w:themeColor="text1"/>
                <w14:textFill>
                  <w14:solidFill>
                    <w14:schemeClr w14:val="tx1"/>
                  </w14:solidFill>
                </w14:textFill>
              </w:rPr>
            </w:pPr>
          </w:p>
        </w:tc>
      </w:tr>
      <w:tr w14:paraId="1E0DA627">
        <w:tblPrEx>
          <w:tblCellMar>
            <w:top w:w="0" w:type="dxa"/>
            <w:left w:w="108" w:type="dxa"/>
            <w:bottom w:w="0" w:type="dxa"/>
            <w:right w:w="108" w:type="dxa"/>
          </w:tblCellMar>
        </w:tblPrEx>
        <w:trPr>
          <w:trHeight w:val="537" w:hRule="atLeast"/>
          <w:jc w:val="center"/>
        </w:trPr>
        <w:tc>
          <w:tcPr>
            <w:tcW w:w="658" w:type="dxa"/>
            <w:tcBorders>
              <w:top w:val="single" w:color="auto" w:sz="4" w:space="0"/>
              <w:left w:val="single" w:color="auto" w:sz="4" w:space="0"/>
              <w:bottom w:val="single" w:color="auto" w:sz="4" w:space="0"/>
              <w:right w:val="single" w:color="auto" w:sz="4" w:space="0"/>
            </w:tcBorders>
            <w:vAlign w:val="center"/>
          </w:tcPr>
          <w:p w14:paraId="56B9399C">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1417" w:type="dxa"/>
            <w:tcBorders>
              <w:top w:val="single" w:color="auto" w:sz="4" w:space="0"/>
              <w:left w:val="nil"/>
              <w:bottom w:val="single" w:color="auto" w:sz="4" w:space="0"/>
              <w:right w:val="single" w:color="auto" w:sz="4" w:space="0"/>
            </w:tcBorders>
            <w:vAlign w:val="center"/>
          </w:tcPr>
          <w:p w14:paraId="165CA4CE">
            <w:pPr>
              <w:spacing w:line="360" w:lineRule="auto"/>
              <w:jc w:val="center"/>
              <w:rPr>
                <w:rFonts w:ascii="仿宋_GB2312" w:hAnsi="仿宋_GB2312" w:eastAsia="仿宋_GB2312"/>
                <w:color w:val="000000" w:themeColor="text1"/>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vAlign w:val="center"/>
          </w:tcPr>
          <w:p w14:paraId="32F17D46">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4F2339B7">
            <w:pPr>
              <w:spacing w:line="360" w:lineRule="auto"/>
              <w:jc w:val="center"/>
              <w:rPr>
                <w:rFonts w:ascii="仿宋_GB2312" w:hAnsi="仿宋_GB2312" w:eastAsia="仿宋_GB2312"/>
                <w:color w:val="000000" w:themeColor="text1"/>
                <w14:textFill>
                  <w14:solidFill>
                    <w14:schemeClr w14:val="tx1"/>
                  </w14:solidFill>
                </w14:textFill>
              </w:rPr>
            </w:pPr>
          </w:p>
        </w:tc>
        <w:tc>
          <w:tcPr>
            <w:tcW w:w="1418" w:type="dxa"/>
            <w:tcBorders>
              <w:top w:val="single" w:color="auto" w:sz="4" w:space="0"/>
              <w:left w:val="nil"/>
              <w:bottom w:val="single" w:color="auto" w:sz="4" w:space="0"/>
              <w:right w:val="single" w:color="auto" w:sz="4" w:space="0"/>
            </w:tcBorders>
            <w:vAlign w:val="center"/>
          </w:tcPr>
          <w:p w14:paraId="093C73E4">
            <w:pPr>
              <w:spacing w:line="360" w:lineRule="auto"/>
              <w:jc w:val="center"/>
              <w:rPr>
                <w:rFonts w:ascii="仿宋_GB2312" w:hAnsi="仿宋_GB2312" w:eastAsia="仿宋_GB2312"/>
                <w:color w:val="000000" w:themeColor="text1"/>
                <w14:textFill>
                  <w14:solidFill>
                    <w14:schemeClr w14:val="tx1"/>
                  </w14:solidFill>
                </w14:textFill>
              </w:rPr>
            </w:pPr>
          </w:p>
        </w:tc>
        <w:tc>
          <w:tcPr>
            <w:tcW w:w="1382" w:type="dxa"/>
            <w:tcBorders>
              <w:top w:val="single" w:color="auto" w:sz="4" w:space="0"/>
              <w:left w:val="nil"/>
              <w:bottom w:val="single" w:color="auto" w:sz="4" w:space="0"/>
              <w:right w:val="single" w:color="auto" w:sz="4" w:space="0"/>
            </w:tcBorders>
            <w:vAlign w:val="center"/>
          </w:tcPr>
          <w:p w14:paraId="3CB19EFB">
            <w:pPr>
              <w:spacing w:line="360" w:lineRule="auto"/>
              <w:jc w:val="center"/>
              <w:rPr>
                <w:rFonts w:ascii="仿宋_GB2312" w:hAnsi="仿宋_GB2312" w:eastAsia="仿宋_GB2312"/>
                <w:color w:val="000000" w:themeColor="text1"/>
                <w14:textFill>
                  <w14:solidFill>
                    <w14:schemeClr w14:val="tx1"/>
                  </w14:solidFill>
                </w14:textFill>
              </w:rPr>
            </w:pPr>
          </w:p>
        </w:tc>
        <w:tc>
          <w:tcPr>
            <w:tcW w:w="997" w:type="dxa"/>
            <w:tcBorders>
              <w:top w:val="single" w:color="auto" w:sz="4" w:space="0"/>
              <w:left w:val="nil"/>
              <w:bottom w:val="single" w:color="auto" w:sz="4" w:space="0"/>
              <w:right w:val="single" w:color="auto" w:sz="4" w:space="0"/>
            </w:tcBorders>
          </w:tcPr>
          <w:p w14:paraId="351680E6">
            <w:pPr>
              <w:spacing w:line="360" w:lineRule="auto"/>
              <w:jc w:val="center"/>
              <w:rPr>
                <w:rFonts w:ascii="仿宋_GB2312" w:hAnsi="仿宋_GB2312" w:eastAsia="仿宋_GB2312"/>
                <w:color w:val="000000" w:themeColor="text1"/>
                <w14:textFill>
                  <w14:solidFill>
                    <w14:schemeClr w14:val="tx1"/>
                  </w14:solidFill>
                </w14:textFill>
              </w:rPr>
            </w:pPr>
          </w:p>
        </w:tc>
      </w:tr>
    </w:tbl>
    <w:p w14:paraId="603E863F">
      <w:pPr>
        <w:spacing w:line="360" w:lineRule="auto"/>
        <w:rPr>
          <w:rFonts w:ascii="仿宋_GB2312" w:hAnsi="仿宋_GB2312" w:eastAsia="仿宋_GB2312"/>
          <w:color w:val="000000" w:themeColor="text1"/>
          <w14:textFill>
            <w14:solidFill>
              <w14:schemeClr w14:val="tx1"/>
            </w14:solidFill>
          </w14:textFill>
        </w:rPr>
      </w:pPr>
    </w:p>
    <w:p w14:paraId="24986707">
      <w:pPr>
        <w:spacing w:line="360" w:lineRule="auto"/>
        <w:ind w:left="360"/>
        <w:jc w:val="center"/>
        <w:rPr>
          <w:rFonts w:ascii="仿宋_GB2312" w:hAnsi="仿宋_GB2312" w:eastAsia="仿宋_GB2312"/>
          <w:color w:val="000000" w:themeColor="text1"/>
          <w14:textFill>
            <w14:solidFill>
              <w14:schemeClr w14:val="tx1"/>
            </w14:solidFill>
          </w14:textFill>
        </w:rPr>
      </w:pPr>
    </w:p>
    <w:p w14:paraId="5AF6EC54">
      <w:pPr>
        <w:spacing w:line="360" w:lineRule="auto"/>
        <w:rPr>
          <w:rFonts w:ascii="仿宋_GB2312" w:hAnsi="仿宋_GB2312" w:eastAsia="仿宋_GB2312"/>
          <w:color w:val="000000" w:themeColor="text1"/>
          <w14:textFill>
            <w14:solidFill>
              <w14:schemeClr w14:val="tx1"/>
            </w14:solidFill>
          </w14:textFill>
        </w:rPr>
      </w:pPr>
    </w:p>
    <w:p w14:paraId="184464B6">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XXXX</w:t>
      </w:r>
      <w:r>
        <w:rPr>
          <w:rFonts w:hint="eastAsia" w:ascii="仿宋_GB2312" w:hAnsi="仿宋_GB2312" w:eastAsia="仿宋_GB2312" w:cs="仿宋"/>
          <w:color w:val="000000" w:themeColor="text1"/>
          <w14:textFill>
            <w14:solidFill>
              <w14:schemeClr w14:val="tx1"/>
            </w14:solidFill>
          </w14:textFill>
        </w:rPr>
        <w:t>（盖单位公章）</w:t>
      </w:r>
    </w:p>
    <w:p w14:paraId="2FAB5516">
      <w:pPr>
        <w:adjustRightInd w:val="0"/>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p>
    <w:p w14:paraId="6FF6BADC">
      <w:pPr>
        <w:rPr>
          <w:rFonts w:ascii="仿宋_GB2312" w:hAnsi="仿宋_GB2312" w:eastAsia="仿宋_GB2312"/>
          <w:color w:val="000000" w:themeColor="text1"/>
          <w14:textFill>
            <w14:solidFill>
              <w14:schemeClr w14:val="tx1"/>
            </w14:solidFill>
          </w14:textFill>
        </w:rPr>
      </w:pPr>
    </w:p>
    <w:p w14:paraId="7D364FBD">
      <w:pPr>
        <w:rPr>
          <w:rFonts w:hint="eastAsia" w:ascii="仿宋_GB2312" w:hAnsi="仿宋_GB2312" w:eastAsia="仿宋_GB2312" w:cs="仿宋"/>
          <w:b/>
          <w:bCs/>
          <w:color w:val="000000" w:themeColor="text1"/>
          <w:sz w:val="28"/>
          <w:szCs w:val="28"/>
          <w:lang w:eastAsia="zh-CN"/>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br w:type="page"/>
      </w: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hint="eastAsia" w:ascii="仿宋_GB2312" w:hAnsi="仿宋_GB2312" w:eastAsia="仿宋_GB2312" w:cs="仿宋"/>
          <w:b/>
          <w:bCs/>
          <w:color w:val="000000" w:themeColor="text1"/>
          <w:sz w:val="28"/>
          <w:szCs w:val="28"/>
          <w:lang w:val="en-US" w:eastAsia="zh-CN"/>
          <w14:textFill>
            <w14:solidFill>
              <w14:schemeClr w14:val="tx1"/>
            </w14:solidFill>
          </w14:textFill>
        </w:rPr>
        <w:t>7</w:t>
      </w:r>
    </w:p>
    <w:p w14:paraId="517BA75E">
      <w:pPr>
        <w:spacing w:line="360" w:lineRule="auto"/>
        <w:jc w:val="center"/>
        <w:rPr>
          <w:rFonts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eastAsia="仿宋_GB2312" w:cs="仿宋"/>
          <w:b/>
          <w:bCs/>
          <w:color w:val="000000" w:themeColor="text1"/>
          <w:sz w:val="32"/>
          <w:szCs w:val="32"/>
          <w:lang w:eastAsia="zh-CN"/>
          <w14:textFill>
            <w14:solidFill>
              <w14:schemeClr w14:val="tx1"/>
            </w14:solidFill>
          </w14:textFill>
        </w:rPr>
        <w:t>七</w:t>
      </w:r>
      <w:r>
        <w:rPr>
          <w:rFonts w:hint="eastAsia" w:ascii="仿宋_GB2312" w:hAnsi="仿宋_GB2312" w:eastAsia="仿宋_GB2312" w:cs="仿宋"/>
          <w:b/>
          <w:bCs/>
          <w:color w:val="000000" w:themeColor="text1"/>
          <w:sz w:val="32"/>
          <w:szCs w:val="32"/>
          <w14:textFill>
            <w14:solidFill>
              <w14:schemeClr w14:val="tx1"/>
            </w14:solidFill>
          </w14:textFill>
        </w:rPr>
        <w:t>、项目管理机构</w:t>
      </w:r>
    </w:p>
    <w:p w14:paraId="35A7E29B">
      <w:pPr>
        <w:spacing w:line="360" w:lineRule="auto"/>
        <w:rPr>
          <w:rFonts w:ascii="仿宋_GB2312" w:hAnsi="仿宋_GB2312" w:eastAsia="仿宋_GB2312"/>
          <w:color w:val="000000" w:themeColor="text1"/>
          <w:sz w:val="32"/>
          <w:szCs w:val="32"/>
          <w14:textFill>
            <w14:solidFill>
              <w14:schemeClr w14:val="tx1"/>
            </w14:solidFill>
          </w14:textFill>
        </w:rPr>
      </w:pPr>
    </w:p>
    <w:p w14:paraId="482326E8">
      <w:pPr>
        <w:spacing w:line="360" w:lineRule="auto"/>
        <w:jc w:val="center"/>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 xml:space="preserve"> </w:t>
      </w:r>
      <w:r>
        <w:rPr>
          <w:rFonts w:hint="eastAsia" w:ascii="仿宋_GB2312" w:hAnsi="仿宋_GB2312" w:eastAsia="仿宋_GB2312" w:cs="仿宋"/>
          <w:b/>
          <w:bCs/>
          <w:color w:val="000000" w:themeColor="text1"/>
          <w:lang w:eastAsia="zh-CN"/>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一</w:t>
      </w:r>
      <w:r>
        <w:rPr>
          <w:rFonts w:hint="eastAsia" w:ascii="仿宋_GB2312" w:hAnsi="仿宋_GB2312" w:eastAsia="仿宋_GB2312" w:cs="仿宋"/>
          <w:b/>
          <w:bCs/>
          <w:color w:val="000000" w:themeColor="text1"/>
          <w:lang w:eastAsia="zh-CN"/>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项目管理机构组成表</w:t>
      </w:r>
    </w:p>
    <w:p w14:paraId="50F5A660">
      <w:pPr>
        <w:autoSpaceDE w:val="0"/>
        <w:autoSpaceDN w:val="0"/>
        <w:adjustRightInd w:val="0"/>
        <w:spacing w:line="360" w:lineRule="auto"/>
        <w:ind w:left="220" w:right="-20"/>
        <w:jc w:val="center"/>
        <w:rPr>
          <w:rFonts w:ascii="仿宋_GB2312" w:hAnsi="仿宋_GB2312" w:eastAsia="仿宋_GB2312"/>
          <w:b/>
          <w:bCs/>
          <w:color w:val="000000" w:themeColor="text1"/>
          <w14:textFill>
            <w14:solidFill>
              <w14:schemeClr w14:val="tx1"/>
            </w14:solidFill>
          </w14:textFill>
        </w:rPr>
      </w:pPr>
    </w:p>
    <w:tbl>
      <w:tblPr>
        <w:tblStyle w:val="12"/>
        <w:tblW w:w="9366" w:type="dxa"/>
        <w:jc w:val="center"/>
        <w:tblLayout w:type="fixed"/>
        <w:tblCellMar>
          <w:top w:w="0" w:type="dxa"/>
          <w:left w:w="0" w:type="dxa"/>
          <w:bottom w:w="0" w:type="dxa"/>
          <w:right w:w="0" w:type="dxa"/>
        </w:tblCellMar>
      </w:tblPr>
      <w:tblGrid>
        <w:gridCol w:w="857"/>
        <w:gridCol w:w="1695"/>
        <w:gridCol w:w="1423"/>
        <w:gridCol w:w="1276"/>
        <w:gridCol w:w="1301"/>
        <w:gridCol w:w="1134"/>
        <w:gridCol w:w="1680"/>
      </w:tblGrid>
      <w:tr w14:paraId="7F22F276">
        <w:tblPrEx>
          <w:tblCellMar>
            <w:top w:w="0" w:type="dxa"/>
            <w:left w:w="0" w:type="dxa"/>
            <w:bottom w:w="0" w:type="dxa"/>
            <w:right w:w="0" w:type="dxa"/>
          </w:tblCellMar>
        </w:tblPrEx>
        <w:trPr>
          <w:trHeight w:val="614" w:hRule="atLeast"/>
          <w:jc w:val="center"/>
        </w:trPr>
        <w:tc>
          <w:tcPr>
            <w:tcW w:w="857" w:type="dxa"/>
            <w:vMerge w:val="restart"/>
            <w:tcBorders>
              <w:top w:val="single" w:color="auto" w:sz="4" w:space="0"/>
              <w:left w:val="single" w:color="auto" w:sz="4" w:space="0"/>
              <w:right w:val="single" w:color="auto" w:sz="4" w:space="0"/>
            </w:tcBorders>
            <w:vAlign w:val="center"/>
          </w:tcPr>
          <w:p w14:paraId="532C8250">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序号</w:t>
            </w:r>
          </w:p>
        </w:tc>
        <w:tc>
          <w:tcPr>
            <w:tcW w:w="1695" w:type="dxa"/>
            <w:vMerge w:val="restart"/>
            <w:tcBorders>
              <w:top w:val="single" w:color="auto" w:sz="4" w:space="0"/>
              <w:left w:val="nil"/>
              <w:right w:val="single" w:color="auto" w:sz="4" w:space="0"/>
            </w:tcBorders>
            <w:vAlign w:val="center"/>
          </w:tcPr>
          <w:p w14:paraId="46A3FE2C">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职务</w:t>
            </w:r>
          </w:p>
        </w:tc>
        <w:tc>
          <w:tcPr>
            <w:tcW w:w="1423" w:type="dxa"/>
            <w:vMerge w:val="restart"/>
            <w:tcBorders>
              <w:top w:val="single" w:color="auto" w:sz="4" w:space="0"/>
              <w:left w:val="nil"/>
              <w:right w:val="single" w:color="auto" w:sz="4" w:space="0"/>
            </w:tcBorders>
            <w:vAlign w:val="center"/>
          </w:tcPr>
          <w:p w14:paraId="26666BF9">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姓名</w:t>
            </w:r>
          </w:p>
        </w:tc>
        <w:tc>
          <w:tcPr>
            <w:tcW w:w="2577" w:type="dxa"/>
            <w:gridSpan w:val="2"/>
            <w:tcBorders>
              <w:top w:val="single" w:color="auto" w:sz="4" w:space="0"/>
              <w:left w:val="nil"/>
              <w:bottom w:val="single" w:color="auto" w:sz="4" w:space="0"/>
              <w:right w:val="single" w:color="auto" w:sz="4" w:space="0"/>
            </w:tcBorders>
            <w:vAlign w:val="center"/>
          </w:tcPr>
          <w:p w14:paraId="4F3B81C0">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执业或职业资格</w:t>
            </w:r>
          </w:p>
        </w:tc>
        <w:tc>
          <w:tcPr>
            <w:tcW w:w="2814" w:type="dxa"/>
            <w:gridSpan w:val="2"/>
            <w:tcBorders>
              <w:top w:val="single" w:color="auto" w:sz="4" w:space="0"/>
              <w:left w:val="nil"/>
              <w:bottom w:val="single" w:color="auto" w:sz="4" w:space="0"/>
              <w:right w:val="single" w:color="auto" w:sz="4" w:space="0"/>
            </w:tcBorders>
            <w:vAlign w:val="center"/>
          </w:tcPr>
          <w:p w14:paraId="09B0F2E2">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职称</w:t>
            </w:r>
          </w:p>
        </w:tc>
      </w:tr>
      <w:tr w14:paraId="31C6A6D9">
        <w:tblPrEx>
          <w:tblCellMar>
            <w:top w:w="0" w:type="dxa"/>
            <w:left w:w="0" w:type="dxa"/>
            <w:bottom w:w="0" w:type="dxa"/>
            <w:right w:w="0" w:type="dxa"/>
          </w:tblCellMar>
        </w:tblPrEx>
        <w:trPr>
          <w:trHeight w:val="614" w:hRule="atLeast"/>
          <w:jc w:val="center"/>
        </w:trPr>
        <w:tc>
          <w:tcPr>
            <w:tcW w:w="857" w:type="dxa"/>
            <w:vMerge w:val="continue"/>
            <w:tcBorders>
              <w:left w:val="single" w:color="auto" w:sz="4" w:space="0"/>
              <w:bottom w:val="single" w:color="auto" w:sz="4" w:space="0"/>
              <w:right w:val="single" w:color="auto" w:sz="4" w:space="0"/>
            </w:tcBorders>
            <w:vAlign w:val="center"/>
          </w:tcPr>
          <w:p w14:paraId="618D9C73">
            <w:pPr>
              <w:spacing w:line="360" w:lineRule="auto"/>
              <w:jc w:val="center"/>
              <w:rPr>
                <w:rFonts w:ascii="仿宋_GB2312" w:hAnsi="仿宋_GB2312" w:eastAsia="仿宋_GB2312"/>
                <w:color w:val="000000" w:themeColor="text1"/>
                <w14:textFill>
                  <w14:solidFill>
                    <w14:schemeClr w14:val="tx1"/>
                  </w14:solidFill>
                </w14:textFill>
              </w:rPr>
            </w:pPr>
          </w:p>
        </w:tc>
        <w:tc>
          <w:tcPr>
            <w:tcW w:w="1695" w:type="dxa"/>
            <w:vMerge w:val="continue"/>
            <w:tcBorders>
              <w:left w:val="nil"/>
              <w:bottom w:val="single" w:color="auto" w:sz="4" w:space="0"/>
              <w:right w:val="single" w:color="auto" w:sz="4" w:space="0"/>
            </w:tcBorders>
            <w:vAlign w:val="center"/>
          </w:tcPr>
          <w:p w14:paraId="04F4C53E">
            <w:pPr>
              <w:spacing w:line="360" w:lineRule="auto"/>
              <w:jc w:val="center"/>
              <w:rPr>
                <w:rFonts w:ascii="仿宋_GB2312" w:hAnsi="仿宋_GB2312" w:eastAsia="仿宋_GB2312"/>
                <w:color w:val="000000" w:themeColor="text1"/>
                <w14:textFill>
                  <w14:solidFill>
                    <w14:schemeClr w14:val="tx1"/>
                  </w14:solidFill>
                </w14:textFill>
              </w:rPr>
            </w:pPr>
          </w:p>
        </w:tc>
        <w:tc>
          <w:tcPr>
            <w:tcW w:w="1423" w:type="dxa"/>
            <w:vMerge w:val="continue"/>
            <w:tcBorders>
              <w:left w:val="nil"/>
              <w:bottom w:val="single" w:color="auto" w:sz="4" w:space="0"/>
              <w:right w:val="single" w:color="auto" w:sz="4" w:space="0"/>
            </w:tcBorders>
            <w:vAlign w:val="center"/>
          </w:tcPr>
          <w:p w14:paraId="4CDDE383">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54EEF701">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证书名称</w:t>
            </w:r>
          </w:p>
        </w:tc>
        <w:tc>
          <w:tcPr>
            <w:tcW w:w="1301" w:type="dxa"/>
            <w:tcBorders>
              <w:top w:val="single" w:color="auto" w:sz="4" w:space="0"/>
              <w:left w:val="nil"/>
              <w:bottom w:val="single" w:color="auto" w:sz="4" w:space="0"/>
              <w:right w:val="single" w:color="auto" w:sz="4" w:space="0"/>
            </w:tcBorders>
            <w:vAlign w:val="center"/>
          </w:tcPr>
          <w:p w14:paraId="0FD9E3C3">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证书编号</w:t>
            </w:r>
          </w:p>
        </w:tc>
        <w:tc>
          <w:tcPr>
            <w:tcW w:w="1134" w:type="dxa"/>
            <w:tcBorders>
              <w:top w:val="single" w:color="auto" w:sz="4" w:space="0"/>
              <w:left w:val="nil"/>
              <w:bottom w:val="single" w:color="auto" w:sz="4" w:space="0"/>
              <w:right w:val="single" w:color="auto" w:sz="4" w:space="0"/>
            </w:tcBorders>
            <w:vAlign w:val="center"/>
          </w:tcPr>
          <w:p w14:paraId="5C37216D">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职称专业</w:t>
            </w:r>
          </w:p>
        </w:tc>
        <w:tc>
          <w:tcPr>
            <w:tcW w:w="1680" w:type="dxa"/>
            <w:tcBorders>
              <w:top w:val="single" w:color="auto" w:sz="4" w:space="0"/>
              <w:left w:val="nil"/>
              <w:bottom w:val="single" w:color="auto" w:sz="4" w:space="0"/>
              <w:right w:val="single" w:color="auto" w:sz="4" w:space="0"/>
            </w:tcBorders>
            <w:vAlign w:val="center"/>
          </w:tcPr>
          <w:p w14:paraId="02F9C801">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级别</w:t>
            </w:r>
          </w:p>
        </w:tc>
      </w:tr>
      <w:tr w14:paraId="0C930788">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39928F40">
            <w:pPr>
              <w:spacing w:line="360" w:lineRule="auto"/>
              <w:jc w:val="center"/>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p>
        </w:tc>
        <w:tc>
          <w:tcPr>
            <w:tcW w:w="1695" w:type="dxa"/>
            <w:tcBorders>
              <w:top w:val="single" w:color="auto" w:sz="4" w:space="0"/>
              <w:left w:val="nil"/>
              <w:bottom w:val="single" w:color="auto" w:sz="4" w:space="0"/>
              <w:right w:val="single" w:color="auto" w:sz="4" w:space="0"/>
            </w:tcBorders>
            <w:vAlign w:val="center"/>
          </w:tcPr>
          <w:p w14:paraId="4A6CD5A3">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项目负责人</w:t>
            </w:r>
          </w:p>
          <w:p w14:paraId="755156BA">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（项目经理）</w:t>
            </w:r>
          </w:p>
        </w:tc>
        <w:tc>
          <w:tcPr>
            <w:tcW w:w="1423" w:type="dxa"/>
            <w:tcBorders>
              <w:top w:val="single" w:color="auto" w:sz="4" w:space="0"/>
              <w:left w:val="nil"/>
              <w:bottom w:val="single" w:color="auto" w:sz="4" w:space="0"/>
              <w:right w:val="single" w:color="auto" w:sz="4" w:space="0"/>
            </w:tcBorders>
            <w:vAlign w:val="center"/>
          </w:tcPr>
          <w:p w14:paraId="5FF21A58">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182E1E7C">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05557986">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1A87FEF3">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230FC4A9">
            <w:pPr>
              <w:spacing w:line="360" w:lineRule="auto"/>
              <w:jc w:val="center"/>
              <w:rPr>
                <w:rFonts w:ascii="仿宋_GB2312" w:hAnsi="仿宋_GB2312" w:eastAsia="仿宋_GB2312"/>
                <w:color w:val="000000" w:themeColor="text1"/>
                <w14:textFill>
                  <w14:solidFill>
                    <w14:schemeClr w14:val="tx1"/>
                  </w14:solidFill>
                </w14:textFill>
              </w:rPr>
            </w:pPr>
          </w:p>
        </w:tc>
      </w:tr>
      <w:tr w14:paraId="3CFAD76B">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727C3EC2">
            <w:pPr>
              <w:spacing w:line="360" w:lineRule="auto"/>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p>
        </w:tc>
        <w:tc>
          <w:tcPr>
            <w:tcW w:w="1695" w:type="dxa"/>
            <w:tcBorders>
              <w:top w:val="single" w:color="auto" w:sz="4" w:space="0"/>
              <w:left w:val="nil"/>
              <w:bottom w:val="single" w:color="auto" w:sz="4" w:space="0"/>
              <w:right w:val="single" w:color="auto" w:sz="4" w:space="0"/>
            </w:tcBorders>
            <w:vAlign w:val="center"/>
          </w:tcPr>
          <w:p w14:paraId="6BBECC91">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项目技术负责人</w:t>
            </w:r>
          </w:p>
        </w:tc>
        <w:tc>
          <w:tcPr>
            <w:tcW w:w="1423" w:type="dxa"/>
            <w:tcBorders>
              <w:top w:val="single" w:color="auto" w:sz="4" w:space="0"/>
              <w:left w:val="nil"/>
              <w:bottom w:val="single" w:color="auto" w:sz="4" w:space="0"/>
              <w:right w:val="single" w:color="auto" w:sz="4" w:space="0"/>
            </w:tcBorders>
            <w:vAlign w:val="center"/>
          </w:tcPr>
          <w:p w14:paraId="178AD3E2">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25D9949D">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73FD0EC6">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038011D3">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771191C0">
            <w:pPr>
              <w:spacing w:line="360" w:lineRule="auto"/>
              <w:jc w:val="center"/>
              <w:rPr>
                <w:rFonts w:ascii="仿宋_GB2312" w:hAnsi="仿宋_GB2312" w:eastAsia="仿宋_GB2312"/>
                <w:color w:val="000000" w:themeColor="text1"/>
                <w14:textFill>
                  <w14:solidFill>
                    <w14:schemeClr w14:val="tx1"/>
                  </w14:solidFill>
                </w14:textFill>
              </w:rPr>
            </w:pPr>
          </w:p>
        </w:tc>
      </w:tr>
      <w:tr w14:paraId="516553D3">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67683FFF">
            <w:pPr>
              <w:spacing w:line="360" w:lineRule="auto"/>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3</w:t>
            </w:r>
          </w:p>
        </w:tc>
        <w:tc>
          <w:tcPr>
            <w:tcW w:w="1695" w:type="dxa"/>
            <w:tcBorders>
              <w:top w:val="single" w:color="auto" w:sz="4" w:space="0"/>
              <w:left w:val="nil"/>
              <w:bottom w:val="single" w:color="auto" w:sz="4" w:space="0"/>
              <w:right w:val="single" w:color="auto" w:sz="4" w:space="0"/>
            </w:tcBorders>
            <w:vAlign w:val="center"/>
          </w:tcPr>
          <w:p w14:paraId="2AB2A226">
            <w:pPr>
              <w:spacing w:line="360" w:lineRule="auto"/>
              <w:jc w:val="center"/>
              <w:rPr>
                <w:rFonts w:ascii="仿宋_GB2312" w:hAnsi="仿宋_GB2312" w:eastAsia="仿宋_GB2312"/>
                <w:color w:val="000000" w:themeColor="text1"/>
                <w14:textFill>
                  <w14:solidFill>
                    <w14:schemeClr w14:val="tx1"/>
                  </w14:solidFill>
                </w14:textFill>
              </w:rPr>
            </w:pPr>
          </w:p>
        </w:tc>
        <w:tc>
          <w:tcPr>
            <w:tcW w:w="1423" w:type="dxa"/>
            <w:tcBorders>
              <w:top w:val="single" w:color="auto" w:sz="4" w:space="0"/>
              <w:left w:val="nil"/>
              <w:bottom w:val="single" w:color="auto" w:sz="4" w:space="0"/>
              <w:right w:val="single" w:color="auto" w:sz="4" w:space="0"/>
            </w:tcBorders>
            <w:vAlign w:val="center"/>
          </w:tcPr>
          <w:p w14:paraId="3691D438">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2B06CB2F">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7306DA13">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1218F6F1">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48D4E612">
            <w:pPr>
              <w:spacing w:line="360" w:lineRule="auto"/>
              <w:jc w:val="center"/>
              <w:rPr>
                <w:rFonts w:ascii="仿宋_GB2312" w:hAnsi="仿宋_GB2312" w:eastAsia="仿宋_GB2312"/>
                <w:color w:val="000000" w:themeColor="text1"/>
                <w14:textFill>
                  <w14:solidFill>
                    <w14:schemeClr w14:val="tx1"/>
                  </w14:solidFill>
                </w14:textFill>
              </w:rPr>
            </w:pPr>
          </w:p>
        </w:tc>
      </w:tr>
      <w:tr w14:paraId="38276AC8">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18DF7492">
            <w:pPr>
              <w:spacing w:line="360" w:lineRule="auto"/>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4</w:t>
            </w:r>
          </w:p>
        </w:tc>
        <w:tc>
          <w:tcPr>
            <w:tcW w:w="1695" w:type="dxa"/>
            <w:tcBorders>
              <w:top w:val="single" w:color="auto" w:sz="4" w:space="0"/>
              <w:left w:val="nil"/>
              <w:bottom w:val="single" w:color="auto" w:sz="4" w:space="0"/>
              <w:right w:val="single" w:color="auto" w:sz="4" w:space="0"/>
            </w:tcBorders>
            <w:vAlign w:val="center"/>
          </w:tcPr>
          <w:p w14:paraId="322390B6">
            <w:pPr>
              <w:spacing w:line="360" w:lineRule="auto"/>
              <w:jc w:val="center"/>
              <w:rPr>
                <w:rFonts w:ascii="仿宋_GB2312" w:hAnsi="仿宋_GB2312" w:eastAsia="仿宋_GB2312"/>
                <w:color w:val="000000" w:themeColor="text1"/>
                <w14:textFill>
                  <w14:solidFill>
                    <w14:schemeClr w14:val="tx1"/>
                  </w14:solidFill>
                </w14:textFill>
              </w:rPr>
            </w:pPr>
          </w:p>
        </w:tc>
        <w:tc>
          <w:tcPr>
            <w:tcW w:w="1423" w:type="dxa"/>
            <w:tcBorders>
              <w:top w:val="single" w:color="auto" w:sz="4" w:space="0"/>
              <w:left w:val="nil"/>
              <w:bottom w:val="single" w:color="auto" w:sz="4" w:space="0"/>
              <w:right w:val="single" w:color="auto" w:sz="4" w:space="0"/>
            </w:tcBorders>
            <w:vAlign w:val="center"/>
          </w:tcPr>
          <w:p w14:paraId="197B4312">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0C4E9F30">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4AB660AA">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39628803">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03B1A4BA">
            <w:pPr>
              <w:spacing w:line="360" w:lineRule="auto"/>
              <w:jc w:val="center"/>
              <w:rPr>
                <w:rFonts w:ascii="仿宋_GB2312" w:hAnsi="仿宋_GB2312" w:eastAsia="仿宋_GB2312"/>
                <w:color w:val="000000" w:themeColor="text1"/>
                <w14:textFill>
                  <w14:solidFill>
                    <w14:schemeClr w14:val="tx1"/>
                  </w14:solidFill>
                </w14:textFill>
              </w:rPr>
            </w:pPr>
          </w:p>
        </w:tc>
      </w:tr>
      <w:tr w14:paraId="36DBE13E">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3E383B7F">
            <w:pPr>
              <w:spacing w:line="360" w:lineRule="auto"/>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5</w:t>
            </w:r>
          </w:p>
        </w:tc>
        <w:tc>
          <w:tcPr>
            <w:tcW w:w="1695" w:type="dxa"/>
            <w:tcBorders>
              <w:top w:val="single" w:color="auto" w:sz="4" w:space="0"/>
              <w:left w:val="nil"/>
              <w:bottom w:val="single" w:color="auto" w:sz="4" w:space="0"/>
              <w:right w:val="single" w:color="auto" w:sz="4" w:space="0"/>
            </w:tcBorders>
            <w:vAlign w:val="center"/>
          </w:tcPr>
          <w:p w14:paraId="4A81E466">
            <w:pPr>
              <w:spacing w:line="360" w:lineRule="auto"/>
              <w:jc w:val="center"/>
              <w:rPr>
                <w:rFonts w:ascii="仿宋_GB2312" w:hAnsi="仿宋_GB2312" w:eastAsia="仿宋_GB2312"/>
                <w:color w:val="000000" w:themeColor="text1"/>
                <w14:textFill>
                  <w14:solidFill>
                    <w14:schemeClr w14:val="tx1"/>
                  </w14:solidFill>
                </w14:textFill>
              </w:rPr>
            </w:pPr>
          </w:p>
        </w:tc>
        <w:tc>
          <w:tcPr>
            <w:tcW w:w="1423" w:type="dxa"/>
            <w:tcBorders>
              <w:top w:val="single" w:color="auto" w:sz="4" w:space="0"/>
              <w:left w:val="nil"/>
              <w:bottom w:val="single" w:color="auto" w:sz="4" w:space="0"/>
              <w:right w:val="single" w:color="auto" w:sz="4" w:space="0"/>
            </w:tcBorders>
            <w:vAlign w:val="center"/>
          </w:tcPr>
          <w:p w14:paraId="54F48652">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72472DF4">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01989FDC">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1F7020D0">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06B75EE7">
            <w:pPr>
              <w:spacing w:line="360" w:lineRule="auto"/>
              <w:jc w:val="center"/>
              <w:rPr>
                <w:rFonts w:ascii="仿宋_GB2312" w:hAnsi="仿宋_GB2312" w:eastAsia="仿宋_GB2312"/>
                <w:color w:val="000000" w:themeColor="text1"/>
                <w14:textFill>
                  <w14:solidFill>
                    <w14:schemeClr w14:val="tx1"/>
                  </w14:solidFill>
                </w14:textFill>
              </w:rPr>
            </w:pPr>
          </w:p>
        </w:tc>
      </w:tr>
      <w:tr w14:paraId="11841E2F">
        <w:tblPrEx>
          <w:tblCellMar>
            <w:top w:w="0" w:type="dxa"/>
            <w:left w:w="0" w:type="dxa"/>
            <w:bottom w:w="0" w:type="dxa"/>
            <w:right w:w="0" w:type="dxa"/>
          </w:tblCellMar>
        </w:tblPrEx>
        <w:trPr>
          <w:trHeight w:val="589"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14:paraId="57798473">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1695" w:type="dxa"/>
            <w:tcBorders>
              <w:top w:val="single" w:color="auto" w:sz="4" w:space="0"/>
              <w:left w:val="nil"/>
              <w:bottom w:val="single" w:color="auto" w:sz="4" w:space="0"/>
              <w:right w:val="single" w:color="auto" w:sz="4" w:space="0"/>
            </w:tcBorders>
            <w:vAlign w:val="center"/>
          </w:tcPr>
          <w:p w14:paraId="3D560C07">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w:t>
            </w:r>
          </w:p>
        </w:tc>
        <w:tc>
          <w:tcPr>
            <w:tcW w:w="1423" w:type="dxa"/>
            <w:tcBorders>
              <w:top w:val="single" w:color="auto" w:sz="4" w:space="0"/>
              <w:left w:val="nil"/>
              <w:bottom w:val="single" w:color="auto" w:sz="4" w:space="0"/>
              <w:right w:val="single" w:color="auto" w:sz="4" w:space="0"/>
            </w:tcBorders>
            <w:vAlign w:val="center"/>
          </w:tcPr>
          <w:p w14:paraId="143F59F8">
            <w:pPr>
              <w:spacing w:line="360" w:lineRule="auto"/>
              <w:jc w:val="center"/>
              <w:rPr>
                <w:rFonts w:ascii="仿宋_GB2312" w:hAnsi="仿宋_GB2312" w:eastAsia="仿宋_GB2312"/>
                <w:color w:val="000000" w:themeColor="text1"/>
                <w14:textFill>
                  <w14:solidFill>
                    <w14:schemeClr w14:val="tx1"/>
                  </w14:solidFill>
                </w14:textFill>
              </w:rPr>
            </w:pPr>
          </w:p>
        </w:tc>
        <w:tc>
          <w:tcPr>
            <w:tcW w:w="1276" w:type="dxa"/>
            <w:tcBorders>
              <w:top w:val="single" w:color="auto" w:sz="4" w:space="0"/>
              <w:left w:val="nil"/>
              <w:bottom w:val="single" w:color="auto" w:sz="4" w:space="0"/>
              <w:right w:val="single" w:color="auto" w:sz="4" w:space="0"/>
            </w:tcBorders>
            <w:vAlign w:val="center"/>
          </w:tcPr>
          <w:p w14:paraId="66D4BE54">
            <w:pPr>
              <w:spacing w:line="360" w:lineRule="auto"/>
              <w:jc w:val="center"/>
              <w:rPr>
                <w:rFonts w:ascii="仿宋_GB2312" w:hAnsi="仿宋_GB2312" w:eastAsia="仿宋_GB2312"/>
                <w:color w:val="000000" w:themeColor="text1"/>
                <w14:textFill>
                  <w14:solidFill>
                    <w14:schemeClr w14:val="tx1"/>
                  </w14:solidFill>
                </w14:textFill>
              </w:rPr>
            </w:pPr>
          </w:p>
        </w:tc>
        <w:tc>
          <w:tcPr>
            <w:tcW w:w="1301" w:type="dxa"/>
            <w:tcBorders>
              <w:top w:val="single" w:color="auto" w:sz="4" w:space="0"/>
              <w:left w:val="nil"/>
              <w:bottom w:val="single" w:color="auto" w:sz="4" w:space="0"/>
              <w:right w:val="single" w:color="auto" w:sz="4" w:space="0"/>
            </w:tcBorders>
            <w:vAlign w:val="center"/>
          </w:tcPr>
          <w:p w14:paraId="56ED6B06">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301A27FE">
            <w:pPr>
              <w:spacing w:line="360" w:lineRule="auto"/>
              <w:jc w:val="center"/>
              <w:rPr>
                <w:rFonts w:ascii="仿宋_GB2312" w:hAnsi="仿宋_GB2312" w:eastAsia="仿宋_GB2312"/>
                <w:color w:val="000000" w:themeColor="text1"/>
                <w14:textFill>
                  <w14:solidFill>
                    <w14:schemeClr w14:val="tx1"/>
                  </w14:solidFill>
                </w14:textFill>
              </w:rPr>
            </w:pPr>
          </w:p>
        </w:tc>
        <w:tc>
          <w:tcPr>
            <w:tcW w:w="1680" w:type="dxa"/>
            <w:tcBorders>
              <w:top w:val="single" w:color="auto" w:sz="4" w:space="0"/>
              <w:left w:val="nil"/>
              <w:bottom w:val="single" w:color="auto" w:sz="4" w:space="0"/>
              <w:right w:val="single" w:color="auto" w:sz="4" w:space="0"/>
            </w:tcBorders>
          </w:tcPr>
          <w:p w14:paraId="0A1055CE">
            <w:pPr>
              <w:spacing w:line="360" w:lineRule="auto"/>
              <w:jc w:val="center"/>
              <w:rPr>
                <w:rFonts w:ascii="仿宋_GB2312" w:hAnsi="仿宋_GB2312" w:eastAsia="仿宋_GB2312"/>
                <w:color w:val="000000" w:themeColor="text1"/>
                <w14:textFill>
                  <w14:solidFill>
                    <w14:schemeClr w14:val="tx1"/>
                  </w14:solidFill>
                </w14:textFill>
              </w:rPr>
            </w:pPr>
          </w:p>
        </w:tc>
      </w:tr>
    </w:tbl>
    <w:p w14:paraId="176B9403">
      <w:pPr>
        <w:spacing w:line="360" w:lineRule="auto"/>
        <w:rPr>
          <w:rFonts w:ascii="仿宋_GB2312" w:hAnsi="仿宋_GB2312" w:eastAsia="仿宋_GB2312"/>
          <w:color w:val="000000" w:themeColor="text1"/>
          <w14:textFill>
            <w14:solidFill>
              <w14:schemeClr w14:val="tx1"/>
            </w14:solidFill>
          </w14:textFill>
        </w:rPr>
      </w:pPr>
    </w:p>
    <w:p w14:paraId="2791CC2C">
      <w:pPr>
        <w:spacing w:line="360" w:lineRule="auto"/>
        <w:ind w:left="410" w:leftChars="171"/>
        <w:rPr>
          <w:rFonts w:ascii="仿宋_GB2312" w:hAnsi="仿宋_GB2312" w:eastAsia="仿宋_GB2312"/>
          <w:color w:val="000000" w:themeColor="text1"/>
          <w14:textFill>
            <w14:solidFill>
              <w14:schemeClr w14:val="tx1"/>
            </w14:solidFill>
          </w14:textFill>
        </w:rPr>
      </w:pPr>
    </w:p>
    <w:p w14:paraId="1B919AE1">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供应商名称：</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（加盖公章）</w:t>
      </w:r>
    </w:p>
    <w:p w14:paraId="6EA9D449">
      <w:pPr>
        <w:adjustRightInd w:val="0"/>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日期：</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年</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月</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日</w:t>
      </w:r>
    </w:p>
    <w:p w14:paraId="58FF994F">
      <w:pPr>
        <w:spacing w:line="360" w:lineRule="auto"/>
        <w:jc w:val="center"/>
        <w:rPr>
          <w:rFonts w:ascii="仿宋_GB2312" w:hAnsi="仿宋_GB2312" w:eastAsia="仿宋_GB2312"/>
          <w:b/>
          <w:bCs/>
          <w:color w:val="000000" w:themeColor="text1"/>
          <w14:textFill>
            <w14:solidFill>
              <w14:schemeClr w14:val="tx1"/>
            </w14:solidFill>
          </w14:textFill>
        </w:rPr>
      </w:pPr>
      <w:r>
        <w:rPr>
          <w:rFonts w:ascii="仿宋_GB2312" w:hAnsi="仿宋_GB2312" w:eastAsia="仿宋_GB2312"/>
          <w:color w:val="000000" w:themeColor="text1"/>
          <w14:textFill>
            <w14:solidFill>
              <w14:schemeClr w14:val="tx1"/>
            </w14:solidFill>
          </w14:textFill>
        </w:rPr>
        <w:br w:type="page"/>
      </w:r>
      <w:r>
        <w:rPr>
          <w:rFonts w:hint="eastAsia" w:ascii="仿宋_GB2312" w:hAnsi="仿宋_GB2312" w:eastAsia="仿宋_GB2312" w:cs="仿宋"/>
          <w:b/>
          <w:bCs/>
          <w:color w:val="000000" w:themeColor="text1"/>
          <w:lang w:eastAsia="zh-CN"/>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二</w:t>
      </w:r>
      <w:r>
        <w:rPr>
          <w:rFonts w:hint="eastAsia" w:ascii="仿宋_GB2312" w:hAnsi="仿宋_GB2312" w:eastAsia="仿宋_GB2312" w:cs="仿宋"/>
          <w:b/>
          <w:bCs/>
          <w:color w:val="000000" w:themeColor="text1"/>
          <w:lang w:eastAsia="zh-CN"/>
          <w14:textFill>
            <w14:solidFill>
              <w14:schemeClr w14:val="tx1"/>
            </w14:solidFill>
          </w14:textFill>
        </w:rPr>
        <w:t>）</w:t>
      </w:r>
      <w:r>
        <w:rPr>
          <w:rFonts w:hint="eastAsia" w:ascii="仿宋_GB2312" w:hAnsi="仿宋_GB2312" w:eastAsia="仿宋_GB2312" w:cs="仿宋"/>
          <w:b/>
          <w:bCs/>
          <w:color w:val="000000" w:themeColor="text1"/>
          <w14:textFill>
            <w14:solidFill>
              <w14:schemeClr w14:val="tx1"/>
            </w14:solidFill>
          </w14:textFill>
        </w:rPr>
        <w:t>主要人员简历表</w:t>
      </w:r>
    </w:p>
    <w:p w14:paraId="5A6DD130">
      <w:pPr>
        <w:spacing w:line="360" w:lineRule="auto"/>
        <w:rPr>
          <w:rFonts w:ascii="仿宋_GB2312" w:hAnsi="仿宋_GB2312" w:eastAsia="仿宋_GB2312"/>
          <w:color w:val="000000" w:themeColor="text1"/>
          <w14:textFill>
            <w14:solidFill>
              <w14:schemeClr w14:val="tx1"/>
            </w14:solidFill>
          </w14:textFill>
        </w:rPr>
      </w:pPr>
    </w:p>
    <w:tbl>
      <w:tblPr>
        <w:tblStyle w:val="12"/>
        <w:tblW w:w="9406" w:type="dxa"/>
        <w:jc w:val="center"/>
        <w:tblLayout w:type="fixed"/>
        <w:tblCellMar>
          <w:top w:w="0" w:type="dxa"/>
          <w:left w:w="0" w:type="dxa"/>
          <w:bottom w:w="0" w:type="dxa"/>
          <w:right w:w="0" w:type="dxa"/>
        </w:tblCellMar>
      </w:tblPr>
      <w:tblGrid>
        <w:gridCol w:w="1595"/>
        <w:gridCol w:w="25"/>
        <w:gridCol w:w="1215"/>
        <w:gridCol w:w="1134"/>
        <w:gridCol w:w="1276"/>
        <w:gridCol w:w="1843"/>
        <w:gridCol w:w="2318"/>
      </w:tblGrid>
      <w:tr w14:paraId="713A7569">
        <w:tblPrEx>
          <w:tblCellMar>
            <w:top w:w="0" w:type="dxa"/>
            <w:left w:w="0" w:type="dxa"/>
            <w:bottom w:w="0" w:type="dxa"/>
            <w:right w:w="0" w:type="dxa"/>
          </w:tblCellMar>
        </w:tblPrEx>
        <w:trPr>
          <w:trHeight w:val="463" w:hRule="atLeast"/>
          <w:jc w:val="center"/>
        </w:trPr>
        <w:tc>
          <w:tcPr>
            <w:tcW w:w="1595" w:type="dxa"/>
            <w:tcBorders>
              <w:top w:val="single" w:color="auto" w:sz="4" w:space="0"/>
              <w:left w:val="single" w:color="auto" w:sz="4" w:space="0"/>
              <w:bottom w:val="single" w:color="auto" w:sz="4" w:space="0"/>
              <w:right w:val="single" w:color="auto" w:sz="4" w:space="0"/>
            </w:tcBorders>
            <w:vAlign w:val="center"/>
          </w:tcPr>
          <w:p w14:paraId="3CA3B473">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姓名</w:t>
            </w:r>
          </w:p>
        </w:tc>
        <w:tc>
          <w:tcPr>
            <w:tcW w:w="1240" w:type="dxa"/>
            <w:gridSpan w:val="2"/>
            <w:tcBorders>
              <w:top w:val="single" w:color="auto" w:sz="4" w:space="0"/>
              <w:left w:val="nil"/>
              <w:bottom w:val="single" w:color="auto" w:sz="4" w:space="0"/>
              <w:right w:val="single" w:color="auto" w:sz="4" w:space="0"/>
            </w:tcBorders>
          </w:tcPr>
          <w:p w14:paraId="54D20EDC">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285AD2E2">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年龄</w:t>
            </w:r>
          </w:p>
        </w:tc>
        <w:tc>
          <w:tcPr>
            <w:tcW w:w="5437" w:type="dxa"/>
            <w:gridSpan w:val="3"/>
            <w:tcBorders>
              <w:top w:val="single" w:color="auto" w:sz="4" w:space="0"/>
              <w:left w:val="nil"/>
              <w:bottom w:val="single" w:color="auto" w:sz="4" w:space="0"/>
              <w:right w:val="single" w:color="auto" w:sz="4" w:space="0"/>
            </w:tcBorders>
          </w:tcPr>
          <w:p w14:paraId="31BCDDB5">
            <w:pPr>
              <w:spacing w:line="360" w:lineRule="auto"/>
              <w:jc w:val="center"/>
              <w:rPr>
                <w:rFonts w:ascii="仿宋_GB2312" w:hAnsi="仿宋_GB2312" w:eastAsia="仿宋_GB2312"/>
                <w:color w:val="000000" w:themeColor="text1"/>
                <w14:textFill>
                  <w14:solidFill>
                    <w14:schemeClr w14:val="tx1"/>
                  </w14:solidFill>
                </w14:textFill>
              </w:rPr>
            </w:pPr>
          </w:p>
        </w:tc>
      </w:tr>
      <w:tr w14:paraId="27AA84F1">
        <w:tblPrEx>
          <w:tblCellMar>
            <w:top w:w="0" w:type="dxa"/>
            <w:left w:w="0" w:type="dxa"/>
            <w:bottom w:w="0" w:type="dxa"/>
            <w:right w:w="0" w:type="dxa"/>
          </w:tblCellMar>
        </w:tblPrEx>
        <w:trPr>
          <w:trHeight w:val="451" w:hRule="atLeast"/>
          <w:jc w:val="center"/>
        </w:trPr>
        <w:tc>
          <w:tcPr>
            <w:tcW w:w="1595" w:type="dxa"/>
            <w:tcBorders>
              <w:top w:val="single" w:color="auto" w:sz="4" w:space="0"/>
              <w:left w:val="single" w:color="auto" w:sz="4" w:space="0"/>
              <w:bottom w:val="single" w:color="auto" w:sz="4" w:space="0"/>
              <w:right w:val="single" w:color="auto" w:sz="4" w:space="0"/>
            </w:tcBorders>
            <w:vAlign w:val="center"/>
          </w:tcPr>
          <w:p w14:paraId="2359DF01">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职称</w:t>
            </w:r>
          </w:p>
        </w:tc>
        <w:tc>
          <w:tcPr>
            <w:tcW w:w="1240" w:type="dxa"/>
            <w:gridSpan w:val="2"/>
            <w:tcBorders>
              <w:top w:val="single" w:color="auto" w:sz="4" w:space="0"/>
              <w:left w:val="nil"/>
              <w:bottom w:val="single" w:color="auto" w:sz="4" w:space="0"/>
              <w:right w:val="single" w:color="auto" w:sz="4" w:space="0"/>
            </w:tcBorders>
          </w:tcPr>
          <w:p w14:paraId="31F5DA96">
            <w:pPr>
              <w:spacing w:line="360" w:lineRule="auto"/>
              <w:jc w:val="center"/>
              <w:rPr>
                <w:rFonts w:ascii="仿宋_GB2312" w:hAnsi="仿宋_GB2312" w:eastAsia="仿宋_GB2312"/>
                <w:color w:val="000000" w:themeColor="text1"/>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vAlign w:val="center"/>
          </w:tcPr>
          <w:p w14:paraId="3CA58C4E">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职务</w:t>
            </w:r>
          </w:p>
        </w:tc>
        <w:tc>
          <w:tcPr>
            <w:tcW w:w="1276" w:type="dxa"/>
            <w:tcBorders>
              <w:top w:val="single" w:color="auto" w:sz="4" w:space="0"/>
              <w:left w:val="nil"/>
              <w:bottom w:val="single" w:color="auto" w:sz="4" w:space="0"/>
              <w:right w:val="single" w:color="auto" w:sz="4" w:space="0"/>
            </w:tcBorders>
          </w:tcPr>
          <w:p w14:paraId="32A8337F">
            <w:pPr>
              <w:spacing w:line="360" w:lineRule="auto"/>
              <w:jc w:val="center"/>
              <w:rPr>
                <w:rFonts w:ascii="仿宋_GB2312" w:hAnsi="仿宋_GB2312" w:eastAsia="仿宋_GB2312"/>
                <w:color w:val="000000" w:themeColor="text1"/>
                <w14:textFill>
                  <w14:solidFill>
                    <w14:schemeClr w14:val="tx1"/>
                  </w14:solidFill>
                </w14:textFill>
              </w:rPr>
            </w:pPr>
          </w:p>
        </w:tc>
        <w:tc>
          <w:tcPr>
            <w:tcW w:w="1843" w:type="dxa"/>
            <w:tcBorders>
              <w:top w:val="single" w:color="auto" w:sz="4" w:space="0"/>
              <w:left w:val="nil"/>
              <w:bottom w:val="single" w:color="auto" w:sz="4" w:space="0"/>
              <w:right w:val="single" w:color="auto" w:sz="4" w:space="0"/>
            </w:tcBorders>
            <w:vAlign w:val="center"/>
          </w:tcPr>
          <w:p w14:paraId="69796B15">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拟在本合同任职</w:t>
            </w:r>
          </w:p>
        </w:tc>
        <w:tc>
          <w:tcPr>
            <w:tcW w:w="2318" w:type="dxa"/>
            <w:tcBorders>
              <w:top w:val="single" w:color="auto" w:sz="4" w:space="0"/>
              <w:left w:val="nil"/>
              <w:bottom w:val="single" w:color="auto" w:sz="4" w:space="0"/>
              <w:right w:val="single" w:color="auto" w:sz="4" w:space="0"/>
            </w:tcBorders>
          </w:tcPr>
          <w:p w14:paraId="78125E9D">
            <w:pPr>
              <w:spacing w:line="360" w:lineRule="auto"/>
              <w:jc w:val="center"/>
              <w:rPr>
                <w:rFonts w:ascii="仿宋_GB2312" w:hAnsi="仿宋_GB2312" w:eastAsia="仿宋_GB2312"/>
                <w:color w:val="000000" w:themeColor="text1"/>
                <w14:textFill>
                  <w14:solidFill>
                    <w14:schemeClr w14:val="tx1"/>
                  </w14:solidFill>
                </w14:textFill>
              </w:rPr>
            </w:pPr>
          </w:p>
        </w:tc>
      </w:tr>
      <w:tr w14:paraId="516A3425">
        <w:tblPrEx>
          <w:tblCellMar>
            <w:top w:w="0" w:type="dxa"/>
            <w:left w:w="0" w:type="dxa"/>
            <w:bottom w:w="0" w:type="dxa"/>
            <w:right w:w="0" w:type="dxa"/>
          </w:tblCellMar>
        </w:tblPrEx>
        <w:trPr>
          <w:trHeight w:val="613" w:hRule="atLeast"/>
          <w:jc w:val="center"/>
        </w:trPr>
        <w:tc>
          <w:tcPr>
            <w:tcW w:w="9406" w:type="dxa"/>
            <w:gridSpan w:val="7"/>
            <w:tcBorders>
              <w:top w:val="single" w:color="auto" w:sz="4" w:space="0"/>
              <w:left w:val="single" w:color="auto" w:sz="4" w:space="0"/>
              <w:bottom w:val="single" w:color="auto" w:sz="4" w:space="0"/>
              <w:right w:val="single" w:color="auto" w:sz="4" w:space="0"/>
            </w:tcBorders>
            <w:vAlign w:val="center"/>
          </w:tcPr>
          <w:p w14:paraId="0E4DAECD">
            <w:pPr>
              <w:spacing w:line="360" w:lineRule="auto"/>
              <w:ind w:firstLine="4800" w:firstLineChars="200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主要工作经历</w:t>
            </w:r>
          </w:p>
        </w:tc>
      </w:tr>
      <w:tr w14:paraId="10FD7677">
        <w:tblPrEx>
          <w:tblCellMar>
            <w:top w:w="0" w:type="dxa"/>
            <w:left w:w="0" w:type="dxa"/>
            <w:bottom w:w="0" w:type="dxa"/>
            <w:right w:w="0" w:type="dxa"/>
          </w:tblCellMar>
        </w:tblPrEx>
        <w:trPr>
          <w:trHeight w:val="613" w:hRule="atLeast"/>
          <w:jc w:val="center"/>
        </w:trPr>
        <w:tc>
          <w:tcPr>
            <w:tcW w:w="1620" w:type="dxa"/>
            <w:gridSpan w:val="2"/>
            <w:tcBorders>
              <w:top w:val="single" w:color="auto" w:sz="4" w:space="0"/>
              <w:left w:val="single" w:color="auto" w:sz="4" w:space="0"/>
              <w:bottom w:val="single" w:color="auto" w:sz="4" w:space="0"/>
              <w:right w:val="single" w:color="auto" w:sz="4" w:space="0"/>
            </w:tcBorders>
            <w:vAlign w:val="center"/>
          </w:tcPr>
          <w:p w14:paraId="2770EB3A">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时间</w:t>
            </w:r>
          </w:p>
        </w:tc>
        <w:tc>
          <w:tcPr>
            <w:tcW w:w="3625" w:type="dxa"/>
            <w:gridSpan w:val="3"/>
            <w:tcBorders>
              <w:top w:val="single" w:color="auto" w:sz="4" w:space="0"/>
              <w:left w:val="nil"/>
              <w:bottom w:val="single" w:color="auto" w:sz="4" w:space="0"/>
              <w:right w:val="single" w:color="auto" w:sz="4" w:space="0"/>
            </w:tcBorders>
            <w:vAlign w:val="center"/>
          </w:tcPr>
          <w:p w14:paraId="3522DF5E">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项目名称</w:t>
            </w:r>
          </w:p>
        </w:tc>
        <w:tc>
          <w:tcPr>
            <w:tcW w:w="1843" w:type="dxa"/>
            <w:tcBorders>
              <w:top w:val="single" w:color="auto" w:sz="4" w:space="0"/>
              <w:left w:val="nil"/>
              <w:bottom w:val="single" w:color="auto" w:sz="4" w:space="0"/>
              <w:right w:val="single" w:color="auto" w:sz="4" w:space="0"/>
            </w:tcBorders>
            <w:vAlign w:val="center"/>
          </w:tcPr>
          <w:p w14:paraId="3039E605">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担任职务</w:t>
            </w:r>
          </w:p>
        </w:tc>
        <w:tc>
          <w:tcPr>
            <w:tcW w:w="2318" w:type="dxa"/>
            <w:tcBorders>
              <w:top w:val="single" w:color="auto" w:sz="4" w:space="0"/>
              <w:left w:val="nil"/>
              <w:bottom w:val="single" w:color="auto" w:sz="4" w:space="0"/>
              <w:right w:val="single" w:color="auto" w:sz="4" w:space="0"/>
            </w:tcBorders>
            <w:vAlign w:val="center"/>
          </w:tcPr>
          <w:p w14:paraId="287E1846">
            <w:pPr>
              <w:spacing w:line="360" w:lineRule="auto"/>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发包人</w:t>
            </w:r>
          </w:p>
        </w:tc>
      </w:tr>
      <w:tr w14:paraId="06F37086">
        <w:tblPrEx>
          <w:tblCellMar>
            <w:top w:w="0" w:type="dxa"/>
            <w:left w:w="0" w:type="dxa"/>
            <w:bottom w:w="0" w:type="dxa"/>
            <w:right w:w="0" w:type="dxa"/>
          </w:tblCellMar>
        </w:tblPrEx>
        <w:trPr>
          <w:trHeight w:val="613" w:hRule="atLeast"/>
          <w:jc w:val="center"/>
        </w:trPr>
        <w:tc>
          <w:tcPr>
            <w:tcW w:w="1620" w:type="dxa"/>
            <w:gridSpan w:val="2"/>
            <w:tcBorders>
              <w:top w:val="single" w:color="auto" w:sz="4" w:space="0"/>
              <w:left w:val="single" w:color="auto" w:sz="4" w:space="0"/>
              <w:bottom w:val="single" w:color="auto" w:sz="4" w:space="0"/>
              <w:right w:val="single" w:color="auto" w:sz="4" w:space="0"/>
            </w:tcBorders>
            <w:vAlign w:val="center"/>
          </w:tcPr>
          <w:p w14:paraId="06B80467">
            <w:pPr>
              <w:spacing w:line="360" w:lineRule="auto"/>
              <w:jc w:val="center"/>
              <w:rPr>
                <w:rFonts w:ascii="仿宋_GB2312" w:hAnsi="仿宋_GB2312" w:eastAsia="仿宋_GB2312"/>
                <w:color w:val="000000" w:themeColor="text1"/>
                <w14:textFill>
                  <w14:solidFill>
                    <w14:schemeClr w14:val="tx1"/>
                  </w14:solidFill>
                </w14:textFill>
              </w:rPr>
            </w:pPr>
          </w:p>
        </w:tc>
        <w:tc>
          <w:tcPr>
            <w:tcW w:w="3625" w:type="dxa"/>
            <w:gridSpan w:val="3"/>
            <w:tcBorders>
              <w:top w:val="single" w:color="auto" w:sz="4" w:space="0"/>
              <w:left w:val="nil"/>
              <w:bottom w:val="single" w:color="auto" w:sz="4" w:space="0"/>
              <w:right w:val="single" w:color="auto" w:sz="4" w:space="0"/>
            </w:tcBorders>
            <w:vAlign w:val="center"/>
          </w:tcPr>
          <w:p w14:paraId="6E194E03">
            <w:pPr>
              <w:spacing w:line="360" w:lineRule="auto"/>
              <w:jc w:val="center"/>
              <w:rPr>
                <w:rFonts w:ascii="仿宋_GB2312" w:hAnsi="仿宋_GB2312" w:eastAsia="仿宋_GB2312"/>
                <w:color w:val="000000" w:themeColor="text1"/>
                <w14:textFill>
                  <w14:solidFill>
                    <w14:schemeClr w14:val="tx1"/>
                  </w14:solidFill>
                </w14:textFill>
              </w:rPr>
            </w:pPr>
          </w:p>
        </w:tc>
        <w:tc>
          <w:tcPr>
            <w:tcW w:w="1843" w:type="dxa"/>
            <w:tcBorders>
              <w:top w:val="single" w:color="auto" w:sz="4" w:space="0"/>
              <w:left w:val="nil"/>
              <w:bottom w:val="single" w:color="auto" w:sz="4" w:space="0"/>
              <w:right w:val="single" w:color="auto" w:sz="4" w:space="0"/>
            </w:tcBorders>
            <w:vAlign w:val="center"/>
          </w:tcPr>
          <w:p w14:paraId="32A25C3F">
            <w:pPr>
              <w:spacing w:line="360" w:lineRule="auto"/>
              <w:jc w:val="center"/>
              <w:rPr>
                <w:rFonts w:ascii="仿宋_GB2312" w:hAnsi="仿宋_GB2312" w:eastAsia="仿宋_GB2312"/>
                <w:color w:val="000000" w:themeColor="text1"/>
                <w14:textFill>
                  <w14:solidFill>
                    <w14:schemeClr w14:val="tx1"/>
                  </w14:solidFill>
                </w14:textFill>
              </w:rPr>
            </w:pPr>
          </w:p>
        </w:tc>
        <w:tc>
          <w:tcPr>
            <w:tcW w:w="2318" w:type="dxa"/>
            <w:tcBorders>
              <w:top w:val="single" w:color="auto" w:sz="4" w:space="0"/>
              <w:left w:val="nil"/>
              <w:bottom w:val="single" w:color="auto" w:sz="4" w:space="0"/>
              <w:right w:val="single" w:color="auto" w:sz="4" w:space="0"/>
            </w:tcBorders>
            <w:vAlign w:val="center"/>
          </w:tcPr>
          <w:p w14:paraId="50C855A5">
            <w:pPr>
              <w:spacing w:line="360" w:lineRule="auto"/>
              <w:jc w:val="center"/>
              <w:rPr>
                <w:rFonts w:ascii="仿宋_GB2312" w:hAnsi="仿宋_GB2312" w:eastAsia="仿宋_GB2312"/>
                <w:color w:val="000000" w:themeColor="text1"/>
                <w14:textFill>
                  <w14:solidFill>
                    <w14:schemeClr w14:val="tx1"/>
                  </w14:solidFill>
                </w14:textFill>
              </w:rPr>
            </w:pPr>
          </w:p>
        </w:tc>
      </w:tr>
      <w:tr w14:paraId="1FAF412B">
        <w:tblPrEx>
          <w:tblCellMar>
            <w:top w:w="0" w:type="dxa"/>
            <w:left w:w="0" w:type="dxa"/>
            <w:bottom w:w="0" w:type="dxa"/>
            <w:right w:w="0" w:type="dxa"/>
          </w:tblCellMar>
        </w:tblPrEx>
        <w:trPr>
          <w:trHeight w:val="613" w:hRule="atLeast"/>
          <w:jc w:val="center"/>
        </w:trPr>
        <w:tc>
          <w:tcPr>
            <w:tcW w:w="1620" w:type="dxa"/>
            <w:gridSpan w:val="2"/>
            <w:tcBorders>
              <w:top w:val="single" w:color="auto" w:sz="4" w:space="0"/>
              <w:left w:val="single" w:color="auto" w:sz="4" w:space="0"/>
              <w:bottom w:val="single" w:color="auto" w:sz="4" w:space="0"/>
              <w:right w:val="single" w:color="auto" w:sz="4" w:space="0"/>
            </w:tcBorders>
            <w:vAlign w:val="center"/>
          </w:tcPr>
          <w:p w14:paraId="681FF96E">
            <w:pPr>
              <w:spacing w:line="360" w:lineRule="auto"/>
              <w:jc w:val="center"/>
              <w:rPr>
                <w:rFonts w:ascii="仿宋_GB2312" w:hAnsi="仿宋_GB2312" w:eastAsia="仿宋_GB2312"/>
                <w:color w:val="000000" w:themeColor="text1"/>
                <w14:textFill>
                  <w14:solidFill>
                    <w14:schemeClr w14:val="tx1"/>
                  </w14:solidFill>
                </w14:textFill>
              </w:rPr>
            </w:pPr>
          </w:p>
        </w:tc>
        <w:tc>
          <w:tcPr>
            <w:tcW w:w="3625" w:type="dxa"/>
            <w:gridSpan w:val="3"/>
            <w:tcBorders>
              <w:top w:val="single" w:color="auto" w:sz="4" w:space="0"/>
              <w:left w:val="nil"/>
              <w:bottom w:val="single" w:color="auto" w:sz="4" w:space="0"/>
              <w:right w:val="single" w:color="auto" w:sz="4" w:space="0"/>
            </w:tcBorders>
            <w:vAlign w:val="center"/>
          </w:tcPr>
          <w:p w14:paraId="40473F87">
            <w:pPr>
              <w:spacing w:line="360" w:lineRule="auto"/>
              <w:jc w:val="center"/>
              <w:rPr>
                <w:rFonts w:ascii="仿宋_GB2312" w:hAnsi="仿宋_GB2312" w:eastAsia="仿宋_GB2312"/>
                <w:color w:val="000000" w:themeColor="text1"/>
                <w14:textFill>
                  <w14:solidFill>
                    <w14:schemeClr w14:val="tx1"/>
                  </w14:solidFill>
                </w14:textFill>
              </w:rPr>
            </w:pPr>
          </w:p>
        </w:tc>
        <w:tc>
          <w:tcPr>
            <w:tcW w:w="1843" w:type="dxa"/>
            <w:tcBorders>
              <w:top w:val="single" w:color="auto" w:sz="4" w:space="0"/>
              <w:left w:val="nil"/>
              <w:bottom w:val="single" w:color="auto" w:sz="4" w:space="0"/>
              <w:right w:val="single" w:color="auto" w:sz="4" w:space="0"/>
            </w:tcBorders>
            <w:vAlign w:val="center"/>
          </w:tcPr>
          <w:p w14:paraId="333DE0A2">
            <w:pPr>
              <w:spacing w:line="360" w:lineRule="auto"/>
              <w:jc w:val="center"/>
              <w:rPr>
                <w:rFonts w:ascii="仿宋_GB2312" w:hAnsi="仿宋_GB2312" w:eastAsia="仿宋_GB2312"/>
                <w:color w:val="000000" w:themeColor="text1"/>
                <w14:textFill>
                  <w14:solidFill>
                    <w14:schemeClr w14:val="tx1"/>
                  </w14:solidFill>
                </w14:textFill>
              </w:rPr>
            </w:pPr>
          </w:p>
        </w:tc>
        <w:tc>
          <w:tcPr>
            <w:tcW w:w="2318" w:type="dxa"/>
            <w:tcBorders>
              <w:top w:val="single" w:color="auto" w:sz="4" w:space="0"/>
              <w:left w:val="nil"/>
              <w:bottom w:val="single" w:color="auto" w:sz="4" w:space="0"/>
              <w:right w:val="single" w:color="auto" w:sz="4" w:space="0"/>
            </w:tcBorders>
            <w:vAlign w:val="center"/>
          </w:tcPr>
          <w:p w14:paraId="562E6AC6">
            <w:pPr>
              <w:spacing w:line="360" w:lineRule="auto"/>
              <w:jc w:val="center"/>
              <w:rPr>
                <w:rFonts w:ascii="仿宋_GB2312" w:hAnsi="仿宋_GB2312" w:eastAsia="仿宋_GB2312"/>
                <w:color w:val="000000" w:themeColor="text1"/>
                <w14:textFill>
                  <w14:solidFill>
                    <w14:schemeClr w14:val="tx1"/>
                  </w14:solidFill>
                </w14:textFill>
              </w:rPr>
            </w:pPr>
          </w:p>
        </w:tc>
      </w:tr>
      <w:tr w14:paraId="596A2ED9">
        <w:tblPrEx>
          <w:tblCellMar>
            <w:top w:w="0" w:type="dxa"/>
            <w:left w:w="0" w:type="dxa"/>
            <w:bottom w:w="0" w:type="dxa"/>
            <w:right w:w="0" w:type="dxa"/>
          </w:tblCellMar>
        </w:tblPrEx>
        <w:trPr>
          <w:trHeight w:val="613" w:hRule="atLeast"/>
          <w:jc w:val="center"/>
        </w:trPr>
        <w:tc>
          <w:tcPr>
            <w:tcW w:w="1620" w:type="dxa"/>
            <w:gridSpan w:val="2"/>
            <w:tcBorders>
              <w:top w:val="single" w:color="auto" w:sz="4" w:space="0"/>
              <w:left w:val="single" w:color="auto" w:sz="4" w:space="0"/>
              <w:bottom w:val="single" w:color="auto" w:sz="4" w:space="0"/>
              <w:right w:val="single" w:color="auto" w:sz="4" w:space="0"/>
            </w:tcBorders>
            <w:vAlign w:val="center"/>
          </w:tcPr>
          <w:p w14:paraId="5D1D50DF">
            <w:pPr>
              <w:spacing w:line="360" w:lineRule="auto"/>
              <w:jc w:val="center"/>
              <w:rPr>
                <w:rFonts w:ascii="仿宋_GB2312" w:hAnsi="仿宋_GB2312" w:eastAsia="仿宋_GB2312"/>
                <w:color w:val="000000" w:themeColor="text1"/>
                <w14:textFill>
                  <w14:solidFill>
                    <w14:schemeClr w14:val="tx1"/>
                  </w14:solidFill>
                </w14:textFill>
              </w:rPr>
            </w:pPr>
          </w:p>
        </w:tc>
        <w:tc>
          <w:tcPr>
            <w:tcW w:w="3625" w:type="dxa"/>
            <w:gridSpan w:val="3"/>
            <w:tcBorders>
              <w:top w:val="single" w:color="auto" w:sz="4" w:space="0"/>
              <w:left w:val="nil"/>
              <w:bottom w:val="single" w:color="auto" w:sz="4" w:space="0"/>
              <w:right w:val="single" w:color="auto" w:sz="4" w:space="0"/>
            </w:tcBorders>
            <w:vAlign w:val="center"/>
          </w:tcPr>
          <w:p w14:paraId="2ABA8F02">
            <w:pPr>
              <w:spacing w:line="360" w:lineRule="auto"/>
              <w:jc w:val="center"/>
              <w:rPr>
                <w:rFonts w:ascii="仿宋_GB2312" w:hAnsi="仿宋_GB2312" w:eastAsia="仿宋_GB2312"/>
                <w:color w:val="000000" w:themeColor="text1"/>
                <w14:textFill>
                  <w14:solidFill>
                    <w14:schemeClr w14:val="tx1"/>
                  </w14:solidFill>
                </w14:textFill>
              </w:rPr>
            </w:pPr>
          </w:p>
        </w:tc>
        <w:tc>
          <w:tcPr>
            <w:tcW w:w="1843" w:type="dxa"/>
            <w:tcBorders>
              <w:top w:val="single" w:color="auto" w:sz="4" w:space="0"/>
              <w:left w:val="nil"/>
              <w:bottom w:val="single" w:color="auto" w:sz="4" w:space="0"/>
              <w:right w:val="single" w:color="auto" w:sz="4" w:space="0"/>
            </w:tcBorders>
            <w:vAlign w:val="center"/>
          </w:tcPr>
          <w:p w14:paraId="2CA09389">
            <w:pPr>
              <w:spacing w:line="360" w:lineRule="auto"/>
              <w:jc w:val="center"/>
              <w:rPr>
                <w:rFonts w:ascii="仿宋_GB2312" w:hAnsi="仿宋_GB2312" w:eastAsia="仿宋_GB2312"/>
                <w:color w:val="000000" w:themeColor="text1"/>
                <w14:textFill>
                  <w14:solidFill>
                    <w14:schemeClr w14:val="tx1"/>
                  </w14:solidFill>
                </w14:textFill>
              </w:rPr>
            </w:pPr>
          </w:p>
        </w:tc>
        <w:tc>
          <w:tcPr>
            <w:tcW w:w="2318" w:type="dxa"/>
            <w:tcBorders>
              <w:top w:val="single" w:color="auto" w:sz="4" w:space="0"/>
              <w:left w:val="nil"/>
              <w:bottom w:val="single" w:color="auto" w:sz="4" w:space="0"/>
              <w:right w:val="single" w:color="auto" w:sz="4" w:space="0"/>
            </w:tcBorders>
            <w:vAlign w:val="center"/>
          </w:tcPr>
          <w:p w14:paraId="453599C8">
            <w:pPr>
              <w:spacing w:line="360" w:lineRule="auto"/>
              <w:jc w:val="center"/>
              <w:rPr>
                <w:rFonts w:ascii="仿宋_GB2312" w:hAnsi="仿宋_GB2312" w:eastAsia="仿宋_GB2312"/>
                <w:color w:val="000000" w:themeColor="text1"/>
                <w14:textFill>
                  <w14:solidFill>
                    <w14:schemeClr w14:val="tx1"/>
                  </w14:solidFill>
                </w14:textFill>
              </w:rPr>
            </w:pPr>
          </w:p>
        </w:tc>
      </w:tr>
    </w:tbl>
    <w:p w14:paraId="29130390">
      <w:pPr>
        <w:spacing w:line="360" w:lineRule="auto"/>
        <w:rPr>
          <w:rFonts w:ascii="仿宋_GB2312" w:hAnsi="仿宋_GB2312" w:eastAsia="仿宋_GB2312"/>
          <w:color w:val="000000" w:themeColor="text1"/>
          <w14:textFill>
            <w14:solidFill>
              <w14:schemeClr w14:val="tx1"/>
            </w14:solidFill>
          </w14:textFill>
        </w:rPr>
      </w:pPr>
    </w:p>
    <w:p w14:paraId="22431823">
      <w:pPr>
        <w:spacing w:line="360" w:lineRule="auto"/>
        <w:ind w:left="120" w:hanging="120" w:hangingChars="50"/>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注：</w:t>
      </w:r>
    </w:p>
    <w:p w14:paraId="59AF1434">
      <w:pPr>
        <w:spacing w:line="360" w:lineRule="auto"/>
        <w:ind w:left="120" w:hanging="120" w:hangingChars="5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r>
        <w:rPr>
          <w:rFonts w:hint="eastAsia" w:ascii="仿宋_GB2312" w:hAnsi="仿宋_GB2312" w:eastAsia="仿宋_GB2312" w:cs="仿宋"/>
          <w:color w:val="000000" w:themeColor="text1"/>
          <w14:textFill>
            <w14:solidFill>
              <w14:schemeClr w14:val="tx1"/>
            </w14:solidFill>
          </w14:textFill>
        </w:rPr>
        <w:t>．人员应附身份证复印件。</w:t>
      </w:r>
    </w:p>
    <w:p w14:paraId="20E1CA7A">
      <w:pPr>
        <w:spacing w:line="360" w:lineRule="auto"/>
        <w:ind w:left="120" w:hanging="120" w:hangingChars="50"/>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eastAsia="zh-CN"/>
          <w14:textFill>
            <w14:solidFill>
              <w14:schemeClr w14:val="tx1"/>
            </w14:solidFill>
          </w14:textFill>
        </w:rPr>
        <w:t>有相关证书的</w:t>
      </w:r>
      <w:r>
        <w:rPr>
          <w:rFonts w:hint="eastAsia" w:ascii="仿宋_GB2312" w:hAnsi="仿宋_GB2312" w:eastAsia="仿宋_GB2312" w:cs="仿宋"/>
          <w:color w:val="000000" w:themeColor="text1"/>
          <w14:textFill>
            <w14:solidFill>
              <w14:schemeClr w14:val="tx1"/>
            </w14:solidFill>
          </w14:textFill>
        </w:rPr>
        <w:t>人员应附执业或职业资格证或上岗证或职称证复印件。</w:t>
      </w:r>
    </w:p>
    <w:p w14:paraId="4DABD954">
      <w:pPr>
        <w:spacing w:line="360" w:lineRule="auto"/>
        <w:rPr>
          <w:rFonts w:ascii="仿宋_GB2312" w:hAnsi="仿宋_GB2312" w:eastAsia="仿宋_GB2312"/>
          <w:color w:val="000000" w:themeColor="text1"/>
          <w14:textFill>
            <w14:solidFill>
              <w14:schemeClr w14:val="tx1"/>
            </w14:solidFill>
          </w14:textFill>
        </w:rPr>
      </w:pPr>
    </w:p>
    <w:p w14:paraId="2ECAB203">
      <w:pPr>
        <w:rPr>
          <w:rFonts w:hint="eastAsia" w:ascii="仿宋_GB2312" w:hAnsi="仿宋_GB2312" w:eastAsia="仿宋_GB2312" w:cs="仿宋"/>
          <w:b/>
          <w:bCs/>
          <w:color w:val="000000" w:themeColor="text1"/>
          <w:sz w:val="28"/>
          <w:szCs w:val="28"/>
          <w:lang w:val="en-US" w:eastAsia="zh-CN"/>
          <w14:textFill>
            <w14:solidFill>
              <w14:schemeClr w14:val="tx1"/>
            </w14:solidFill>
          </w14:textFill>
        </w:rPr>
      </w:pPr>
      <w:r>
        <w:rPr>
          <w:rFonts w:ascii="仿宋_GB2312" w:hAnsi="仿宋_GB2312" w:eastAsia="仿宋_GB2312"/>
          <w:color w:val="000000" w:themeColor="text1"/>
          <w14:textFill>
            <w14:solidFill>
              <w14:schemeClr w14:val="tx1"/>
            </w14:solidFill>
          </w14:textFill>
        </w:rPr>
        <w:br w:type="page"/>
      </w:r>
      <w:r>
        <w:rPr>
          <w:rFonts w:hint="eastAsia" w:ascii="仿宋_GB2312" w:hAnsi="仿宋_GB2312" w:eastAsia="仿宋_GB2312" w:cs="仿宋"/>
          <w:b/>
          <w:bCs/>
          <w:color w:val="000000" w:themeColor="text1"/>
          <w:sz w:val="28"/>
          <w:szCs w:val="28"/>
          <w14:textFill>
            <w14:solidFill>
              <w14:schemeClr w14:val="tx1"/>
            </w14:solidFill>
          </w14:textFill>
        </w:rPr>
        <w:t>格式</w:t>
      </w:r>
      <w:r>
        <w:rPr>
          <w:rFonts w:hint="eastAsia" w:ascii="仿宋_GB2312" w:hAnsi="仿宋_GB2312" w:eastAsia="仿宋_GB2312" w:cs="仿宋"/>
          <w:b/>
          <w:bCs/>
          <w:color w:val="000000" w:themeColor="text1"/>
          <w:sz w:val="28"/>
          <w:szCs w:val="28"/>
          <w:lang w:val="en-US" w:eastAsia="zh-CN"/>
          <w14:textFill>
            <w14:solidFill>
              <w14:schemeClr w14:val="tx1"/>
            </w14:solidFill>
          </w14:textFill>
        </w:rPr>
        <w:t>8</w:t>
      </w:r>
    </w:p>
    <w:p w14:paraId="2DD7A25D">
      <w:pPr>
        <w:pStyle w:val="4"/>
        <w:tabs>
          <w:tab w:val="left" w:pos="426"/>
          <w:tab w:val="left" w:pos="567"/>
        </w:tabs>
        <w:jc w:val="center"/>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八</w:t>
      </w:r>
      <w:r>
        <w:rPr>
          <w:rFonts w:hint="eastAsia" w:ascii="仿宋_GB2312" w:hAnsi="仿宋_GB2312" w:eastAsia="仿宋_GB2312" w:cs="仿宋"/>
          <w:color w:val="000000" w:themeColor="text1"/>
          <w14:textFill>
            <w14:solidFill>
              <w14:schemeClr w14:val="tx1"/>
            </w14:solidFill>
          </w14:textFill>
        </w:rPr>
        <w:t>、</w:t>
      </w:r>
      <w:r>
        <w:rPr>
          <w:rFonts w:hint="eastAsia" w:ascii="仿宋_GB2312" w:hAnsi="仿宋_GB2312" w:eastAsia="仿宋_GB2312" w:cs="仿宋"/>
          <w:color w:val="000000" w:themeColor="text1"/>
          <w:lang w:eastAsia="zh-CN"/>
          <w14:textFill>
            <w14:solidFill>
              <w14:schemeClr w14:val="tx1"/>
            </w14:solidFill>
          </w14:textFill>
        </w:rPr>
        <w:t>首轮</w:t>
      </w:r>
      <w:r>
        <w:rPr>
          <w:rFonts w:hint="eastAsia" w:ascii="仿宋_GB2312" w:hAnsi="仿宋_GB2312" w:eastAsia="仿宋_GB2312" w:cs="仿宋"/>
          <w:color w:val="000000" w:themeColor="text1"/>
          <w14:textFill>
            <w14:solidFill>
              <w14:schemeClr w14:val="tx1"/>
            </w14:solidFill>
          </w14:textFill>
        </w:rPr>
        <w:t>报价表</w:t>
      </w:r>
    </w:p>
    <w:p w14:paraId="6DFA83D6">
      <w:pPr>
        <w:spacing w:line="360" w:lineRule="auto"/>
        <w:rPr>
          <w:rFonts w:ascii="仿宋_GB2312" w:hAnsi="仿宋_GB2312" w:eastAsia="仿宋_GB2312"/>
          <w:color w:val="000000" w:themeColor="text1"/>
          <w14:textFill>
            <w14:solidFill>
              <w14:schemeClr w14:val="tx1"/>
            </w14:solidFill>
          </w14:textFill>
        </w:rPr>
      </w:pPr>
      <w:bookmarkStart w:id="68" w:name="_Toc509579147"/>
      <w:r>
        <w:rPr>
          <w:rFonts w:hint="eastAsia" w:ascii="仿宋_GB2312" w:hAnsi="仿宋_GB2312" w:eastAsia="仿宋_GB2312" w:cs="仿宋"/>
          <w:color w:val="000000" w:themeColor="text1"/>
          <w14:textFill>
            <w14:solidFill>
              <w14:schemeClr w14:val="tx1"/>
            </w14:solidFill>
          </w14:textFill>
        </w:rPr>
        <w:t>项目名称</w:t>
      </w:r>
      <w:r>
        <w:rPr>
          <w:rFonts w:hint="eastAsia" w:ascii="仿宋_GB2312" w:hAnsi="仿宋_GB2312" w:eastAsia="仿宋_GB2312" w:cs="仿宋"/>
          <w:color w:val="000000" w:themeColor="text1"/>
          <w:lang w:eastAsia="zh-CN"/>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采购项目</w:t>
      </w:r>
    </w:p>
    <w:p w14:paraId="7D6C003E">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项目编号</w:t>
      </w:r>
      <w:r>
        <w:rPr>
          <w:rFonts w:hint="eastAsia" w:ascii="仿宋_GB2312" w:hAnsi="仿宋_GB2312" w:eastAsia="仿宋_GB2312" w:cs="仿宋"/>
          <w:color w:val="000000" w:themeColor="text1"/>
          <w:lang w:eastAsia="zh-CN"/>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号</w:t>
      </w:r>
    </w:p>
    <w:tbl>
      <w:tblPr>
        <w:tblStyle w:val="12"/>
        <w:tblpPr w:leftFromText="180" w:rightFromText="180" w:vertAnchor="text" w:tblpXSpec="center" w:tblpY="128"/>
        <w:tblW w:w="91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5282"/>
        <w:gridCol w:w="2693"/>
      </w:tblGrid>
      <w:tr w14:paraId="0E36D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129" w:type="dxa"/>
            <w:vAlign w:val="center"/>
          </w:tcPr>
          <w:p w14:paraId="73EC7455">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序号</w:t>
            </w:r>
          </w:p>
        </w:tc>
        <w:tc>
          <w:tcPr>
            <w:tcW w:w="5282" w:type="dxa"/>
            <w:vAlign w:val="center"/>
          </w:tcPr>
          <w:p w14:paraId="4B975DD4">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采购内容</w:t>
            </w:r>
          </w:p>
        </w:tc>
        <w:tc>
          <w:tcPr>
            <w:tcW w:w="2693" w:type="dxa"/>
            <w:vAlign w:val="center"/>
          </w:tcPr>
          <w:p w14:paraId="40E61D00">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报价</w:t>
            </w:r>
          </w:p>
        </w:tc>
      </w:tr>
      <w:tr w14:paraId="115AC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29" w:type="dxa"/>
            <w:vAlign w:val="center"/>
          </w:tcPr>
          <w:p w14:paraId="28CD4509">
            <w:pPr>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p>
        </w:tc>
        <w:tc>
          <w:tcPr>
            <w:tcW w:w="5282" w:type="dxa"/>
            <w:vAlign w:val="center"/>
          </w:tcPr>
          <w:p w14:paraId="34735BAE">
            <w:pPr>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XXX</w:t>
            </w:r>
          </w:p>
        </w:tc>
        <w:tc>
          <w:tcPr>
            <w:tcW w:w="2693" w:type="dxa"/>
            <w:vAlign w:val="center"/>
          </w:tcPr>
          <w:p w14:paraId="1E830BB9">
            <w:pPr>
              <w:ind w:firstLine="1108" w:firstLineChars="462"/>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w:t>
            </w:r>
          </w:p>
        </w:tc>
      </w:tr>
    </w:tbl>
    <w:p w14:paraId="3CD4333F">
      <w:pPr>
        <w:snapToGrid w:val="0"/>
        <w:spacing w:line="360" w:lineRule="auto"/>
        <w:ind w:right="-713" w:rightChars="-297"/>
        <w:rPr>
          <w:rFonts w:ascii="仿宋_GB2312" w:hAnsi="仿宋_GB2312" w:eastAsia="仿宋_GB2312"/>
          <w:color w:val="000000" w:themeColor="text1"/>
          <w14:textFill>
            <w14:solidFill>
              <w14:schemeClr w14:val="tx1"/>
            </w14:solidFill>
          </w14:textFill>
        </w:rPr>
      </w:pPr>
    </w:p>
    <w:p w14:paraId="205E911C">
      <w:pPr>
        <w:pStyle w:val="22"/>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lang w:eastAsia="zh-CN"/>
          <w14:textFill>
            <w14:solidFill>
              <w14:schemeClr w14:val="tx1"/>
            </w14:solidFill>
          </w14:textFill>
        </w:rPr>
        <w:t>首轮</w:t>
      </w:r>
      <w:r>
        <w:rPr>
          <w:rFonts w:hint="eastAsia" w:ascii="仿宋_GB2312" w:hAnsi="仿宋_GB2312" w:eastAsia="仿宋_GB2312" w:cs="仿宋"/>
          <w:color w:val="000000" w:themeColor="text1"/>
          <w:sz w:val="24"/>
          <w:szCs w:val="24"/>
          <w14:textFill>
            <w14:solidFill>
              <w14:schemeClr w14:val="tx1"/>
            </w14:solidFill>
          </w14:textFill>
        </w:rPr>
        <w:t>报价（大写人民币）</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p>
    <w:p w14:paraId="58347F3F">
      <w:pPr>
        <w:pStyle w:val="22"/>
        <w:ind w:firstLine="0"/>
        <w:rPr>
          <w:rFonts w:ascii="仿宋_GB2312" w:hAnsi="仿宋_GB2312" w:eastAsia="仿宋_GB2312"/>
          <w:color w:val="000000" w:themeColor="text1"/>
          <w:sz w:val="24"/>
          <w:szCs w:val="24"/>
          <w14:textFill>
            <w14:solidFill>
              <w14:schemeClr w14:val="tx1"/>
            </w14:solidFill>
          </w14:textFill>
        </w:rPr>
      </w:pPr>
    </w:p>
    <w:p w14:paraId="41E48CFA">
      <w:pPr>
        <w:pStyle w:val="22"/>
        <w:ind w:firstLine="480" w:firstLineChars="200"/>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供应商名称</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p>
    <w:p w14:paraId="5A39AA3F">
      <w:pPr>
        <w:pStyle w:val="22"/>
        <w:ind w:firstLine="480" w:firstLineChars="200"/>
        <w:rPr>
          <w:rFonts w:ascii="仿宋_GB2312" w:hAnsi="仿宋_GB2312" w:eastAsia="仿宋_GB2312"/>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法定代表人或授权代表</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r>
        <w:rPr>
          <w:rFonts w:hint="eastAsia" w:ascii="仿宋_GB2312" w:hAnsi="仿宋_GB2312" w:eastAsia="仿宋_GB2312" w:cs="仿宋"/>
          <w:color w:val="000000" w:themeColor="text1"/>
          <w:sz w:val="24"/>
          <w:szCs w:val="24"/>
          <w14:textFill>
            <w14:solidFill>
              <w14:schemeClr w14:val="tx1"/>
            </w14:solidFill>
          </w14:textFill>
        </w:rPr>
        <w:t>（签字）</w:t>
      </w:r>
    </w:p>
    <w:p w14:paraId="1B6687F4">
      <w:pPr>
        <w:pStyle w:val="22"/>
        <w:ind w:firstLine="480" w:firstLineChars="200"/>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日期</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年</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月</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日</w:t>
      </w:r>
    </w:p>
    <w:p w14:paraId="1102D24E">
      <w:pPr>
        <w:pStyle w:val="22"/>
        <w:ind w:firstLine="480" w:firstLineChars="200"/>
        <w:rPr>
          <w:rFonts w:ascii="仿宋_GB2312" w:hAnsi="仿宋_GB2312" w:eastAsia="仿宋_GB2312"/>
          <w:color w:val="000000" w:themeColor="text1"/>
          <w:sz w:val="24"/>
          <w:szCs w:val="24"/>
          <w14:textFill>
            <w14:solidFill>
              <w14:schemeClr w14:val="tx1"/>
            </w14:solidFill>
          </w14:textFill>
        </w:rPr>
      </w:pPr>
    </w:p>
    <w:p w14:paraId="3ED51D13">
      <w:pPr>
        <w:pStyle w:val="22"/>
        <w:ind w:firstLine="551"/>
        <w:rPr>
          <w:rFonts w:hint="eastAsia" w:ascii="仿宋_GB2312" w:hAnsi="仿宋_GB2312" w:eastAsia="仿宋_GB2312" w:cs="仿宋"/>
          <w:b/>
          <w:bCs/>
          <w:color w:val="000000" w:themeColor="text1"/>
          <w:sz w:val="24"/>
          <w:szCs w:val="24"/>
          <w14:textFill>
            <w14:solidFill>
              <w14:schemeClr w14:val="tx1"/>
            </w14:solidFill>
          </w14:textFill>
        </w:rPr>
      </w:pPr>
      <w:r>
        <w:rPr>
          <w:rFonts w:hint="eastAsia" w:ascii="仿宋_GB2312" w:hAnsi="仿宋_GB2312" w:eastAsia="仿宋_GB2312" w:cs="仿宋"/>
          <w:b/>
          <w:bCs/>
          <w:color w:val="000000" w:themeColor="text1"/>
          <w:sz w:val="24"/>
          <w:szCs w:val="24"/>
          <w14:textFill>
            <w14:solidFill>
              <w14:schemeClr w14:val="tx1"/>
            </w14:solidFill>
          </w14:textFill>
        </w:rPr>
        <w:t>注</w:t>
      </w:r>
      <w:r>
        <w:rPr>
          <w:rFonts w:hint="eastAsia" w:ascii="仿宋_GB2312" w:hAnsi="仿宋_GB2312" w:eastAsia="仿宋_GB2312" w:cs="仿宋"/>
          <w:b/>
          <w:bCs/>
          <w:color w:val="000000" w:themeColor="text1"/>
          <w:sz w:val="24"/>
          <w:szCs w:val="24"/>
          <w:lang w:eastAsia="zh-CN"/>
          <w14:textFill>
            <w14:solidFill>
              <w14:schemeClr w14:val="tx1"/>
            </w14:solidFill>
          </w14:textFill>
        </w:rPr>
        <w:t>:供应商</w:t>
      </w:r>
      <w:r>
        <w:rPr>
          <w:rFonts w:hint="eastAsia" w:ascii="仿宋_GB2312" w:hAnsi="仿宋_GB2312" w:eastAsia="仿宋_GB2312" w:cs="仿宋"/>
          <w:b/>
          <w:bCs/>
          <w:color w:val="000000" w:themeColor="text1"/>
          <w:sz w:val="24"/>
          <w:szCs w:val="24"/>
          <w14:textFill>
            <w14:solidFill>
              <w14:schemeClr w14:val="tx1"/>
            </w14:solidFill>
          </w14:textFill>
        </w:rPr>
        <w:t>报价应包括</w:t>
      </w:r>
      <w:r>
        <w:rPr>
          <w:rFonts w:hint="eastAsia" w:ascii="仿宋_GB2312" w:hAnsi="仿宋_GB2312" w:eastAsia="仿宋_GB2312" w:cs="仿宋"/>
          <w:b/>
          <w:bCs/>
          <w:color w:val="000000" w:themeColor="text1"/>
          <w:sz w:val="24"/>
          <w:szCs w:val="24"/>
          <w:lang w:eastAsia="zh-CN"/>
          <w14:textFill>
            <w14:solidFill>
              <w14:schemeClr w14:val="tx1"/>
            </w14:solidFill>
          </w14:textFill>
        </w:rPr>
        <w:t>人工费、材料费、机械费、管理费、税费等</w:t>
      </w:r>
      <w:r>
        <w:rPr>
          <w:rFonts w:hint="eastAsia" w:ascii="仿宋_GB2312" w:hAnsi="仿宋_GB2312" w:eastAsia="仿宋_GB2312" w:cs="仿宋"/>
          <w:b/>
          <w:bCs/>
          <w:color w:val="000000" w:themeColor="text1"/>
          <w:sz w:val="24"/>
          <w:szCs w:val="24"/>
          <w:lang w:val="en-US" w:eastAsia="zh-CN"/>
          <w14:textFill>
            <w14:solidFill>
              <w14:schemeClr w14:val="tx1"/>
            </w14:solidFill>
          </w14:textFill>
        </w:rPr>
        <w:t>所有</w:t>
      </w:r>
      <w:r>
        <w:rPr>
          <w:rFonts w:hint="eastAsia" w:ascii="仿宋_GB2312" w:hAnsi="仿宋_GB2312" w:eastAsia="仿宋_GB2312" w:cs="仿宋"/>
          <w:b/>
          <w:bCs/>
          <w:color w:val="000000" w:themeColor="text1"/>
          <w:sz w:val="24"/>
          <w:szCs w:val="24"/>
          <w:lang w:eastAsia="zh-CN"/>
          <w14:textFill>
            <w14:solidFill>
              <w14:schemeClr w14:val="tx1"/>
            </w14:solidFill>
          </w14:textFill>
        </w:rPr>
        <w:t>费用，供应商报价金额为包干价，施工过程中不再增加任何费用</w:t>
      </w:r>
      <w:r>
        <w:rPr>
          <w:rFonts w:hint="eastAsia" w:ascii="仿宋_GB2312" w:hAnsi="仿宋_GB2312" w:eastAsia="仿宋_GB2312" w:cs="仿宋"/>
          <w:b/>
          <w:bCs/>
          <w:color w:val="000000" w:themeColor="text1"/>
          <w:sz w:val="24"/>
          <w:szCs w:val="24"/>
          <w14:textFill>
            <w14:solidFill>
              <w14:schemeClr w14:val="tx1"/>
            </w14:solidFill>
          </w14:textFill>
        </w:rPr>
        <w:t>。</w:t>
      </w:r>
    </w:p>
    <w:p w14:paraId="3F4772D5">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3F2763FE">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46BEB4C5">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744ED043">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40F7E20F">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1DA93C65">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6CEED7EB">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06CD9B21">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3A6EF1FE">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5A2322CF">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08683FC0">
      <w:pPr>
        <w:pStyle w:val="4"/>
        <w:tabs>
          <w:tab w:val="left" w:pos="426"/>
          <w:tab w:val="left" w:pos="567"/>
        </w:tabs>
        <w:jc w:val="center"/>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lang w:eastAsia="zh-CN"/>
          <w14:textFill>
            <w14:solidFill>
              <w14:schemeClr w14:val="tx1"/>
            </w14:solidFill>
          </w14:textFill>
        </w:rPr>
        <w:t>现场</w:t>
      </w:r>
      <w:r>
        <w:rPr>
          <w:rFonts w:hint="eastAsia" w:ascii="仿宋_GB2312" w:hAnsi="仿宋_GB2312" w:eastAsia="仿宋_GB2312" w:cs="仿宋"/>
          <w:color w:val="000000" w:themeColor="text1"/>
          <w14:textFill>
            <w14:solidFill>
              <w14:schemeClr w14:val="tx1"/>
            </w14:solidFill>
          </w14:textFill>
        </w:rPr>
        <w:t>报价表</w:t>
      </w:r>
    </w:p>
    <w:p w14:paraId="3AE352ED">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项目名称</w:t>
      </w:r>
      <w:r>
        <w:rPr>
          <w:rFonts w:hint="eastAsia" w:ascii="仿宋_GB2312" w:hAnsi="仿宋_GB2312" w:eastAsia="仿宋_GB2312" w:cs="仿宋"/>
          <w:color w:val="000000" w:themeColor="text1"/>
          <w:lang w:eastAsia="zh-CN"/>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采购项目</w:t>
      </w:r>
    </w:p>
    <w:p w14:paraId="1ED16F0B">
      <w:pPr>
        <w:spacing w:line="360" w:lineRule="auto"/>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项目编号</w:t>
      </w:r>
      <w:r>
        <w:rPr>
          <w:rFonts w:hint="eastAsia" w:ascii="仿宋_GB2312" w:hAnsi="仿宋_GB2312" w:eastAsia="仿宋_GB2312" w:cs="仿宋"/>
          <w:color w:val="000000" w:themeColor="text1"/>
          <w:lang w:eastAsia="zh-CN"/>
          <w14:textFill>
            <w14:solidFill>
              <w14:schemeClr w14:val="tx1"/>
            </w14:solidFill>
          </w14:textFill>
        </w:rPr>
        <w:t>:</w:t>
      </w:r>
      <w:r>
        <w:rPr>
          <w:rFonts w:ascii="仿宋_GB2312" w:hAnsi="仿宋_GB2312" w:eastAsia="仿宋_GB2312" w:cs="仿宋"/>
          <w:color w:val="000000" w:themeColor="text1"/>
          <w14:textFill>
            <w14:solidFill>
              <w14:schemeClr w14:val="tx1"/>
            </w14:solidFill>
          </w14:textFill>
        </w:rPr>
        <w:t>XXX</w:t>
      </w:r>
      <w:r>
        <w:rPr>
          <w:rFonts w:hint="eastAsia" w:ascii="仿宋_GB2312" w:hAnsi="仿宋_GB2312" w:eastAsia="仿宋_GB2312" w:cs="仿宋"/>
          <w:color w:val="000000" w:themeColor="text1"/>
          <w14:textFill>
            <w14:solidFill>
              <w14:schemeClr w14:val="tx1"/>
            </w14:solidFill>
          </w14:textFill>
        </w:rPr>
        <w:t>号</w:t>
      </w:r>
    </w:p>
    <w:tbl>
      <w:tblPr>
        <w:tblStyle w:val="12"/>
        <w:tblpPr w:leftFromText="180" w:rightFromText="180" w:vertAnchor="text" w:tblpXSpec="center" w:tblpY="128"/>
        <w:tblW w:w="91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5282"/>
        <w:gridCol w:w="2693"/>
      </w:tblGrid>
      <w:tr w14:paraId="431C7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129" w:type="dxa"/>
            <w:vAlign w:val="center"/>
          </w:tcPr>
          <w:p w14:paraId="57970A0C">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序号</w:t>
            </w:r>
          </w:p>
        </w:tc>
        <w:tc>
          <w:tcPr>
            <w:tcW w:w="5282" w:type="dxa"/>
            <w:vAlign w:val="center"/>
          </w:tcPr>
          <w:p w14:paraId="1479A347">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采购内容</w:t>
            </w:r>
          </w:p>
        </w:tc>
        <w:tc>
          <w:tcPr>
            <w:tcW w:w="2693" w:type="dxa"/>
            <w:vAlign w:val="center"/>
          </w:tcPr>
          <w:p w14:paraId="47F966BE">
            <w:pPr>
              <w:jc w:val="center"/>
              <w:rPr>
                <w:rFonts w:ascii="仿宋_GB2312" w:hAnsi="仿宋_GB2312" w:eastAsia="仿宋_GB2312"/>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报价</w:t>
            </w:r>
          </w:p>
        </w:tc>
      </w:tr>
      <w:tr w14:paraId="55403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29" w:type="dxa"/>
            <w:vAlign w:val="center"/>
          </w:tcPr>
          <w:p w14:paraId="2907AF72">
            <w:pPr>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w:t>
            </w:r>
          </w:p>
        </w:tc>
        <w:tc>
          <w:tcPr>
            <w:tcW w:w="5282" w:type="dxa"/>
            <w:vAlign w:val="center"/>
          </w:tcPr>
          <w:p w14:paraId="7451C19F">
            <w:pPr>
              <w:jc w:val="center"/>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XXX</w:t>
            </w:r>
          </w:p>
        </w:tc>
        <w:tc>
          <w:tcPr>
            <w:tcW w:w="2693" w:type="dxa"/>
            <w:vAlign w:val="center"/>
          </w:tcPr>
          <w:p w14:paraId="67E884EE">
            <w:pPr>
              <w:ind w:firstLine="1108" w:firstLineChars="462"/>
              <w:rPr>
                <w:rFonts w:ascii="仿宋_GB2312" w:hAnsi="仿宋_GB2312" w:eastAsia="仿宋_GB2312"/>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XX</w:t>
            </w:r>
          </w:p>
        </w:tc>
      </w:tr>
    </w:tbl>
    <w:p w14:paraId="7625229A">
      <w:pPr>
        <w:snapToGrid w:val="0"/>
        <w:spacing w:line="360" w:lineRule="auto"/>
        <w:ind w:right="-713" w:rightChars="-297"/>
        <w:rPr>
          <w:rFonts w:ascii="仿宋_GB2312" w:hAnsi="仿宋_GB2312" w:eastAsia="仿宋_GB2312"/>
          <w:color w:val="000000" w:themeColor="text1"/>
          <w14:textFill>
            <w14:solidFill>
              <w14:schemeClr w14:val="tx1"/>
            </w14:solidFill>
          </w14:textFill>
        </w:rPr>
      </w:pPr>
    </w:p>
    <w:p w14:paraId="7DBD18D9">
      <w:pPr>
        <w:pStyle w:val="22"/>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最后报价（大写人民币）</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p>
    <w:p w14:paraId="30334E3C">
      <w:pPr>
        <w:pStyle w:val="22"/>
        <w:ind w:firstLine="0"/>
        <w:rPr>
          <w:rFonts w:ascii="仿宋_GB2312" w:hAnsi="仿宋_GB2312" w:eastAsia="仿宋_GB2312"/>
          <w:color w:val="000000" w:themeColor="text1"/>
          <w:sz w:val="24"/>
          <w:szCs w:val="24"/>
          <w14:textFill>
            <w14:solidFill>
              <w14:schemeClr w14:val="tx1"/>
            </w14:solidFill>
          </w14:textFill>
        </w:rPr>
      </w:pPr>
    </w:p>
    <w:p w14:paraId="398F0C10">
      <w:pPr>
        <w:pStyle w:val="22"/>
        <w:ind w:firstLine="480" w:firstLineChars="200"/>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供应商名称</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p>
    <w:p w14:paraId="575FE829">
      <w:pPr>
        <w:pStyle w:val="22"/>
        <w:ind w:firstLine="480" w:firstLineChars="200"/>
        <w:rPr>
          <w:rFonts w:ascii="仿宋_GB2312" w:hAnsi="仿宋_GB2312" w:eastAsia="仿宋_GB2312"/>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法定代表人或授权代表</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XXXX</w:t>
      </w:r>
      <w:r>
        <w:rPr>
          <w:rFonts w:hint="eastAsia" w:ascii="仿宋_GB2312" w:hAnsi="仿宋_GB2312" w:eastAsia="仿宋_GB2312" w:cs="仿宋"/>
          <w:color w:val="000000" w:themeColor="text1"/>
          <w:sz w:val="24"/>
          <w:szCs w:val="24"/>
          <w14:textFill>
            <w14:solidFill>
              <w14:schemeClr w14:val="tx1"/>
            </w14:solidFill>
          </w14:textFill>
        </w:rPr>
        <w:t>（签字）</w:t>
      </w:r>
    </w:p>
    <w:p w14:paraId="7E89D038">
      <w:pPr>
        <w:pStyle w:val="22"/>
        <w:ind w:firstLine="480" w:firstLineChars="200"/>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日期</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年</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月</w:t>
      </w:r>
      <w:r>
        <w:rPr>
          <w:rFonts w:ascii="仿宋_GB2312" w:hAnsi="仿宋_GB2312" w:eastAsia="仿宋_GB2312" w:cs="仿宋"/>
          <w:color w:val="000000" w:themeColor="text1"/>
          <w:sz w:val="24"/>
          <w:szCs w:val="24"/>
          <w14:textFill>
            <w14:solidFill>
              <w14:schemeClr w14:val="tx1"/>
            </w14:solidFill>
          </w14:textFill>
        </w:rPr>
        <w:t>XX</w:t>
      </w:r>
      <w:r>
        <w:rPr>
          <w:rFonts w:hint="eastAsia" w:ascii="仿宋_GB2312" w:hAnsi="仿宋_GB2312" w:eastAsia="仿宋_GB2312" w:cs="仿宋"/>
          <w:color w:val="000000" w:themeColor="text1"/>
          <w:sz w:val="24"/>
          <w:szCs w:val="24"/>
          <w14:textFill>
            <w14:solidFill>
              <w14:schemeClr w14:val="tx1"/>
            </w14:solidFill>
          </w14:textFill>
        </w:rPr>
        <w:t>日</w:t>
      </w:r>
    </w:p>
    <w:p w14:paraId="56483C6E">
      <w:pPr>
        <w:pStyle w:val="22"/>
        <w:ind w:firstLine="551"/>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注</w:t>
      </w:r>
      <w:r>
        <w:rPr>
          <w:rFonts w:hint="eastAsia" w:ascii="仿宋_GB2312" w:hAnsi="仿宋_GB2312" w:eastAsia="仿宋_GB2312" w:cs="仿宋"/>
          <w:color w:val="000000" w:themeColor="text1"/>
          <w:sz w:val="24"/>
          <w:szCs w:val="24"/>
          <w:lang w:eastAsia="zh-CN"/>
          <w14:textFill>
            <w14:solidFill>
              <w14:schemeClr w14:val="tx1"/>
            </w14:solidFill>
          </w14:textFill>
        </w:rPr>
        <w:t>:</w:t>
      </w:r>
      <w:r>
        <w:rPr>
          <w:rFonts w:ascii="仿宋_GB2312" w:hAnsi="仿宋_GB2312" w:eastAsia="仿宋_GB2312" w:cs="仿宋"/>
          <w:color w:val="000000" w:themeColor="text1"/>
          <w:sz w:val="24"/>
          <w:szCs w:val="24"/>
          <w14:textFill>
            <w14:solidFill>
              <w14:schemeClr w14:val="tx1"/>
            </w14:solidFill>
          </w14:textFill>
        </w:rPr>
        <w:t>1</w:t>
      </w:r>
      <w:r>
        <w:rPr>
          <w:rFonts w:hint="eastAsia" w:ascii="仿宋_GB2312" w:hAnsi="仿宋_GB2312" w:eastAsia="仿宋_GB2312" w:cs="仿宋"/>
          <w:color w:val="000000" w:themeColor="text1"/>
          <w:sz w:val="24"/>
          <w:szCs w:val="24"/>
          <w14:textFill>
            <w14:solidFill>
              <w14:schemeClr w14:val="tx1"/>
            </w14:solidFill>
          </w14:textFill>
        </w:rPr>
        <w:t>.若采用项目单价方式报价，最后报价按照谈判文件要求为下浮比例报价的，供应商应当在“报价”栏明确可竞争费用的下浮比例，总报价换算成人民币并在“最后报价（大写人民币）”处明确；若最后报价为重新标价工程量清单方式报价的，供应商除提供重新标价工程量清单外，应当提交本“最后报价表”表，并在“报价”栏、“最后报价（大写人民币）”处填写最后报价总价。</w:t>
      </w:r>
    </w:p>
    <w:p w14:paraId="60BB47BA">
      <w:pPr>
        <w:pStyle w:val="22"/>
        <w:ind w:firstLine="551"/>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2</w:t>
      </w:r>
      <w:r>
        <w:rPr>
          <w:rFonts w:ascii="仿宋_GB2312" w:hAnsi="仿宋_GB2312" w:eastAsia="仿宋_GB2312" w:cs="仿宋"/>
          <w:color w:val="000000" w:themeColor="text1"/>
          <w:sz w:val="24"/>
          <w:szCs w:val="24"/>
          <w14:textFill>
            <w14:solidFill>
              <w14:schemeClr w14:val="tx1"/>
            </w14:solidFill>
          </w14:textFill>
        </w:rPr>
        <w:t>.</w:t>
      </w:r>
      <w:r>
        <w:rPr>
          <w:rFonts w:hint="eastAsia" w:ascii="仿宋_GB2312" w:hAnsi="仿宋_GB2312" w:eastAsia="仿宋_GB2312" w:cs="仿宋"/>
          <w:color w:val="000000" w:themeColor="text1"/>
          <w:sz w:val="24"/>
          <w:szCs w:val="24"/>
          <w14:textFill>
            <w14:solidFill>
              <w14:schemeClr w14:val="tx1"/>
            </w14:solidFill>
          </w14:textFill>
        </w:rPr>
        <w:t>若采用项目包干价报价，供应商最后报价应当提交本“</w:t>
      </w:r>
      <w:r>
        <w:rPr>
          <w:rFonts w:hint="eastAsia" w:ascii="仿宋_GB2312" w:hAnsi="仿宋_GB2312" w:eastAsia="仿宋_GB2312" w:cs="仿宋"/>
          <w:color w:val="000000" w:themeColor="text1"/>
          <w:sz w:val="24"/>
          <w:szCs w:val="24"/>
          <w:lang w:eastAsia="zh-CN"/>
          <w14:textFill>
            <w14:solidFill>
              <w14:schemeClr w14:val="tx1"/>
            </w14:solidFill>
          </w14:textFill>
        </w:rPr>
        <w:t>现场</w:t>
      </w:r>
      <w:r>
        <w:rPr>
          <w:rFonts w:hint="eastAsia" w:ascii="仿宋_GB2312" w:hAnsi="仿宋_GB2312" w:eastAsia="仿宋_GB2312" w:cs="仿宋"/>
          <w:color w:val="000000" w:themeColor="text1"/>
          <w:sz w:val="24"/>
          <w:szCs w:val="24"/>
          <w14:textFill>
            <w14:solidFill>
              <w14:schemeClr w14:val="tx1"/>
            </w14:solidFill>
          </w14:textFill>
        </w:rPr>
        <w:t>报价表”表，并按照谈判文件要求，在“报价”栏、“最后报价（大写人民币）”处填写明最后报价总价。</w:t>
      </w:r>
    </w:p>
    <w:p w14:paraId="45797F27">
      <w:pPr>
        <w:pStyle w:val="22"/>
        <w:ind w:firstLine="551"/>
        <w:rPr>
          <w:rFonts w:ascii="仿宋_GB2312" w:hAnsi="仿宋_GB2312" w:eastAsia="仿宋_GB2312"/>
          <w:color w:val="000000" w:themeColor="text1"/>
          <w:sz w:val="24"/>
          <w:szCs w:val="24"/>
          <w14:textFill>
            <w14:solidFill>
              <w14:schemeClr w14:val="tx1"/>
            </w14:solidFill>
          </w14:textFill>
        </w:rPr>
      </w:pPr>
      <w:r>
        <w:rPr>
          <w:rFonts w:ascii="仿宋_GB2312" w:hAnsi="仿宋_GB2312" w:eastAsia="仿宋_GB2312" w:cs="仿宋"/>
          <w:color w:val="000000" w:themeColor="text1"/>
          <w:sz w:val="24"/>
          <w:szCs w:val="24"/>
          <w14:textFill>
            <w14:solidFill>
              <w14:schemeClr w14:val="tx1"/>
            </w14:solidFill>
          </w14:textFill>
        </w:rPr>
        <w:t>3</w:t>
      </w:r>
      <w:r>
        <w:rPr>
          <w:rFonts w:hint="eastAsia" w:ascii="仿宋_GB2312" w:hAnsi="仿宋_GB2312" w:eastAsia="仿宋_GB2312" w:cs="仿宋"/>
          <w:color w:val="000000" w:themeColor="text1"/>
          <w:sz w:val="24"/>
          <w:szCs w:val="24"/>
          <w14:textFill>
            <w14:solidFill>
              <w14:schemeClr w14:val="tx1"/>
            </w14:solidFill>
          </w14:textFill>
        </w:rPr>
        <w:t>.此表为谈判结束后，由供应商填写“</w:t>
      </w:r>
      <w:r>
        <w:rPr>
          <w:rFonts w:hint="eastAsia" w:ascii="仿宋_GB2312" w:hAnsi="仿宋_GB2312" w:eastAsia="仿宋_GB2312" w:cs="仿宋"/>
          <w:color w:val="000000" w:themeColor="text1"/>
          <w:sz w:val="24"/>
          <w:szCs w:val="24"/>
          <w:lang w:eastAsia="zh-CN"/>
          <w14:textFill>
            <w14:solidFill>
              <w14:schemeClr w14:val="tx1"/>
            </w14:solidFill>
          </w14:textFill>
        </w:rPr>
        <w:t>现场</w:t>
      </w:r>
      <w:r>
        <w:rPr>
          <w:rFonts w:hint="eastAsia" w:ascii="仿宋_GB2312" w:hAnsi="仿宋_GB2312" w:eastAsia="仿宋_GB2312" w:cs="仿宋"/>
          <w:color w:val="000000" w:themeColor="text1"/>
          <w:sz w:val="24"/>
          <w:szCs w:val="24"/>
          <w14:textFill>
            <w14:solidFill>
              <w14:schemeClr w14:val="tx1"/>
            </w14:solidFill>
          </w14:textFill>
        </w:rPr>
        <w:t>报价”，经供应商法定代表人或代理人签字后密封提交给采购</w:t>
      </w:r>
      <w:r>
        <w:rPr>
          <w:rFonts w:hint="eastAsia" w:ascii="仿宋_GB2312" w:hAnsi="仿宋_GB2312" w:eastAsia="仿宋_GB2312" w:cs="仿宋"/>
          <w:color w:val="000000" w:themeColor="text1"/>
          <w:sz w:val="24"/>
          <w:szCs w:val="24"/>
          <w:lang w:eastAsia="zh-CN"/>
          <w14:textFill>
            <w14:solidFill>
              <w14:schemeClr w14:val="tx1"/>
            </w14:solidFill>
          </w14:textFill>
        </w:rPr>
        <w:t>人</w:t>
      </w:r>
      <w:r>
        <w:rPr>
          <w:rFonts w:hint="eastAsia" w:ascii="仿宋_GB2312" w:hAnsi="仿宋_GB2312" w:eastAsia="仿宋_GB2312" w:cs="仿宋"/>
          <w:color w:val="000000" w:themeColor="text1"/>
          <w:sz w:val="24"/>
          <w:szCs w:val="24"/>
          <w14:textFill>
            <w14:solidFill>
              <w14:schemeClr w14:val="tx1"/>
            </w14:solidFill>
          </w14:textFill>
        </w:rPr>
        <w:t>，由其收集齐后集中提交谈判小组。供应商在响应文件中提交此表的，不影响其响应文件的有效性，其最后报价以谈判结束后提交的“</w:t>
      </w:r>
      <w:r>
        <w:rPr>
          <w:rFonts w:hint="eastAsia" w:ascii="仿宋_GB2312" w:hAnsi="仿宋_GB2312" w:eastAsia="仿宋_GB2312" w:cs="仿宋"/>
          <w:color w:val="000000" w:themeColor="text1"/>
          <w:sz w:val="24"/>
          <w:szCs w:val="24"/>
          <w:lang w:eastAsia="zh-CN"/>
          <w14:textFill>
            <w14:solidFill>
              <w14:schemeClr w14:val="tx1"/>
            </w14:solidFill>
          </w14:textFill>
        </w:rPr>
        <w:t>现场</w:t>
      </w:r>
      <w:r>
        <w:rPr>
          <w:rFonts w:hint="eastAsia" w:ascii="仿宋_GB2312" w:hAnsi="仿宋_GB2312" w:eastAsia="仿宋_GB2312" w:cs="仿宋"/>
          <w:color w:val="000000" w:themeColor="text1"/>
          <w:sz w:val="24"/>
          <w:szCs w:val="24"/>
          <w14:textFill>
            <w14:solidFill>
              <w14:schemeClr w14:val="tx1"/>
            </w14:solidFill>
          </w14:textFill>
        </w:rPr>
        <w:t>报价”为准。</w:t>
      </w:r>
    </w:p>
    <w:p w14:paraId="08DC506E">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r>
        <w:rPr>
          <w:rFonts w:ascii="仿宋_GB2312" w:hAnsi="仿宋_GB2312" w:eastAsia="仿宋_GB2312" w:cs="仿宋"/>
          <w:color w:val="000000" w:themeColor="text1"/>
          <w:sz w:val="24"/>
          <w:szCs w:val="24"/>
          <w14:textFill>
            <w14:solidFill>
              <w14:schemeClr w14:val="tx1"/>
            </w14:solidFill>
          </w14:textFill>
        </w:rPr>
        <w:t>4</w:t>
      </w:r>
      <w:r>
        <w:rPr>
          <w:rFonts w:hint="eastAsia" w:ascii="仿宋_GB2312" w:hAnsi="仿宋_GB2312" w:eastAsia="仿宋_GB2312" w:cs="仿宋"/>
          <w:color w:val="000000" w:themeColor="text1"/>
          <w:sz w:val="24"/>
          <w:szCs w:val="24"/>
          <w14:textFill>
            <w14:solidFill>
              <w14:schemeClr w14:val="tx1"/>
            </w14:solidFill>
          </w14:textFill>
        </w:rPr>
        <w:t>.</w:t>
      </w:r>
      <w:r>
        <w:rPr>
          <w:rFonts w:hint="eastAsia" w:ascii="仿宋_GB2312" w:hAnsi="仿宋_GB2312" w:eastAsia="仿宋_GB2312" w:cs="仿宋"/>
          <w:b/>
          <w:bCs/>
          <w:color w:val="000000" w:themeColor="text1"/>
          <w:sz w:val="24"/>
          <w:szCs w:val="24"/>
          <w:lang w:eastAsia="zh-CN"/>
          <w14:textFill>
            <w14:solidFill>
              <w14:schemeClr w14:val="tx1"/>
            </w14:solidFill>
          </w14:textFill>
        </w:rPr>
        <w:t>供应商</w:t>
      </w:r>
      <w:r>
        <w:rPr>
          <w:rFonts w:hint="eastAsia" w:ascii="仿宋_GB2312" w:hAnsi="仿宋_GB2312" w:eastAsia="仿宋_GB2312" w:cs="仿宋"/>
          <w:b/>
          <w:bCs/>
          <w:color w:val="000000" w:themeColor="text1"/>
          <w:sz w:val="24"/>
          <w:szCs w:val="24"/>
          <w14:textFill>
            <w14:solidFill>
              <w14:schemeClr w14:val="tx1"/>
            </w14:solidFill>
          </w14:textFill>
        </w:rPr>
        <w:t>报价应包括</w:t>
      </w:r>
      <w:r>
        <w:rPr>
          <w:rFonts w:hint="eastAsia" w:ascii="仿宋_GB2312" w:hAnsi="仿宋_GB2312" w:eastAsia="仿宋_GB2312" w:cs="仿宋"/>
          <w:b/>
          <w:bCs/>
          <w:color w:val="000000" w:themeColor="text1"/>
          <w:sz w:val="24"/>
          <w:szCs w:val="24"/>
          <w:lang w:eastAsia="zh-CN"/>
          <w14:textFill>
            <w14:solidFill>
              <w14:schemeClr w14:val="tx1"/>
            </w14:solidFill>
          </w14:textFill>
        </w:rPr>
        <w:t>人工费、材料费、机械费、管理费、税费等</w:t>
      </w:r>
      <w:r>
        <w:rPr>
          <w:rFonts w:hint="eastAsia" w:ascii="仿宋_GB2312" w:hAnsi="仿宋_GB2312" w:eastAsia="仿宋_GB2312" w:cs="仿宋"/>
          <w:b/>
          <w:bCs/>
          <w:color w:val="000000" w:themeColor="text1"/>
          <w:sz w:val="24"/>
          <w:szCs w:val="24"/>
          <w:lang w:val="en-US" w:eastAsia="zh-CN"/>
          <w14:textFill>
            <w14:solidFill>
              <w14:schemeClr w14:val="tx1"/>
            </w14:solidFill>
          </w14:textFill>
        </w:rPr>
        <w:t>所有</w:t>
      </w:r>
      <w:r>
        <w:rPr>
          <w:rFonts w:hint="eastAsia" w:ascii="仿宋_GB2312" w:hAnsi="仿宋_GB2312" w:eastAsia="仿宋_GB2312" w:cs="仿宋"/>
          <w:b/>
          <w:bCs/>
          <w:color w:val="000000" w:themeColor="text1"/>
          <w:sz w:val="24"/>
          <w:szCs w:val="24"/>
          <w:lang w:eastAsia="zh-CN"/>
          <w14:textFill>
            <w14:solidFill>
              <w14:schemeClr w14:val="tx1"/>
            </w14:solidFill>
          </w14:textFill>
        </w:rPr>
        <w:t>费用，供应商报价金额为包干价，施工过程中不再增加任何费用</w:t>
      </w:r>
      <w:r>
        <w:rPr>
          <w:rFonts w:hint="eastAsia" w:ascii="仿宋_GB2312" w:hAnsi="仿宋_GB2312" w:eastAsia="仿宋_GB2312" w:cs="仿宋"/>
          <w:b/>
          <w:bCs/>
          <w:color w:val="000000" w:themeColor="text1"/>
          <w:sz w:val="24"/>
          <w:szCs w:val="24"/>
          <w14:textFill>
            <w14:solidFill>
              <w14:schemeClr w14:val="tx1"/>
            </w14:solidFill>
          </w14:textFill>
        </w:rPr>
        <w:t>。</w:t>
      </w:r>
    </w:p>
    <w:p w14:paraId="684C319E">
      <w:pPr>
        <w:pStyle w:val="22"/>
        <w:ind w:left="0" w:leftChars="0" w:firstLine="0" w:firstLineChars="0"/>
        <w:rPr>
          <w:rFonts w:hint="eastAsia" w:ascii="宋体" w:hAnsi="宋体" w:cs="宋体"/>
          <w:b/>
          <w:i w:val="0"/>
          <w:color w:val="000000"/>
          <w:kern w:val="0"/>
          <w:sz w:val="32"/>
          <w:szCs w:val="32"/>
          <w:u w:val="none"/>
          <w:lang w:val="en-US" w:eastAsia="zh-CN" w:bidi="ar"/>
        </w:rPr>
        <w:sectPr>
          <w:footerReference r:id="rId5" w:type="default"/>
          <w:pgSz w:w="11906" w:h="16838"/>
          <w:pgMar w:top="1440" w:right="1800" w:bottom="1440" w:left="1800" w:header="851" w:footer="992" w:gutter="0"/>
          <w:pgNumType w:fmt="decimal"/>
          <w:cols w:space="425" w:num="1"/>
          <w:docGrid w:type="lines" w:linePitch="312" w:charSpace="0"/>
        </w:sectPr>
      </w:pPr>
    </w:p>
    <w:p w14:paraId="29551623">
      <w:pPr>
        <w:pStyle w:val="22"/>
        <w:ind w:firstLine="551"/>
        <w:jc w:val="center"/>
        <w:rPr>
          <w:rFonts w:hint="eastAsia" w:ascii="仿宋_GB2312" w:hAnsi="仿宋_GB2312" w:eastAsia="仿宋_GB2312" w:cs="仿宋"/>
          <w:color w:val="000000" w:themeColor="text1"/>
          <w:sz w:val="32"/>
          <w:szCs w:val="32"/>
          <w14:textFill>
            <w14:solidFill>
              <w14:schemeClr w14:val="tx1"/>
            </w14:solidFill>
          </w14:textFill>
        </w:rPr>
      </w:pPr>
      <w:r>
        <w:rPr>
          <w:rFonts w:hint="eastAsia" w:ascii="宋体" w:hAnsi="宋体" w:cs="宋体"/>
          <w:b/>
          <w:i w:val="0"/>
          <w:color w:val="000000"/>
          <w:kern w:val="0"/>
          <w:sz w:val="32"/>
          <w:szCs w:val="32"/>
          <w:u w:val="none"/>
          <w:lang w:val="en-US" w:eastAsia="zh-CN" w:bidi="ar"/>
        </w:rPr>
        <w:t>巴中市2025年江北片区春节氛围营造工程</w:t>
      </w:r>
      <w:r>
        <w:rPr>
          <w:rFonts w:hint="eastAsia" w:ascii="宋体" w:hAnsi="宋体" w:eastAsia="宋体" w:cs="宋体"/>
          <w:b/>
          <w:i w:val="0"/>
          <w:color w:val="000000"/>
          <w:kern w:val="0"/>
          <w:sz w:val="32"/>
          <w:szCs w:val="32"/>
          <w:u w:val="none"/>
          <w:lang w:val="en-US" w:eastAsia="zh-CN" w:bidi="ar"/>
        </w:rPr>
        <w:t>工程量清单</w:t>
      </w:r>
    </w:p>
    <w:tbl>
      <w:tblPr>
        <w:tblStyle w:val="12"/>
        <w:tblW w:w="141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80"/>
        <w:gridCol w:w="3698"/>
        <w:gridCol w:w="1564"/>
        <w:gridCol w:w="1340"/>
        <w:gridCol w:w="2565"/>
        <w:gridCol w:w="661"/>
        <w:gridCol w:w="684"/>
        <w:gridCol w:w="1167"/>
        <w:gridCol w:w="1918"/>
      </w:tblGrid>
      <w:tr w14:paraId="629FA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9" w:hRule="atLeast"/>
        </w:trPr>
        <w:tc>
          <w:tcPr>
            <w:tcW w:w="4278" w:type="dxa"/>
            <w:gridSpan w:val="2"/>
            <w:tcBorders>
              <w:top w:val="nil"/>
              <w:left w:val="nil"/>
              <w:bottom w:val="nil"/>
              <w:right w:val="nil"/>
            </w:tcBorders>
            <w:shd w:val="clear" w:color="auto" w:fill="auto"/>
            <w:noWrap/>
            <w:tcMar>
              <w:top w:w="15" w:type="dxa"/>
              <w:left w:w="15" w:type="dxa"/>
              <w:right w:w="15" w:type="dxa"/>
            </w:tcMar>
            <w:vAlign w:val="bottom"/>
          </w:tcPr>
          <w:p w14:paraId="5CDCC4D6">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编制单位：巴中市产业发展集团有限公司</w:t>
            </w:r>
          </w:p>
        </w:tc>
        <w:tc>
          <w:tcPr>
            <w:tcW w:w="1600" w:type="dxa"/>
            <w:tcBorders>
              <w:top w:val="nil"/>
              <w:left w:val="nil"/>
              <w:bottom w:val="nil"/>
              <w:right w:val="nil"/>
            </w:tcBorders>
            <w:shd w:val="clear" w:color="auto" w:fill="auto"/>
            <w:tcMar>
              <w:top w:w="15" w:type="dxa"/>
              <w:left w:w="15" w:type="dxa"/>
              <w:right w:w="15" w:type="dxa"/>
            </w:tcMar>
            <w:vAlign w:val="bottom"/>
          </w:tcPr>
          <w:p w14:paraId="4FFCA4C5">
            <w:pPr>
              <w:jc w:val="center"/>
              <w:rPr>
                <w:rFonts w:hint="eastAsia" w:ascii="宋体" w:hAnsi="宋体" w:eastAsia="宋体" w:cs="宋体"/>
                <w:i w:val="0"/>
                <w:color w:val="000000"/>
                <w:sz w:val="22"/>
                <w:szCs w:val="22"/>
                <w:u w:val="none"/>
              </w:rPr>
            </w:pPr>
          </w:p>
        </w:tc>
        <w:tc>
          <w:tcPr>
            <w:tcW w:w="1340" w:type="dxa"/>
            <w:tcBorders>
              <w:top w:val="nil"/>
              <w:left w:val="nil"/>
              <w:bottom w:val="nil"/>
              <w:right w:val="nil"/>
            </w:tcBorders>
            <w:shd w:val="clear" w:color="auto" w:fill="auto"/>
            <w:noWrap/>
            <w:tcMar>
              <w:top w:w="15" w:type="dxa"/>
              <w:left w:w="15" w:type="dxa"/>
              <w:right w:w="15" w:type="dxa"/>
            </w:tcMar>
            <w:vAlign w:val="bottom"/>
          </w:tcPr>
          <w:p w14:paraId="060A26D3">
            <w:pPr>
              <w:jc w:val="center"/>
              <w:rPr>
                <w:rFonts w:hint="eastAsia" w:ascii="宋体" w:hAnsi="宋体" w:eastAsia="宋体" w:cs="宋体"/>
                <w:i w:val="0"/>
                <w:color w:val="000000"/>
                <w:sz w:val="22"/>
                <w:szCs w:val="22"/>
                <w:u w:val="none"/>
              </w:rPr>
            </w:pPr>
          </w:p>
        </w:tc>
        <w:tc>
          <w:tcPr>
            <w:tcW w:w="2616" w:type="dxa"/>
            <w:tcBorders>
              <w:top w:val="nil"/>
              <w:left w:val="nil"/>
              <w:bottom w:val="nil"/>
              <w:right w:val="nil"/>
            </w:tcBorders>
            <w:shd w:val="clear" w:color="auto" w:fill="auto"/>
            <w:tcMar>
              <w:top w:w="15" w:type="dxa"/>
              <w:left w:w="15" w:type="dxa"/>
              <w:right w:w="15" w:type="dxa"/>
            </w:tcMar>
            <w:vAlign w:val="bottom"/>
          </w:tcPr>
          <w:p w14:paraId="7005C0A0">
            <w:pPr>
              <w:rPr>
                <w:rFonts w:hint="eastAsia" w:ascii="宋体" w:hAnsi="宋体" w:eastAsia="宋体" w:cs="宋体"/>
                <w:i w:val="0"/>
                <w:color w:val="000000"/>
                <w:sz w:val="16"/>
                <w:szCs w:val="16"/>
                <w:u w:val="none"/>
              </w:rPr>
            </w:pPr>
          </w:p>
        </w:tc>
        <w:tc>
          <w:tcPr>
            <w:tcW w:w="648" w:type="dxa"/>
            <w:tcBorders>
              <w:top w:val="nil"/>
              <w:left w:val="nil"/>
              <w:bottom w:val="nil"/>
              <w:right w:val="nil"/>
            </w:tcBorders>
            <w:shd w:val="clear" w:color="auto" w:fill="auto"/>
            <w:noWrap/>
            <w:tcMar>
              <w:top w:w="15" w:type="dxa"/>
              <w:left w:w="15" w:type="dxa"/>
              <w:right w:w="15" w:type="dxa"/>
            </w:tcMar>
            <w:vAlign w:val="bottom"/>
          </w:tcPr>
          <w:p w14:paraId="6AC12EDC">
            <w:pPr>
              <w:jc w:val="center"/>
              <w:rPr>
                <w:rFonts w:hint="eastAsia" w:ascii="宋体" w:hAnsi="宋体" w:eastAsia="宋体" w:cs="宋体"/>
                <w:i w:val="0"/>
                <w:color w:val="000000"/>
                <w:sz w:val="22"/>
                <w:szCs w:val="22"/>
                <w:u w:val="none"/>
              </w:rPr>
            </w:pPr>
          </w:p>
        </w:tc>
        <w:tc>
          <w:tcPr>
            <w:tcW w:w="3695" w:type="dxa"/>
            <w:gridSpan w:val="3"/>
            <w:tcBorders>
              <w:top w:val="nil"/>
              <w:left w:val="nil"/>
              <w:bottom w:val="nil"/>
              <w:right w:val="nil"/>
            </w:tcBorders>
            <w:shd w:val="clear" w:color="auto" w:fill="auto"/>
            <w:noWrap/>
            <w:tcMar>
              <w:top w:w="15" w:type="dxa"/>
              <w:left w:w="15" w:type="dxa"/>
              <w:right w:w="15" w:type="dxa"/>
            </w:tcMar>
            <w:vAlign w:val="bottom"/>
          </w:tcPr>
          <w:p w14:paraId="6A482CCE">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编制日期：2024年12月11日</w:t>
            </w:r>
          </w:p>
        </w:tc>
      </w:tr>
      <w:tr w14:paraId="50F38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38AC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36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4A2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效果展示</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D04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街道或节点</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EEC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货物名称</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E41A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规格及参数</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76CA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C6E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w:t>
            </w:r>
          </w:p>
        </w:tc>
        <w:tc>
          <w:tcPr>
            <w:tcW w:w="1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9A9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w:t>
            </w:r>
          </w:p>
        </w:tc>
        <w:tc>
          <w:tcPr>
            <w:tcW w:w="1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EC2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合价（元）</w:t>
            </w:r>
          </w:p>
        </w:tc>
      </w:tr>
      <w:tr w14:paraId="5CB5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E817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6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989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69215</wp:posOffset>
                  </wp:positionH>
                  <wp:positionV relativeFrom="paragraph">
                    <wp:posOffset>52070</wp:posOffset>
                  </wp:positionV>
                  <wp:extent cx="2213610" cy="1004570"/>
                  <wp:effectExtent l="0" t="0" r="15240" b="5080"/>
                  <wp:wrapNone/>
                  <wp:docPr id="15" name="图片_1"/>
                  <wp:cNvGraphicFramePr/>
                  <a:graphic xmlns:a="http://schemas.openxmlformats.org/drawingml/2006/main">
                    <a:graphicData uri="http://schemas.openxmlformats.org/drawingml/2006/picture">
                      <pic:pic xmlns:pic="http://schemas.openxmlformats.org/drawingml/2006/picture">
                        <pic:nvPicPr>
                          <pic:cNvPr id="15" name="图片_1"/>
                          <pic:cNvPicPr/>
                        </pic:nvPicPr>
                        <pic:blipFill>
                          <a:blip/>
                          <a:stretch>
                            <a:fillRect/>
                          </a:stretch>
                        </pic:blipFill>
                        <pic:spPr>
                          <a:xfrm>
                            <a:off x="0" y="0"/>
                            <a:ext cx="2213610" cy="1004570"/>
                          </a:xfrm>
                          <a:prstGeom prst="rect">
                            <a:avLst/>
                          </a:prstGeom>
                          <a:noFill/>
                          <a:ln>
                            <a:noFill/>
                          </a:ln>
                        </pic:spPr>
                      </pic:pic>
                    </a:graphicData>
                  </a:graphic>
                </wp:anchor>
              </w:drawing>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2F16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江北大道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（原党校至体育馆）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820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路灯灯笼</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213A36">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尺寸：展开直径1m(150#)，10个/套</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材质：绸缎布、铁口</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光源：10W红色节能灯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工作内容：器械辅助安装、维护、拆除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994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B87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C9B929">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599D3">
            <w:pPr>
              <w:jc w:val="center"/>
              <w:rPr>
                <w:rFonts w:hint="eastAsia" w:ascii="宋体" w:hAnsi="宋体" w:eastAsia="宋体" w:cs="宋体"/>
                <w:i w:val="0"/>
                <w:color w:val="000000"/>
                <w:sz w:val="22"/>
                <w:szCs w:val="22"/>
                <w:u w:val="none"/>
              </w:rPr>
            </w:pPr>
          </w:p>
        </w:tc>
      </w:tr>
      <w:tr w14:paraId="35747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943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6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5D72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17780</wp:posOffset>
                  </wp:positionH>
                  <wp:positionV relativeFrom="paragraph">
                    <wp:posOffset>762000</wp:posOffset>
                  </wp:positionV>
                  <wp:extent cx="2259965" cy="1423035"/>
                  <wp:effectExtent l="0" t="0" r="6985" b="5715"/>
                  <wp:wrapNone/>
                  <wp:docPr id="12" name="图片_2"/>
                  <wp:cNvGraphicFramePr/>
                  <a:graphic xmlns:a="http://schemas.openxmlformats.org/drawingml/2006/main">
                    <a:graphicData uri="http://schemas.openxmlformats.org/drawingml/2006/picture">
                      <pic:pic xmlns:pic="http://schemas.openxmlformats.org/drawingml/2006/picture">
                        <pic:nvPicPr>
                          <pic:cNvPr id="12" name="图片_2"/>
                          <pic:cNvPicPr/>
                        </pic:nvPicPr>
                        <pic:blipFill>
                          <a:blip/>
                          <a:stretch>
                            <a:fillRect/>
                          </a:stretch>
                        </pic:blipFill>
                        <pic:spPr>
                          <a:xfrm>
                            <a:off x="0" y="0"/>
                            <a:ext cx="2259965" cy="1423035"/>
                          </a:xfrm>
                          <a:prstGeom prst="rect">
                            <a:avLst/>
                          </a:prstGeom>
                          <a:noFill/>
                          <a:ln>
                            <a:noFill/>
                          </a:ln>
                        </pic:spPr>
                      </pic:pic>
                    </a:graphicData>
                  </a:graphic>
                </wp:anchor>
              </w:drawing>
            </w:r>
          </w:p>
        </w:tc>
        <w:tc>
          <w:tcPr>
            <w:tcW w:w="16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881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城市广场1层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0A1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节点造型</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F429B">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新春贺岁造型灯组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E9A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ECC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A6DD2">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F131C">
            <w:pPr>
              <w:jc w:val="center"/>
              <w:rPr>
                <w:rFonts w:hint="eastAsia" w:ascii="宋体" w:hAnsi="宋体" w:eastAsia="宋体" w:cs="宋体"/>
                <w:i w:val="0"/>
                <w:color w:val="000000"/>
                <w:sz w:val="22"/>
                <w:szCs w:val="22"/>
                <w:u w:val="none"/>
              </w:rPr>
            </w:pPr>
          </w:p>
        </w:tc>
      </w:tr>
      <w:tr w14:paraId="17807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A2611">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F9602">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ADCF2">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98C5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711E84">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爆闪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18F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ABC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BE48A">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59484">
            <w:pPr>
              <w:jc w:val="center"/>
              <w:rPr>
                <w:rFonts w:hint="eastAsia" w:ascii="宋体" w:hAnsi="宋体" w:eastAsia="宋体" w:cs="宋体"/>
                <w:i w:val="0"/>
                <w:color w:val="000000"/>
                <w:sz w:val="22"/>
                <w:szCs w:val="22"/>
                <w:u w:val="none"/>
              </w:rPr>
            </w:pPr>
          </w:p>
        </w:tc>
      </w:tr>
      <w:tr w14:paraId="134D5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580BB">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61F9E">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1B98A4">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E91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01AB4">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中国结</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尺寸：400x500mm中国结；</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LED光源：6w，</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材质：优质亚克力；颜色:红；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125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6C9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9BBB5">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BCAE34">
            <w:pPr>
              <w:jc w:val="center"/>
              <w:rPr>
                <w:rFonts w:hint="eastAsia" w:ascii="宋体" w:hAnsi="宋体" w:eastAsia="宋体" w:cs="宋体"/>
                <w:i w:val="0"/>
                <w:color w:val="000000"/>
                <w:sz w:val="22"/>
                <w:szCs w:val="22"/>
                <w:u w:val="none"/>
              </w:rPr>
            </w:pPr>
          </w:p>
        </w:tc>
      </w:tr>
      <w:tr w14:paraId="14EE5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BD2C7">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A787FE">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F7554">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9362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6A5A9">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五星挂件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594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B65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0A5B5">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EE9A6">
            <w:pPr>
              <w:jc w:val="center"/>
              <w:rPr>
                <w:rFonts w:hint="eastAsia" w:ascii="宋体" w:hAnsi="宋体" w:eastAsia="宋体" w:cs="宋体"/>
                <w:i w:val="0"/>
                <w:color w:val="000000"/>
                <w:sz w:val="22"/>
                <w:szCs w:val="22"/>
                <w:u w:val="none"/>
              </w:rPr>
            </w:pPr>
          </w:p>
        </w:tc>
      </w:tr>
      <w:tr w14:paraId="45585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63A0E">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B8577">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F3A3F5">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83B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灯带</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45157">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颜色：暖白 常亮  光源：6w/m</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规格型号：LED2835 规格：70珠/m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A8F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0B5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A0BE5">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4B35F">
            <w:pPr>
              <w:jc w:val="center"/>
              <w:rPr>
                <w:rFonts w:hint="eastAsia" w:ascii="宋体" w:hAnsi="宋体" w:eastAsia="宋体" w:cs="宋体"/>
                <w:i w:val="0"/>
                <w:color w:val="000000"/>
                <w:sz w:val="22"/>
                <w:szCs w:val="22"/>
                <w:u w:val="none"/>
              </w:rPr>
            </w:pPr>
          </w:p>
        </w:tc>
      </w:tr>
      <w:tr w14:paraId="02CE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0FF35">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510757">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6BF4B">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83B9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94B751">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RVS2*1.5m²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EC1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862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7CE84">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126B2">
            <w:pPr>
              <w:jc w:val="center"/>
              <w:rPr>
                <w:rFonts w:hint="eastAsia" w:ascii="宋体" w:hAnsi="宋体" w:eastAsia="宋体" w:cs="宋体"/>
                <w:i w:val="0"/>
                <w:color w:val="000000"/>
                <w:sz w:val="22"/>
                <w:szCs w:val="22"/>
                <w:u w:val="none"/>
              </w:rPr>
            </w:pPr>
          </w:p>
        </w:tc>
      </w:tr>
      <w:tr w14:paraId="51291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793F2">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9775F6">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555CC">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693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A1B87">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ZR-BLV25m²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1BD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3FA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038BC">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725F7">
            <w:pPr>
              <w:jc w:val="center"/>
              <w:rPr>
                <w:rFonts w:hint="eastAsia" w:ascii="宋体" w:hAnsi="宋体" w:eastAsia="宋体" w:cs="宋体"/>
                <w:i w:val="0"/>
                <w:color w:val="000000"/>
                <w:sz w:val="22"/>
                <w:szCs w:val="22"/>
                <w:u w:val="none"/>
              </w:rPr>
            </w:pPr>
          </w:p>
        </w:tc>
      </w:tr>
      <w:tr w14:paraId="5E502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82C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6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EA86F8">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6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3BC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城市广场2层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CAC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F2A46">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满天星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9ED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D6B5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3701F">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04780">
            <w:pPr>
              <w:jc w:val="center"/>
              <w:rPr>
                <w:rFonts w:hint="eastAsia" w:ascii="宋体" w:hAnsi="宋体" w:eastAsia="宋体" w:cs="宋体"/>
                <w:i w:val="0"/>
                <w:color w:val="000000"/>
                <w:sz w:val="22"/>
                <w:szCs w:val="22"/>
                <w:u w:val="none"/>
              </w:rPr>
            </w:pPr>
          </w:p>
        </w:tc>
      </w:tr>
      <w:tr w14:paraId="17AE0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8D074">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22081">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F80912">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82F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70EDF3">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彩球串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ECF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2F6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1950D">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44D85">
            <w:pPr>
              <w:jc w:val="center"/>
              <w:rPr>
                <w:rFonts w:hint="eastAsia" w:ascii="宋体" w:hAnsi="宋体" w:eastAsia="宋体" w:cs="宋体"/>
                <w:i w:val="0"/>
                <w:color w:val="000000"/>
                <w:sz w:val="22"/>
                <w:szCs w:val="22"/>
                <w:u w:val="none"/>
              </w:rPr>
            </w:pPr>
          </w:p>
        </w:tc>
      </w:tr>
      <w:tr w14:paraId="64312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ED13E">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C0B1D">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ADF3E">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2B4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-3278505</wp:posOffset>
                  </wp:positionH>
                  <wp:positionV relativeFrom="paragraph">
                    <wp:posOffset>190500</wp:posOffset>
                  </wp:positionV>
                  <wp:extent cx="2132965" cy="1177925"/>
                  <wp:effectExtent l="0" t="0" r="635" b="3175"/>
                  <wp:wrapNone/>
                  <wp:docPr id="14" name="图片_3"/>
                  <wp:cNvGraphicFramePr/>
                  <a:graphic xmlns:a="http://schemas.openxmlformats.org/drawingml/2006/main">
                    <a:graphicData uri="http://schemas.openxmlformats.org/drawingml/2006/picture">
                      <pic:pic xmlns:pic="http://schemas.openxmlformats.org/drawingml/2006/picture">
                        <pic:nvPicPr>
                          <pic:cNvPr id="14" name="图片_3"/>
                          <pic:cNvPicPr/>
                        </pic:nvPicPr>
                        <pic:blipFill>
                          <a:blip/>
                          <a:stretch>
                            <a:fillRect/>
                          </a:stretch>
                        </pic:blipFill>
                        <pic:spPr>
                          <a:xfrm>
                            <a:off x="0" y="0"/>
                            <a:ext cx="2132965" cy="117792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灯笼</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A71D6">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灯笼串</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尺寸：展开直径60cm(100#)，3个/套</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材质：绸缎布、铁口</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光源：10W红色节能灯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1B9B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FD8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9843F">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B56D5">
            <w:pPr>
              <w:jc w:val="center"/>
              <w:rPr>
                <w:rFonts w:hint="eastAsia" w:ascii="宋体" w:hAnsi="宋体" w:eastAsia="宋体" w:cs="宋体"/>
                <w:i w:val="0"/>
                <w:color w:val="000000"/>
                <w:sz w:val="22"/>
                <w:szCs w:val="22"/>
                <w:u w:val="none"/>
              </w:rPr>
            </w:pPr>
          </w:p>
        </w:tc>
      </w:tr>
      <w:tr w14:paraId="38D50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5DE33E">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E34DB">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9061E">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953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3D1AB">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907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AE89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8E845">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93E24">
            <w:pPr>
              <w:jc w:val="center"/>
              <w:rPr>
                <w:rFonts w:hint="eastAsia" w:ascii="宋体" w:hAnsi="宋体" w:eastAsia="宋体" w:cs="宋体"/>
                <w:i w:val="0"/>
                <w:color w:val="000000"/>
                <w:sz w:val="22"/>
                <w:szCs w:val="22"/>
                <w:u w:val="none"/>
              </w:rPr>
            </w:pPr>
          </w:p>
        </w:tc>
      </w:tr>
      <w:tr w14:paraId="38546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48F64">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9371C">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1C368">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FA28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0E0373">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E8C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E32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001C2">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0A3C7">
            <w:pPr>
              <w:jc w:val="center"/>
              <w:rPr>
                <w:rFonts w:hint="eastAsia" w:ascii="宋体" w:hAnsi="宋体" w:eastAsia="宋体" w:cs="宋体"/>
                <w:i w:val="0"/>
                <w:color w:val="000000"/>
                <w:sz w:val="22"/>
                <w:szCs w:val="22"/>
                <w:u w:val="none"/>
              </w:rPr>
            </w:pPr>
          </w:p>
        </w:tc>
      </w:tr>
      <w:tr w14:paraId="792DD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260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6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9118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73660</wp:posOffset>
                  </wp:positionH>
                  <wp:positionV relativeFrom="paragraph">
                    <wp:posOffset>93980</wp:posOffset>
                  </wp:positionV>
                  <wp:extent cx="2141855" cy="955675"/>
                  <wp:effectExtent l="0" t="0" r="10795" b="15875"/>
                  <wp:wrapNone/>
                  <wp:docPr id="16" name="图片_4"/>
                  <wp:cNvGraphicFramePr/>
                  <a:graphic xmlns:a="http://schemas.openxmlformats.org/drawingml/2006/main">
                    <a:graphicData uri="http://schemas.openxmlformats.org/drawingml/2006/picture">
                      <pic:pic xmlns:pic="http://schemas.openxmlformats.org/drawingml/2006/picture">
                        <pic:nvPicPr>
                          <pic:cNvPr id="16" name="图片_4"/>
                          <pic:cNvPicPr/>
                        </pic:nvPicPr>
                        <pic:blipFill>
                          <a:blip/>
                          <a:stretch>
                            <a:fillRect/>
                          </a:stretch>
                        </pic:blipFill>
                        <pic:spPr>
                          <a:xfrm>
                            <a:off x="0" y="0"/>
                            <a:ext cx="2141855" cy="955675"/>
                          </a:xfrm>
                          <a:prstGeom prst="rect">
                            <a:avLst/>
                          </a:prstGeom>
                          <a:noFill/>
                          <a:ln>
                            <a:noFill/>
                          </a:ln>
                        </pic:spPr>
                      </pic:pic>
                    </a:graphicData>
                  </a:graphic>
                </wp:anchor>
              </w:drawing>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5A6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城市广场3层</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5C2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华灯璀璨节点造型</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1E8E1">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尺寸：长40M，共2组。材质：造型整体钢骨架结构，丝架立体造型，八美缎分色裱糊，内置LED防水光源、防水配电箱（内设漏电开关、时控开关）防水等级IP54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AA8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300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19F13">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CC9FD">
            <w:pPr>
              <w:jc w:val="center"/>
              <w:rPr>
                <w:rFonts w:hint="eastAsia" w:ascii="宋体" w:hAnsi="宋体" w:eastAsia="宋体" w:cs="宋体"/>
                <w:i w:val="0"/>
                <w:color w:val="000000"/>
                <w:sz w:val="22"/>
                <w:szCs w:val="22"/>
                <w:u w:val="none"/>
              </w:rPr>
            </w:pPr>
          </w:p>
        </w:tc>
      </w:tr>
      <w:tr w14:paraId="2DE6A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4FAA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6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7B1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96520</wp:posOffset>
                  </wp:positionH>
                  <wp:positionV relativeFrom="paragraph">
                    <wp:posOffset>56515</wp:posOffset>
                  </wp:positionV>
                  <wp:extent cx="2146935" cy="1205865"/>
                  <wp:effectExtent l="0" t="0" r="5715" b="13335"/>
                  <wp:wrapNone/>
                  <wp:docPr id="13" name="图片_6"/>
                  <wp:cNvGraphicFramePr/>
                  <a:graphic xmlns:a="http://schemas.openxmlformats.org/drawingml/2006/main">
                    <a:graphicData uri="http://schemas.openxmlformats.org/drawingml/2006/picture">
                      <pic:pic xmlns:pic="http://schemas.openxmlformats.org/drawingml/2006/picture">
                        <pic:nvPicPr>
                          <pic:cNvPr id="13" name="图片_6"/>
                          <pic:cNvPicPr/>
                        </pic:nvPicPr>
                        <pic:blipFill>
                          <a:blip/>
                          <a:stretch>
                            <a:fillRect/>
                          </a:stretch>
                        </pic:blipFill>
                        <pic:spPr>
                          <a:xfrm>
                            <a:off x="0" y="0"/>
                            <a:ext cx="2146935" cy="1205865"/>
                          </a:xfrm>
                          <a:prstGeom prst="rect">
                            <a:avLst/>
                          </a:prstGeom>
                          <a:noFill/>
                          <a:ln>
                            <a:noFill/>
                          </a:ln>
                        </pic:spPr>
                      </pic:pic>
                    </a:graphicData>
                  </a:graphic>
                </wp:anchor>
              </w:drawing>
            </w:r>
          </w:p>
        </w:tc>
        <w:tc>
          <w:tcPr>
            <w:tcW w:w="16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EB16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市政府两侧道路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（1文苑街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2白云台街）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BD4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DC030C">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中国结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D869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EE6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5E903">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A413A">
            <w:pPr>
              <w:jc w:val="center"/>
              <w:rPr>
                <w:rFonts w:hint="eastAsia" w:ascii="宋体" w:hAnsi="宋体" w:eastAsia="宋体" w:cs="宋体"/>
                <w:i w:val="0"/>
                <w:color w:val="000000"/>
                <w:sz w:val="22"/>
                <w:szCs w:val="22"/>
                <w:u w:val="none"/>
              </w:rPr>
            </w:pPr>
          </w:p>
        </w:tc>
      </w:tr>
      <w:tr w14:paraId="0A54E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1A492">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DE847">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96037">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0A5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0F4B1">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流星雨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B0A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474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6942A0">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C7AA2">
            <w:pPr>
              <w:jc w:val="center"/>
              <w:rPr>
                <w:rFonts w:hint="eastAsia" w:ascii="宋体" w:hAnsi="宋体" w:eastAsia="宋体" w:cs="宋体"/>
                <w:i w:val="0"/>
                <w:color w:val="000000"/>
                <w:sz w:val="22"/>
                <w:szCs w:val="22"/>
                <w:u w:val="none"/>
              </w:rPr>
            </w:pPr>
          </w:p>
        </w:tc>
      </w:tr>
      <w:tr w14:paraId="3126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D68FD">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B7E94">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020EB1">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A07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灯饰挂件</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E792B">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满天星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7B3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78A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BB352">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BA061">
            <w:pPr>
              <w:jc w:val="center"/>
              <w:rPr>
                <w:rFonts w:hint="eastAsia" w:ascii="宋体" w:hAnsi="宋体" w:eastAsia="宋体" w:cs="宋体"/>
                <w:i w:val="0"/>
                <w:color w:val="000000"/>
                <w:sz w:val="22"/>
                <w:szCs w:val="22"/>
                <w:u w:val="none"/>
              </w:rPr>
            </w:pPr>
          </w:p>
        </w:tc>
      </w:tr>
      <w:tr w14:paraId="29DBA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5E513">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FE202">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7694E">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C91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7595EE">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8302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65B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8EA0B">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79FECB">
            <w:pPr>
              <w:jc w:val="center"/>
              <w:rPr>
                <w:rFonts w:hint="eastAsia" w:ascii="宋体" w:hAnsi="宋体" w:eastAsia="宋体" w:cs="宋体"/>
                <w:i w:val="0"/>
                <w:color w:val="000000"/>
                <w:sz w:val="22"/>
                <w:szCs w:val="22"/>
                <w:u w:val="none"/>
              </w:rPr>
            </w:pPr>
          </w:p>
        </w:tc>
      </w:tr>
      <w:tr w14:paraId="0EECD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10C17">
            <w:pPr>
              <w:jc w:val="center"/>
              <w:rPr>
                <w:rFonts w:hint="eastAsia" w:ascii="宋体" w:hAnsi="宋体" w:eastAsia="宋体" w:cs="宋体"/>
                <w:i w:val="0"/>
                <w:color w:val="000000"/>
                <w:sz w:val="22"/>
                <w:szCs w:val="22"/>
                <w:u w:val="none"/>
              </w:rPr>
            </w:pPr>
          </w:p>
        </w:tc>
        <w:tc>
          <w:tcPr>
            <w:tcW w:w="3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A1BCB">
            <w:pPr>
              <w:jc w:val="center"/>
              <w:rPr>
                <w:rFonts w:hint="eastAsia" w:ascii="宋体" w:hAnsi="宋体" w:eastAsia="宋体" w:cs="宋体"/>
                <w:i w:val="0"/>
                <w:color w:val="000000"/>
                <w:sz w:val="22"/>
                <w:szCs w:val="22"/>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FEED7">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868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电线</w:t>
            </w:r>
          </w:p>
        </w:tc>
        <w:tc>
          <w:tcPr>
            <w:tcW w:w="2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5FF3C">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DA2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A63E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76FED">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1AF99">
            <w:pPr>
              <w:jc w:val="center"/>
              <w:rPr>
                <w:rFonts w:hint="eastAsia" w:ascii="宋体" w:hAnsi="宋体" w:eastAsia="宋体" w:cs="宋体"/>
                <w:i w:val="0"/>
                <w:color w:val="000000"/>
                <w:sz w:val="22"/>
                <w:szCs w:val="22"/>
                <w:u w:val="none"/>
              </w:rPr>
            </w:pPr>
          </w:p>
        </w:tc>
      </w:tr>
      <w:tr w14:paraId="57799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983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C94F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2DF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60B08">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8D36D0">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6DDB9">
            <w:pPr>
              <w:jc w:val="center"/>
              <w:rPr>
                <w:rFonts w:hint="eastAsia" w:ascii="宋体" w:hAnsi="宋体" w:eastAsia="宋体" w:cs="宋体"/>
                <w:b/>
                <w:i w:val="0"/>
                <w:color w:val="000000"/>
                <w:sz w:val="22"/>
                <w:szCs w:val="22"/>
                <w:u w:val="none"/>
              </w:rPr>
            </w:pPr>
          </w:p>
        </w:tc>
      </w:tr>
      <w:tr w14:paraId="7AFB9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580" w:type="dxa"/>
            <w:tcBorders>
              <w:top w:val="nil"/>
              <w:left w:val="nil"/>
              <w:bottom w:val="nil"/>
              <w:right w:val="nil"/>
            </w:tcBorders>
            <w:shd w:val="clear" w:color="auto" w:fill="auto"/>
            <w:tcMar>
              <w:top w:w="15" w:type="dxa"/>
              <w:left w:w="15" w:type="dxa"/>
              <w:right w:w="15" w:type="dxa"/>
            </w:tcMar>
            <w:vAlign w:val="center"/>
          </w:tcPr>
          <w:p w14:paraId="2464466F">
            <w:pPr>
              <w:jc w:val="center"/>
              <w:rPr>
                <w:rFonts w:hint="eastAsia" w:ascii="宋体" w:hAnsi="宋体" w:eastAsia="宋体" w:cs="宋体"/>
                <w:b/>
                <w:i w:val="0"/>
                <w:color w:val="000000"/>
                <w:sz w:val="22"/>
                <w:szCs w:val="22"/>
                <w:u w:val="none"/>
              </w:rPr>
            </w:pPr>
          </w:p>
        </w:tc>
        <w:tc>
          <w:tcPr>
            <w:tcW w:w="3698" w:type="dxa"/>
            <w:tcBorders>
              <w:top w:val="nil"/>
              <w:left w:val="nil"/>
              <w:bottom w:val="nil"/>
              <w:right w:val="nil"/>
            </w:tcBorders>
            <w:shd w:val="clear" w:color="auto" w:fill="auto"/>
            <w:tcMar>
              <w:top w:w="15" w:type="dxa"/>
              <w:left w:w="15" w:type="dxa"/>
              <w:right w:w="15" w:type="dxa"/>
            </w:tcMar>
            <w:vAlign w:val="center"/>
          </w:tcPr>
          <w:p w14:paraId="421A972D">
            <w:pPr>
              <w:jc w:val="center"/>
              <w:rPr>
                <w:rFonts w:hint="eastAsia" w:ascii="宋体" w:hAnsi="宋体" w:eastAsia="宋体" w:cs="宋体"/>
                <w:b/>
                <w:i w:val="0"/>
                <w:color w:val="000000"/>
                <w:sz w:val="22"/>
                <w:szCs w:val="22"/>
                <w:u w:val="none"/>
              </w:rPr>
            </w:pPr>
          </w:p>
        </w:tc>
        <w:tc>
          <w:tcPr>
            <w:tcW w:w="1600" w:type="dxa"/>
            <w:tcBorders>
              <w:top w:val="nil"/>
              <w:left w:val="nil"/>
              <w:bottom w:val="nil"/>
              <w:right w:val="nil"/>
            </w:tcBorders>
            <w:shd w:val="clear" w:color="auto" w:fill="auto"/>
            <w:tcMar>
              <w:top w:w="15" w:type="dxa"/>
              <w:left w:w="15" w:type="dxa"/>
              <w:right w:w="15" w:type="dxa"/>
            </w:tcMar>
            <w:vAlign w:val="center"/>
          </w:tcPr>
          <w:p w14:paraId="59C63E4C">
            <w:pPr>
              <w:jc w:val="center"/>
              <w:rPr>
                <w:rFonts w:hint="eastAsia" w:ascii="宋体" w:hAnsi="宋体" w:eastAsia="宋体" w:cs="宋体"/>
                <w:b/>
                <w:i w:val="0"/>
                <w:color w:val="000000"/>
                <w:sz w:val="22"/>
                <w:szCs w:val="22"/>
                <w:u w:val="none"/>
              </w:rPr>
            </w:pPr>
          </w:p>
        </w:tc>
        <w:tc>
          <w:tcPr>
            <w:tcW w:w="1340" w:type="dxa"/>
            <w:tcBorders>
              <w:top w:val="nil"/>
              <w:left w:val="nil"/>
              <w:bottom w:val="nil"/>
              <w:right w:val="nil"/>
            </w:tcBorders>
            <w:shd w:val="clear" w:color="auto" w:fill="auto"/>
            <w:tcMar>
              <w:top w:w="15" w:type="dxa"/>
              <w:left w:w="15" w:type="dxa"/>
              <w:right w:w="15" w:type="dxa"/>
            </w:tcMar>
            <w:vAlign w:val="center"/>
          </w:tcPr>
          <w:p w14:paraId="02850BEB">
            <w:pPr>
              <w:jc w:val="center"/>
              <w:rPr>
                <w:rFonts w:hint="eastAsia" w:ascii="宋体" w:hAnsi="宋体" w:eastAsia="宋体" w:cs="宋体"/>
                <w:b/>
                <w:i w:val="0"/>
                <w:color w:val="000000"/>
                <w:sz w:val="22"/>
                <w:szCs w:val="22"/>
                <w:u w:val="none"/>
              </w:rPr>
            </w:pPr>
          </w:p>
        </w:tc>
        <w:tc>
          <w:tcPr>
            <w:tcW w:w="2616" w:type="dxa"/>
            <w:tcBorders>
              <w:top w:val="nil"/>
              <w:left w:val="nil"/>
              <w:bottom w:val="nil"/>
              <w:right w:val="nil"/>
            </w:tcBorders>
            <w:shd w:val="clear" w:color="auto" w:fill="auto"/>
            <w:tcMar>
              <w:top w:w="15" w:type="dxa"/>
              <w:left w:w="15" w:type="dxa"/>
              <w:right w:w="15" w:type="dxa"/>
            </w:tcMar>
            <w:vAlign w:val="center"/>
          </w:tcPr>
          <w:p w14:paraId="47DBB24E">
            <w:pPr>
              <w:jc w:val="center"/>
              <w:rPr>
                <w:rFonts w:hint="eastAsia" w:ascii="宋体" w:hAnsi="宋体" w:eastAsia="宋体" w:cs="宋体"/>
                <w:b/>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677D55FB">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73C7DE68">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3BAA50EB">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32CBB8CB">
            <w:pPr>
              <w:jc w:val="center"/>
              <w:rPr>
                <w:rFonts w:hint="eastAsia" w:ascii="宋体" w:hAnsi="宋体" w:eastAsia="宋体" w:cs="宋体"/>
                <w:b/>
                <w:i w:val="0"/>
                <w:color w:val="000000"/>
                <w:sz w:val="22"/>
                <w:szCs w:val="22"/>
                <w:u w:val="none"/>
              </w:rPr>
            </w:pPr>
          </w:p>
        </w:tc>
      </w:tr>
      <w:tr w14:paraId="4E20E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0" w:type="auto"/>
            <w:tcBorders>
              <w:top w:val="nil"/>
              <w:left w:val="nil"/>
              <w:bottom w:val="nil"/>
              <w:right w:val="nil"/>
            </w:tcBorders>
            <w:shd w:val="clear" w:color="auto" w:fill="auto"/>
            <w:noWrap/>
            <w:tcMar>
              <w:top w:w="15" w:type="dxa"/>
              <w:left w:w="15" w:type="dxa"/>
              <w:right w:w="15" w:type="dxa"/>
            </w:tcMar>
            <w:vAlign w:val="center"/>
          </w:tcPr>
          <w:p w14:paraId="05C89619">
            <w:pPr>
              <w:jc w:val="center"/>
              <w:rPr>
                <w:rFonts w:hint="eastAsia" w:ascii="宋体" w:hAnsi="宋体" w:eastAsia="宋体" w:cs="宋体"/>
                <w:i w:val="0"/>
                <w:color w:val="000000"/>
                <w:sz w:val="22"/>
                <w:szCs w:val="22"/>
                <w:u w:val="none"/>
              </w:rPr>
            </w:pPr>
          </w:p>
        </w:tc>
        <w:tc>
          <w:tcPr>
            <w:tcW w:w="3698" w:type="dxa"/>
            <w:tcBorders>
              <w:top w:val="nil"/>
              <w:left w:val="nil"/>
              <w:bottom w:val="nil"/>
              <w:right w:val="nil"/>
            </w:tcBorders>
            <w:shd w:val="clear" w:color="auto" w:fill="auto"/>
            <w:tcMar>
              <w:top w:w="15" w:type="dxa"/>
              <w:left w:w="15" w:type="dxa"/>
              <w:right w:w="15" w:type="dxa"/>
            </w:tcMar>
            <w:vAlign w:val="center"/>
          </w:tcPr>
          <w:p w14:paraId="0E57F781">
            <w:pPr>
              <w:jc w:val="center"/>
              <w:rPr>
                <w:rFonts w:hint="eastAsia" w:ascii="宋体" w:hAnsi="宋体" w:eastAsia="宋体" w:cs="宋体"/>
                <w:i w:val="0"/>
                <w:color w:val="000000"/>
                <w:sz w:val="22"/>
                <w:szCs w:val="22"/>
                <w:u w:val="none"/>
              </w:rPr>
            </w:pPr>
          </w:p>
        </w:tc>
        <w:tc>
          <w:tcPr>
            <w:tcW w:w="1600" w:type="dxa"/>
            <w:tcBorders>
              <w:top w:val="nil"/>
              <w:left w:val="nil"/>
              <w:bottom w:val="nil"/>
              <w:right w:val="nil"/>
            </w:tcBorders>
            <w:shd w:val="clear" w:color="auto" w:fill="auto"/>
            <w:tcMar>
              <w:top w:w="15" w:type="dxa"/>
              <w:left w:w="15" w:type="dxa"/>
              <w:right w:w="15" w:type="dxa"/>
            </w:tcMar>
            <w:vAlign w:val="center"/>
          </w:tcPr>
          <w:p w14:paraId="360B48E1">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65DC4018">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7B52612A">
            <w:pPr>
              <w:jc w:val="right"/>
              <w:rPr>
                <w:rFonts w:hint="eastAsia" w:ascii="宋体" w:hAnsi="宋体" w:eastAsia="宋体" w:cs="宋体"/>
                <w:i w:val="0"/>
                <w:color w:val="000000"/>
                <w:sz w:val="22"/>
                <w:szCs w:val="22"/>
                <w:u w:val="none"/>
              </w:rPr>
            </w:pPr>
          </w:p>
        </w:tc>
        <w:tc>
          <w:tcPr>
            <w:tcW w:w="0" w:type="auto"/>
            <w:gridSpan w:val="4"/>
            <w:tcBorders>
              <w:top w:val="nil"/>
              <w:left w:val="nil"/>
              <w:bottom w:val="nil"/>
              <w:right w:val="nil"/>
            </w:tcBorders>
            <w:shd w:val="clear" w:color="auto" w:fill="auto"/>
            <w:noWrap/>
            <w:tcMar>
              <w:top w:w="15" w:type="dxa"/>
              <w:left w:w="15" w:type="dxa"/>
              <w:right w:w="15" w:type="dxa"/>
            </w:tcMar>
            <w:vAlign w:val="center"/>
          </w:tcPr>
          <w:p w14:paraId="4D22E5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营造任务单位：巴中市产业发展集团有限公司</w:t>
            </w:r>
          </w:p>
        </w:tc>
      </w:tr>
      <w:tr w14:paraId="428C1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atLeast"/>
        </w:trPr>
        <w:tc>
          <w:tcPr>
            <w:tcW w:w="0" w:type="auto"/>
            <w:tcBorders>
              <w:top w:val="nil"/>
              <w:left w:val="nil"/>
              <w:bottom w:val="nil"/>
              <w:right w:val="nil"/>
            </w:tcBorders>
            <w:shd w:val="clear" w:color="auto" w:fill="auto"/>
            <w:noWrap/>
            <w:tcMar>
              <w:top w:w="15" w:type="dxa"/>
              <w:left w:w="15" w:type="dxa"/>
              <w:right w:w="15" w:type="dxa"/>
            </w:tcMar>
            <w:vAlign w:val="center"/>
          </w:tcPr>
          <w:p w14:paraId="39C586DE">
            <w:pPr>
              <w:jc w:val="center"/>
              <w:rPr>
                <w:rFonts w:hint="eastAsia" w:ascii="宋体" w:hAnsi="宋体" w:eastAsia="宋体" w:cs="宋体"/>
                <w:i w:val="0"/>
                <w:color w:val="000000"/>
                <w:sz w:val="22"/>
                <w:szCs w:val="22"/>
                <w:u w:val="none"/>
              </w:rPr>
            </w:pPr>
          </w:p>
        </w:tc>
        <w:tc>
          <w:tcPr>
            <w:tcW w:w="3698" w:type="dxa"/>
            <w:tcBorders>
              <w:top w:val="nil"/>
              <w:left w:val="nil"/>
              <w:bottom w:val="nil"/>
              <w:right w:val="nil"/>
            </w:tcBorders>
            <w:shd w:val="clear" w:color="auto" w:fill="auto"/>
            <w:tcMar>
              <w:top w:w="15" w:type="dxa"/>
              <w:left w:w="15" w:type="dxa"/>
              <w:right w:w="15" w:type="dxa"/>
            </w:tcMar>
            <w:vAlign w:val="center"/>
          </w:tcPr>
          <w:p w14:paraId="2E185E3F">
            <w:pPr>
              <w:jc w:val="center"/>
              <w:rPr>
                <w:rFonts w:hint="eastAsia" w:ascii="宋体" w:hAnsi="宋体" w:eastAsia="宋体" w:cs="宋体"/>
                <w:i w:val="0"/>
                <w:color w:val="000000"/>
                <w:sz w:val="22"/>
                <w:szCs w:val="22"/>
                <w:u w:val="none"/>
              </w:rPr>
            </w:pPr>
          </w:p>
        </w:tc>
        <w:tc>
          <w:tcPr>
            <w:tcW w:w="1600" w:type="dxa"/>
            <w:tcBorders>
              <w:top w:val="nil"/>
              <w:left w:val="nil"/>
              <w:bottom w:val="nil"/>
              <w:right w:val="nil"/>
            </w:tcBorders>
            <w:shd w:val="clear" w:color="auto" w:fill="auto"/>
            <w:tcMar>
              <w:top w:w="15" w:type="dxa"/>
              <w:left w:w="15" w:type="dxa"/>
              <w:right w:w="15" w:type="dxa"/>
            </w:tcMar>
            <w:vAlign w:val="center"/>
          </w:tcPr>
          <w:p w14:paraId="76B14B23">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209FF50A">
            <w:pPr>
              <w:jc w:val="center"/>
              <w:rPr>
                <w:rFonts w:hint="eastAsia" w:ascii="宋体" w:hAnsi="宋体" w:eastAsia="宋体" w:cs="宋体"/>
                <w:i w:val="0"/>
                <w:color w:val="000000"/>
                <w:sz w:val="22"/>
                <w:szCs w:val="22"/>
                <w:u w:val="none"/>
              </w:rPr>
            </w:pPr>
          </w:p>
        </w:tc>
        <w:tc>
          <w:tcPr>
            <w:tcW w:w="2616" w:type="dxa"/>
            <w:tcBorders>
              <w:top w:val="nil"/>
              <w:left w:val="nil"/>
              <w:bottom w:val="nil"/>
              <w:right w:val="nil"/>
            </w:tcBorders>
            <w:shd w:val="clear" w:color="auto" w:fill="auto"/>
            <w:tcMar>
              <w:top w:w="15" w:type="dxa"/>
              <w:left w:w="15" w:type="dxa"/>
              <w:right w:w="15" w:type="dxa"/>
            </w:tcMar>
            <w:vAlign w:val="center"/>
          </w:tcPr>
          <w:p w14:paraId="2096DA82">
            <w:pPr>
              <w:rPr>
                <w:rFonts w:hint="eastAsia" w:ascii="宋体" w:hAnsi="宋体" w:eastAsia="宋体" w:cs="宋体"/>
                <w:i w:val="0"/>
                <w:color w:val="000000"/>
                <w:sz w:val="16"/>
                <w:szCs w:val="16"/>
                <w:u w:val="none"/>
              </w:rPr>
            </w:pPr>
          </w:p>
        </w:tc>
        <w:tc>
          <w:tcPr>
            <w:tcW w:w="0" w:type="auto"/>
            <w:gridSpan w:val="4"/>
            <w:tcBorders>
              <w:top w:val="nil"/>
              <w:left w:val="nil"/>
              <w:bottom w:val="nil"/>
              <w:right w:val="nil"/>
            </w:tcBorders>
            <w:shd w:val="clear" w:color="auto" w:fill="auto"/>
            <w:noWrap/>
            <w:tcMar>
              <w:top w:w="15" w:type="dxa"/>
              <w:left w:w="15" w:type="dxa"/>
              <w:right w:w="15" w:type="dxa"/>
            </w:tcMar>
            <w:vAlign w:val="center"/>
          </w:tcPr>
          <w:p w14:paraId="6B613E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2024年12月4日</w:t>
            </w:r>
          </w:p>
        </w:tc>
      </w:tr>
    </w:tbl>
    <w:p w14:paraId="04EE0D9B">
      <w:pPr>
        <w:pStyle w:val="22"/>
        <w:ind w:left="0" w:leftChars="0" w:firstLine="0" w:firstLineChars="0"/>
        <w:rPr>
          <w:rFonts w:hint="eastAsia" w:ascii="仿宋_GB2312" w:hAnsi="仿宋_GB2312" w:eastAsia="仿宋_GB2312" w:cs="仿宋"/>
          <w:color w:val="000000" w:themeColor="text1"/>
          <w:sz w:val="24"/>
          <w:szCs w:val="24"/>
          <w:lang w:eastAsia="zh-CN"/>
          <w14:textFill>
            <w14:solidFill>
              <w14:schemeClr w14:val="tx1"/>
            </w14:solidFill>
          </w14:textFill>
        </w:rPr>
      </w:pPr>
    </w:p>
    <w:p w14:paraId="50821F00">
      <w:pPr>
        <w:pStyle w:val="22"/>
        <w:ind w:left="0" w:leftChars="0" w:firstLine="482" w:firstLineChars="200"/>
        <w:rPr>
          <w:rFonts w:hint="default" w:ascii="仿宋_GB2312" w:hAnsi="仿宋_GB2312" w:eastAsia="仿宋_GB2312" w:cs="仿宋"/>
          <w:b/>
          <w:bCs/>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
          <w:b/>
          <w:bCs/>
          <w:color w:val="000000" w:themeColor="text1"/>
          <w:sz w:val="24"/>
          <w:szCs w:val="24"/>
          <w:lang w:eastAsia="zh-CN"/>
          <w14:textFill>
            <w14:solidFill>
              <w14:schemeClr w14:val="tx1"/>
            </w14:solidFill>
          </w14:textFill>
        </w:rPr>
        <w:t>特明说明：</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供应商应</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根据</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采购人提供的</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巴中市2025年江北片区春节氛围营造工程竞争性谈判文件（含工程量清单）和巴中市2025年江北片区春节氛围营造设计方案，自行组织实地勘测，按照实际情况进行报价。报价包括但不限于采购项目概况、方案、图纸涉及的所有内容，达到设计方案效果并经巴中市综合行政执法局验收合格。</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供应商应充</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分考虑本项目合同实施期间可能发生的一切费用，合同履行期间不再增加任何费用。</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供应商应</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充分考虑了市场情况，并承担包括市场价格波动、</w:t>
      </w:r>
      <w:r>
        <w:rPr>
          <w:rFonts w:hint="eastAsia" w:ascii="仿宋_GB2312" w:hAnsi="仿宋_GB2312" w:eastAsia="仿宋_GB2312" w:cs="仿宋"/>
          <w:b/>
          <w:bCs/>
          <w:color w:val="000000" w:themeColor="text1"/>
          <w:sz w:val="24"/>
          <w:szCs w:val="24"/>
          <w:lang w:val="en-US" w:eastAsia="zh-CN" w:bidi="ar-SA"/>
          <w14:textFill>
            <w14:solidFill>
              <w14:schemeClr w14:val="tx1"/>
            </w14:solidFill>
          </w14:textFill>
        </w:rPr>
        <w:t>工程量增减</w:t>
      </w:r>
      <w:r>
        <w:rPr>
          <w:rFonts w:hint="default" w:ascii="仿宋_GB2312" w:hAnsi="仿宋_GB2312" w:eastAsia="仿宋_GB2312" w:cs="仿宋"/>
          <w:b/>
          <w:bCs/>
          <w:color w:val="000000" w:themeColor="text1"/>
          <w:sz w:val="24"/>
          <w:szCs w:val="24"/>
          <w:lang w:val="en-US" w:eastAsia="zh-CN" w:bidi="ar-SA"/>
          <w14:textFill>
            <w14:solidFill>
              <w14:schemeClr w14:val="tx1"/>
            </w14:solidFill>
          </w14:textFill>
        </w:rPr>
        <w:t>等带来的全部风险。</w:t>
      </w:r>
    </w:p>
    <w:p w14:paraId="5D8CAFC3">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276DFC3E">
      <w:pPr>
        <w:pStyle w:val="22"/>
        <w:ind w:firstLine="551"/>
        <w:rPr>
          <w:rFonts w:hint="eastAsia" w:ascii="仿宋_GB2312" w:hAnsi="仿宋_GB2312" w:eastAsia="仿宋_GB2312" w:cs="仿宋"/>
          <w:color w:val="000000" w:themeColor="text1"/>
          <w:sz w:val="24"/>
          <w:szCs w:val="24"/>
          <w14:textFill>
            <w14:solidFill>
              <w14:schemeClr w14:val="tx1"/>
            </w14:solidFill>
          </w14:textFill>
        </w:rPr>
        <w:sectPr>
          <w:pgSz w:w="16838" w:h="11906" w:orient="landscape"/>
          <w:pgMar w:top="1803" w:right="1440" w:bottom="1803" w:left="1440" w:header="851" w:footer="992" w:gutter="0"/>
          <w:pgNumType w:fmt="decimal"/>
          <w:cols w:space="0" w:num="1"/>
          <w:rtlGutter w:val="0"/>
          <w:docGrid w:type="lines" w:linePitch="332" w:charSpace="0"/>
        </w:sectPr>
      </w:pPr>
    </w:p>
    <w:p w14:paraId="6C4A2FD5">
      <w:pPr>
        <w:pStyle w:val="22"/>
        <w:ind w:firstLine="551"/>
        <w:rPr>
          <w:rFonts w:hint="eastAsia" w:ascii="仿宋_GB2312" w:hAnsi="仿宋_GB2312" w:eastAsia="仿宋_GB2312" w:cs="仿宋"/>
          <w:color w:val="000000" w:themeColor="text1"/>
          <w:sz w:val="24"/>
          <w:szCs w:val="24"/>
          <w14:textFill>
            <w14:solidFill>
              <w14:schemeClr w14:val="tx1"/>
            </w14:solidFill>
          </w14:textFill>
        </w:rPr>
      </w:pPr>
    </w:p>
    <w:p w14:paraId="55ACEA51">
      <w:pPr>
        <w:pStyle w:val="11"/>
        <w:jc w:val="both"/>
        <w:rPr>
          <w:rFonts w:ascii="仿宋_GB2312" w:hAnsi="仿宋_GB2312" w:eastAsia="仿宋_GB2312" w:cs="Times New Roman"/>
          <w:color w:val="000000" w:themeColor="text1"/>
          <w14:textFill>
            <w14:solidFill>
              <w14:schemeClr w14:val="tx1"/>
            </w14:solidFill>
          </w14:textFill>
        </w:rPr>
      </w:pPr>
      <w:r>
        <w:rPr>
          <w:rFonts w:ascii="仿宋_GB2312" w:hAnsi="仿宋_GB2312" w:eastAsia="仿宋_GB2312" w:cs="Times New Roman"/>
          <w:color w:val="000000" w:themeColor="text1"/>
          <w:sz w:val="24"/>
          <w:szCs w:val="24"/>
          <w14:textFill>
            <w14:solidFill>
              <w14:schemeClr w14:val="tx1"/>
            </w14:solidFill>
          </w14:textFill>
        </w:rPr>
        <w:t xml:space="preserve">                         </w:t>
      </w:r>
      <w:bookmarkStart w:id="69" w:name="_Toc69478558"/>
      <w:r>
        <w:rPr>
          <w:rFonts w:hint="eastAsia" w:ascii="仿宋_GB2312" w:hAnsi="仿宋_GB2312" w:eastAsia="仿宋_GB2312" w:cs="仿宋"/>
          <w:color w:val="000000" w:themeColor="text1"/>
          <w14:textFill>
            <w14:solidFill>
              <w14:schemeClr w14:val="tx1"/>
            </w14:solidFill>
          </w14:textFill>
        </w:rPr>
        <w:t>第六章</w:t>
      </w:r>
      <w:r>
        <w:rPr>
          <w:rFonts w:ascii="仿宋_GB2312" w:hAnsi="仿宋_GB2312" w:eastAsia="仿宋_GB2312" w:cs="仿宋"/>
          <w:color w:val="000000" w:themeColor="text1"/>
          <w14:textFill>
            <w14:solidFill>
              <w14:schemeClr w14:val="tx1"/>
            </w14:solidFill>
          </w14:textFill>
        </w:rPr>
        <w:t xml:space="preserve"> </w:t>
      </w:r>
      <w:r>
        <w:rPr>
          <w:rFonts w:hint="eastAsia" w:ascii="仿宋_GB2312" w:hAnsi="仿宋_GB2312" w:eastAsia="仿宋_GB2312" w:cs="仿宋"/>
          <w:color w:val="000000" w:themeColor="text1"/>
          <w14:textFill>
            <w14:solidFill>
              <w14:schemeClr w14:val="tx1"/>
            </w14:solidFill>
          </w14:textFill>
        </w:rPr>
        <w:t>评审方法</w:t>
      </w:r>
      <w:bookmarkEnd w:id="68"/>
      <w:bookmarkEnd w:id="69"/>
    </w:p>
    <w:p w14:paraId="463DD1F7">
      <w:pPr>
        <w:rPr>
          <w:rFonts w:ascii="仿宋_GB2312" w:hAnsi="仿宋_GB2312" w:eastAsia="仿宋_GB2312" w:cs="仿宋"/>
          <w:color w:val="000000" w:themeColor="text1"/>
          <w14:textFill>
            <w14:solidFill>
              <w14:schemeClr w14:val="tx1"/>
            </w14:solidFill>
          </w14:textFill>
        </w:rPr>
      </w:pPr>
      <w:bookmarkStart w:id="70" w:name="_Toc101250640"/>
      <w:bookmarkStart w:id="71" w:name="_Toc101174146"/>
      <w:bookmarkStart w:id="72" w:name="_Toc209847065"/>
      <w:bookmarkStart w:id="73" w:name="_Toc101338358"/>
      <w:bookmarkStart w:id="74" w:name="_Toc430773924"/>
    </w:p>
    <w:p w14:paraId="2E55997C">
      <w:pPr>
        <w:pStyle w:val="4"/>
        <w:keepNext w:val="0"/>
        <w:keepLines w:val="0"/>
        <w:spacing w:before="0" w:after="0" w:line="360" w:lineRule="auto"/>
        <w:ind w:firstLine="472" w:firstLineChars="196"/>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1.总则</w:t>
      </w:r>
    </w:p>
    <w:p w14:paraId="18987E21">
      <w:pPr>
        <w:pStyle w:val="4"/>
        <w:keepNext w:val="0"/>
        <w:keepLines w:val="0"/>
        <w:spacing w:before="0" w:after="0"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1.1 根据《中华人民共和国政府采购法》《中华人民共和国政府采购法实施条例》《政府采购非招标采购方式管理办法》等法律制度，结合本采购项目特点制定本次竞争性谈判评审方法。</w:t>
      </w:r>
    </w:p>
    <w:p w14:paraId="49CDB2C0">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1.2 评审工作由采购</w:t>
      </w:r>
      <w:r>
        <w:rPr>
          <w:rFonts w:hint="eastAsia" w:ascii="仿宋_GB2312" w:hAnsi="仿宋_GB2312" w:eastAsia="仿宋_GB2312" w:cs="仿宋"/>
          <w:b w:val="0"/>
          <w:bCs w:val="0"/>
          <w:color w:val="000000" w:themeColor="text1"/>
          <w:sz w:val="24"/>
          <w:szCs w:val="24"/>
          <w:lang w:eastAsia="zh-CN"/>
          <w14:textFill>
            <w14:solidFill>
              <w14:schemeClr w14:val="tx1"/>
            </w14:solidFill>
          </w14:textFill>
        </w:rPr>
        <w:t>人</w:t>
      </w:r>
      <w:r>
        <w:rPr>
          <w:rFonts w:hint="eastAsia" w:ascii="仿宋_GB2312" w:hAnsi="仿宋_GB2312" w:eastAsia="仿宋_GB2312" w:cs="仿宋"/>
          <w:b w:val="0"/>
          <w:bCs w:val="0"/>
          <w:color w:val="000000" w:themeColor="text1"/>
          <w:sz w:val="24"/>
          <w:szCs w:val="24"/>
          <w14:textFill>
            <w14:solidFill>
              <w14:schemeClr w14:val="tx1"/>
            </w14:solidFill>
          </w14:textFill>
        </w:rPr>
        <w:t>组织，具体由</w:t>
      </w:r>
      <w:r>
        <w:rPr>
          <w:rFonts w:hint="eastAsia" w:ascii="仿宋_GB2312" w:hAnsi="仿宋_GB2312" w:eastAsia="仿宋_GB2312" w:cs="仿宋"/>
          <w:b w:val="0"/>
          <w:bCs w:val="0"/>
          <w:color w:val="000000" w:themeColor="text1"/>
          <w:sz w:val="24"/>
          <w:szCs w:val="24"/>
          <w:lang w:val="en-US" w:eastAsia="zh-CN"/>
          <w14:textFill>
            <w14:solidFill>
              <w14:schemeClr w14:val="tx1"/>
            </w14:solidFill>
          </w14:textFill>
        </w:rPr>
        <w:t>自主</w:t>
      </w:r>
      <w:r>
        <w:rPr>
          <w:rFonts w:hint="eastAsia" w:ascii="仿宋_GB2312" w:hAnsi="仿宋_GB2312" w:eastAsia="仿宋_GB2312" w:cs="仿宋"/>
          <w:b w:val="0"/>
          <w:bCs w:val="0"/>
          <w:color w:val="000000" w:themeColor="text1"/>
          <w:sz w:val="24"/>
          <w:szCs w:val="24"/>
          <w14:textFill>
            <w14:solidFill>
              <w14:schemeClr w14:val="tx1"/>
            </w14:solidFill>
          </w14:textFill>
        </w:rPr>
        <w:t>组建的谈判小组负责。</w:t>
      </w:r>
    </w:p>
    <w:p w14:paraId="36817DD6">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1.3 评审工作应遵循客观、公正、审慎的原则，并以相同的谈判程序和标准对待所有的供应商。</w:t>
      </w:r>
    </w:p>
    <w:p w14:paraId="529CC629">
      <w:pPr>
        <w:spacing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1.4 本项目采取</w:t>
      </w:r>
      <w:r>
        <w:rPr>
          <w:rFonts w:hint="eastAsia" w:ascii="仿宋_GB2312" w:hAnsi="仿宋_GB2312" w:eastAsia="仿宋_GB2312" w:cs="仿宋"/>
          <w:color w:val="000000" w:themeColor="text1"/>
          <w:lang w:eastAsia="zh-CN"/>
          <w14:textFill>
            <w14:solidFill>
              <w14:schemeClr w14:val="tx1"/>
            </w14:solidFill>
          </w14:textFill>
        </w:rPr>
        <w:t>现场</w:t>
      </w:r>
      <w:r>
        <w:rPr>
          <w:rFonts w:hint="eastAsia" w:ascii="仿宋_GB2312" w:hAnsi="仿宋_GB2312" w:eastAsia="仿宋_GB2312" w:cs="仿宋"/>
          <w:color w:val="000000" w:themeColor="text1"/>
          <w14:textFill>
            <w14:solidFill>
              <w14:schemeClr w14:val="tx1"/>
            </w14:solidFill>
          </w14:textFill>
        </w:rPr>
        <w:t>评审，完成评审工作。谈判小组成员、采购人和供应商应当按照本谈判文件规定开展或者参加评审活动。</w:t>
      </w:r>
    </w:p>
    <w:p w14:paraId="1DB980FA">
      <w:pPr>
        <w:pStyle w:val="18"/>
        <w:spacing w:line="360" w:lineRule="auto"/>
        <w:ind w:firstLine="470" w:firstLineChars="196"/>
        <w:rPr>
          <w:rFonts w:hint="default"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1.5 评审过程中的书面材料</w:t>
      </w:r>
      <w:r>
        <w:rPr>
          <w:rFonts w:hint="eastAsia" w:ascii="仿宋_GB2312" w:hAnsi="仿宋_GB2312" w:eastAsia="仿宋_GB2312" w:cs="仿宋"/>
          <w:color w:val="000000" w:themeColor="text1"/>
          <w:lang w:eastAsia="zh-CN"/>
          <w14:textFill>
            <w14:solidFill>
              <w14:schemeClr w14:val="tx1"/>
            </w14:solidFill>
          </w14:textFill>
        </w:rPr>
        <w:t>由</w:t>
      </w:r>
      <w:r>
        <w:rPr>
          <w:rFonts w:ascii="仿宋_GB2312" w:hAnsi="仿宋_GB2312" w:eastAsia="仿宋_GB2312" w:cs="仿宋"/>
          <w:color w:val="000000" w:themeColor="text1"/>
          <w14:textFill>
            <w14:solidFill>
              <w14:schemeClr w14:val="tx1"/>
            </w14:solidFill>
          </w14:textFill>
        </w:rPr>
        <w:t>谈判小组成员签名后生效。</w:t>
      </w:r>
    </w:p>
    <w:p w14:paraId="251C644F">
      <w:pPr>
        <w:pStyle w:val="4"/>
        <w:spacing w:before="0" w:after="0"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b w:val="0"/>
          <w:bCs w:val="0"/>
          <w:color w:val="000000" w:themeColor="text1"/>
          <w:kern w:val="0"/>
          <w:sz w:val="24"/>
          <w:szCs w:val="24"/>
          <w14:textFill>
            <w14:solidFill>
              <w14:schemeClr w14:val="tx1"/>
            </w14:solidFill>
          </w14:textFill>
        </w:rPr>
        <w:t>1.6评审</w:t>
      </w:r>
      <w:r>
        <w:rPr>
          <w:rFonts w:hint="eastAsia" w:ascii="仿宋_GB2312" w:hAnsi="仿宋_GB2312" w:eastAsia="仿宋_GB2312" w:cs="仿宋"/>
          <w:b w:val="0"/>
          <w:bCs w:val="0"/>
          <w:color w:val="000000" w:themeColor="text1"/>
          <w:sz w:val="24"/>
          <w:szCs w:val="24"/>
          <w14:textFill>
            <w14:solidFill>
              <w14:schemeClr w14:val="tx1"/>
            </w14:solidFill>
          </w14:textFill>
        </w:rPr>
        <w:t>过程应当独立、保密，任何单位和个人不得非法干预评审活动。供应商非法干预评审活动的，其响应文件将作无效处理；采购人及其工作人员、采购人监督人员非法干预评审活动的，将依法追究其责任。</w:t>
      </w:r>
    </w:p>
    <w:p w14:paraId="3B74665A">
      <w:pPr>
        <w:pStyle w:val="18"/>
        <w:spacing w:line="360" w:lineRule="auto"/>
        <w:ind w:firstLine="472" w:firstLineChars="196"/>
        <w:rPr>
          <w:rFonts w:hint="default" w:ascii="仿宋_GB2312" w:hAnsi="仿宋_GB2312" w:eastAsia="仿宋_GB2312" w:cs="仿宋"/>
          <w:b/>
          <w:bCs/>
          <w:color w:val="000000" w:themeColor="text1"/>
          <w14:textFill>
            <w14:solidFill>
              <w14:schemeClr w14:val="tx1"/>
            </w14:solidFill>
          </w14:textFill>
        </w:rPr>
      </w:pPr>
      <w:r>
        <w:rPr>
          <w:rFonts w:ascii="仿宋_GB2312" w:hAnsi="仿宋_GB2312" w:eastAsia="仿宋_GB2312" w:cs="仿宋"/>
          <w:b/>
          <w:bCs/>
          <w:color w:val="000000" w:themeColor="text1"/>
          <w14:textFill>
            <w14:solidFill>
              <w14:schemeClr w14:val="tx1"/>
            </w14:solidFill>
          </w14:textFill>
        </w:rPr>
        <w:t>2.谈判小组</w:t>
      </w:r>
    </w:p>
    <w:p w14:paraId="27FFD0AC">
      <w:pPr>
        <w:spacing w:line="360" w:lineRule="auto"/>
        <w:ind w:firstLine="480"/>
        <w:rPr>
          <w:rFonts w:hint="eastAsia" w:ascii="仿宋_GB2312" w:hAnsi="仿宋_GB2312" w:eastAsia="仿宋_GB2312" w:cs="仿宋"/>
          <w:color w:val="000000" w:themeColor="text1"/>
          <w:lang w:val="en-US" w:eastAsia="zh-CN"/>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2.1 本项目谈判小组成员共</w:t>
      </w:r>
      <w:r>
        <w:rPr>
          <w:rFonts w:hint="eastAsia" w:ascii="仿宋_GB2312" w:hAnsi="仿宋_GB2312" w:eastAsia="仿宋_GB2312" w:cs="仿宋"/>
          <w:color w:val="000000" w:themeColor="text1"/>
          <w:lang w:val="en-US" w:eastAsia="zh-CN"/>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人，其中采购人代表</w:t>
      </w:r>
      <w:r>
        <w:rPr>
          <w:rFonts w:hint="eastAsia" w:ascii="仿宋_GB2312" w:hAnsi="仿宋_GB2312" w:eastAsia="仿宋_GB2312" w:cs="仿宋"/>
          <w:color w:val="000000" w:themeColor="text1"/>
          <w:lang w:val="en-US" w:eastAsia="zh-CN"/>
          <w14:textFill>
            <w14:solidFill>
              <w14:schemeClr w14:val="tx1"/>
            </w14:solidFill>
          </w14:textFill>
        </w:rPr>
        <w:t>1</w:t>
      </w:r>
      <w:r>
        <w:rPr>
          <w:rFonts w:hint="eastAsia" w:ascii="仿宋_GB2312" w:hAnsi="仿宋_GB2312" w:eastAsia="仿宋_GB2312" w:cs="仿宋"/>
          <w:color w:val="000000" w:themeColor="text1"/>
          <w14:textFill>
            <w14:solidFill>
              <w14:schemeClr w14:val="tx1"/>
            </w14:solidFill>
          </w14:textFill>
        </w:rPr>
        <w:t>人，</w:t>
      </w:r>
      <w:r>
        <w:rPr>
          <w:rFonts w:hint="eastAsia" w:ascii="仿宋_GB2312" w:hAnsi="仿宋_GB2312" w:eastAsia="仿宋_GB2312" w:cs="仿宋"/>
          <w:color w:val="000000" w:themeColor="text1"/>
          <w:lang w:eastAsia="zh-CN"/>
          <w14:textFill>
            <w14:solidFill>
              <w14:schemeClr w14:val="tx1"/>
            </w14:solidFill>
          </w14:textFill>
        </w:rPr>
        <w:t>具有中级及以上职称或工程类注册职业资格专业技术人员</w:t>
      </w:r>
      <w:r>
        <w:rPr>
          <w:rFonts w:hint="eastAsia" w:ascii="仿宋_GB2312" w:hAnsi="仿宋_GB2312" w:eastAsia="仿宋_GB2312" w:cs="仿宋"/>
          <w:color w:val="000000" w:themeColor="text1"/>
          <w:lang w:val="en-US" w:eastAsia="zh-CN"/>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人</w:t>
      </w:r>
      <w:r>
        <w:rPr>
          <w:rFonts w:hint="eastAsia" w:ascii="仿宋_GB2312" w:hAnsi="仿宋_GB2312" w:eastAsia="仿宋_GB2312" w:cs="仿宋"/>
          <w:color w:val="000000" w:themeColor="text1"/>
          <w:lang w:eastAsia="zh-CN"/>
          <w14:textFill>
            <w14:solidFill>
              <w14:schemeClr w14:val="tx1"/>
            </w14:solidFill>
          </w14:textFill>
        </w:rPr>
        <w:t>。现场监督</w:t>
      </w:r>
      <w:r>
        <w:rPr>
          <w:rFonts w:hint="eastAsia" w:ascii="仿宋_GB2312" w:hAnsi="仿宋_GB2312" w:eastAsia="仿宋_GB2312" w:cs="仿宋"/>
          <w:color w:val="000000" w:themeColor="text1"/>
          <w:lang w:val="en-US" w:eastAsia="zh-CN"/>
          <w14:textFill>
            <w14:solidFill>
              <w14:schemeClr w14:val="tx1"/>
            </w14:solidFill>
          </w14:textFill>
        </w:rPr>
        <w:t>1人。</w:t>
      </w:r>
    </w:p>
    <w:p w14:paraId="435F4047">
      <w:pPr>
        <w:spacing w:line="360" w:lineRule="auto"/>
        <w:ind w:firstLine="480"/>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color w:val="000000" w:themeColor="text1"/>
          <w14:textFill>
            <w14:solidFill>
              <w14:schemeClr w14:val="tx1"/>
            </w14:solidFill>
          </w14:textFill>
        </w:rPr>
        <w:t>2.</w:t>
      </w:r>
      <w:r>
        <w:rPr>
          <w:rFonts w:hint="eastAsia" w:ascii="仿宋_GB2312" w:hAnsi="仿宋_GB2312" w:eastAsia="仿宋_GB2312" w:cs="仿宋"/>
          <w:color w:val="000000" w:themeColor="text1"/>
          <w:lang w:val="en-US" w:eastAsia="zh-CN"/>
          <w14:textFill>
            <w14:solidFill>
              <w14:schemeClr w14:val="tx1"/>
            </w14:solidFill>
          </w14:textFill>
        </w:rPr>
        <w:t>2</w:t>
      </w:r>
      <w:r>
        <w:rPr>
          <w:rFonts w:hint="eastAsia" w:ascii="仿宋_GB2312" w:hAnsi="仿宋_GB2312" w:eastAsia="仿宋_GB2312" w:cs="仿宋"/>
          <w:color w:val="000000" w:themeColor="text1"/>
          <w14:textFill>
            <w14:solidFill>
              <w14:schemeClr w14:val="tx1"/>
            </w14:solidFill>
          </w14:textFill>
        </w:rPr>
        <w:t xml:space="preserve"> 谈判小组成员获取解密后的响应文件，开展评审活动。出现应当回避的情形时，谈判小组成员应当主动回避。</w:t>
      </w:r>
    </w:p>
    <w:p w14:paraId="279C8D1E">
      <w:pPr>
        <w:pStyle w:val="4"/>
        <w:keepNext w:val="0"/>
        <w:keepLines w:val="0"/>
        <w:spacing w:before="0" w:after="0" w:line="360" w:lineRule="auto"/>
        <w:ind w:firstLine="470" w:firstLineChars="196"/>
        <w:rPr>
          <w:rFonts w:ascii="仿宋_GB2312" w:hAnsi="仿宋_GB2312" w:eastAsia="仿宋_GB2312" w:cs="仿宋"/>
          <w:color w:val="000000" w:themeColor="text1"/>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2.</w:t>
      </w:r>
      <w:r>
        <w:rPr>
          <w:rFonts w:hint="eastAsia" w:ascii="仿宋_GB2312" w:hAnsi="仿宋_GB2312" w:eastAsia="仿宋_GB2312" w:cs="仿宋"/>
          <w:b w:val="0"/>
          <w:bCs w:val="0"/>
          <w:color w:val="000000" w:themeColor="text1"/>
          <w:sz w:val="24"/>
          <w:szCs w:val="24"/>
          <w:lang w:val="en-US" w:eastAsia="zh-CN"/>
          <w14:textFill>
            <w14:solidFill>
              <w14:schemeClr w14:val="tx1"/>
            </w14:solidFill>
          </w14:textFill>
        </w:rPr>
        <w:t xml:space="preserve">3 </w:t>
      </w:r>
      <w:r>
        <w:rPr>
          <w:rFonts w:hint="eastAsia" w:ascii="仿宋_GB2312" w:hAnsi="仿宋_GB2312" w:eastAsia="仿宋_GB2312" w:cs="仿宋"/>
          <w:b w:val="0"/>
          <w:bCs w:val="0"/>
          <w:color w:val="000000" w:themeColor="text1"/>
          <w:sz w:val="24"/>
          <w:szCs w:val="24"/>
          <w14:textFill>
            <w14:solidFill>
              <w14:schemeClr w14:val="tx1"/>
            </w14:solidFill>
          </w14:textFill>
        </w:rPr>
        <w:t>谈判小组按照谈判文件规定的谈判程序、评审方法和标准进行评审，并独立履行下列职责：</w:t>
      </w:r>
    </w:p>
    <w:p w14:paraId="74F7DBB0">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（一）熟悉和理解谈判文件，确定谈判文件内容是否违反国家有关强制性规定或者谈判文件存在歧义、重大缺陷；</w:t>
      </w:r>
    </w:p>
    <w:p w14:paraId="0DE55022">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（二）审查供应商响应文件是否满足谈判文件要求，并作出公正评价；</w:t>
      </w:r>
    </w:p>
    <w:p w14:paraId="33D45FD6">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（三）根据需要要求供应商对响应文件中含义不明确、同类问题表述不一致或者有明显文字和计算错误的内容等作出必要的澄清、说明或者更正；</w:t>
      </w:r>
    </w:p>
    <w:p w14:paraId="3F991669">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（四）推荐成交候选供应商，或者受采购人委托确定成交供应商；</w:t>
      </w:r>
    </w:p>
    <w:p w14:paraId="62724C91">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（五）起草评审报告并进行签署；</w:t>
      </w:r>
    </w:p>
    <w:p w14:paraId="0F280F8A">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（六）向采购人、</w:t>
      </w:r>
      <w:r>
        <w:rPr>
          <w:rFonts w:hint="eastAsia" w:ascii="仿宋_GB2312" w:hAnsi="仿宋_GB2312" w:eastAsia="仿宋_GB2312" w:cs="仿宋"/>
          <w:b w:val="0"/>
          <w:bCs w:val="0"/>
          <w:color w:val="000000" w:themeColor="text1"/>
          <w:sz w:val="24"/>
          <w:szCs w:val="24"/>
          <w:lang w:eastAsia="zh-CN"/>
          <w14:textFill>
            <w14:solidFill>
              <w14:schemeClr w14:val="tx1"/>
            </w14:solidFill>
          </w14:textFill>
        </w:rPr>
        <w:t>现场监督人员</w:t>
      </w:r>
      <w:r>
        <w:rPr>
          <w:rFonts w:hint="eastAsia" w:ascii="仿宋_GB2312" w:hAnsi="仿宋_GB2312" w:eastAsia="仿宋_GB2312" w:cs="仿宋"/>
          <w:b w:val="0"/>
          <w:bCs w:val="0"/>
          <w:color w:val="000000" w:themeColor="text1"/>
          <w:sz w:val="24"/>
          <w:szCs w:val="24"/>
          <w14:textFill>
            <w14:solidFill>
              <w14:schemeClr w14:val="tx1"/>
            </w14:solidFill>
          </w14:textFill>
        </w:rPr>
        <w:t>报告非法干预评审工作的行为；</w:t>
      </w:r>
    </w:p>
    <w:p w14:paraId="196A14E0">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（七）法律、法规和规章规定的其他职责。</w:t>
      </w:r>
    </w:p>
    <w:p w14:paraId="16104027">
      <w:pPr>
        <w:pStyle w:val="4"/>
        <w:keepNext w:val="0"/>
        <w:keepLines w:val="0"/>
        <w:spacing w:before="0" w:after="0" w:line="360" w:lineRule="auto"/>
        <w:ind w:firstLine="472" w:firstLineChars="196"/>
        <w:rPr>
          <w:rFonts w:ascii="仿宋_GB2312" w:hAnsi="仿宋_GB2312" w:eastAsia="仿宋_GB2312" w:cs="仿宋"/>
          <w:color w:val="000000" w:themeColor="text1"/>
          <w:sz w:val="24"/>
          <w:szCs w:val="24"/>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3.评审程序</w:t>
      </w:r>
    </w:p>
    <w:p w14:paraId="634ED587">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3.1审查谈判文件和停止评审。</w:t>
      </w:r>
    </w:p>
    <w:p w14:paraId="1D01FCFD">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3.1.1 谈判小组正式评审前，应当对谈判文件进行熟悉和理解，内容主要包括谈判文件中供应商资格条件要求、采购项目技术、服务和商务要求、谈判办法和标准、政府采购政策要求以及政府采购合同主要条款等。</w:t>
      </w:r>
    </w:p>
    <w:p w14:paraId="39735050">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3.1.2 本谈判文件有下列情形之一的，谈判小组应当停止评审：</w:t>
      </w:r>
    </w:p>
    <w:p w14:paraId="14F268E7">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（1）谈判文件的规定存在歧义、重大缺陷，导致评审无法进行的；</w:t>
      </w:r>
    </w:p>
    <w:p w14:paraId="7F7A60AF">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（2）谈判文件明显以不合理条件对供应商实行差别待遇或者歧视待遇的；</w:t>
      </w:r>
    </w:p>
    <w:p w14:paraId="1CEAED95">
      <w:pPr>
        <w:pStyle w:val="4"/>
        <w:keepNext w:val="0"/>
        <w:keepLines w:val="0"/>
        <w:spacing w:before="0" w:after="0" w:line="360" w:lineRule="auto"/>
        <w:ind w:firstLine="480" w:firstLineChars="200"/>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w:t>
      </w:r>
      <w:r>
        <w:rPr>
          <w:rFonts w:hint="eastAsia" w:ascii="仿宋_GB2312" w:hAnsi="仿宋_GB2312" w:eastAsia="仿宋_GB2312" w:cs="仿宋"/>
          <w:b w:val="0"/>
          <w:bCs w:val="0"/>
          <w:color w:val="000000" w:themeColor="text1"/>
          <w:sz w:val="24"/>
          <w:szCs w:val="24"/>
          <w:lang w:val="en-US" w:eastAsia="zh-CN"/>
          <w14:textFill>
            <w14:solidFill>
              <w14:schemeClr w14:val="tx1"/>
            </w14:solidFill>
          </w14:textFill>
        </w:rPr>
        <w:t>3</w:t>
      </w:r>
      <w:r>
        <w:rPr>
          <w:rFonts w:hint="eastAsia" w:ascii="仿宋_GB2312" w:hAnsi="仿宋_GB2312" w:eastAsia="仿宋_GB2312" w:cs="仿宋"/>
          <w:b w:val="0"/>
          <w:bCs w:val="0"/>
          <w:color w:val="000000" w:themeColor="text1"/>
          <w:sz w:val="24"/>
          <w:szCs w:val="24"/>
          <w14:textFill>
            <w14:solidFill>
              <w14:schemeClr w14:val="tx1"/>
            </w14:solidFill>
          </w14:textFill>
        </w:rPr>
        <w:t>）谈判文件载明的成交原则不合法的；</w:t>
      </w:r>
    </w:p>
    <w:p w14:paraId="231F080C">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w:t>
      </w:r>
      <w:r>
        <w:rPr>
          <w:rFonts w:hint="eastAsia" w:ascii="仿宋_GB2312" w:hAnsi="仿宋_GB2312" w:eastAsia="仿宋_GB2312" w:cs="仿宋"/>
          <w:b w:val="0"/>
          <w:bCs w:val="0"/>
          <w:color w:val="000000" w:themeColor="text1"/>
          <w:sz w:val="24"/>
          <w:szCs w:val="24"/>
          <w:lang w:val="en-US" w:eastAsia="zh-CN"/>
          <w14:textFill>
            <w14:solidFill>
              <w14:schemeClr w14:val="tx1"/>
            </w14:solidFill>
          </w14:textFill>
        </w:rPr>
        <w:t>4</w:t>
      </w:r>
      <w:r>
        <w:rPr>
          <w:rFonts w:hint="eastAsia" w:ascii="仿宋_GB2312" w:hAnsi="仿宋_GB2312" w:eastAsia="仿宋_GB2312" w:cs="仿宋"/>
          <w:b w:val="0"/>
          <w:bCs w:val="0"/>
          <w:color w:val="000000" w:themeColor="text1"/>
          <w:sz w:val="24"/>
          <w:szCs w:val="24"/>
          <w14:textFill>
            <w14:solidFill>
              <w14:schemeClr w14:val="tx1"/>
            </w14:solidFill>
          </w14:textFill>
        </w:rPr>
        <w:t>）谈判文件有违反国家其他有关强制性规定的情形。</w:t>
      </w:r>
    </w:p>
    <w:p w14:paraId="53A99D58">
      <w:pPr>
        <w:pStyle w:val="4"/>
        <w:keepNext w:val="0"/>
        <w:keepLines w:val="0"/>
        <w:spacing w:before="0" w:after="0" w:line="360" w:lineRule="auto"/>
        <w:ind w:firstLine="470" w:firstLineChars="196"/>
        <w:rPr>
          <w:rFonts w:ascii="仿宋_GB2312" w:hAnsi="仿宋_GB2312" w:eastAsia="仿宋_GB2312" w:cs="仿宋"/>
          <w:b w:val="0"/>
          <w:bCs w:val="0"/>
          <w:color w:val="000000" w:themeColor="text1"/>
          <w:sz w:val="24"/>
          <w:szCs w:val="24"/>
          <w14:textFill>
            <w14:solidFill>
              <w14:schemeClr w14:val="tx1"/>
            </w14:solidFill>
          </w14:textFill>
        </w:rPr>
      </w:pPr>
      <w:r>
        <w:rPr>
          <w:rFonts w:hint="eastAsia" w:ascii="仿宋_GB2312" w:hAnsi="仿宋_GB2312" w:eastAsia="仿宋_GB2312" w:cs="仿宋"/>
          <w:b w:val="0"/>
          <w:bCs w:val="0"/>
          <w:color w:val="000000" w:themeColor="text1"/>
          <w:sz w:val="24"/>
          <w:szCs w:val="24"/>
          <w14:textFill>
            <w14:solidFill>
              <w14:schemeClr w14:val="tx1"/>
            </w14:solidFill>
          </w14:textFill>
        </w:rPr>
        <w:t>3.1.3 出现本条3.1.2规定应当停止评审情形的，谈判小组应当向采购组织单位书面说明情况。除3.1.2规定的情形外，谈判小组不得以任何方式和理由停止评审。</w:t>
      </w:r>
    </w:p>
    <w:p w14:paraId="26FDAE24">
      <w:pPr>
        <w:pStyle w:val="7"/>
        <w:snapToGrid w:val="0"/>
        <w:spacing w:line="360" w:lineRule="auto"/>
        <w:ind w:firstLine="422" w:firstLineChars="200"/>
        <w:rPr>
          <w:rFonts w:ascii="仿宋_GB2312" w:hAnsi="仿宋_GB2312" w:eastAsia="仿宋_GB2312" w:cs="仿宋"/>
          <w:b/>
          <w:bCs/>
          <w:color w:val="000000" w:themeColor="text1"/>
          <w:sz w:val="24"/>
          <w:szCs w:val="24"/>
          <w14:textFill>
            <w14:solidFill>
              <w14:schemeClr w14:val="tx1"/>
            </w14:solidFill>
          </w14:textFill>
        </w:rPr>
      </w:pPr>
      <w:r>
        <w:rPr>
          <w:rFonts w:hint="eastAsia" w:ascii="仿宋_GB2312" w:hAnsi="仿宋_GB2312" w:eastAsia="仿宋_GB2312" w:cs="仿宋"/>
          <w:b/>
          <w:bCs/>
          <w:color w:val="000000" w:themeColor="text1"/>
          <w14:textFill>
            <w14:solidFill>
              <w14:schemeClr w14:val="tx1"/>
            </w14:solidFill>
          </w14:textFill>
        </w:rPr>
        <w:t>4.</w:t>
      </w:r>
      <w:r>
        <w:rPr>
          <w:rFonts w:hint="eastAsia" w:ascii="仿宋_GB2312" w:hAnsi="仿宋_GB2312" w:eastAsia="仿宋_GB2312" w:cs="仿宋"/>
          <w:b/>
          <w:bCs/>
          <w:color w:val="000000" w:themeColor="text1"/>
          <w:sz w:val="24"/>
          <w:szCs w:val="24"/>
          <w:lang w:val="zh-CN"/>
          <w14:textFill>
            <w14:solidFill>
              <w14:schemeClr w14:val="tx1"/>
            </w14:solidFill>
          </w14:textFill>
        </w:rPr>
        <w:t>符合性审查</w:t>
      </w:r>
    </w:p>
    <w:p w14:paraId="6D75A2E9">
      <w:pPr>
        <w:pStyle w:val="7"/>
        <w:snapToGrid w:val="0"/>
        <w:spacing w:line="360" w:lineRule="auto"/>
        <w:ind w:firstLine="480" w:firstLineChars="200"/>
        <w:rPr>
          <w:rFonts w:ascii="仿宋_GB2312" w:hAnsi="仿宋_GB2312" w:eastAsia="仿宋_GB2312" w:cs="仿宋"/>
          <w:color w:val="000000" w:themeColor="text1"/>
          <w:sz w:val="24"/>
          <w:szCs w:val="24"/>
          <w:lang w:val="zh-CN"/>
          <w14:textFill>
            <w14:solidFill>
              <w14:schemeClr w14:val="tx1"/>
            </w14:solidFill>
          </w14:textFill>
        </w:rPr>
      </w:pPr>
      <w:r>
        <w:rPr>
          <w:rFonts w:hint="eastAsia" w:ascii="仿宋_GB2312" w:hAnsi="仿宋_GB2312" w:eastAsia="仿宋_GB2312" w:cs="仿宋"/>
          <w:color w:val="000000" w:themeColor="text1"/>
          <w:sz w:val="24"/>
          <w:szCs w:val="24"/>
          <w14:textFill>
            <w14:solidFill>
              <w14:schemeClr w14:val="tx1"/>
            </w14:solidFill>
          </w14:textFill>
        </w:rPr>
        <w:t>4.1谈判开始前，</w:t>
      </w:r>
      <w:r>
        <w:rPr>
          <w:rFonts w:hint="eastAsia" w:ascii="仿宋_GB2312" w:hAnsi="仿宋_GB2312" w:eastAsia="仿宋_GB2312" w:cs="仿宋"/>
          <w:color w:val="000000" w:themeColor="text1"/>
          <w:sz w:val="24"/>
          <w:szCs w:val="24"/>
          <w:lang w:val="zh-CN"/>
          <w14:textFill>
            <w14:solidFill>
              <w14:schemeClr w14:val="tx1"/>
            </w14:solidFill>
          </w14:textFill>
        </w:rPr>
        <w:t>谈判小组对供应商首次提交的响应文件（包括报价）进行审查，审查内容为谈判文件不允许实质性变动的实质性要求，不符合实质性要求或应当作无效响应处理的，应当作无效响应处理。</w:t>
      </w:r>
    </w:p>
    <w:p w14:paraId="43F8EFAE">
      <w:pPr>
        <w:pStyle w:val="7"/>
        <w:snapToGrid w:val="0"/>
        <w:spacing w:line="360" w:lineRule="auto"/>
        <w:ind w:firstLine="480" w:firstLineChars="200"/>
        <w:rPr>
          <w:rFonts w:ascii="仿宋_GB2312" w:hAnsi="仿宋_GB2312" w:eastAsia="仿宋_GB2312" w:cs="仿宋"/>
          <w:color w:val="000000" w:themeColor="text1"/>
          <w:sz w:val="24"/>
          <w:szCs w:val="24"/>
          <w:lang w:val="zh-CN"/>
          <w14:textFill>
            <w14:solidFill>
              <w14:schemeClr w14:val="tx1"/>
            </w14:solidFill>
          </w14:textFill>
        </w:rPr>
      </w:pPr>
      <w:r>
        <w:rPr>
          <w:rFonts w:hint="eastAsia" w:ascii="仿宋_GB2312" w:hAnsi="仿宋_GB2312" w:eastAsia="仿宋_GB2312" w:cs="仿宋"/>
          <w:color w:val="000000" w:themeColor="text1"/>
          <w:sz w:val="24"/>
          <w:szCs w:val="24"/>
          <w:lang w:val="zh-CN"/>
          <w14:textFill>
            <w14:solidFill>
              <w14:schemeClr w14:val="tx1"/>
            </w14:solidFill>
          </w14:textFill>
        </w:rPr>
        <w:t>4.2谈判小组对供应商已标价工程量清单进行算术性复核，如果出现下列不一致的，按以下原则进行修正：</w:t>
      </w:r>
    </w:p>
    <w:p w14:paraId="63153A51">
      <w:pPr>
        <w:pStyle w:val="7"/>
        <w:snapToGrid w:val="0"/>
        <w:spacing w:line="360" w:lineRule="auto"/>
        <w:ind w:firstLine="480" w:firstLineChars="200"/>
        <w:rPr>
          <w:rFonts w:ascii="仿宋_GB2312" w:hAnsi="仿宋_GB2312" w:eastAsia="仿宋_GB2312" w:cs="仿宋"/>
          <w:sz w:val="24"/>
          <w:szCs w:val="24"/>
          <w:lang w:val="zh-CN"/>
        </w:rPr>
      </w:pPr>
      <w:r>
        <w:rPr>
          <w:rFonts w:hint="eastAsia" w:ascii="仿宋_GB2312" w:hAnsi="仿宋_GB2312" w:eastAsia="仿宋_GB2312" w:cs="仿宋"/>
          <w:color w:val="000000" w:themeColor="text1"/>
          <w:sz w:val="24"/>
          <w:szCs w:val="24"/>
          <w:lang w:val="zh-CN"/>
          <w14:textFill>
            <w14:solidFill>
              <w14:schemeClr w14:val="tx1"/>
            </w14:solidFill>
          </w14:textFill>
        </w:rPr>
        <w:t>报价大写金额和小写金额不一致的，以大写金额为准。但大写金额文字存在</w:t>
      </w:r>
      <w:r>
        <w:rPr>
          <w:rFonts w:hint="eastAsia" w:ascii="仿宋_GB2312" w:hAnsi="仿宋_GB2312" w:eastAsia="仿宋_GB2312" w:cs="仿宋"/>
          <w:sz w:val="24"/>
          <w:szCs w:val="24"/>
          <w:lang w:val="zh-CN"/>
        </w:rPr>
        <w:t>错误的，应当先对大写金额的文字错误进行澄清、说明或者更正，再行修正。</w:t>
      </w:r>
    </w:p>
    <w:p w14:paraId="665E1FCA">
      <w:pPr>
        <w:pStyle w:val="7"/>
        <w:snapToGrid w:val="0"/>
        <w:spacing w:line="360" w:lineRule="auto"/>
        <w:ind w:firstLine="480" w:firstLineChars="200"/>
        <w:rPr>
          <w:rFonts w:ascii="仿宋_GB2312" w:hAnsi="仿宋_GB2312" w:eastAsia="仿宋_GB2312" w:cs="仿宋"/>
          <w:sz w:val="24"/>
          <w:szCs w:val="24"/>
          <w:lang w:val="zh-CN"/>
        </w:rPr>
      </w:pPr>
      <w:r>
        <w:rPr>
          <w:rFonts w:hint="eastAsia" w:ascii="仿宋_GB2312" w:hAnsi="仿宋_GB2312" w:eastAsia="仿宋_GB2312" w:cs="仿宋"/>
          <w:sz w:val="24"/>
          <w:szCs w:val="24"/>
          <w:lang w:val="zh-CN"/>
        </w:rPr>
        <w:t>修正后的报价经供应商确认后产生约束力，供应商不确认的，其响应文件作为无效处理。供应商确认采取书面方式并经供应商授权代表签字。谈判小组不得未经书面形式要求供应商确认，直接将供应商响应文件作为无效处理。</w:t>
      </w:r>
    </w:p>
    <w:p w14:paraId="315C40A8">
      <w:pPr>
        <w:pStyle w:val="7"/>
        <w:snapToGrid w:val="0"/>
        <w:spacing w:line="360" w:lineRule="auto"/>
        <w:ind w:firstLine="480" w:firstLineChars="200"/>
        <w:rPr>
          <w:rFonts w:ascii="仿宋_GB2312" w:hAnsi="仿宋_GB2312" w:eastAsia="仿宋_GB2312" w:cs="仿宋"/>
          <w:sz w:val="24"/>
          <w:szCs w:val="24"/>
        </w:rPr>
      </w:pPr>
      <w:r>
        <w:rPr>
          <w:rFonts w:hint="eastAsia" w:ascii="仿宋_GB2312" w:hAnsi="仿宋_GB2312" w:eastAsia="仿宋_GB2312" w:cs="仿宋"/>
          <w:sz w:val="24"/>
          <w:szCs w:val="24"/>
        </w:rPr>
        <w:t>4.3谈判小组</w:t>
      </w:r>
      <w:r>
        <w:rPr>
          <w:rFonts w:hint="eastAsia" w:ascii="仿宋_GB2312" w:hAnsi="仿宋_GB2312" w:eastAsia="仿宋_GB2312" w:cs="仿宋"/>
          <w:sz w:val="24"/>
          <w:szCs w:val="24"/>
          <w:lang w:val="zh-CN"/>
        </w:rPr>
        <w:t>对所有响应文件进行审查</w:t>
      </w:r>
      <w:r>
        <w:rPr>
          <w:rFonts w:hint="eastAsia" w:ascii="仿宋_GB2312" w:hAnsi="仿宋_GB2312" w:eastAsia="仿宋_GB2312" w:cs="仿宋"/>
          <w:sz w:val="24"/>
          <w:szCs w:val="24"/>
        </w:rPr>
        <w:t>后，确定参加谈判的供应商名单。</w:t>
      </w:r>
    </w:p>
    <w:p w14:paraId="045076BE">
      <w:pPr>
        <w:pStyle w:val="4"/>
        <w:keepNext w:val="0"/>
        <w:keepLines w:val="0"/>
        <w:spacing w:before="0" w:after="0" w:line="360" w:lineRule="auto"/>
        <w:ind w:firstLine="472" w:firstLineChars="196"/>
        <w:rPr>
          <w:rFonts w:ascii="仿宋_GB2312" w:hAnsi="仿宋_GB2312" w:eastAsia="仿宋_GB2312" w:cs="仿宋"/>
          <w:sz w:val="24"/>
          <w:szCs w:val="24"/>
        </w:rPr>
      </w:pPr>
      <w:r>
        <w:rPr>
          <w:rFonts w:hint="eastAsia" w:ascii="仿宋_GB2312" w:hAnsi="仿宋_GB2312" w:eastAsia="仿宋_GB2312" w:cs="仿宋"/>
          <w:sz w:val="24"/>
          <w:szCs w:val="24"/>
        </w:rPr>
        <w:t>5.谈判</w:t>
      </w:r>
    </w:p>
    <w:p w14:paraId="0008FB62">
      <w:pPr>
        <w:pStyle w:val="4"/>
        <w:keepNext w:val="0"/>
        <w:keepLines w:val="0"/>
        <w:spacing w:before="0" w:after="0" w:line="360" w:lineRule="auto"/>
        <w:ind w:firstLine="470" w:firstLineChars="196"/>
        <w:rPr>
          <w:rFonts w:ascii="仿宋_GB2312" w:hAnsi="仿宋_GB2312" w:eastAsia="仿宋_GB2312" w:cs="仿宋"/>
          <w:b w:val="0"/>
          <w:bCs w:val="0"/>
          <w:sz w:val="24"/>
          <w:szCs w:val="24"/>
        </w:rPr>
      </w:pPr>
      <w:r>
        <w:rPr>
          <w:rFonts w:hint="eastAsia" w:ascii="仿宋_GB2312" w:hAnsi="仿宋_GB2312" w:eastAsia="仿宋_GB2312" w:cs="仿宋"/>
          <w:b w:val="0"/>
          <w:bCs w:val="0"/>
          <w:sz w:val="24"/>
          <w:szCs w:val="24"/>
        </w:rPr>
        <w:t>5.1谈判小组所有成员集中与单一供应商分别进行一轮或多轮谈判，并给予所有参加谈判的供应商平等的谈判机会。谈判顺序由谈判小组组长以现场/在线抽签的方式确定。谈判过程中，谈判小组可以根据谈判情况调整谈判轮次。</w:t>
      </w:r>
    </w:p>
    <w:p w14:paraId="2EEEF491">
      <w:pPr>
        <w:pStyle w:val="4"/>
        <w:keepNext w:val="0"/>
        <w:keepLines w:val="0"/>
        <w:spacing w:before="0" w:after="0" w:line="360" w:lineRule="auto"/>
        <w:ind w:firstLine="470" w:firstLineChars="196"/>
        <w:rPr>
          <w:rFonts w:ascii="仿宋_GB2312" w:hAnsi="仿宋_GB2312" w:eastAsia="仿宋_GB2312" w:cs="仿宋"/>
          <w:b w:val="0"/>
          <w:bCs w:val="0"/>
          <w:sz w:val="24"/>
          <w:szCs w:val="24"/>
        </w:rPr>
      </w:pPr>
      <w:r>
        <w:rPr>
          <w:rFonts w:hint="eastAsia" w:ascii="仿宋_GB2312" w:hAnsi="仿宋_GB2312" w:eastAsia="仿宋_GB2312" w:cs="仿宋"/>
          <w:b w:val="0"/>
          <w:bCs w:val="0"/>
          <w:sz w:val="24"/>
          <w:szCs w:val="24"/>
        </w:rPr>
        <w:t>5.2每轮谈判开始前，谈判小组应根据谈判文件的规定，并结合各供应商的响应文件拟定谈判内容。</w:t>
      </w:r>
    </w:p>
    <w:p w14:paraId="210480BF">
      <w:pPr>
        <w:pStyle w:val="4"/>
        <w:keepNext w:val="0"/>
        <w:keepLines w:val="0"/>
        <w:spacing w:before="0" w:after="0" w:line="360" w:lineRule="auto"/>
        <w:ind w:firstLine="470" w:firstLineChars="196"/>
        <w:rPr>
          <w:rFonts w:ascii="仿宋_GB2312" w:hAnsi="仿宋_GB2312" w:eastAsia="仿宋_GB2312" w:cs="仿宋"/>
          <w:b w:val="0"/>
          <w:bCs w:val="0"/>
          <w:sz w:val="24"/>
          <w:szCs w:val="24"/>
        </w:rPr>
      </w:pPr>
      <w:r>
        <w:rPr>
          <w:rFonts w:hint="eastAsia" w:ascii="仿宋_GB2312" w:hAnsi="仿宋_GB2312" w:eastAsia="仿宋_GB2312" w:cs="仿宋"/>
          <w:b w:val="0"/>
          <w:bCs w:val="0"/>
          <w:sz w:val="24"/>
          <w:szCs w:val="24"/>
        </w:rPr>
        <w:t>5.3在谈判过程中，谈判小组在获得采购人代表确认的前提下，可以根据谈判文件第三章、第七章规定的可实质性变动内容和谈判情况实质性变动谈判文件的技术、服务要求以及合同草案条款，但不得变动谈判文件中的其他内容。</w:t>
      </w:r>
    </w:p>
    <w:p w14:paraId="7CFC77CC">
      <w:pPr>
        <w:pStyle w:val="4"/>
        <w:keepNext w:val="0"/>
        <w:keepLines w:val="0"/>
        <w:spacing w:before="0" w:after="0" w:line="360" w:lineRule="auto"/>
        <w:ind w:firstLine="470" w:firstLineChars="196"/>
        <w:rPr>
          <w:rFonts w:ascii="仿宋_GB2312" w:hAnsi="仿宋_GB2312" w:eastAsia="仿宋_GB2312" w:cs="仿宋"/>
          <w:b w:val="0"/>
          <w:bCs w:val="0"/>
          <w:sz w:val="24"/>
          <w:szCs w:val="24"/>
        </w:rPr>
      </w:pPr>
      <w:r>
        <w:rPr>
          <w:rFonts w:hint="eastAsia" w:ascii="仿宋_GB2312" w:hAnsi="仿宋_GB2312" w:eastAsia="仿宋_GB2312" w:cs="仿宋"/>
          <w:b w:val="0"/>
          <w:bCs w:val="0"/>
          <w:sz w:val="24"/>
          <w:szCs w:val="24"/>
        </w:rPr>
        <w:t>5.4对谈判文件作出的实质性变动是谈判文件的有效组成部分，谈判小组应当及时以书面形式同时通知所有参加谈判的供应商。</w:t>
      </w:r>
    </w:p>
    <w:p w14:paraId="5B66CA95">
      <w:pPr>
        <w:pStyle w:val="4"/>
        <w:keepNext w:val="0"/>
        <w:keepLines w:val="0"/>
        <w:spacing w:before="0" w:after="0" w:line="360" w:lineRule="auto"/>
        <w:ind w:firstLine="470" w:firstLineChars="196"/>
        <w:rPr>
          <w:rFonts w:ascii="仿宋_GB2312" w:hAnsi="仿宋_GB2312" w:eastAsia="仿宋_GB2312" w:cs="仿宋"/>
          <w:b w:val="0"/>
          <w:bCs w:val="0"/>
          <w:sz w:val="24"/>
          <w:szCs w:val="24"/>
        </w:rPr>
      </w:pPr>
      <w:r>
        <w:rPr>
          <w:rFonts w:hint="eastAsia" w:ascii="仿宋_GB2312" w:hAnsi="仿宋_GB2312" w:eastAsia="仿宋_GB2312" w:cs="仿宋"/>
          <w:b w:val="0"/>
          <w:bCs w:val="0"/>
          <w:sz w:val="24"/>
          <w:szCs w:val="24"/>
        </w:rPr>
        <w:t>5</w:t>
      </w:r>
      <w:r>
        <w:rPr>
          <w:rFonts w:hint="eastAsia" w:ascii="仿宋_GB2312" w:hAnsi="仿宋_GB2312" w:eastAsia="仿宋_GB2312" w:cs="仿宋"/>
          <w:b w:val="0"/>
          <w:bCs w:val="0"/>
          <w:color w:val="0D0D0D"/>
          <w:sz w:val="24"/>
          <w:szCs w:val="24"/>
        </w:rPr>
        <w:t>.5谈判过程中，谈判文件变动的，供应商应当按照谈判文件的变动情况和谈判小组的要求</w:t>
      </w:r>
      <w:r>
        <w:rPr>
          <w:rFonts w:ascii="仿宋_GB2312" w:hAnsi="仿宋_GB2312" w:eastAsia="仿宋_GB2312" w:cs="仿宋"/>
          <w:b w:val="0"/>
          <w:bCs w:val="0"/>
          <w:color w:val="0D0D0D"/>
          <w:sz w:val="24"/>
          <w:szCs w:val="24"/>
        </w:rPr>
        <w:t>就</w:t>
      </w:r>
      <w:r>
        <w:rPr>
          <w:rFonts w:hint="eastAsia" w:ascii="仿宋_GB2312" w:hAnsi="仿宋_GB2312" w:eastAsia="仿宋_GB2312" w:cs="仿宋"/>
          <w:b w:val="0"/>
          <w:bCs w:val="0"/>
          <w:color w:val="0D0D0D"/>
          <w:sz w:val="24"/>
          <w:szCs w:val="24"/>
        </w:rPr>
        <w:t>谈判文件</w:t>
      </w:r>
      <w:r>
        <w:rPr>
          <w:rFonts w:ascii="仿宋_GB2312" w:hAnsi="仿宋_GB2312" w:eastAsia="仿宋_GB2312" w:cs="仿宋"/>
          <w:b w:val="0"/>
          <w:bCs w:val="0"/>
          <w:color w:val="0D0D0D"/>
          <w:sz w:val="24"/>
          <w:szCs w:val="24"/>
        </w:rPr>
        <w:t>变动部分</w:t>
      </w:r>
      <w:r>
        <w:rPr>
          <w:rFonts w:hint="eastAsia" w:ascii="仿宋_GB2312" w:hAnsi="仿宋_GB2312" w:eastAsia="仿宋_GB2312" w:cs="仿宋"/>
          <w:b w:val="0"/>
          <w:bCs w:val="0"/>
          <w:color w:val="0D0D0D"/>
          <w:sz w:val="24"/>
          <w:szCs w:val="24"/>
        </w:rPr>
        <w:t>提交</w:t>
      </w:r>
      <w:r>
        <w:rPr>
          <w:rFonts w:ascii="仿宋_GB2312" w:hAnsi="仿宋_GB2312" w:eastAsia="仿宋_GB2312" w:cs="仿宋"/>
          <w:b w:val="0"/>
          <w:bCs w:val="0"/>
          <w:color w:val="0D0D0D"/>
          <w:sz w:val="24"/>
          <w:szCs w:val="24"/>
        </w:rPr>
        <w:t>书面响应</w:t>
      </w:r>
      <w:r>
        <w:rPr>
          <w:rFonts w:hint="eastAsia" w:ascii="仿宋_GB2312" w:hAnsi="仿宋_GB2312" w:eastAsia="仿宋_GB2312" w:cs="仿宋"/>
          <w:b w:val="0"/>
          <w:bCs w:val="0"/>
          <w:color w:val="0D0D0D"/>
          <w:sz w:val="24"/>
          <w:szCs w:val="24"/>
        </w:rPr>
        <w:t>材料，</w:t>
      </w:r>
      <w:r>
        <w:rPr>
          <w:rFonts w:ascii="仿宋_GB2312" w:hAnsi="仿宋_GB2312" w:eastAsia="仿宋_GB2312" w:cs="仿宋"/>
          <w:b w:val="0"/>
          <w:bCs w:val="0"/>
          <w:color w:val="0D0D0D"/>
          <w:sz w:val="24"/>
          <w:szCs w:val="24"/>
        </w:rPr>
        <w:t>并作为</w:t>
      </w:r>
      <w:r>
        <w:rPr>
          <w:rFonts w:hint="eastAsia" w:ascii="仿宋_GB2312" w:hAnsi="仿宋_GB2312" w:eastAsia="仿宋_GB2312" w:cs="仿宋"/>
          <w:b w:val="0"/>
          <w:bCs w:val="0"/>
          <w:color w:val="0D0D0D"/>
          <w:sz w:val="24"/>
          <w:szCs w:val="24"/>
        </w:rPr>
        <w:t>响应文件</w:t>
      </w:r>
      <w:r>
        <w:rPr>
          <w:rFonts w:ascii="仿宋_GB2312" w:hAnsi="仿宋_GB2312" w:eastAsia="仿宋_GB2312" w:cs="仿宋"/>
          <w:b w:val="0"/>
          <w:bCs w:val="0"/>
          <w:color w:val="0D0D0D"/>
          <w:sz w:val="24"/>
          <w:szCs w:val="24"/>
        </w:rPr>
        <w:t>的组成部分</w:t>
      </w:r>
      <w:r>
        <w:rPr>
          <w:rFonts w:hint="eastAsia" w:ascii="仿宋_GB2312" w:hAnsi="仿宋_GB2312" w:eastAsia="仿宋_GB2312" w:cs="仿宋"/>
          <w:b w:val="0"/>
          <w:bCs w:val="0"/>
          <w:color w:val="0D0D0D"/>
          <w:sz w:val="24"/>
          <w:szCs w:val="24"/>
        </w:rPr>
        <w:t>。</w:t>
      </w:r>
    </w:p>
    <w:p w14:paraId="4E46C79B">
      <w:pPr>
        <w:pStyle w:val="7"/>
        <w:snapToGrid w:val="0"/>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
          <w:sz w:val="24"/>
          <w:szCs w:val="24"/>
        </w:rPr>
        <w:t>5.6</w:t>
      </w:r>
      <w:r>
        <w:rPr>
          <w:rFonts w:hint="eastAsia" w:ascii="仿宋_GB2312" w:hAnsi="仿宋_GB2312" w:eastAsia="仿宋_GB2312" w:cs="仿宋"/>
          <w:sz w:val="24"/>
          <w:szCs w:val="24"/>
          <w:lang w:val="zh-CN"/>
        </w:rPr>
        <w:t>经最终谈判后，响应文件仍有下列情况之一的，应按照无效响应文件处理：</w:t>
      </w:r>
    </w:p>
    <w:p w14:paraId="1B3E2933">
      <w:pPr>
        <w:pStyle w:val="7"/>
        <w:snapToGrid w:val="0"/>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
          <w:sz w:val="24"/>
          <w:szCs w:val="24"/>
        </w:rPr>
        <w:t>（</w:t>
      </w:r>
      <w:r>
        <w:rPr>
          <w:rFonts w:ascii="仿宋_GB2312" w:hAnsi="仿宋_GB2312" w:eastAsia="仿宋_GB2312" w:cs="仿宋"/>
          <w:sz w:val="24"/>
          <w:szCs w:val="24"/>
        </w:rPr>
        <w:t>1</w:t>
      </w:r>
      <w:r>
        <w:rPr>
          <w:rFonts w:hint="eastAsia" w:ascii="仿宋_GB2312" w:hAnsi="仿宋_GB2312" w:eastAsia="仿宋_GB2312" w:cs="仿宋"/>
          <w:sz w:val="24"/>
          <w:szCs w:val="24"/>
        </w:rPr>
        <w:t>）</w:t>
      </w:r>
      <w:r>
        <w:rPr>
          <w:rFonts w:hint="eastAsia" w:ascii="仿宋_GB2312" w:hAnsi="仿宋_GB2312" w:eastAsia="仿宋_GB2312" w:cs="仿宋"/>
          <w:sz w:val="24"/>
          <w:szCs w:val="24"/>
          <w:lang w:val="zh-CN"/>
        </w:rPr>
        <w:t>响应文件仍不能实质响应谈判文件的实质性要求的；</w:t>
      </w:r>
    </w:p>
    <w:p w14:paraId="5160311A">
      <w:pPr>
        <w:pStyle w:val="7"/>
        <w:snapToGrid w:val="0"/>
        <w:spacing w:line="360" w:lineRule="auto"/>
        <w:ind w:firstLine="480" w:firstLineChars="200"/>
        <w:rPr>
          <w:rFonts w:ascii="仿宋_GB2312" w:hAnsi="仿宋_GB2312" w:eastAsia="仿宋_GB2312" w:cs="仿宋"/>
          <w:sz w:val="24"/>
          <w:szCs w:val="24"/>
        </w:rPr>
      </w:pPr>
      <w:r>
        <w:rPr>
          <w:rFonts w:hint="eastAsia" w:ascii="仿宋_GB2312" w:hAnsi="仿宋_GB2312" w:eastAsia="仿宋_GB2312" w:cs="仿宋"/>
          <w:sz w:val="24"/>
          <w:szCs w:val="24"/>
        </w:rPr>
        <w:t>（</w:t>
      </w:r>
      <w:r>
        <w:rPr>
          <w:rFonts w:ascii="仿宋_GB2312" w:hAnsi="仿宋_GB2312" w:eastAsia="仿宋_GB2312" w:cs="仿宋"/>
          <w:sz w:val="24"/>
          <w:szCs w:val="24"/>
        </w:rPr>
        <w:t>2</w:t>
      </w:r>
      <w:r>
        <w:rPr>
          <w:rFonts w:hint="eastAsia" w:ascii="仿宋_GB2312" w:hAnsi="仿宋_GB2312" w:eastAsia="仿宋_GB2312" w:cs="仿宋"/>
          <w:sz w:val="24"/>
          <w:szCs w:val="24"/>
        </w:rPr>
        <w:t>）响应文件中仍有谈判文件规定的其他无效响应情形的。</w:t>
      </w:r>
    </w:p>
    <w:p w14:paraId="462AFE9E">
      <w:pPr>
        <w:pStyle w:val="7"/>
        <w:snapToGrid w:val="0"/>
        <w:spacing w:line="360" w:lineRule="auto"/>
        <w:ind w:firstLine="480" w:firstLineChars="200"/>
        <w:rPr>
          <w:rFonts w:ascii="仿宋_GB2312" w:hAnsi="仿宋_GB2312" w:eastAsia="仿宋_GB2312" w:cs="仿宋"/>
          <w:sz w:val="24"/>
          <w:szCs w:val="24"/>
        </w:rPr>
      </w:pPr>
      <w:r>
        <w:rPr>
          <w:rFonts w:ascii="仿宋_GB2312" w:hAnsi="仿宋_GB2312" w:eastAsia="仿宋_GB2312" w:cs="仿宋"/>
          <w:sz w:val="24"/>
          <w:szCs w:val="24"/>
        </w:rPr>
        <w:t>5.7</w:t>
      </w:r>
      <w:r>
        <w:rPr>
          <w:rFonts w:hint="eastAsia" w:ascii="仿宋_GB2312" w:hAnsi="仿宋_GB2312" w:eastAsia="仿宋_GB2312" w:cs="仿宋"/>
          <w:sz w:val="24"/>
          <w:szCs w:val="24"/>
        </w:rPr>
        <w:t>谈判小组对</w:t>
      </w:r>
      <w:r>
        <w:rPr>
          <w:rFonts w:ascii="仿宋_GB2312" w:hAnsi="仿宋_GB2312" w:eastAsia="仿宋_GB2312" w:cs="仿宋"/>
          <w:sz w:val="24"/>
          <w:szCs w:val="24"/>
        </w:rPr>
        <w:t>供应商在</w:t>
      </w:r>
      <w:r>
        <w:rPr>
          <w:rFonts w:hint="eastAsia" w:ascii="仿宋_GB2312" w:hAnsi="仿宋_GB2312" w:eastAsia="仿宋_GB2312" w:cs="仿宋"/>
          <w:sz w:val="24"/>
          <w:szCs w:val="24"/>
        </w:rPr>
        <w:t>谈判、</w:t>
      </w:r>
      <w:r>
        <w:rPr>
          <w:rFonts w:ascii="仿宋_GB2312" w:hAnsi="仿宋_GB2312" w:eastAsia="仿宋_GB2312" w:cs="仿宋"/>
          <w:sz w:val="24"/>
          <w:szCs w:val="24"/>
        </w:rPr>
        <w:t>评审过程中的书面交换材料</w:t>
      </w:r>
      <w:r>
        <w:rPr>
          <w:rFonts w:hint="eastAsia" w:ascii="仿宋_GB2312" w:hAnsi="仿宋_GB2312" w:eastAsia="仿宋_GB2312" w:cs="仿宋"/>
          <w:sz w:val="24"/>
          <w:szCs w:val="24"/>
        </w:rPr>
        <w:t>，</w:t>
      </w:r>
      <w:r>
        <w:rPr>
          <w:rFonts w:ascii="仿宋_GB2312" w:hAnsi="仿宋_GB2312" w:eastAsia="仿宋_GB2312" w:cs="仿宋"/>
          <w:sz w:val="24"/>
          <w:szCs w:val="24"/>
        </w:rPr>
        <w:t>未按要求加盖印章</w:t>
      </w:r>
      <w:r>
        <w:rPr>
          <w:rFonts w:hint="eastAsia" w:ascii="仿宋_GB2312" w:hAnsi="仿宋_GB2312" w:eastAsia="仿宋_GB2312" w:cs="仿宋"/>
          <w:sz w:val="24"/>
          <w:szCs w:val="24"/>
        </w:rPr>
        <w:t>或签字</w:t>
      </w:r>
      <w:r>
        <w:rPr>
          <w:rFonts w:ascii="仿宋_GB2312" w:hAnsi="仿宋_GB2312" w:eastAsia="仿宋_GB2312" w:cs="仿宋"/>
          <w:sz w:val="24"/>
          <w:szCs w:val="24"/>
        </w:rPr>
        <w:t>的</w:t>
      </w:r>
      <w:r>
        <w:rPr>
          <w:rFonts w:hint="eastAsia" w:ascii="仿宋_GB2312" w:hAnsi="仿宋_GB2312" w:eastAsia="仿宋_GB2312" w:cs="仿宋"/>
          <w:sz w:val="24"/>
          <w:szCs w:val="24"/>
        </w:rPr>
        <w:t>，</w:t>
      </w:r>
      <w:r>
        <w:rPr>
          <w:rFonts w:ascii="仿宋_GB2312" w:hAnsi="仿宋_GB2312" w:eastAsia="仿宋_GB2312" w:cs="仿宋"/>
          <w:sz w:val="24"/>
          <w:szCs w:val="24"/>
        </w:rPr>
        <w:t>视同未提交书面交换材料</w:t>
      </w:r>
      <w:r>
        <w:rPr>
          <w:rFonts w:hint="eastAsia" w:ascii="仿宋_GB2312" w:hAnsi="仿宋_GB2312" w:eastAsia="仿宋_GB2312" w:cs="仿宋"/>
          <w:sz w:val="24"/>
          <w:szCs w:val="24"/>
        </w:rPr>
        <w:t>。</w:t>
      </w:r>
    </w:p>
    <w:p w14:paraId="588BB15C">
      <w:pPr>
        <w:pStyle w:val="7"/>
        <w:snapToGrid w:val="0"/>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
          <w:sz w:val="24"/>
          <w:szCs w:val="24"/>
        </w:rPr>
        <w:t>5.8</w:t>
      </w:r>
      <w:r>
        <w:rPr>
          <w:rFonts w:hint="eastAsia" w:ascii="仿宋_GB2312" w:hAnsi="仿宋_GB2312" w:eastAsia="仿宋_GB2312" w:cs="仿宋"/>
          <w:sz w:val="24"/>
          <w:szCs w:val="24"/>
        </w:rPr>
        <w:t>谈判小组在最终谈判后，</w:t>
      </w:r>
      <w:r>
        <w:rPr>
          <w:rFonts w:hint="eastAsia" w:ascii="仿宋_GB2312" w:hAnsi="仿宋_GB2312" w:eastAsia="仿宋_GB2312" w:cs="仿宋"/>
          <w:sz w:val="24"/>
          <w:szCs w:val="24"/>
          <w:lang w:val="zh-CN"/>
        </w:rPr>
        <w:t>对所有响应文件的有效性、完整性和响应程度进行审查</w:t>
      </w:r>
      <w:r>
        <w:rPr>
          <w:rFonts w:hint="eastAsia" w:ascii="仿宋_GB2312" w:hAnsi="仿宋_GB2312" w:eastAsia="仿宋_GB2312" w:cs="仿宋"/>
          <w:sz w:val="24"/>
          <w:szCs w:val="24"/>
        </w:rPr>
        <w:t>后，确定最后报价的供应商名单。</w:t>
      </w:r>
    </w:p>
    <w:p w14:paraId="457115A0">
      <w:pPr>
        <w:pStyle w:val="4"/>
        <w:keepNext w:val="0"/>
        <w:keepLines w:val="0"/>
        <w:spacing w:before="0" w:after="0" w:line="360" w:lineRule="auto"/>
        <w:ind w:firstLine="470" w:firstLineChars="196"/>
        <w:rPr>
          <w:rFonts w:ascii="仿宋_GB2312" w:hAnsi="仿宋_GB2312" w:eastAsia="仿宋_GB2312" w:cs="Times New Roman"/>
          <w:b w:val="0"/>
          <w:bCs w:val="0"/>
          <w:sz w:val="24"/>
          <w:szCs w:val="24"/>
        </w:rPr>
      </w:pPr>
      <w:r>
        <w:rPr>
          <w:rFonts w:ascii="仿宋_GB2312" w:hAnsi="仿宋_GB2312" w:eastAsia="仿宋_GB2312" w:cs="仿宋"/>
          <w:b w:val="0"/>
          <w:bCs w:val="0"/>
          <w:sz w:val="24"/>
          <w:szCs w:val="24"/>
        </w:rPr>
        <w:t>5.9</w:t>
      </w:r>
      <w:r>
        <w:rPr>
          <w:rFonts w:hint="eastAsia" w:ascii="仿宋_GB2312" w:hAnsi="仿宋_GB2312" w:eastAsia="仿宋_GB2312" w:cs="仿宋"/>
          <w:b w:val="0"/>
          <w:bCs w:val="0"/>
          <w:sz w:val="24"/>
          <w:szCs w:val="24"/>
        </w:rPr>
        <w:t>谈判过程中，谈判的任何一方不得透露与谈判有关的其他供应商的技术资料、价格和其他信息。</w:t>
      </w:r>
    </w:p>
    <w:p w14:paraId="002BD5DF">
      <w:pPr>
        <w:pStyle w:val="4"/>
        <w:keepNext w:val="0"/>
        <w:keepLines w:val="0"/>
        <w:spacing w:before="0" w:after="0" w:line="360" w:lineRule="auto"/>
        <w:ind w:firstLine="470" w:firstLineChars="196"/>
        <w:rPr>
          <w:rFonts w:ascii="仿宋_GB2312" w:hAnsi="仿宋_GB2312" w:eastAsia="仿宋_GB2312" w:cs="Times New Roman"/>
          <w:b w:val="0"/>
          <w:bCs w:val="0"/>
          <w:sz w:val="24"/>
          <w:szCs w:val="24"/>
        </w:rPr>
      </w:pPr>
      <w:r>
        <w:rPr>
          <w:rFonts w:ascii="仿宋_GB2312" w:hAnsi="仿宋_GB2312" w:eastAsia="仿宋_GB2312" w:cs="仿宋"/>
          <w:b w:val="0"/>
          <w:bCs w:val="0"/>
          <w:sz w:val="24"/>
          <w:szCs w:val="24"/>
        </w:rPr>
        <w:t>5.10</w:t>
      </w:r>
      <w:r>
        <w:rPr>
          <w:rFonts w:hint="eastAsia" w:ascii="仿宋_GB2312" w:hAnsi="仿宋_GB2312" w:eastAsia="仿宋_GB2312" w:cs="仿宋"/>
          <w:b w:val="0"/>
          <w:bCs w:val="0"/>
          <w:sz w:val="24"/>
          <w:szCs w:val="24"/>
        </w:rPr>
        <w:t>谈判过程中，谈判小组发现或者知晓供应商存在违法行为的，应当在谈判情况记录表中予以注明，并向财政部门报告，依法应将该供应商响应文件作无效处理的，应当作无效处理。</w:t>
      </w:r>
    </w:p>
    <w:p w14:paraId="32D4EC07">
      <w:pPr>
        <w:spacing w:line="360" w:lineRule="auto"/>
        <w:ind w:firstLine="482" w:firstLineChars="200"/>
        <w:rPr>
          <w:rFonts w:ascii="仿宋_GB2312" w:hAnsi="仿宋_GB2312" w:eastAsia="仿宋_GB2312" w:cs="仿宋"/>
          <w:b/>
          <w:bCs/>
        </w:rPr>
      </w:pPr>
      <w:r>
        <w:rPr>
          <w:rFonts w:ascii="仿宋_GB2312" w:hAnsi="仿宋_GB2312" w:eastAsia="仿宋_GB2312" w:cs="仿宋"/>
          <w:b/>
          <w:bCs/>
        </w:rPr>
        <w:t>6.</w:t>
      </w:r>
      <w:r>
        <w:rPr>
          <w:rFonts w:hint="eastAsia" w:ascii="仿宋_GB2312" w:hAnsi="仿宋_GB2312" w:eastAsia="仿宋_GB2312" w:cs="仿宋"/>
          <w:b/>
          <w:bCs/>
        </w:rPr>
        <w:t>报价</w:t>
      </w:r>
    </w:p>
    <w:p w14:paraId="268460FE">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rPr>
        <w:t>6.1</w:t>
      </w:r>
      <w:r>
        <w:rPr>
          <w:rFonts w:hint="eastAsia" w:ascii="仿宋_GB2312" w:hAnsi="仿宋_GB2312" w:eastAsia="仿宋_GB2312" w:cs="仿宋"/>
        </w:rPr>
        <w:t>谈判结束后，谈判小组应当要求所有实质性响应的供应商在谈判小组要求时间内</w:t>
      </w:r>
      <w:r>
        <w:rPr>
          <w:rFonts w:hint="eastAsia" w:ascii="仿宋_GB2312" w:hAnsi="仿宋_GB2312" w:eastAsia="仿宋_GB2312" w:cs="仿宋"/>
          <w:color w:val="000000" w:themeColor="text1"/>
          <w14:textFill>
            <w14:solidFill>
              <w14:schemeClr w14:val="tx1"/>
            </w14:solidFill>
          </w14:textFill>
        </w:rPr>
        <w:t>提交最后报价，提交最后报价的供应商不得少于</w:t>
      </w: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家。</w:t>
      </w:r>
    </w:p>
    <w:p w14:paraId="585D17B1">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6.2</w:t>
      </w:r>
      <w:r>
        <w:rPr>
          <w:rFonts w:hint="eastAsia" w:ascii="仿宋_GB2312" w:hAnsi="仿宋_GB2312" w:eastAsia="仿宋_GB2312" w:cs="仿宋"/>
          <w:color w:val="000000" w:themeColor="text1"/>
          <w14:textFill>
            <w14:solidFill>
              <w14:schemeClr w14:val="tx1"/>
            </w14:solidFill>
          </w14:textFill>
        </w:rPr>
        <w:t>供应商在未提高响应文件中承诺的标准情况下，其最后报价不得高于对该项目之前的报价，否则，谈判小组应当对其响应文件作无效处理，并书面告知供应商，说明理由。</w:t>
      </w:r>
    </w:p>
    <w:p w14:paraId="67E696D0">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6.3</w:t>
      </w:r>
      <w:r>
        <w:rPr>
          <w:rFonts w:hint="eastAsia" w:ascii="仿宋_GB2312" w:hAnsi="仿宋_GB2312" w:eastAsia="仿宋_GB2312" w:cs="仿宋"/>
          <w:color w:val="000000" w:themeColor="text1"/>
          <w14:textFill>
            <w14:solidFill>
              <w14:schemeClr w14:val="tx1"/>
            </w14:solidFill>
          </w14:textFill>
        </w:rPr>
        <w:t>供应商最后报价属于明显低价不正当竞争的，谈判小组应按照“供应商须知附表”第</w:t>
      </w:r>
      <w:r>
        <w:rPr>
          <w:rFonts w:ascii="仿宋_GB2312" w:hAnsi="仿宋_GB2312" w:eastAsia="仿宋_GB2312" w:cs="仿宋"/>
          <w:color w:val="000000" w:themeColor="text1"/>
          <w14:textFill>
            <w14:solidFill>
              <w14:schemeClr w14:val="tx1"/>
            </w14:solidFill>
          </w14:textFill>
        </w:rPr>
        <w:t>3</w:t>
      </w:r>
      <w:r>
        <w:rPr>
          <w:rFonts w:hint="eastAsia" w:ascii="仿宋_GB2312" w:hAnsi="仿宋_GB2312" w:eastAsia="仿宋_GB2312" w:cs="仿宋"/>
          <w:color w:val="000000" w:themeColor="text1"/>
          <w14:textFill>
            <w14:solidFill>
              <w14:schemeClr w14:val="tx1"/>
            </w14:solidFill>
          </w14:textFill>
        </w:rPr>
        <w:t>项规定处理。</w:t>
      </w:r>
    </w:p>
    <w:p w14:paraId="363EEC4E">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6.4</w:t>
      </w:r>
      <w:r>
        <w:rPr>
          <w:rFonts w:hint="eastAsia" w:ascii="仿宋_GB2312" w:hAnsi="仿宋_GB2312" w:eastAsia="仿宋_GB2312" w:cs="仿宋"/>
          <w:color w:val="000000" w:themeColor="text1"/>
          <w14:textFill>
            <w14:solidFill>
              <w14:schemeClr w14:val="tx1"/>
            </w14:solidFill>
          </w14:textFill>
        </w:rPr>
        <w:t>参与报价的供应商按谈判小组要求进行报价。报价超过竞争性谈判文件规定</w:t>
      </w:r>
      <w:r>
        <w:rPr>
          <w:rFonts w:hint="eastAsia" w:ascii="仿宋_GB2312" w:hAnsi="仿宋_GB2312" w:eastAsia="仿宋_GB2312" w:cs="仿宋"/>
          <w:color w:val="000000" w:themeColor="text1"/>
          <w:lang w:eastAsia="zh-CN"/>
          <w14:textFill>
            <w14:solidFill>
              <w14:schemeClr w14:val="tx1"/>
            </w14:solidFill>
          </w14:textFill>
        </w:rPr>
        <w:t>的</w:t>
      </w:r>
      <w:r>
        <w:rPr>
          <w:rFonts w:hint="eastAsia" w:ascii="仿宋_GB2312" w:hAnsi="仿宋_GB2312" w:eastAsia="仿宋_GB2312" w:cs="仿宋"/>
          <w:color w:val="000000" w:themeColor="text1"/>
          <w14:textFill>
            <w14:solidFill>
              <w14:schemeClr w14:val="tx1"/>
            </w14:solidFill>
          </w14:textFill>
        </w:rPr>
        <w:t>最高限价或者相关报价不符合谈判文件其他的报价规定的，应按照无效响应文件处理。</w:t>
      </w:r>
    </w:p>
    <w:p w14:paraId="48EA245A">
      <w:pPr>
        <w:spacing w:line="360" w:lineRule="auto"/>
        <w:ind w:firstLine="480" w:firstLineChars="200"/>
        <w:rPr>
          <w:rFonts w:ascii="仿宋_GB2312" w:hAnsi="仿宋_GB2312" w:eastAsia="仿宋_GB2312" w:cs="仿宋"/>
          <w:color w:val="000000" w:themeColor="text1"/>
          <w14:textFill>
            <w14:solidFill>
              <w14:schemeClr w14:val="tx1"/>
            </w14:solidFill>
          </w14:textFill>
        </w:rPr>
      </w:pPr>
      <w:r>
        <w:rPr>
          <w:rFonts w:ascii="仿宋_GB2312" w:hAnsi="仿宋_GB2312" w:eastAsia="仿宋_GB2312" w:cs="仿宋"/>
          <w:color w:val="000000" w:themeColor="text1"/>
          <w14:textFill>
            <w14:solidFill>
              <w14:schemeClr w14:val="tx1"/>
            </w14:solidFill>
          </w14:textFill>
        </w:rPr>
        <w:t>6.5</w:t>
      </w:r>
      <w:r>
        <w:rPr>
          <w:rFonts w:hint="eastAsia" w:ascii="仿宋_GB2312" w:hAnsi="仿宋_GB2312" w:eastAsia="仿宋_GB2312" w:cs="仿宋"/>
          <w:color w:val="000000" w:themeColor="text1"/>
          <w14:textFill>
            <w14:solidFill>
              <w14:schemeClr w14:val="tx1"/>
            </w14:solidFill>
          </w14:textFill>
        </w:rPr>
        <w:t>供应商报价应当</w:t>
      </w:r>
      <w:r>
        <w:rPr>
          <w:rFonts w:ascii="仿宋_GB2312" w:hAnsi="仿宋_GB2312" w:eastAsia="仿宋_GB2312" w:cs="仿宋"/>
          <w:color w:val="000000" w:themeColor="text1"/>
          <w14:textFill>
            <w14:solidFill>
              <w14:schemeClr w14:val="tx1"/>
            </w14:solidFill>
          </w14:textFill>
        </w:rPr>
        <w:t>采取书面形式报价</w:t>
      </w:r>
      <w:r>
        <w:rPr>
          <w:rFonts w:hint="eastAsia" w:ascii="仿宋_GB2312" w:hAnsi="仿宋_GB2312" w:eastAsia="仿宋_GB2312" w:cs="仿宋"/>
          <w:color w:val="000000" w:themeColor="text1"/>
          <w14:textFill>
            <w14:solidFill>
              <w14:schemeClr w14:val="tx1"/>
            </w14:solidFill>
          </w14:textFill>
        </w:rPr>
        <w:t>，报价是供应商响应文件的有效组成部分。</w:t>
      </w:r>
    </w:p>
    <w:p w14:paraId="495A23F5">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7.</w:t>
      </w:r>
      <w:r>
        <w:rPr>
          <w:rFonts w:hint="eastAsia" w:ascii="仿宋_GB2312" w:hAnsi="仿宋_GB2312" w:eastAsia="仿宋_GB2312" w:cs="仿宋"/>
          <w:b/>
          <w:bCs/>
          <w:color w:val="auto"/>
        </w:rPr>
        <w:t>说明</w:t>
      </w:r>
    </w:p>
    <w:p w14:paraId="56EBF209">
      <w:pPr>
        <w:adjustRightInd w:val="0"/>
        <w:snapToGrid w:val="0"/>
        <w:spacing w:line="360" w:lineRule="auto"/>
        <w:ind w:firstLine="480" w:firstLineChars="200"/>
        <w:rPr>
          <w:rFonts w:ascii="仿宋_GB2312" w:hAnsi="仿宋_GB2312" w:eastAsia="仿宋_GB2312"/>
          <w:color w:val="auto"/>
        </w:rPr>
      </w:pPr>
      <w:r>
        <w:rPr>
          <w:rFonts w:ascii="仿宋_GB2312" w:hAnsi="仿宋_GB2312" w:eastAsia="仿宋_GB2312" w:cs="仿宋"/>
          <w:color w:val="auto"/>
        </w:rPr>
        <w:t>7.1</w:t>
      </w:r>
      <w:r>
        <w:rPr>
          <w:rFonts w:hint="eastAsia" w:ascii="仿宋_GB2312" w:hAnsi="仿宋_GB2312" w:eastAsia="仿宋_GB2312" w:cs="仿宋"/>
          <w:color w:val="auto"/>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092F713">
      <w:pPr>
        <w:adjustRightInd w:val="0"/>
        <w:snapToGrid w:val="0"/>
        <w:spacing w:line="360" w:lineRule="auto"/>
        <w:ind w:firstLine="480" w:firstLineChars="200"/>
        <w:rPr>
          <w:rFonts w:ascii="仿宋_GB2312" w:hAnsi="仿宋_GB2312" w:eastAsia="仿宋_GB2312"/>
          <w:color w:val="auto"/>
        </w:rPr>
      </w:pPr>
      <w:r>
        <w:rPr>
          <w:rFonts w:ascii="仿宋_GB2312" w:hAnsi="仿宋_GB2312" w:eastAsia="仿宋_GB2312" w:cs="仿宋"/>
          <w:color w:val="auto"/>
        </w:rPr>
        <w:t>7.2</w:t>
      </w:r>
      <w:r>
        <w:rPr>
          <w:rFonts w:hint="eastAsia" w:ascii="仿宋_GB2312" w:hAnsi="仿宋_GB2312" w:eastAsia="仿宋_GB2312" w:cs="仿宋"/>
          <w:color w:val="auto"/>
        </w:rPr>
        <w:t>谈判小组要求供应商在合理时间内（不得少于</w:t>
      </w:r>
      <w:r>
        <w:rPr>
          <w:rFonts w:hint="eastAsia" w:ascii="仿宋_GB2312" w:hAnsi="仿宋_GB2312" w:eastAsia="仿宋_GB2312" w:cs="仿宋"/>
          <w:color w:val="auto"/>
          <w:lang w:val="en-US" w:eastAsia="zh-CN"/>
        </w:rPr>
        <w:t>10</w:t>
      </w:r>
      <w:r>
        <w:rPr>
          <w:rFonts w:hint="eastAsia" w:ascii="仿宋_GB2312" w:hAnsi="仿宋_GB2312" w:eastAsia="仿宋_GB2312" w:cs="仿宋"/>
          <w:color w:val="auto"/>
        </w:rPr>
        <w:t>分钟，但</w:t>
      </w:r>
      <w:r>
        <w:rPr>
          <w:rFonts w:ascii="仿宋_GB2312" w:hAnsi="仿宋_GB2312" w:eastAsia="仿宋_GB2312" w:cs="仿宋"/>
          <w:color w:val="auto"/>
        </w:rPr>
        <w:t>供应商已明确表示澄清、说明、更正完毕的除外</w:t>
      </w:r>
      <w:r>
        <w:rPr>
          <w:rFonts w:hint="eastAsia" w:ascii="仿宋_GB2312" w:hAnsi="仿宋_GB2312" w:eastAsia="仿宋_GB2312" w:cs="仿宋"/>
          <w:color w:val="auto"/>
        </w:rPr>
        <w:t>）澄清、说明或者更正响应文件应当以书面形式作出，并加盖供应商的印章。</w:t>
      </w:r>
      <w:r>
        <w:rPr>
          <w:rFonts w:ascii="仿宋_GB2312" w:hAnsi="仿宋_GB2312" w:eastAsia="仿宋_GB2312" w:cs="仿宋"/>
          <w:color w:val="auto"/>
        </w:rPr>
        <w:t>供应商未在</w:t>
      </w:r>
      <w:r>
        <w:rPr>
          <w:rFonts w:hint="eastAsia" w:ascii="仿宋_GB2312" w:hAnsi="仿宋_GB2312" w:eastAsia="仿宋_GB2312" w:cs="仿宋"/>
          <w:color w:val="auto"/>
        </w:rPr>
        <w:t>谈判小组要求的合理</w:t>
      </w:r>
      <w:r>
        <w:rPr>
          <w:rFonts w:ascii="仿宋_GB2312" w:hAnsi="仿宋_GB2312" w:eastAsia="仿宋_GB2312" w:cs="仿宋"/>
          <w:color w:val="auto"/>
        </w:rPr>
        <w:t>时间内按要求澄清、说明、更正的，视为放弃。</w:t>
      </w:r>
    </w:p>
    <w:p w14:paraId="2EBDFB50">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8.</w:t>
      </w:r>
      <w:r>
        <w:rPr>
          <w:rFonts w:hint="eastAsia" w:ascii="仿宋_GB2312" w:hAnsi="仿宋_GB2312" w:eastAsia="仿宋_GB2312" w:cs="仿宋"/>
          <w:b/>
          <w:bCs/>
          <w:color w:val="auto"/>
        </w:rPr>
        <w:t>谈判小组复核</w:t>
      </w:r>
    </w:p>
    <w:p w14:paraId="44543D6C">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供应商最后报价结束后，谈判小组应当进行评审复核，对拟推荐为成交候选供应商的、报价最低的、供应商响应文件作无效处理的重点复核。</w:t>
      </w:r>
    </w:p>
    <w:p w14:paraId="263A9EAB">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9.</w:t>
      </w:r>
      <w:r>
        <w:rPr>
          <w:rFonts w:hint="eastAsia" w:ascii="仿宋_GB2312" w:hAnsi="仿宋_GB2312" w:eastAsia="仿宋_GB2312" w:cs="仿宋"/>
          <w:b/>
          <w:bCs/>
          <w:color w:val="auto"/>
        </w:rPr>
        <w:t>推荐成交候选供应商</w:t>
      </w:r>
    </w:p>
    <w:p w14:paraId="7C168C71">
      <w:pPr>
        <w:pStyle w:val="4"/>
        <w:keepNext w:val="0"/>
        <w:keepLines w:val="0"/>
        <w:spacing w:before="0" w:after="0" w:line="360" w:lineRule="auto"/>
        <w:ind w:firstLine="470" w:firstLineChars="196"/>
        <w:rPr>
          <w:rFonts w:hint="default" w:ascii="仿宋_GB2312" w:hAnsi="仿宋_GB2312" w:eastAsia="仿宋_GB2312" w:cs="仿宋"/>
          <w:b w:val="0"/>
          <w:bCs w:val="0"/>
          <w:color w:val="auto"/>
          <w:sz w:val="24"/>
          <w:szCs w:val="24"/>
          <w:lang w:val="en-US" w:eastAsia="zh-CN"/>
        </w:rPr>
      </w:pPr>
      <w:r>
        <w:rPr>
          <w:rFonts w:hint="eastAsia" w:ascii="仿宋_GB2312" w:hAnsi="仿宋_GB2312" w:eastAsia="仿宋_GB2312" w:cs="仿宋"/>
          <w:b w:val="0"/>
          <w:bCs w:val="0"/>
          <w:color w:val="auto"/>
          <w:sz w:val="24"/>
          <w:szCs w:val="24"/>
        </w:rPr>
        <w:t>谈判小组复核后，应当从质量和服务均能满足采购文件实质性响应要求的供应商中，按照最后报价由低到高顺序推荐</w:t>
      </w:r>
      <w:r>
        <w:rPr>
          <w:rFonts w:hint="eastAsia" w:ascii="仿宋_GB2312" w:hAnsi="仿宋_GB2312" w:eastAsia="仿宋_GB2312" w:cs="仿宋"/>
          <w:b w:val="0"/>
          <w:bCs w:val="0"/>
          <w:color w:val="auto"/>
          <w:sz w:val="24"/>
          <w:szCs w:val="24"/>
          <w:lang w:val="en-US" w:eastAsia="zh-CN"/>
        </w:rPr>
        <w:t>3</w:t>
      </w:r>
      <w:r>
        <w:rPr>
          <w:rFonts w:hint="eastAsia" w:ascii="仿宋_GB2312" w:hAnsi="仿宋_GB2312" w:eastAsia="仿宋_GB2312" w:cs="仿宋"/>
          <w:b w:val="0"/>
          <w:bCs w:val="0"/>
          <w:color w:val="auto"/>
          <w:sz w:val="24"/>
          <w:szCs w:val="24"/>
        </w:rPr>
        <w:t>家以上成交候选供应商，并编写谈判报告。供应商报价相同的，</w:t>
      </w:r>
      <w:r>
        <w:rPr>
          <w:rFonts w:hint="eastAsia" w:ascii="仿宋_GB2312" w:hAnsi="仿宋_GB2312" w:eastAsia="仿宋_GB2312" w:cs="仿宋"/>
          <w:b w:val="0"/>
          <w:bCs w:val="0"/>
          <w:color w:val="auto"/>
          <w:sz w:val="24"/>
          <w:szCs w:val="24"/>
          <w:lang w:val="en-US" w:eastAsia="zh-CN"/>
        </w:rPr>
        <w:t>采取随机抽取的方式决定推荐候选供应商。</w:t>
      </w:r>
    </w:p>
    <w:p w14:paraId="5D0543A8">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10.</w:t>
      </w:r>
      <w:r>
        <w:rPr>
          <w:rFonts w:hint="eastAsia" w:ascii="仿宋_GB2312" w:hAnsi="仿宋_GB2312" w:eastAsia="仿宋_GB2312" w:cs="仿宋"/>
          <w:b/>
          <w:bCs/>
          <w:color w:val="auto"/>
        </w:rPr>
        <w:t>采购组织单位现场复核评审结果</w:t>
      </w:r>
    </w:p>
    <w:p w14:paraId="50545C62">
      <w:pPr>
        <w:pStyle w:val="4"/>
        <w:keepNext w:val="0"/>
        <w:keepLines w:val="0"/>
        <w:spacing w:before="0" w:after="0" w:line="360" w:lineRule="auto"/>
        <w:ind w:firstLine="470" w:firstLineChars="196"/>
        <w:rPr>
          <w:rFonts w:hint="eastAsia" w:ascii="仿宋_GB2312" w:hAnsi="仿宋_GB2312" w:eastAsia="仿宋_GB2312" w:cs="仿宋"/>
          <w:b w:val="0"/>
          <w:bCs w:val="0"/>
          <w:color w:val="auto"/>
          <w:sz w:val="24"/>
          <w:szCs w:val="24"/>
          <w:lang w:eastAsia="zh-CN"/>
        </w:rPr>
      </w:pPr>
      <w:r>
        <w:rPr>
          <w:rFonts w:hint="eastAsia" w:ascii="仿宋_GB2312" w:hAnsi="仿宋_GB2312" w:eastAsia="仿宋_GB2312" w:cs="仿宋"/>
          <w:b w:val="0"/>
          <w:bCs w:val="0"/>
          <w:color w:val="auto"/>
          <w:sz w:val="24"/>
          <w:szCs w:val="24"/>
        </w:rPr>
        <w:t>10.1推荐成交候选供应商后，谈判小组拟出具谈判报告前，采购</w:t>
      </w:r>
      <w:r>
        <w:rPr>
          <w:rFonts w:hint="eastAsia" w:ascii="仿宋_GB2312" w:hAnsi="仿宋_GB2312" w:eastAsia="仿宋_GB2312" w:cs="仿宋"/>
          <w:b w:val="0"/>
          <w:bCs w:val="0"/>
          <w:color w:val="auto"/>
          <w:sz w:val="24"/>
          <w:szCs w:val="24"/>
          <w:lang w:eastAsia="zh-CN"/>
        </w:rPr>
        <w:t>人</w:t>
      </w:r>
      <w:r>
        <w:rPr>
          <w:rFonts w:hint="eastAsia" w:ascii="仿宋_GB2312" w:hAnsi="仿宋_GB2312" w:eastAsia="仿宋_GB2312" w:cs="仿宋"/>
          <w:b w:val="0"/>
          <w:bCs w:val="0"/>
          <w:color w:val="auto"/>
          <w:sz w:val="24"/>
          <w:szCs w:val="24"/>
        </w:rPr>
        <w:t>应当组织2名以上的本单位工作人员，在采购现场监督人员的监督之下，依据有关的法律制度和谈判文件对评审结果进行复核，出具复核报告</w:t>
      </w:r>
      <w:r>
        <w:rPr>
          <w:rFonts w:hint="eastAsia" w:ascii="仿宋_GB2312" w:hAnsi="仿宋_GB2312" w:eastAsia="仿宋_GB2312" w:cs="仿宋"/>
          <w:b w:val="0"/>
          <w:bCs w:val="0"/>
          <w:color w:val="auto"/>
          <w:sz w:val="24"/>
          <w:szCs w:val="24"/>
          <w:lang w:eastAsia="zh-CN"/>
        </w:rPr>
        <w:t>。</w:t>
      </w:r>
    </w:p>
    <w:p w14:paraId="73BFDF4F">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10.</w:t>
      </w:r>
      <w:r>
        <w:rPr>
          <w:rFonts w:hint="eastAsia" w:ascii="仿宋_GB2312" w:hAnsi="仿宋_GB2312" w:eastAsia="仿宋_GB2312" w:cs="仿宋"/>
          <w:b w:val="0"/>
          <w:bCs w:val="0"/>
          <w:color w:val="auto"/>
          <w:sz w:val="24"/>
          <w:szCs w:val="24"/>
          <w:lang w:val="en-US" w:eastAsia="zh-CN"/>
        </w:rPr>
        <w:t>2</w:t>
      </w:r>
      <w:r>
        <w:rPr>
          <w:rFonts w:hint="eastAsia" w:ascii="仿宋_GB2312" w:hAnsi="仿宋_GB2312" w:eastAsia="仿宋_GB2312" w:cs="仿宋"/>
          <w:b w:val="0"/>
          <w:bCs w:val="0"/>
          <w:color w:val="auto"/>
          <w:sz w:val="24"/>
          <w:szCs w:val="24"/>
        </w:rPr>
        <w:t>采购</w:t>
      </w:r>
      <w:r>
        <w:rPr>
          <w:rFonts w:hint="eastAsia" w:ascii="仿宋_GB2312" w:hAnsi="仿宋_GB2312" w:eastAsia="仿宋_GB2312" w:cs="仿宋"/>
          <w:b w:val="0"/>
          <w:bCs w:val="0"/>
          <w:color w:val="auto"/>
          <w:sz w:val="24"/>
          <w:szCs w:val="24"/>
          <w:lang w:eastAsia="zh-CN"/>
        </w:rPr>
        <w:t>人</w:t>
      </w:r>
      <w:r>
        <w:rPr>
          <w:rFonts w:hint="eastAsia" w:ascii="仿宋_GB2312" w:hAnsi="仿宋_GB2312" w:eastAsia="仿宋_GB2312" w:cs="仿宋"/>
          <w:b w:val="0"/>
          <w:bCs w:val="0"/>
          <w:color w:val="auto"/>
          <w:sz w:val="24"/>
          <w:szCs w:val="24"/>
        </w:rPr>
        <w:t>复核过程中，谈判小组成员不得离开评审现场。</w:t>
      </w:r>
    </w:p>
    <w:p w14:paraId="75B4BAED">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11.</w:t>
      </w:r>
      <w:r>
        <w:rPr>
          <w:rFonts w:hint="eastAsia" w:ascii="仿宋_GB2312" w:hAnsi="仿宋_GB2312" w:eastAsia="仿宋_GB2312" w:cs="仿宋"/>
          <w:b/>
          <w:bCs/>
          <w:color w:val="auto"/>
        </w:rPr>
        <w:t>编写谈判报告</w:t>
      </w:r>
    </w:p>
    <w:p w14:paraId="0DC67717">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谈判小组推荐成交候选供应商后，应向采购</w:t>
      </w:r>
      <w:r>
        <w:rPr>
          <w:rFonts w:hint="eastAsia" w:ascii="仿宋_GB2312" w:hAnsi="仿宋_GB2312" w:eastAsia="仿宋_GB2312" w:cs="仿宋"/>
          <w:b w:val="0"/>
          <w:bCs w:val="0"/>
          <w:color w:val="auto"/>
          <w:sz w:val="24"/>
          <w:szCs w:val="24"/>
          <w:lang w:eastAsia="zh-CN"/>
        </w:rPr>
        <w:t>人</w:t>
      </w:r>
      <w:r>
        <w:rPr>
          <w:rFonts w:hint="eastAsia" w:ascii="仿宋_GB2312" w:hAnsi="仿宋_GB2312" w:eastAsia="仿宋_GB2312" w:cs="仿宋"/>
          <w:b w:val="0"/>
          <w:bCs w:val="0"/>
          <w:color w:val="auto"/>
          <w:sz w:val="24"/>
          <w:szCs w:val="24"/>
        </w:rPr>
        <w:t>出具谈判报告。谈判报告应当包括以下主要内容：</w:t>
      </w:r>
    </w:p>
    <w:p w14:paraId="0585B54E">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（1）邀请供应商参加采购活动的具体方式和相关情况，以及参加采购活动的供应商名单；</w:t>
      </w:r>
    </w:p>
    <w:p w14:paraId="412F769A">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（2）评审日期和地点，谈判小组成员名单；</w:t>
      </w:r>
    </w:p>
    <w:p w14:paraId="6F7B942A">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（3）评审情况记录和说明，包括供应商响应文件审查情况、谈判情况、报价情况等；</w:t>
      </w:r>
    </w:p>
    <w:p w14:paraId="00983991">
      <w:pPr>
        <w:pStyle w:val="4"/>
        <w:keepNext w:val="0"/>
        <w:keepLines w:val="0"/>
        <w:spacing w:before="0" w:after="0" w:line="360" w:lineRule="auto"/>
        <w:ind w:firstLine="470" w:firstLineChars="196"/>
        <w:rPr>
          <w:rFonts w:ascii="仿宋_GB2312" w:hAnsi="仿宋_GB2312" w:eastAsia="仿宋_GB2312" w:cs="仿宋"/>
          <w:b w:val="0"/>
          <w:bCs w:val="0"/>
          <w:color w:val="auto"/>
          <w:sz w:val="24"/>
          <w:szCs w:val="24"/>
        </w:rPr>
      </w:pPr>
      <w:r>
        <w:rPr>
          <w:rFonts w:hint="eastAsia" w:ascii="仿宋_GB2312" w:hAnsi="仿宋_GB2312" w:eastAsia="仿宋_GB2312" w:cs="仿宋"/>
          <w:b w:val="0"/>
          <w:bCs w:val="0"/>
          <w:color w:val="auto"/>
          <w:sz w:val="24"/>
          <w:szCs w:val="24"/>
        </w:rPr>
        <w:t>（4）推荐的成交候选人的名单及理由。</w:t>
      </w:r>
    </w:p>
    <w:p w14:paraId="3BAF9947">
      <w:pPr>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14:paraId="12BE4A1A">
      <w:pPr>
        <w:spacing w:line="360" w:lineRule="auto"/>
        <w:ind w:firstLine="482" w:firstLineChars="200"/>
        <w:rPr>
          <w:rFonts w:ascii="仿宋_GB2312" w:hAnsi="仿宋_GB2312" w:eastAsia="仿宋_GB2312" w:cs="仿宋"/>
          <w:b/>
          <w:bCs/>
          <w:color w:val="auto"/>
        </w:rPr>
      </w:pPr>
      <w:r>
        <w:rPr>
          <w:rFonts w:ascii="仿宋_GB2312" w:hAnsi="仿宋_GB2312" w:eastAsia="仿宋_GB2312" w:cs="仿宋"/>
          <w:b/>
          <w:bCs/>
          <w:color w:val="auto"/>
        </w:rPr>
        <w:t>12.</w:t>
      </w:r>
      <w:r>
        <w:rPr>
          <w:rFonts w:hint="eastAsia" w:ascii="仿宋_GB2312" w:hAnsi="仿宋_GB2312" w:eastAsia="仿宋_GB2312" w:cs="仿宋"/>
          <w:b/>
          <w:bCs/>
          <w:color w:val="auto"/>
        </w:rPr>
        <w:t>谈判异议处理规则</w:t>
      </w:r>
    </w:p>
    <w:p w14:paraId="46A5EB49">
      <w:pPr>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在谈判过程中，谈判小组成员对响应文件是否符合谈判文件规定存在争议的，应当以少数服从多数的原则处理，但不得违背谈判文件规定。有不同意见的谈判小组成员认为认定过程和结果不符合法律法规或者谈判文件规定的，应当在谈判报告中予以反映。</w:t>
      </w:r>
    </w:p>
    <w:p w14:paraId="53F7A0A4">
      <w:pPr>
        <w:spacing w:line="360" w:lineRule="auto"/>
        <w:ind w:firstLine="482" w:firstLineChars="200"/>
        <w:rPr>
          <w:rFonts w:ascii="仿宋_GB2312" w:hAnsi="仿宋_GB2312" w:eastAsia="仿宋_GB2312"/>
          <w:b/>
          <w:bCs/>
          <w:color w:val="auto"/>
        </w:rPr>
      </w:pPr>
      <w:r>
        <w:rPr>
          <w:rFonts w:ascii="仿宋_GB2312" w:hAnsi="仿宋_GB2312" w:eastAsia="仿宋_GB2312" w:cs="仿宋"/>
          <w:b/>
          <w:bCs/>
          <w:color w:val="auto"/>
        </w:rPr>
        <w:t>13.</w:t>
      </w:r>
      <w:r>
        <w:rPr>
          <w:rFonts w:hint="eastAsia" w:ascii="仿宋_GB2312" w:hAnsi="仿宋_GB2312" w:eastAsia="仿宋_GB2312" w:cs="仿宋"/>
          <w:b/>
          <w:bCs/>
          <w:color w:val="auto"/>
        </w:rPr>
        <w:t>终止谈判采购活动</w:t>
      </w:r>
    </w:p>
    <w:p w14:paraId="303271BA">
      <w:pPr>
        <w:spacing w:line="360" w:lineRule="auto"/>
        <w:ind w:firstLine="480" w:firstLineChars="200"/>
        <w:rPr>
          <w:rFonts w:ascii="仿宋_GB2312" w:hAnsi="仿宋_GB2312" w:eastAsia="仿宋_GB2312"/>
          <w:color w:val="auto"/>
        </w:rPr>
      </w:pPr>
      <w:r>
        <w:rPr>
          <w:rFonts w:hint="eastAsia" w:ascii="仿宋_GB2312" w:hAnsi="仿宋_GB2312" w:eastAsia="仿宋_GB2312" w:cs="仿宋"/>
          <w:color w:val="auto"/>
        </w:rPr>
        <w:t>出现下列情形之一的，采购人应当终止竞争性谈判采购活动，发布项目终止公告并说明原因，重新开展采购活动：</w:t>
      </w:r>
    </w:p>
    <w:p w14:paraId="3105CE3A">
      <w:pPr>
        <w:spacing w:line="360" w:lineRule="auto"/>
        <w:ind w:firstLine="480" w:firstLineChars="200"/>
        <w:rPr>
          <w:rFonts w:ascii="仿宋_GB2312" w:hAnsi="仿宋_GB2312" w:eastAsia="仿宋_GB2312"/>
          <w:color w:val="auto"/>
        </w:rPr>
      </w:pPr>
      <w:r>
        <w:rPr>
          <w:rFonts w:hint="eastAsia" w:ascii="仿宋_GB2312" w:hAnsi="仿宋_GB2312" w:eastAsia="仿宋_GB2312" w:cs="仿宋"/>
          <w:color w:val="auto"/>
        </w:rPr>
        <w:t>（</w:t>
      </w:r>
      <w:r>
        <w:rPr>
          <w:rFonts w:ascii="仿宋_GB2312" w:hAnsi="仿宋_GB2312" w:eastAsia="仿宋_GB2312" w:cs="仿宋"/>
          <w:color w:val="auto"/>
        </w:rPr>
        <w:t>1</w:t>
      </w:r>
      <w:r>
        <w:rPr>
          <w:rFonts w:hint="eastAsia" w:ascii="仿宋_GB2312" w:hAnsi="仿宋_GB2312" w:eastAsia="仿宋_GB2312" w:cs="仿宋"/>
          <w:color w:val="auto"/>
        </w:rPr>
        <w:t>）因情况变化，不再符合规定的竞争性谈判采购方式适用情形的；</w:t>
      </w:r>
    </w:p>
    <w:p w14:paraId="4D0B98A8">
      <w:pPr>
        <w:spacing w:line="360" w:lineRule="auto"/>
        <w:ind w:firstLine="480" w:firstLineChars="200"/>
        <w:rPr>
          <w:rFonts w:ascii="仿宋_GB2312" w:hAnsi="仿宋_GB2312" w:eastAsia="仿宋_GB2312"/>
          <w:color w:val="auto"/>
        </w:rPr>
      </w:pPr>
      <w:r>
        <w:rPr>
          <w:rFonts w:hint="eastAsia" w:ascii="仿宋_GB2312" w:hAnsi="仿宋_GB2312" w:eastAsia="仿宋_GB2312" w:cs="仿宋"/>
          <w:color w:val="auto"/>
        </w:rPr>
        <w:t>（</w:t>
      </w:r>
      <w:r>
        <w:rPr>
          <w:rFonts w:ascii="仿宋_GB2312" w:hAnsi="仿宋_GB2312" w:eastAsia="仿宋_GB2312" w:cs="仿宋"/>
          <w:color w:val="auto"/>
        </w:rPr>
        <w:t>2</w:t>
      </w:r>
      <w:r>
        <w:rPr>
          <w:rFonts w:hint="eastAsia" w:ascii="仿宋_GB2312" w:hAnsi="仿宋_GB2312" w:eastAsia="仿宋_GB2312" w:cs="仿宋"/>
          <w:color w:val="auto"/>
        </w:rPr>
        <w:t>）出现影响采购公正的违法、违规行为的；</w:t>
      </w:r>
    </w:p>
    <w:p w14:paraId="47764293">
      <w:pPr>
        <w:spacing w:line="360" w:lineRule="auto"/>
        <w:ind w:firstLine="480" w:firstLineChars="200"/>
        <w:rPr>
          <w:rFonts w:ascii="仿宋_GB2312" w:hAnsi="仿宋_GB2312" w:eastAsia="仿宋_GB2312"/>
          <w:color w:val="auto"/>
        </w:rPr>
      </w:pPr>
      <w:r>
        <w:rPr>
          <w:rFonts w:hint="eastAsia" w:ascii="仿宋_GB2312" w:hAnsi="仿宋_GB2312" w:eastAsia="仿宋_GB2312" w:cs="仿宋"/>
          <w:color w:val="auto"/>
        </w:rPr>
        <w:t>（</w:t>
      </w:r>
      <w:r>
        <w:rPr>
          <w:rFonts w:ascii="仿宋_GB2312" w:hAnsi="仿宋_GB2312" w:eastAsia="仿宋_GB2312" w:cs="仿宋"/>
          <w:color w:val="auto"/>
        </w:rPr>
        <w:t>3</w:t>
      </w:r>
      <w:r>
        <w:rPr>
          <w:rFonts w:hint="eastAsia" w:ascii="仿宋_GB2312" w:hAnsi="仿宋_GB2312" w:eastAsia="仿宋_GB2312" w:cs="仿宋"/>
          <w:color w:val="auto"/>
        </w:rPr>
        <w:t>）在采购过程中符合要求的供应商或者报价未超过最高限价的供应商不足</w:t>
      </w:r>
      <w:r>
        <w:rPr>
          <w:rFonts w:ascii="仿宋_GB2312" w:hAnsi="仿宋_GB2312" w:eastAsia="仿宋_GB2312" w:cs="仿宋"/>
          <w:color w:val="auto"/>
        </w:rPr>
        <w:t>3</w:t>
      </w:r>
      <w:r>
        <w:rPr>
          <w:rFonts w:hint="eastAsia" w:ascii="仿宋_GB2312" w:hAnsi="仿宋_GB2312" w:eastAsia="仿宋_GB2312" w:cs="仿宋"/>
          <w:color w:val="auto"/>
        </w:rPr>
        <w:t>家的。</w:t>
      </w:r>
      <w:bookmarkEnd w:id="70"/>
      <w:bookmarkEnd w:id="71"/>
      <w:bookmarkEnd w:id="72"/>
      <w:bookmarkEnd w:id="73"/>
    </w:p>
    <w:p w14:paraId="0D4DC7C7">
      <w:pPr>
        <w:tabs>
          <w:tab w:val="left" w:pos="7665"/>
        </w:tabs>
        <w:spacing w:line="360" w:lineRule="auto"/>
        <w:ind w:firstLine="482" w:firstLineChars="200"/>
        <w:rPr>
          <w:rFonts w:ascii="仿宋_GB2312" w:hAnsi="仿宋_GB2312" w:eastAsia="仿宋_GB2312"/>
          <w:b/>
          <w:bCs/>
          <w:color w:val="auto"/>
        </w:rPr>
      </w:pPr>
      <w:r>
        <w:rPr>
          <w:rFonts w:hint="eastAsia" w:ascii="仿宋_GB2312" w:hAnsi="仿宋_GB2312" w:eastAsia="仿宋_GB2312" w:cs="仿宋"/>
          <w:b/>
          <w:color w:val="auto"/>
        </w:rPr>
        <w:t>1</w:t>
      </w:r>
      <w:r>
        <w:rPr>
          <w:rFonts w:ascii="仿宋_GB2312" w:hAnsi="仿宋_GB2312" w:eastAsia="仿宋_GB2312" w:cs="仿宋"/>
          <w:b/>
          <w:color w:val="auto"/>
        </w:rPr>
        <w:t>4.</w:t>
      </w:r>
      <w:bookmarkEnd w:id="74"/>
      <w:r>
        <w:rPr>
          <w:rFonts w:hint="eastAsia" w:ascii="仿宋_GB2312" w:hAnsi="仿宋_GB2312" w:eastAsia="仿宋_GB2312" w:cs="仿宋"/>
          <w:b/>
          <w:bCs/>
          <w:color w:val="auto"/>
        </w:rPr>
        <w:t>谈判小组在采购活动中承担以下义务：</w:t>
      </w:r>
    </w:p>
    <w:p w14:paraId="332E0264">
      <w:pPr>
        <w:pStyle w:val="21"/>
        <w:tabs>
          <w:tab w:val="left" w:pos="7665"/>
        </w:tabs>
        <w:spacing w:line="360" w:lineRule="auto"/>
        <w:ind w:firstLine="480"/>
        <w:rPr>
          <w:rFonts w:ascii="仿宋_GB2312" w:hAnsi="仿宋_GB2312" w:eastAsia="仿宋_GB2312"/>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.1遵守评审工作纪律；</w:t>
      </w:r>
    </w:p>
    <w:p w14:paraId="4B23E725">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.2按照客观、公正、审慎的原则，根据谈判文件规定的评审程序、评审方法和评审标准进行独立评审；</w:t>
      </w:r>
    </w:p>
    <w:p w14:paraId="75395C00">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.3不得泄露评审文件、评审情况和在评审过程中获悉的商业秘密；</w:t>
      </w:r>
    </w:p>
    <w:p w14:paraId="37C70A11">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.4及时向报告评审过程中发现的采购人向评审专家做倾向性、误导性的解释或者说明，以及供应商行贿、提供虚假材料或者串通等违法行为；</w:t>
      </w:r>
    </w:p>
    <w:p w14:paraId="246C1F1B">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.5发现谈判文件内容违反国家有关强制性规定或者谈判文件存在歧义、重大缺陷导致评审工作无法进行时，停止评审并向采购人书面说明情况；</w:t>
      </w:r>
    </w:p>
    <w:p w14:paraId="15598B51">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.6及时向</w:t>
      </w:r>
      <w:r>
        <w:rPr>
          <w:rFonts w:hint="eastAsia" w:ascii="仿宋_GB2312" w:hAnsi="仿宋_GB2312" w:eastAsia="仿宋_GB2312" w:cs="仿宋"/>
          <w:color w:val="auto"/>
          <w:lang w:eastAsia="zh-CN"/>
        </w:rPr>
        <w:t>现场监督人员</w:t>
      </w:r>
      <w:r>
        <w:rPr>
          <w:rFonts w:hint="eastAsia" w:ascii="仿宋_GB2312" w:hAnsi="仿宋_GB2312" w:eastAsia="仿宋_GB2312" w:cs="仿宋"/>
          <w:color w:val="auto"/>
        </w:rPr>
        <w:t>举报在评审过程中受到非法干预的情况；</w:t>
      </w:r>
    </w:p>
    <w:p w14:paraId="30965A6D">
      <w:pPr>
        <w:pStyle w:val="21"/>
        <w:tabs>
          <w:tab w:val="left" w:pos="7665"/>
        </w:tabs>
        <w:spacing w:line="360" w:lineRule="auto"/>
        <w:ind w:firstLine="48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.7配合答复处理供应商的询问、质疑和投诉等事项；</w:t>
      </w:r>
    </w:p>
    <w:p w14:paraId="00EDC7B0">
      <w:pPr>
        <w:pStyle w:val="21"/>
        <w:tabs>
          <w:tab w:val="left" w:pos="7665"/>
        </w:tabs>
        <w:spacing w:line="360" w:lineRule="auto"/>
        <w:ind w:firstLine="480"/>
        <w:rPr>
          <w:rFonts w:ascii="仿宋_GB2312" w:hAnsi="仿宋_GB2312" w:eastAsia="仿宋_GB2312"/>
          <w:color w:val="auto"/>
        </w:rPr>
      </w:pPr>
      <w:r>
        <w:rPr>
          <w:rFonts w:hint="eastAsia" w:ascii="仿宋_GB2312" w:hAnsi="仿宋_GB2312" w:eastAsia="仿宋_GB2312" w:cs="仿宋"/>
          <w:color w:val="auto"/>
        </w:rPr>
        <w:t>1</w:t>
      </w:r>
      <w:r>
        <w:rPr>
          <w:rFonts w:ascii="仿宋_GB2312" w:hAnsi="仿宋_GB2312" w:eastAsia="仿宋_GB2312" w:cs="仿宋"/>
          <w:color w:val="auto"/>
        </w:rPr>
        <w:t>4</w:t>
      </w:r>
      <w:r>
        <w:rPr>
          <w:rFonts w:hint="eastAsia" w:ascii="仿宋_GB2312" w:hAnsi="仿宋_GB2312" w:eastAsia="仿宋_GB2312" w:cs="仿宋"/>
          <w:color w:val="auto"/>
        </w:rPr>
        <w:t>.8法律、法规和规章规定的其他义务。</w:t>
      </w:r>
    </w:p>
    <w:p w14:paraId="54FCE154">
      <w:pPr>
        <w:tabs>
          <w:tab w:val="left" w:pos="7665"/>
        </w:tabs>
        <w:spacing w:line="360" w:lineRule="auto"/>
        <w:ind w:firstLine="482" w:firstLineChars="200"/>
        <w:rPr>
          <w:rFonts w:ascii="仿宋_GB2312" w:hAnsi="仿宋_GB2312" w:eastAsia="仿宋_GB2312" w:cs="仿宋"/>
          <w:b/>
          <w:bCs/>
          <w:color w:val="auto"/>
        </w:rPr>
      </w:pPr>
      <w:r>
        <w:rPr>
          <w:rFonts w:hint="eastAsia" w:ascii="仿宋_GB2312" w:hAnsi="仿宋_GB2312" w:eastAsia="仿宋_GB2312" w:cs="仿宋"/>
          <w:b/>
          <w:bCs/>
          <w:color w:val="auto"/>
        </w:rPr>
        <w:t>1</w:t>
      </w:r>
      <w:r>
        <w:rPr>
          <w:rFonts w:ascii="仿宋_GB2312" w:hAnsi="仿宋_GB2312" w:eastAsia="仿宋_GB2312" w:cs="仿宋"/>
          <w:b/>
          <w:bCs/>
          <w:color w:val="auto"/>
        </w:rPr>
        <w:t>5.</w:t>
      </w:r>
      <w:r>
        <w:rPr>
          <w:rFonts w:hint="eastAsia" w:ascii="仿宋_GB2312" w:hAnsi="仿宋_GB2312" w:eastAsia="仿宋_GB2312" w:cs="仿宋"/>
          <w:b/>
          <w:bCs/>
          <w:color w:val="auto"/>
        </w:rPr>
        <w:t>谈判小组在政府采购活动中应当遵守以下工作纪律：</w:t>
      </w:r>
    </w:p>
    <w:p w14:paraId="35513ADA">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.1不得参加与自己有《中华人民共和国政府采购法实施条例》第九条规定的利害关系的采购项目的评审活动。发现参加了与自己有利害关系的评审活动，须主动提出回避，退出评审；</w:t>
      </w:r>
    </w:p>
    <w:p w14:paraId="0DEA677C">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.2评审前，应当将通讯工具或者相关电子设备交由采购</w:t>
      </w:r>
      <w:r>
        <w:rPr>
          <w:rFonts w:hint="eastAsia" w:ascii="仿宋_GB2312" w:hAnsi="仿宋_GB2312" w:eastAsia="仿宋_GB2312" w:cs="仿宋"/>
          <w:color w:val="auto"/>
          <w:lang w:eastAsia="zh-CN"/>
        </w:rPr>
        <w:t>人</w:t>
      </w:r>
      <w:r>
        <w:rPr>
          <w:rFonts w:hint="eastAsia" w:ascii="仿宋_GB2312" w:hAnsi="仿宋_GB2312" w:eastAsia="仿宋_GB2312" w:cs="仿宋"/>
          <w:color w:val="auto"/>
        </w:rPr>
        <w:t>统一保管；</w:t>
      </w:r>
    </w:p>
    <w:p w14:paraId="6165C76F">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.3评审过程中，不得与外界联系，因发生不可预见情况，确实需要与外界联系的，应当在监督人员监督之下办理；</w:t>
      </w:r>
    </w:p>
    <w:p w14:paraId="60605990">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4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14:paraId="7DDB4350">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.5在评审过程中和评审结束后，不得记录、复制或带走任何评审资料，不得向外界透露评审内容；</w:t>
      </w:r>
    </w:p>
    <w:p w14:paraId="0B29BAA2">
      <w:pPr>
        <w:tabs>
          <w:tab w:val="left" w:pos="7665"/>
        </w:tabs>
        <w:spacing w:line="360" w:lineRule="auto"/>
        <w:ind w:firstLine="480" w:firstLineChars="200"/>
        <w:rPr>
          <w:rFonts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.6评审现场服从采购</w:t>
      </w:r>
      <w:r>
        <w:rPr>
          <w:rFonts w:hint="eastAsia" w:ascii="仿宋_GB2312" w:hAnsi="仿宋_GB2312" w:eastAsia="仿宋_GB2312" w:cs="仿宋"/>
          <w:color w:val="auto"/>
          <w:lang w:eastAsia="zh-CN"/>
        </w:rPr>
        <w:t>人</w:t>
      </w:r>
      <w:r>
        <w:rPr>
          <w:rFonts w:hint="eastAsia" w:ascii="仿宋_GB2312" w:hAnsi="仿宋_GB2312" w:eastAsia="仿宋_GB2312" w:cs="仿宋"/>
          <w:color w:val="auto"/>
        </w:rPr>
        <w:t>的管理，接受现场监督人员的合法监督；</w:t>
      </w:r>
    </w:p>
    <w:p w14:paraId="1A40612C">
      <w:pPr>
        <w:tabs>
          <w:tab w:val="left" w:pos="7665"/>
        </w:tabs>
        <w:spacing w:line="360" w:lineRule="auto"/>
        <w:ind w:firstLine="480" w:firstLineChars="200"/>
        <w:rPr>
          <w:rFonts w:hint="eastAsia" w:ascii="仿宋_GB2312" w:hAnsi="仿宋_GB2312" w:eastAsia="仿宋_GB2312" w:cs="仿宋"/>
          <w:color w:val="auto"/>
        </w:rPr>
      </w:pPr>
      <w:r>
        <w:rPr>
          <w:rFonts w:hint="eastAsia" w:ascii="仿宋_GB2312" w:hAnsi="仿宋_GB2312" w:eastAsia="仿宋_GB2312" w:cs="仿宋"/>
          <w:color w:val="auto"/>
        </w:rPr>
        <w:t>1</w:t>
      </w:r>
      <w:r>
        <w:rPr>
          <w:rFonts w:ascii="仿宋_GB2312" w:hAnsi="仿宋_GB2312" w:eastAsia="仿宋_GB2312" w:cs="仿宋"/>
          <w:color w:val="auto"/>
        </w:rPr>
        <w:t>5</w:t>
      </w:r>
      <w:r>
        <w:rPr>
          <w:rFonts w:hint="eastAsia" w:ascii="仿宋_GB2312" w:hAnsi="仿宋_GB2312" w:eastAsia="仿宋_GB2312" w:cs="仿宋"/>
          <w:color w:val="auto"/>
        </w:rPr>
        <w:t>.7遵守有关廉洁自律规定，不得私下接触供应商，不得收受供应商及有关业务单位和个人的财物或好处，不得接受采购</w:t>
      </w:r>
      <w:r>
        <w:rPr>
          <w:rFonts w:hint="eastAsia" w:ascii="仿宋_GB2312" w:hAnsi="仿宋_GB2312" w:eastAsia="仿宋_GB2312" w:cs="仿宋"/>
          <w:color w:val="auto"/>
          <w:lang w:eastAsia="zh-CN"/>
        </w:rPr>
        <w:t>人</w:t>
      </w:r>
      <w:r>
        <w:rPr>
          <w:rFonts w:hint="eastAsia" w:ascii="仿宋_GB2312" w:hAnsi="仿宋_GB2312" w:eastAsia="仿宋_GB2312" w:cs="仿宋"/>
          <w:color w:val="auto"/>
        </w:rPr>
        <w:t>的请托。</w:t>
      </w:r>
      <w:bookmarkEnd w:id="31"/>
      <w:bookmarkEnd w:id="64"/>
      <w:bookmarkEnd w:id="65"/>
      <w:bookmarkEnd w:id="66"/>
    </w:p>
    <w:p w14:paraId="08E9B1EC">
      <w:pPr>
        <w:rPr>
          <w:rFonts w:hint="eastAsia" w:ascii="仿宋_GB2312" w:hAnsi="仿宋_GB2312" w:eastAsia="仿宋_GB2312" w:cs="仿宋"/>
          <w:color w:val="auto"/>
        </w:rPr>
      </w:pPr>
    </w:p>
    <w:p w14:paraId="36B99D4E">
      <w:pPr>
        <w:pStyle w:val="3"/>
        <w:keepNext/>
        <w:keepLines/>
        <w:pageBreakBefore w:val="0"/>
        <w:widowControl w:val="0"/>
        <w:numPr>
          <w:ilvl w:val="0"/>
          <w:numId w:val="3"/>
        </w:numPr>
        <w:kinsoku/>
        <w:wordWrap/>
        <w:overflowPunct/>
        <w:topLinePunct w:val="0"/>
        <w:autoSpaceDE/>
        <w:autoSpaceDN/>
        <w:bidi w:val="0"/>
        <w:adjustRightInd/>
        <w:snapToGrid/>
        <w:spacing w:before="0" w:after="0" w:line="360" w:lineRule="auto"/>
        <w:jc w:val="center"/>
        <w:textAlignment w:val="auto"/>
        <w:outlineLvl w:val="0"/>
        <w:rPr>
          <w:rFonts w:hint="eastAsia" w:ascii="仿宋" w:hAnsi="仿宋" w:eastAsia="仿宋" w:cs="仿宋"/>
          <w:b/>
          <w:bCs w:val="0"/>
          <w:color w:val="auto"/>
          <w:kern w:val="2"/>
          <w:sz w:val="36"/>
          <w:szCs w:val="36"/>
          <w:highlight w:val="none"/>
          <w:lang w:val="en-US" w:eastAsia="zh-CN" w:bidi="ar-SA"/>
        </w:rPr>
      </w:pPr>
      <w:bookmarkStart w:id="75" w:name="_Toc10374"/>
      <w:bookmarkStart w:id="76" w:name="_Toc21372"/>
      <w:r>
        <w:rPr>
          <w:rFonts w:hint="eastAsia" w:ascii="仿宋" w:hAnsi="仿宋" w:eastAsia="仿宋" w:cs="仿宋"/>
          <w:b/>
          <w:bCs w:val="0"/>
          <w:color w:val="auto"/>
          <w:kern w:val="2"/>
          <w:sz w:val="36"/>
          <w:szCs w:val="36"/>
          <w:highlight w:val="none"/>
          <w:lang w:val="en-US" w:eastAsia="zh-CN" w:bidi="ar-SA"/>
        </w:rPr>
        <w:t>报名登记表</w:t>
      </w:r>
      <w:bookmarkEnd w:id="75"/>
      <w:bookmarkEnd w:id="76"/>
    </w:p>
    <w:p w14:paraId="7F44D173">
      <w:pPr>
        <w:numPr>
          <w:ilvl w:val="0"/>
          <w:numId w:val="0"/>
        </w:numPr>
        <w:rPr>
          <w:rFonts w:hint="eastAsia"/>
          <w:lang w:val="en-US" w:eastAsia="zh-CN"/>
        </w:rPr>
      </w:pPr>
    </w:p>
    <w:tbl>
      <w:tblPr>
        <w:tblStyle w:val="12"/>
        <w:tblW w:w="8703" w:type="dxa"/>
        <w:tblInd w:w="191" w:type="dxa"/>
        <w:tblLayout w:type="fixed"/>
        <w:tblCellMar>
          <w:top w:w="15" w:type="dxa"/>
          <w:left w:w="15" w:type="dxa"/>
          <w:bottom w:w="15" w:type="dxa"/>
          <w:right w:w="15" w:type="dxa"/>
        </w:tblCellMar>
      </w:tblPr>
      <w:tblGrid>
        <w:gridCol w:w="2388"/>
        <w:gridCol w:w="6315"/>
      </w:tblGrid>
      <w:tr w14:paraId="214CE66F">
        <w:tblPrEx>
          <w:tblCellMar>
            <w:top w:w="15" w:type="dxa"/>
            <w:left w:w="15" w:type="dxa"/>
            <w:bottom w:w="15" w:type="dxa"/>
            <w:right w:w="15" w:type="dxa"/>
          </w:tblCellMar>
        </w:tblPrEx>
        <w:trPr>
          <w:trHeight w:val="993" w:hRule="atLeast"/>
        </w:trPr>
        <w:tc>
          <w:tcPr>
            <w:tcW w:w="2388" w:type="dxa"/>
            <w:tcBorders>
              <w:top w:val="single" w:color="auto" w:sz="4" w:space="0"/>
              <w:left w:val="single" w:color="auto" w:sz="4" w:space="0"/>
              <w:bottom w:val="single" w:color="000000" w:sz="4" w:space="0"/>
              <w:right w:val="single" w:color="auto" w:sz="4" w:space="0"/>
            </w:tcBorders>
            <w:noWrap w:val="0"/>
            <w:vAlign w:val="center"/>
          </w:tcPr>
          <w:p w14:paraId="3FBA192C">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项目名称</w:t>
            </w:r>
            <w:r>
              <w:rPr>
                <w:rFonts w:hint="eastAsia" w:ascii="仿宋" w:hAnsi="仿宋" w:eastAsia="仿宋" w:cs="仿宋"/>
                <w:color w:val="auto"/>
                <w:sz w:val="24"/>
                <w:lang w:val="en-US" w:eastAsia="zh-CN"/>
              </w:rPr>
              <w:t>(必填）</w:t>
            </w:r>
          </w:p>
        </w:tc>
        <w:tc>
          <w:tcPr>
            <w:tcW w:w="6315" w:type="dxa"/>
            <w:tcBorders>
              <w:top w:val="single" w:color="auto" w:sz="4" w:space="0"/>
              <w:left w:val="single" w:color="auto" w:sz="4" w:space="0"/>
              <w:bottom w:val="single" w:color="000000" w:sz="4" w:space="0"/>
              <w:right w:val="single" w:color="auto" w:sz="4" w:space="0"/>
            </w:tcBorders>
            <w:noWrap w:val="0"/>
            <w:vAlign w:val="center"/>
          </w:tcPr>
          <w:p w14:paraId="1F33377A">
            <w:pPr>
              <w:widowControl/>
              <w:spacing w:line="360" w:lineRule="auto"/>
              <w:jc w:val="center"/>
              <w:textAlignment w:val="center"/>
              <w:rPr>
                <w:rFonts w:hint="eastAsia" w:ascii="仿宋" w:hAnsi="仿宋" w:eastAsia="仿宋" w:cs="仿宋"/>
                <w:color w:val="auto"/>
                <w:kern w:val="0"/>
                <w:sz w:val="32"/>
                <w:szCs w:val="32"/>
                <w:lang w:bidi="ar"/>
              </w:rPr>
            </w:pPr>
          </w:p>
        </w:tc>
      </w:tr>
      <w:tr w14:paraId="046390DE">
        <w:tblPrEx>
          <w:tblCellMar>
            <w:top w:w="15" w:type="dxa"/>
            <w:left w:w="15" w:type="dxa"/>
            <w:bottom w:w="15" w:type="dxa"/>
            <w:right w:w="15" w:type="dxa"/>
          </w:tblCellMar>
        </w:tblPrEx>
        <w:trPr>
          <w:trHeight w:val="935" w:hRule="atLeast"/>
        </w:trPr>
        <w:tc>
          <w:tcPr>
            <w:tcW w:w="2388" w:type="dxa"/>
            <w:tcBorders>
              <w:top w:val="single" w:color="000000" w:sz="4" w:space="0"/>
              <w:left w:val="single" w:color="000000" w:sz="4" w:space="0"/>
              <w:bottom w:val="single" w:color="000000" w:sz="4" w:space="0"/>
              <w:right w:val="single" w:color="auto" w:sz="4" w:space="0"/>
            </w:tcBorders>
            <w:noWrap w:val="0"/>
            <w:vAlign w:val="center"/>
          </w:tcPr>
          <w:p w14:paraId="707C757B">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单位名称</w:t>
            </w:r>
            <w:r>
              <w:rPr>
                <w:rFonts w:hint="eastAsia" w:ascii="仿宋" w:hAnsi="仿宋" w:eastAsia="仿宋" w:cs="仿宋"/>
                <w:color w:val="auto"/>
                <w:sz w:val="24"/>
                <w:lang w:val="en-US" w:eastAsia="zh-CN"/>
              </w:rPr>
              <w:t>(必填）</w:t>
            </w:r>
          </w:p>
        </w:tc>
        <w:tc>
          <w:tcPr>
            <w:tcW w:w="6315" w:type="dxa"/>
            <w:tcBorders>
              <w:top w:val="single" w:color="000000" w:sz="4" w:space="0"/>
              <w:left w:val="single" w:color="auto" w:sz="4" w:space="0"/>
              <w:bottom w:val="single" w:color="000000" w:sz="4" w:space="0"/>
              <w:right w:val="single" w:color="000000" w:sz="4" w:space="0"/>
            </w:tcBorders>
            <w:noWrap w:val="0"/>
            <w:vAlign w:val="center"/>
          </w:tcPr>
          <w:p w14:paraId="55EF76A7">
            <w:pPr>
              <w:spacing w:line="360" w:lineRule="auto"/>
              <w:jc w:val="center"/>
              <w:rPr>
                <w:rFonts w:hint="eastAsia" w:ascii="仿宋" w:hAnsi="仿宋" w:eastAsia="仿宋" w:cs="仿宋"/>
                <w:color w:val="auto"/>
                <w:sz w:val="32"/>
                <w:szCs w:val="32"/>
              </w:rPr>
            </w:pPr>
            <w:r>
              <w:rPr>
                <w:rFonts w:hint="eastAsia" w:ascii="仿宋" w:hAnsi="仿宋" w:eastAsia="仿宋" w:cs="仿宋"/>
                <w:b w:val="0"/>
                <w:bCs w:val="0"/>
                <w:color w:val="auto"/>
                <w:sz w:val="28"/>
                <w:szCs w:val="28"/>
                <w:lang w:val="en-US" w:eastAsia="zh-CN"/>
              </w:rPr>
              <w:t xml:space="preserve">                                 </w:t>
            </w:r>
            <w:r>
              <w:rPr>
                <w:rFonts w:hint="eastAsia" w:ascii="仿宋" w:hAnsi="仿宋" w:eastAsia="仿宋" w:cs="仿宋"/>
                <w:b w:val="0"/>
                <w:bCs w:val="0"/>
                <w:color w:val="auto"/>
                <w:sz w:val="28"/>
                <w:szCs w:val="28"/>
              </w:rPr>
              <w:t>（加盖公章）</w:t>
            </w:r>
          </w:p>
        </w:tc>
      </w:tr>
      <w:tr w14:paraId="62FC8BF3">
        <w:tblPrEx>
          <w:tblCellMar>
            <w:top w:w="15" w:type="dxa"/>
            <w:left w:w="15" w:type="dxa"/>
            <w:bottom w:w="15" w:type="dxa"/>
            <w:right w:w="15" w:type="dxa"/>
          </w:tblCellMar>
        </w:tblPrEx>
        <w:trPr>
          <w:trHeight w:val="1031"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283B4D5E">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单位地址</w:t>
            </w:r>
            <w:r>
              <w:rPr>
                <w:rFonts w:hint="eastAsia" w:ascii="仿宋" w:hAnsi="仿宋" w:eastAsia="仿宋" w:cs="仿宋"/>
                <w:color w:val="auto"/>
                <w:sz w:val="24"/>
                <w:lang w:val="en-US" w:eastAsia="zh-CN"/>
              </w:rPr>
              <w:t>(必填）</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61EE2CC0">
            <w:pPr>
              <w:spacing w:line="360" w:lineRule="auto"/>
              <w:jc w:val="center"/>
              <w:rPr>
                <w:rFonts w:hint="eastAsia" w:ascii="仿宋" w:hAnsi="仿宋" w:eastAsia="仿宋" w:cs="仿宋"/>
                <w:color w:val="auto"/>
                <w:sz w:val="32"/>
                <w:szCs w:val="32"/>
                <w:lang w:val="en-US" w:eastAsia="zh-CN"/>
              </w:rPr>
            </w:pPr>
          </w:p>
        </w:tc>
      </w:tr>
      <w:tr w14:paraId="6419BA70">
        <w:tblPrEx>
          <w:tblCellMar>
            <w:top w:w="15" w:type="dxa"/>
            <w:left w:w="15" w:type="dxa"/>
            <w:bottom w:w="15" w:type="dxa"/>
            <w:right w:w="15" w:type="dxa"/>
          </w:tblCellMar>
        </w:tblPrEx>
        <w:trPr>
          <w:trHeight w:val="1061"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20F78D53">
            <w:pPr>
              <w:spacing w:line="360" w:lineRule="auto"/>
              <w:jc w:val="center"/>
              <w:rPr>
                <w:rFonts w:hint="eastAsia" w:ascii="仿宋" w:hAnsi="仿宋" w:eastAsia="仿宋" w:cs="仿宋"/>
                <w:color w:val="auto"/>
                <w:sz w:val="24"/>
              </w:rPr>
            </w:pPr>
            <w:r>
              <w:rPr>
                <w:rFonts w:hint="eastAsia" w:ascii="仿宋" w:hAnsi="仿宋" w:eastAsia="仿宋" w:cs="仿宋"/>
                <w:color w:val="auto"/>
                <w:sz w:val="24"/>
                <w:lang w:val="en-US" w:eastAsia="zh-CN"/>
              </w:rPr>
              <w:t>获取</w:t>
            </w:r>
            <w:r>
              <w:rPr>
                <w:rFonts w:hint="eastAsia" w:ascii="仿宋" w:hAnsi="仿宋" w:eastAsia="仿宋" w:cs="仿宋"/>
                <w:color w:val="auto"/>
                <w:sz w:val="24"/>
              </w:rPr>
              <w:t>文件时间</w:t>
            </w:r>
            <w:r>
              <w:rPr>
                <w:rFonts w:hint="eastAsia" w:ascii="仿宋" w:hAnsi="仿宋" w:eastAsia="仿宋" w:cs="仿宋"/>
                <w:color w:val="auto"/>
                <w:sz w:val="24"/>
                <w:lang w:val="en-US" w:eastAsia="zh-CN"/>
              </w:rPr>
              <w:t>(必填）</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0B6209C5">
            <w:pPr>
              <w:spacing w:line="360" w:lineRule="auto"/>
              <w:jc w:val="center"/>
              <w:rPr>
                <w:rFonts w:hint="eastAsia" w:ascii="仿宋" w:hAnsi="仿宋" w:eastAsia="仿宋" w:cs="仿宋"/>
                <w:color w:val="auto"/>
                <w:sz w:val="32"/>
                <w:szCs w:val="32"/>
                <w:lang w:val="en-US" w:eastAsia="zh-CN"/>
              </w:rPr>
            </w:pPr>
          </w:p>
        </w:tc>
      </w:tr>
      <w:tr w14:paraId="39B23604">
        <w:tblPrEx>
          <w:tblCellMar>
            <w:top w:w="15" w:type="dxa"/>
            <w:left w:w="15" w:type="dxa"/>
            <w:bottom w:w="15" w:type="dxa"/>
            <w:right w:w="15" w:type="dxa"/>
          </w:tblCellMar>
        </w:tblPrEx>
        <w:trPr>
          <w:trHeight w:val="1031"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66109FE4">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联系人</w:t>
            </w:r>
            <w:r>
              <w:rPr>
                <w:rFonts w:hint="eastAsia" w:ascii="仿宋" w:hAnsi="仿宋" w:eastAsia="仿宋" w:cs="仿宋"/>
                <w:color w:val="auto"/>
                <w:sz w:val="24"/>
                <w:lang w:val="en-US" w:eastAsia="zh-CN"/>
              </w:rPr>
              <w:t>(必填）</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49C36DE9">
            <w:pPr>
              <w:spacing w:line="360" w:lineRule="auto"/>
              <w:jc w:val="center"/>
              <w:rPr>
                <w:rFonts w:hint="eastAsia" w:ascii="仿宋" w:hAnsi="仿宋" w:eastAsia="仿宋" w:cs="仿宋"/>
                <w:color w:val="auto"/>
                <w:sz w:val="32"/>
                <w:szCs w:val="32"/>
                <w:lang w:eastAsia="zh-CN"/>
              </w:rPr>
            </w:pPr>
          </w:p>
        </w:tc>
      </w:tr>
      <w:tr w14:paraId="3CE8C6E8">
        <w:tblPrEx>
          <w:tblCellMar>
            <w:top w:w="15" w:type="dxa"/>
            <w:left w:w="15" w:type="dxa"/>
            <w:bottom w:w="15" w:type="dxa"/>
            <w:right w:w="15" w:type="dxa"/>
          </w:tblCellMar>
        </w:tblPrEx>
        <w:trPr>
          <w:trHeight w:val="1023"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3E004C78">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单位固定电话</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34BBBC77">
            <w:pPr>
              <w:spacing w:line="360" w:lineRule="auto"/>
              <w:jc w:val="center"/>
              <w:rPr>
                <w:rFonts w:hint="eastAsia" w:ascii="仿宋" w:hAnsi="仿宋" w:eastAsia="仿宋" w:cs="仿宋"/>
                <w:color w:val="auto"/>
                <w:sz w:val="32"/>
                <w:szCs w:val="32"/>
              </w:rPr>
            </w:pPr>
          </w:p>
        </w:tc>
      </w:tr>
      <w:tr w14:paraId="278EF2BC">
        <w:tblPrEx>
          <w:tblCellMar>
            <w:top w:w="15" w:type="dxa"/>
            <w:left w:w="15" w:type="dxa"/>
            <w:bottom w:w="15" w:type="dxa"/>
            <w:right w:w="15" w:type="dxa"/>
          </w:tblCellMar>
        </w:tblPrEx>
        <w:trPr>
          <w:trHeight w:val="1164"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440B461D">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经办人移动电话</w:t>
            </w:r>
          </w:p>
          <w:p w14:paraId="1C798258">
            <w:pPr>
              <w:spacing w:line="360" w:lineRule="auto"/>
              <w:jc w:val="center"/>
              <w:rPr>
                <w:rFonts w:hint="eastAsia" w:ascii="仿宋" w:hAnsi="仿宋" w:eastAsia="仿宋" w:cs="仿宋"/>
                <w:color w:val="auto"/>
                <w:sz w:val="24"/>
              </w:rPr>
            </w:pPr>
            <w:r>
              <w:rPr>
                <w:rFonts w:hint="eastAsia" w:ascii="仿宋" w:hAnsi="仿宋" w:eastAsia="仿宋" w:cs="仿宋"/>
                <w:color w:val="auto"/>
                <w:sz w:val="24"/>
                <w:lang w:val="en-US" w:eastAsia="zh-CN"/>
              </w:rPr>
              <w:t>(必填）</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1233F0E9">
            <w:pPr>
              <w:spacing w:line="360" w:lineRule="auto"/>
              <w:jc w:val="center"/>
              <w:rPr>
                <w:rFonts w:hint="eastAsia" w:ascii="仿宋" w:hAnsi="仿宋" w:eastAsia="仿宋" w:cs="仿宋"/>
                <w:color w:val="auto"/>
                <w:sz w:val="32"/>
                <w:szCs w:val="32"/>
              </w:rPr>
            </w:pPr>
          </w:p>
        </w:tc>
      </w:tr>
      <w:tr w14:paraId="0857D864">
        <w:tblPrEx>
          <w:tblCellMar>
            <w:top w:w="15" w:type="dxa"/>
            <w:left w:w="15" w:type="dxa"/>
            <w:bottom w:w="15" w:type="dxa"/>
            <w:right w:w="15" w:type="dxa"/>
          </w:tblCellMar>
        </w:tblPrEx>
        <w:trPr>
          <w:trHeight w:val="1012"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7E5F4EE7">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单位传真</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47651DB2">
            <w:pPr>
              <w:spacing w:line="360" w:lineRule="auto"/>
              <w:jc w:val="center"/>
              <w:rPr>
                <w:rFonts w:hint="eastAsia" w:ascii="仿宋" w:hAnsi="仿宋" w:eastAsia="仿宋" w:cs="仿宋"/>
                <w:color w:val="auto"/>
                <w:sz w:val="32"/>
                <w:szCs w:val="32"/>
              </w:rPr>
            </w:pPr>
          </w:p>
        </w:tc>
      </w:tr>
      <w:tr w14:paraId="773F5645">
        <w:tblPrEx>
          <w:tblCellMar>
            <w:top w:w="15" w:type="dxa"/>
            <w:left w:w="15" w:type="dxa"/>
            <w:bottom w:w="15" w:type="dxa"/>
            <w:right w:w="15" w:type="dxa"/>
          </w:tblCellMar>
        </w:tblPrEx>
        <w:trPr>
          <w:trHeight w:val="1051"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59DAFD78">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电子邮箱</w:t>
            </w:r>
            <w:r>
              <w:rPr>
                <w:rFonts w:hint="eastAsia" w:ascii="仿宋" w:hAnsi="仿宋" w:eastAsia="仿宋" w:cs="仿宋"/>
                <w:color w:val="auto"/>
                <w:sz w:val="24"/>
                <w:lang w:val="en-US" w:eastAsia="zh-CN"/>
              </w:rPr>
              <w:t>(必填）</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5AEFEC47">
            <w:pPr>
              <w:spacing w:line="360" w:lineRule="auto"/>
              <w:jc w:val="center"/>
              <w:rPr>
                <w:rFonts w:hint="eastAsia" w:ascii="仿宋" w:hAnsi="仿宋" w:eastAsia="仿宋" w:cs="仿宋"/>
                <w:color w:val="auto"/>
                <w:sz w:val="32"/>
                <w:szCs w:val="32"/>
              </w:rPr>
            </w:pPr>
          </w:p>
        </w:tc>
      </w:tr>
      <w:tr w14:paraId="0C822C10">
        <w:tblPrEx>
          <w:tblCellMar>
            <w:top w:w="15" w:type="dxa"/>
            <w:left w:w="15" w:type="dxa"/>
            <w:bottom w:w="15" w:type="dxa"/>
            <w:right w:w="15" w:type="dxa"/>
          </w:tblCellMar>
        </w:tblPrEx>
        <w:trPr>
          <w:trHeight w:val="1007" w:hRule="atLeast"/>
        </w:trPr>
        <w:tc>
          <w:tcPr>
            <w:tcW w:w="2388" w:type="dxa"/>
            <w:tcBorders>
              <w:top w:val="single" w:color="000000" w:sz="4" w:space="0"/>
              <w:left w:val="single" w:color="000000" w:sz="4" w:space="0"/>
              <w:bottom w:val="single" w:color="000000" w:sz="4" w:space="0"/>
              <w:right w:val="single" w:color="000000" w:sz="4" w:space="0"/>
            </w:tcBorders>
            <w:noWrap w:val="0"/>
            <w:vAlign w:val="center"/>
          </w:tcPr>
          <w:p w14:paraId="535B3785">
            <w:pPr>
              <w:spacing w:line="360" w:lineRule="auto"/>
              <w:jc w:val="center"/>
              <w:rPr>
                <w:rFonts w:hint="eastAsia" w:ascii="仿宋" w:hAnsi="仿宋" w:eastAsia="仿宋" w:cs="仿宋"/>
                <w:color w:val="auto"/>
                <w:sz w:val="24"/>
              </w:rPr>
            </w:pPr>
            <w:r>
              <w:rPr>
                <w:rFonts w:hint="eastAsia" w:ascii="仿宋" w:hAnsi="仿宋" w:eastAsia="仿宋" w:cs="仿宋"/>
                <w:color w:val="auto"/>
                <w:sz w:val="24"/>
              </w:rPr>
              <w:t>备    注</w:t>
            </w:r>
          </w:p>
        </w:tc>
        <w:tc>
          <w:tcPr>
            <w:tcW w:w="6315" w:type="dxa"/>
            <w:tcBorders>
              <w:top w:val="single" w:color="000000" w:sz="4" w:space="0"/>
              <w:left w:val="single" w:color="000000" w:sz="4" w:space="0"/>
              <w:bottom w:val="single" w:color="000000" w:sz="4" w:space="0"/>
              <w:right w:val="single" w:color="000000" w:sz="4" w:space="0"/>
            </w:tcBorders>
            <w:noWrap w:val="0"/>
            <w:vAlign w:val="center"/>
          </w:tcPr>
          <w:p w14:paraId="5320941F">
            <w:pPr>
              <w:spacing w:line="360" w:lineRule="auto"/>
              <w:jc w:val="center"/>
              <w:rPr>
                <w:rFonts w:hint="eastAsia" w:ascii="仿宋" w:hAnsi="仿宋" w:eastAsia="仿宋" w:cs="仿宋"/>
                <w:color w:val="auto"/>
                <w:sz w:val="32"/>
                <w:szCs w:val="32"/>
              </w:rPr>
            </w:pPr>
          </w:p>
        </w:tc>
      </w:tr>
    </w:tbl>
    <w:p w14:paraId="4BC091A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pPr>
      <w:r>
        <w:rPr>
          <w:rFonts w:hint="eastAsia" w:ascii="宋体" w:hAnsi="宋体" w:eastAsia="宋体" w:cs="宋体"/>
          <w:b w:val="0"/>
          <w:bCs/>
          <w:color w:val="auto"/>
          <w:sz w:val="24"/>
          <w:szCs w:val="24"/>
          <w:lang w:eastAsia="zh-CN"/>
        </w:rPr>
        <w:t>注</w:t>
      </w:r>
      <w:r>
        <w:rPr>
          <w:rFonts w:hint="eastAsia" w:ascii="宋体" w:hAnsi="宋体" w:eastAsia="宋体" w:cs="宋体"/>
          <w:b/>
          <w:bCs w:val="0"/>
          <w:color w:val="auto"/>
          <w:sz w:val="24"/>
          <w:szCs w:val="24"/>
          <w:lang w:eastAsia="zh-CN"/>
        </w:rPr>
        <w:t>：</w:t>
      </w:r>
      <w:r>
        <w:rPr>
          <w:rFonts w:hint="eastAsia" w:ascii="仿宋" w:hAnsi="仿宋" w:eastAsia="仿宋" w:cs="仿宋"/>
          <w:color w:val="auto"/>
          <w:kern w:val="2"/>
          <w:sz w:val="24"/>
          <w:szCs w:val="24"/>
          <w:lang w:val="en-US" w:eastAsia="zh-CN" w:bidi="ar-SA"/>
        </w:rPr>
        <w:t>XXXX</w:t>
      </w:r>
      <w:r>
        <w:rPr>
          <w:rFonts w:hint="eastAsia" w:ascii="宋体" w:hAnsi="宋体" w:eastAsia="宋体" w:cs="宋体"/>
          <w:b w:val="0"/>
          <w:bCs w:val="0"/>
          <w:color w:val="auto"/>
          <w:kern w:val="0"/>
          <w:sz w:val="24"/>
          <w:szCs w:val="24"/>
          <w:lang w:val="en-US" w:eastAsia="zh-CN"/>
        </w:rPr>
        <w:t>。</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BF87F">
    <w:pPr>
      <w:pStyle w:val="8"/>
      <w:jc w:val="center"/>
    </w:pPr>
  </w:p>
  <w:p w14:paraId="0E53055B">
    <w:pPr>
      <w:pStyle w:val="8"/>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2E658">
    <w:pPr>
      <w:pStyle w:val="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65EF49">
                          <w:pPr>
                            <w:pStyle w:val="8"/>
                          </w:pPr>
                        </w:p>
                        <w:p w14:paraId="5A7E8D27">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65EF49">
                    <w:pPr>
                      <w:pStyle w:val="8"/>
                    </w:pPr>
                  </w:p>
                  <w:p w14:paraId="5A7E8D27">
                    <w:pPr>
                      <w:pStyle w:val="8"/>
                    </w:pPr>
                    <w:r>
                      <w:fldChar w:fldCharType="begin"/>
                    </w:r>
                    <w:r>
                      <w:instrText xml:space="preserve"> PAGE  \* MERGEFORMAT </w:instrText>
                    </w:r>
                    <w:r>
                      <w:fldChar w:fldCharType="separate"/>
                    </w:r>
                    <w:r>
                      <w:t>3</w:t>
                    </w:r>
                    <w:r>
                      <w:fldChar w:fldCharType="end"/>
                    </w:r>
                  </w:p>
                </w:txbxContent>
              </v:textbox>
            </v:shape>
          </w:pict>
        </mc:Fallback>
      </mc:AlternateContent>
    </w:r>
  </w:p>
  <w:p w14:paraId="5C421BB6">
    <w:pPr>
      <w:pStyle w:val="8"/>
      <w:tabs>
        <w:tab w:val="clear" w:pos="4153"/>
        <w:tab w:val="clear" w:pos="8306"/>
      </w:tabs>
    </w:pPr>
  </w:p>
  <w:p w14:paraId="6EC4AC1C">
    <w:pPr>
      <w:pStyle w:val="8"/>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E3FC6">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A75D27E"/>
    <w:multiLevelType w:val="singleLevel"/>
    <w:tmpl w:val="5A75D27E"/>
    <w:lvl w:ilvl="0" w:tentative="0">
      <w:start w:val="1"/>
      <w:numFmt w:val="chineseCounting"/>
      <w:suff w:val="nothing"/>
      <w:lvlText w:val="%1、"/>
      <w:lvlJc w:val="left"/>
      <w:rPr>
        <w:rFonts w:hint="eastAsia"/>
      </w:rPr>
    </w:lvl>
  </w:abstractNum>
  <w:abstractNum w:abstractNumId="2">
    <w:nsid w:val="7AB306A1"/>
    <w:multiLevelType w:val="singleLevel"/>
    <w:tmpl w:val="7AB306A1"/>
    <w:lvl w:ilvl="0" w:tentative="0">
      <w:start w:val="7"/>
      <w:numFmt w:val="chineseCounting"/>
      <w:suff w:val="space"/>
      <w:lvlText w:val="第%1章"/>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OGQyMjNmM2RjMjJmZTFiNDJmNzJlMDgzZWE2ZjcifQ=="/>
  </w:docVars>
  <w:rsids>
    <w:rsidRoot w:val="145622F3"/>
    <w:rsid w:val="0010296B"/>
    <w:rsid w:val="02AB08EA"/>
    <w:rsid w:val="03731BF7"/>
    <w:rsid w:val="0412293E"/>
    <w:rsid w:val="04C5093F"/>
    <w:rsid w:val="05271331"/>
    <w:rsid w:val="05721E18"/>
    <w:rsid w:val="09911BDD"/>
    <w:rsid w:val="09B259BF"/>
    <w:rsid w:val="0A1C5118"/>
    <w:rsid w:val="0A5C3510"/>
    <w:rsid w:val="0A7E012D"/>
    <w:rsid w:val="0AE40D77"/>
    <w:rsid w:val="0B732D41"/>
    <w:rsid w:val="0B787FAB"/>
    <w:rsid w:val="0BC25304"/>
    <w:rsid w:val="0C407092"/>
    <w:rsid w:val="0CAB0E95"/>
    <w:rsid w:val="0D212CB9"/>
    <w:rsid w:val="0D400524"/>
    <w:rsid w:val="0D825309"/>
    <w:rsid w:val="0E5D34A2"/>
    <w:rsid w:val="0EEF7C6C"/>
    <w:rsid w:val="10550B3E"/>
    <w:rsid w:val="106A2478"/>
    <w:rsid w:val="1112301F"/>
    <w:rsid w:val="1247649C"/>
    <w:rsid w:val="125F59B2"/>
    <w:rsid w:val="12E12E71"/>
    <w:rsid w:val="13806F76"/>
    <w:rsid w:val="1424753C"/>
    <w:rsid w:val="144E531B"/>
    <w:rsid w:val="145622F3"/>
    <w:rsid w:val="14827B40"/>
    <w:rsid w:val="154D5F17"/>
    <w:rsid w:val="16244772"/>
    <w:rsid w:val="170E3867"/>
    <w:rsid w:val="172A7145"/>
    <w:rsid w:val="17A42959"/>
    <w:rsid w:val="181D6F37"/>
    <w:rsid w:val="18A04A6D"/>
    <w:rsid w:val="19551B14"/>
    <w:rsid w:val="1A247402"/>
    <w:rsid w:val="1AFD6C05"/>
    <w:rsid w:val="1B9A1C67"/>
    <w:rsid w:val="1C8C20E1"/>
    <w:rsid w:val="1CA34536"/>
    <w:rsid w:val="1DA430D2"/>
    <w:rsid w:val="1DC43FD8"/>
    <w:rsid w:val="1DE57CB9"/>
    <w:rsid w:val="1E835E15"/>
    <w:rsid w:val="1F0423D3"/>
    <w:rsid w:val="1F766FC4"/>
    <w:rsid w:val="21640F33"/>
    <w:rsid w:val="21E964E5"/>
    <w:rsid w:val="234E218C"/>
    <w:rsid w:val="23D92357"/>
    <w:rsid w:val="24493C48"/>
    <w:rsid w:val="29560A3F"/>
    <w:rsid w:val="2A9E191C"/>
    <w:rsid w:val="2B2B6E03"/>
    <w:rsid w:val="2B3B3064"/>
    <w:rsid w:val="2B450DA6"/>
    <w:rsid w:val="2B52363D"/>
    <w:rsid w:val="2C1005F7"/>
    <w:rsid w:val="2C4123A6"/>
    <w:rsid w:val="2C6E7119"/>
    <w:rsid w:val="2CA01D5F"/>
    <w:rsid w:val="2D145B1E"/>
    <w:rsid w:val="2E782671"/>
    <w:rsid w:val="2F2F1092"/>
    <w:rsid w:val="30BA397F"/>
    <w:rsid w:val="316F6410"/>
    <w:rsid w:val="32C52B20"/>
    <w:rsid w:val="32FB2828"/>
    <w:rsid w:val="33AF4B9A"/>
    <w:rsid w:val="340547BA"/>
    <w:rsid w:val="35A87AF3"/>
    <w:rsid w:val="35B519CF"/>
    <w:rsid w:val="36F813BD"/>
    <w:rsid w:val="373B17FC"/>
    <w:rsid w:val="3869478D"/>
    <w:rsid w:val="39D85DF6"/>
    <w:rsid w:val="3ADD3550"/>
    <w:rsid w:val="3BFD72D7"/>
    <w:rsid w:val="3CC21C5C"/>
    <w:rsid w:val="3CDE2F8F"/>
    <w:rsid w:val="3DDD32BA"/>
    <w:rsid w:val="3E02162D"/>
    <w:rsid w:val="3E66054B"/>
    <w:rsid w:val="3E890468"/>
    <w:rsid w:val="3F1E4491"/>
    <w:rsid w:val="3FC01EDD"/>
    <w:rsid w:val="405C41EF"/>
    <w:rsid w:val="42550486"/>
    <w:rsid w:val="426D202F"/>
    <w:rsid w:val="4328392B"/>
    <w:rsid w:val="436A4639"/>
    <w:rsid w:val="453E5D1C"/>
    <w:rsid w:val="46B35A1E"/>
    <w:rsid w:val="49D23F5F"/>
    <w:rsid w:val="4A214B07"/>
    <w:rsid w:val="4AFA1C4C"/>
    <w:rsid w:val="4B8F4220"/>
    <w:rsid w:val="4D0F3FC2"/>
    <w:rsid w:val="4D7C6DAC"/>
    <w:rsid w:val="4EC5173C"/>
    <w:rsid w:val="4F8F714F"/>
    <w:rsid w:val="506C41DF"/>
    <w:rsid w:val="50ED2660"/>
    <w:rsid w:val="5182395A"/>
    <w:rsid w:val="52132C7F"/>
    <w:rsid w:val="52483D98"/>
    <w:rsid w:val="52C340A4"/>
    <w:rsid w:val="53DF5896"/>
    <w:rsid w:val="53E32E80"/>
    <w:rsid w:val="54CB4A2F"/>
    <w:rsid w:val="566C623A"/>
    <w:rsid w:val="57902C9B"/>
    <w:rsid w:val="57CA6432"/>
    <w:rsid w:val="589E6E07"/>
    <w:rsid w:val="5A1F344C"/>
    <w:rsid w:val="5AE72A0F"/>
    <w:rsid w:val="5B021A00"/>
    <w:rsid w:val="5D7A2049"/>
    <w:rsid w:val="5EDB3AA6"/>
    <w:rsid w:val="5EF326B9"/>
    <w:rsid w:val="5F27171F"/>
    <w:rsid w:val="5F4C6B0D"/>
    <w:rsid w:val="60E16560"/>
    <w:rsid w:val="611A51C0"/>
    <w:rsid w:val="624C2970"/>
    <w:rsid w:val="630C4611"/>
    <w:rsid w:val="63191395"/>
    <w:rsid w:val="658E3D60"/>
    <w:rsid w:val="65D50681"/>
    <w:rsid w:val="68E04C90"/>
    <w:rsid w:val="697B405E"/>
    <w:rsid w:val="6A732A2A"/>
    <w:rsid w:val="6AAC6D29"/>
    <w:rsid w:val="6B316CCC"/>
    <w:rsid w:val="6C0A33D0"/>
    <w:rsid w:val="6C44381E"/>
    <w:rsid w:val="6E9B4223"/>
    <w:rsid w:val="6FCA71E0"/>
    <w:rsid w:val="71922262"/>
    <w:rsid w:val="724273B8"/>
    <w:rsid w:val="72C05817"/>
    <w:rsid w:val="731B6879"/>
    <w:rsid w:val="73364A75"/>
    <w:rsid w:val="73836A1F"/>
    <w:rsid w:val="741E0DB0"/>
    <w:rsid w:val="746D2D21"/>
    <w:rsid w:val="74E25546"/>
    <w:rsid w:val="75A027DF"/>
    <w:rsid w:val="7658535B"/>
    <w:rsid w:val="76A02E35"/>
    <w:rsid w:val="77960745"/>
    <w:rsid w:val="79D0146B"/>
    <w:rsid w:val="79E10CAD"/>
    <w:rsid w:val="7BD320EA"/>
    <w:rsid w:val="7DB83C18"/>
    <w:rsid w:val="7F660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qFormat/>
    <w:uiPriority w:val="99"/>
    <w:pPr>
      <w:keepNext/>
      <w:keepLines/>
      <w:spacing w:before="340" w:after="330" w:line="700" w:lineRule="exact"/>
      <w:jc w:val="center"/>
      <w:outlineLvl w:val="0"/>
    </w:pPr>
    <w:rPr>
      <w:rFonts w:ascii="Times New Roman"/>
      <w:b/>
      <w:bCs/>
      <w:kern w:val="44"/>
      <w:sz w:val="36"/>
      <w:szCs w:val="44"/>
    </w:rPr>
  </w:style>
  <w:style w:type="paragraph" w:styleId="4">
    <w:name w:val="heading 2"/>
    <w:basedOn w:val="1"/>
    <w:next w:val="1"/>
    <w:qFormat/>
    <w:uiPriority w:val="99"/>
    <w:pPr>
      <w:keepNext/>
      <w:keepLines/>
      <w:widowControl w:val="0"/>
      <w:spacing w:before="260" w:after="260" w:line="416" w:lineRule="auto"/>
      <w:jc w:val="both"/>
      <w:outlineLvl w:val="1"/>
    </w:pPr>
    <w:rPr>
      <w:rFonts w:ascii="Arial" w:hAnsi="Arial" w:eastAsia="黑体" w:cs="Arial"/>
      <w:b/>
      <w:bCs/>
      <w:kern w:val="2"/>
      <w:sz w:val="32"/>
      <w:szCs w:val="32"/>
    </w:rPr>
  </w:style>
  <w:style w:type="paragraph" w:styleId="5">
    <w:name w:val="heading 3"/>
    <w:basedOn w:val="1"/>
    <w:next w:val="1"/>
    <w:qFormat/>
    <w:uiPriority w:val="99"/>
    <w:pPr>
      <w:keepNext/>
      <w:keepLines/>
      <w:widowControl w:val="0"/>
      <w:spacing w:before="260" w:after="260" w:line="416" w:lineRule="auto"/>
      <w:jc w:val="both"/>
      <w:outlineLvl w:val="2"/>
    </w:pPr>
    <w:rPr>
      <w:rFonts w:ascii="Times New Roman" w:hAnsi="Times New Roman" w:cs="Times New Roman"/>
      <w:b/>
      <w:bCs/>
      <w:kern w:val="2"/>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6">
    <w:name w:val="Normal Indent"/>
    <w:basedOn w:val="1"/>
    <w:qFormat/>
    <w:uiPriority w:val="99"/>
    <w:pPr>
      <w:widowControl w:val="0"/>
      <w:ind w:firstLine="420" w:firstLineChars="200"/>
      <w:jc w:val="both"/>
    </w:pPr>
    <w:rPr>
      <w:rFonts w:ascii="Times New Roman" w:hAnsi="Times New Roman" w:cs="Times New Roman"/>
    </w:rPr>
  </w:style>
  <w:style w:type="paragraph" w:styleId="7">
    <w:name w:val="Plain Text"/>
    <w:basedOn w:val="1"/>
    <w:qFormat/>
    <w:uiPriority w:val="99"/>
    <w:pPr>
      <w:widowControl w:val="0"/>
      <w:autoSpaceDE w:val="0"/>
      <w:autoSpaceDN w:val="0"/>
      <w:adjustRightInd w:val="0"/>
      <w:jc w:val="both"/>
    </w:pPr>
    <w:rPr>
      <w:rFonts w:hAnsi="Tms Rmn"/>
      <w:kern w:val="2"/>
      <w:sz w:val="21"/>
      <w:szCs w:val="21"/>
    </w:rPr>
  </w:style>
  <w:style w:type="paragraph" w:styleId="8">
    <w:name w:val="footer"/>
    <w:basedOn w:val="1"/>
    <w:qFormat/>
    <w:uiPriority w:val="99"/>
    <w:pPr>
      <w:widowControl w:val="0"/>
      <w:tabs>
        <w:tab w:val="center" w:pos="4153"/>
        <w:tab w:val="right" w:pos="8306"/>
      </w:tabs>
      <w:snapToGrid w:val="0"/>
    </w:pPr>
    <w:rPr>
      <w:rFonts w:ascii="Times New Roman" w:hAnsi="Times New Roman" w:cs="Times New Roman"/>
      <w:kern w:val="2"/>
      <w:sz w:val="18"/>
      <w:szCs w:val="18"/>
    </w:rPr>
  </w:style>
  <w:style w:type="paragraph" w:styleId="9">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cs="Times New Roman"/>
      <w:kern w:val="2"/>
      <w:sz w:val="18"/>
      <w:szCs w:val="18"/>
    </w:rPr>
  </w:style>
  <w:style w:type="paragraph" w:styleId="10">
    <w:name w:val="toc 1"/>
    <w:basedOn w:val="1"/>
    <w:next w:val="1"/>
    <w:qFormat/>
    <w:uiPriority w:val="39"/>
    <w:pPr>
      <w:widowControl w:val="0"/>
      <w:spacing w:line="480" w:lineRule="auto"/>
      <w:jc w:val="both"/>
    </w:pPr>
    <w:rPr>
      <w:rFonts w:ascii="Times New Roman" w:hAnsi="Times New Roman" w:cs="Times New Roman"/>
      <w:kern w:val="2"/>
    </w:rPr>
  </w:style>
  <w:style w:type="paragraph" w:styleId="11">
    <w:name w:val="Title"/>
    <w:basedOn w:val="1"/>
    <w:next w:val="1"/>
    <w:qFormat/>
    <w:uiPriority w:val="99"/>
    <w:pPr>
      <w:widowControl w:val="0"/>
      <w:spacing w:before="240" w:after="60"/>
      <w:jc w:val="center"/>
      <w:outlineLvl w:val="0"/>
    </w:pPr>
    <w:rPr>
      <w:rFonts w:ascii="Cambria" w:hAnsi="Cambria" w:cs="Cambria"/>
      <w:b/>
      <w:bCs/>
      <w:kern w:val="2"/>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99"/>
  </w:style>
  <w:style w:type="character" w:styleId="16">
    <w:name w:val="Hyperlink"/>
    <w:basedOn w:val="14"/>
    <w:qFormat/>
    <w:uiPriority w:val="99"/>
    <w:rPr>
      <w:color w:val="0000FF"/>
      <w:u w:val="single"/>
    </w:rPr>
  </w:style>
  <w:style w:type="character" w:styleId="17">
    <w:name w:val="annotation reference"/>
    <w:basedOn w:val="14"/>
    <w:qFormat/>
    <w:uiPriority w:val="99"/>
    <w:rPr>
      <w:sz w:val="21"/>
      <w:szCs w:val="21"/>
    </w:rPr>
  </w:style>
  <w:style w:type="paragraph" w:customStyle="1" w:styleId="18">
    <w:name w:val="Default"/>
    <w:qFormat/>
    <w:uiPriority w:val="0"/>
    <w:pPr>
      <w:widowControl w:val="0"/>
      <w:autoSpaceDE w:val="0"/>
      <w:autoSpaceDN w:val="0"/>
      <w:adjustRightInd w:val="0"/>
    </w:pPr>
    <w:rPr>
      <w:rFonts w:hint="eastAsia" w:ascii="宋体" w:hAnsi="Times New Roman" w:eastAsia="宋体" w:cs="Times New Roman"/>
      <w:color w:val="000000"/>
      <w:sz w:val="24"/>
      <w:szCs w:val="22"/>
      <w:lang w:val="en-US" w:eastAsia="zh-CN" w:bidi="ar-SA"/>
    </w:rPr>
  </w:style>
  <w:style w:type="paragraph" w:customStyle="1" w:styleId="19">
    <w:name w:val="正文首行缩进两字符"/>
    <w:basedOn w:val="1"/>
    <w:qFormat/>
    <w:uiPriority w:val="99"/>
    <w:pPr>
      <w:widowControl w:val="0"/>
      <w:spacing w:line="360" w:lineRule="auto"/>
      <w:ind w:firstLine="200" w:firstLineChars="200"/>
      <w:jc w:val="both"/>
    </w:pPr>
    <w:rPr>
      <w:rFonts w:ascii="Times New Roman" w:hAnsi="Times New Roman" w:cs="Times New Roman"/>
      <w:kern w:val="2"/>
      <w:sz w:val="21"/>
      <w:szCs w:val="21"/>
    </w:rPr>
  </w:style>
  <w:style w:type="paragraph" w:customStyle="1" w:styleId="20">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1">
    <w:name w:val="列出段落1"/>
    <w:basedOn w:val="1"/>
    <w:qFormat/>
    <w:uiPriority w:val="99"/>
    <w:pPr>
      <w:widowControl w:val="0"/>
      <w:ind w:firstLine="420" w:firstLineChars="200"/>
      <w:jc w:val="both"/>
    </w:pPr>
    <w:rPr>
      <w:rFonts w:ascii="Times New Roman" w:hAnsi="Times New Roman" w:cs="Times New Roman"/>
    </w:rPr>
  </w:style>
  <w:style w:type="paragraph" w:customStyle="1" w:styleId="22">
    <w:name w:val="CD正文"/>
    <w:basedOn w:val="1"/>
    <w:qFormat/>
    <w:uiPriority w:val="99"/>
    <w:pPr>
      <w:widowControl w:val="0"/>
      <w:spacing w:line="360" w:lineRule="auto"/>
      <w:ind w:firstLine="493"/>
      <w:jc w:val="both"/>
    </w:pPr>
    <w:rPr>
      <w:rFonts w:ascii="Times New Roman" w:hAnsi="Times New Roman" w:cs="Times New Roman"/>
      <w:kern w:val="2"/>
      <w:sz w:val="30"/>
      <w:szCs w:val="30"/>
    </w:rPr>
  </w:style>
  <w:style w:type="paragraph" w:customStyle="1" w:styleId="23">
    <w:name w:val="样式 首行缩进:  2 字符"/>
    <w:basedOn w:val="1"/>
    <w:qFormat/>
    <w:uiPriority w:val="99"/>
    <w:pPr>
      <w:widowControl w:val="0"/>
      <w:spacing w:line="400" w:lineRule="exact"/>
      <w:ind w:firstLine="200" w:firstLineChars="200"/>
      <w:jc w:val="both"/>
    </w:pPr>
    <w:rPr>
      <w:rFonts w:ascii="Times New Roman" w:hAnsi="Times New Roman" w:cs="Times New Roman"/>
      <w:kern w:val="2"/>
    </w:rPr>
  </w:style>
  <w:style w:type="paragraph" w:customStyle="1" w:styleId="24">
    <w:name w:val="Body text|1"/>
    <w:basedOn w:val="1"/>
    <w:qFormat/>
    <w:uiPriority w:val="0"/>
    <w:pPr>
      <w:widowControl w:val="0"/>
      <w:spacing w:line="406" w:lineRule="auto"/>
      <w:ind w:firstLine="240"/>
      <w:jc w:val="both"/>
    </w:pPr>
    <w:rPr>
      <w:kern w:val="2"/>
      <w:sz w:val="10"/>
      <w:szCs w:val="10"/>
      <w:lang w:val="zh-TW" w:eastAsia="zh-TW" w:bidi="zh-TW"/>
    </w:rPr>
  </w:style>
  <w:style w:type="paragraph" w:customStyle="1" w:styleId="25">
    <w:name w:val="Table Text"/>
    <w:basedOn w:val="1"/>
    <w:semiHidden/>
    <w:qFormat/>
    <w:uiPriority w:val="0"/>
    <w:rPr>
      <w:rFonts w:ascii="宋体" w:hAnsi="宋体" w:eastAsia="宋体" w:cs="宋体"/>
      <w:sz w:val="28"/>
      <w:szCs w:val="28"/>
      <w:lang w:val="en-US" w:eastAsia="en-US" w:bidi="ar-SA"/>
    </w:rPr>
  </w:style>
  <w:style w:type="table" w:customStyle="1" w:styleId="2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4087</Words>
  <Characters>4304</Characters>
  <Lines>0</Lines>
  <Paragraphs>0</Paragraphs>
  <TotalTime>1</TotalTime>
  <ScaleCrop>false</ScaleCrop>
  <LinksUpToDate>false</LinksUpToDate>
  <CharactersWithSpaces>4336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2022-03-24T06:06:00Z</dcterms:created>
  <dc:creator>FlAm!nGoBaby</dc:creator>
  <cp:lastModifiedBy>Administrator</cp:lastModifiedBy>
  <cp:lastPrinted>2024-01-09T02:06:00Z</cp:lastPrinted>
  <dcterms:modified xsi:type="dcterms:W3CDTF">2024-12-17T01:05:52Z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B0609CD7632146FD9CA52AF10B0B46E4</vt:lpwstr>
  </property>
  <property fmtid="{D5CDD505-2E9C-101B-9397-08002B2CF9AE}" pid="4" name="commondata">
    <vt:lpwstr>eyJoZGlkIjoiZmMwOGQyMjNmM2RjMjJmZTFiNDJmNzJlMDgzZWE2ZjcifQ==</vt:lpwstr>
  </property>
</Properties>
</file>