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CEE8D1"/>
  <w:body>
    <w:p>
      <w:pPr>
        <w:spacing w:line="1200" w:lineRule="auto"/>
        <w:jc w:val="center"/>
        <w:rPr>
          <w:rFonts w:hint="eastAsia" w:ascii="宋体" w:hAnsi="宋体" w:eastAsia="宋体" w:cs="宋体"/>
          <w:b/>
          <w:color w:val="auto"/>
          <w:sz w:val="52"/>
          <w:szCs w:val="52"/>
          <w:highlight w:val="none"/>
          <w:lang w:eastAsia="zh-CN"/>
        </w:rPr>
      </w:pPr>
    </w:p>
    <w:p>
      <w:pPr>
        <w:spacing w:line="1200" w:lineRule="auto"/>
        <w:jc w:val="center"/>
        <w:rPr>
          <w:rFonts w:hint="eastAsia" w:ascii="宋体" w:hAnsi="宋体" w:eastAsia="宋体" w:cs="宋体"/>
          <w:b/>
          <w:color w:val="auto"/>
          <w:sz w:val="52"/>
          <w:szCs w:val="52"/>
          <w:highlight w:val="none"/>
          <w:lang w:eastAsia="zh-CN"/>
        </w:rPr>
      </w:pPr>
      <w:r>
        <w:rPr>
          <w:rFonts w:hint="eastAsia" w:ascii="宋体" w:hAnsi="宋体" w:eastAsia="宋体" w:cs="宋体"/>
          <w:b/>
          <w:color w:val="auto"/>
          <w:sz w:val="52"/>
          <w:szCs w:val="52"/>
          <w:highlight w:val="none"/>
          <w:lang w:eastAsia="zh-CN"/>
        </w:rPr>
        <w:t>巴州区鼎山镇首市村巴山肉牛标准化育肥场</w:t>
      </w:r>
    </w:p>
    <w:p>
      <w:pPr>
        <w:spacing w:line="360" w:lineRule="auto"/>
        <w:jc w:val="both"/>
        <w:rPr>
          <w:rFonts w:hint="eastAsia" w:ascii="宋体" w:hAnsi="宋体" w:eastAsia="宋体" w:cs="宋体"/>
          <w:b/>
          <w:bCs/>
          <w:color w:val="auto"/>
          <w:sz w:val="72"/>
          <w:szCs w:val="72"/>
          <w:highlight w:val="none"/>
        </w:rPr>
      </w:pPr>
      <w:bookmarkStart w:id="0" w:name="_Toc13840046"/>
      <w:bookmarkStart w:id="1" w:name="_Toc14487"/>
    </w:p>
    <w:p>
      <w:pPr>
        <w:spacing w:line="360" w:lineRule="auto"/>
        <w:jc w:val="center"/>
        <w:rPr>
          <w:rFonts w:hint="eastAsia" w:ascii="宋体" w:hAnsi="宋体" w:eastAsia="宋体" w:cs="宋体"/>
          <w:b/>
          <w:bCs/>
          <w:color w:val="auto"/>
          <w:sz w:val="72"/>
          <w:szCs w:val="72"/>
          <w:highlight w:val="none"/>
        </w:rPr>
      </w:pPr>
      <w:r>
        <w:rPr>
          <w:rFonts w:hint="eastAsia" w:ascii="宋体" w:hAnsi="宋体" w:eastAsia="宋体" w:cs="宋体"/>
          <w:b/>
          <w:bCs/>
          <w:color w:val="auto"/>
          <w:sz w:val="72"/>
          <w:szCs w:val="72"/>
          <w:highlight w:val="none"/>
        </w:rPr>
        <w:t>环境影响报告书</w:t>
      </w:r>
      <w:bookmarkEnd w:id="0"/>
      <w:bookmarkEnd w:id="1"/>
    </w:p>
    <w:p>
      <w:pPr>
        <w:jc w:val="center"/>
        <w:rPr>
          <w:rFonts w:hint="eastAsia" w:ascii="宋体" w:hAnsi="宋体" w:eastAsia="宋体" w:cs="宋体"/>
          <w:b/>
          <w:bCs/>
          <w:color w:val="auto"/>
          <w:sz w:val="28"/>
          <w:szCs w:val="28"/>
          <w:highlight w:val="none"/>
        </w:rPr>
      </w:pPr>
      <w:bookmarkStart w:id="2" w:name="_Toc22926"/>
      <w:bookmarkStart w:id="3" w:name="_Toc13840047"/>
      <w:r>
        <w:rPr>
          <w:rFonts w:hint="eastAsia" w:ascii="宋体" w:hAnsi="宋体" w:eastAsia="宋体" w:cs="宋体"/>
          <w:b/>
          <w:bCs/>
          <w:color w:val="auto"/>
          <w:sz w:val="28"/>
          <w:szCs w:val="28"/>
          <w:highlight w:val="none"/>
        </w:rPr>
        <w:t>（</w:t>
      </w:r>
      <w:r>
        <w:rPr>
          <w:rFonts w:hint="eastAsia" w:ascii="宋体" w:hAnsi="宋体" w:eastAsia="宋体" w:cs="宋体"/>
          <w:b/>
          <w:bCs/>
          <w:color w:val="auto"/>
          <w:sz w:val="28"/>
          <w:szCs w:val="28"/>
          <w:highlight w:val="none"/>
          <w:lang w:eastAsia="zh-CN"/>
        </w:rPr>
        <w:t>报批本</w:t>
      </w:r>
      <w:r>
        <w:rPr>
          <w:rFonts w:hint="eastAsia" w:ascii="宋体" w:hAnsi="宋体" w:eastAsia="宋体" w:cs="宋体"/>
          <w:b/>
          <w:bCs/>
          <w:color w:val="auto"/>
          <w:sz w:val="28"/>
          <w:szCs w:val="28"/>
          <w:highlight w:val="none"/>
        </w:rPr>
        <w:t>）</w:t>
      </w:r>
      <w:bookmarkEnd w:id="2"/>
      <w:bookmarkEnd w:id="3"/>
    </w:p>
    <w:p>
      <w:pPr>
        <w:jc w:val="center"/>
        <w:rPr>
          <w:rFonts w:ascii="Calibri" w:hAnsi="Calibri" w:eastAsia="宋体" w:cs="Times New Roman"/>
          <w:b/>
          <w:color w:val="auto"/>
          <w:sz w:val="44"/>
          <w:szCs w:val="44"/>
          <w:highlight w:val="none"/>
        </w:rPr>
      </w:pPr>
    </w:p>
    <w:p>
      <w:pPr>
        <w:jc w:val="center"/>
        <w:rPr>
          <w:rFonts w:ascii="Calibri" w:hAnsi="Calibri" w:eastAsia="宋体" w:cs="Times New Roman"/>
          <w:b/>
          <w:color w:val="auto"/>
          <w:sz w:val="44"/>
          <w:szCs w:val="44"/>
          <w:highlight w:val="none"/>
        </w:rPr>
      </w:pPr>
    </w:p>
    <w:p>
      <w:pPr>
        <w:jc w:val="center"/>
        <w:rPr>
          <w:rFonts w:ascii="Calibri" w:hAnsi="Calibri" w:eastAsia="宋体" w:cs="Times New Roman"/>
          <w:b/>
          <w:color w:val="auto"/>
          <w:sz w:val="44"/>
          <w:szCs w:val="44"/>
          <w:highlight w:val="none"/>
        </w:rPr>
      </w:pPr>
    </w:p>
    <w:p>
      <w:pPr>
        <w:jc w:val="center"/>
        <w:rPr>
          <w:rFonts w:ascii="Calibri" w:hAnsi="Calibri" w:eastAsia="宋体" w:cs="Times New Roman"/>
          <w:b/>
          <w:color w:val="auto"/>
          <w:sz w:val="44"/>
          <w:szCs w:val="44"/>
          <w:highlight w:val="none"/>
        </w:rPr>
      </w:pPr>
    </w:p>
    <w:p>
      <w:pPr>
        <w:pStyle w:val="114"/>
        <w:jc w:val="center"/>
        <w:rPr>
          <w:rFonts w:hint="eastAsia" w:ascii="Calibri" w:hAnsi="Calibri" w:cs="Times New Roman"/>
          <w:b/>
          <w:color w:val="auto"/>
          <w:sz w:val="44"/>
          <w:szCs w:val="44"/>
          <w:highlight w:val="none"/>
          <w:lang w:val="en-US" w:eastAsia="zh-CN"/>
        </w:rPr>
      </w:pPr>
    </w:p>
    <w:p>
      <w:pPr>
        <w:pStyle w:val="114"/>
        <w:rPr>
          <w:rFonts w:hint="default" w:ascii="Calibri" w:hAnsi="Calibri" w:cs="Times New Roman"/>
          <w:b/>
          <w:color w:val="auto"/>
          <w:sz w:val="44"/>
          <w:szCs w:val="44"/>
          <w:highlight w:val="none"/>
          <w:lang w:val="en-US" w:eastAsia="zh-CN"/>
        </w:rPr>
      </w:pPr>
    </w:p>
    <w:p>
      <w:pPr>
        <w:pStyle w:val="114"/>
        <w:ind w:left="0" w:leftChars="0" w:firstLine="0" w:firstLineChars="0"/>
        <w:rPr>
          <w:rFonts w:ascii="Calibri" w:hAnsi="Calibri" w:eastAsia="宋体" w:cs="Times New Roman"/>
          <w:b/>
          <w:color w:val="auto"/>
          <w:sz w:val="44"/>
          <w:szCs w:val="44"/>
          <w:highlight w:val="none"/>
        </w:rPr>
      </w:pPr>
    </w:p>
    <w:p>
      <w:pPr>
        <w:ind w:firstLine="321" w:firstLineChars="100"/>
        <w:jc w:val="both"/>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rPr>
        <w:t>环评单位：</w:t>
      </w:r>
      <w:r>
        <w:rPr>
          <w:rFonts w:hint="eastAsia" w:ascii="宋体" w:hAnsi="宋体" w:eastAsia="宋体" w:cs="宋体"/>
          <w:b/>
          <w:bCs/>
          <w:color w:val="auto"/>
          <w:sz w:val="32"/>
          <w:szCs w:val="32"/>
          <w:highlight w:val="none"/>
          <w:lang w:eastAsia="zh-CN"/>
        </w:rPr>
        <w:t>四川国投环保科技有限公司</w:t>
      </w:r>
    </w:p>
    <w:p>
      <w:pPr>
        <w:widowControl/>
        <w:spacing w:line="240" w:lineRule="auto"/>
        <w:ind w:firstLine="321" w:firstLineChars="100"/>
        <w:jc w:val="both"/>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rPr>
        <w:t>建设单位：四川巴中国家粮食和物资储备库有限公司</w:t>
      </w:r>
    </w:p>
    <w:p>
      <w:pPr>
        <w:widowControl/>
        <w:spacing w:line="240" w:lineRule="auto"/>
        <w:jc w:val="center"/>
        <w:rPr>
          <w:rFonts w:ascii="Times New Roman" w:hAnsi="Times New Roman" w:eastAsia="宋体" w:cs="Times New Roman"/>
          <w:b/>
          <w:bCs/>
          <w:color w:val="auto"/>
          <w:sz w:val="32"/>
          <w:szCs w:val="32"/>
          <w:highlight w:val="none"/>
        </w:rPr>
      </w:pPr>
      <w:r>
        <w:rPr>
          <w:rFonts w:ascii="Times New Roman" w:hAnsi="Times New Roman" w:eastAsia="宋体" w:cs="Times New Roman"/>
          <w:b/>
          <w:bCs/>
          <w:color w:val="auto"/>
          <w:sz w:val="32"/>
          <w:szCs w:val="32"/>
          <w:highlight w:val="none"/>
        </w:rPr>
        <w:t>20</w:t>
      </w:r>
      <w:r>
        <w:rPr>
          <w:rFonts w:hint="eastAsia" w:ascii="Times New Roman" w:hAnsi="Times New Roman" w:eastAsia="宋体" w:cs="Times New Roman"/>
          <w:b/>
          <w:bCs/>
          <w:color w:val="auto"/>
          <w:sz w:val="32"/>
          <w:szCs w:val="32"/>
          <w:highlight w:val="none"/>
          <w:lang w:val="en-US" w:eastAsia="zh-CN"/>
        </w:rPr>
        <w:t>23</w:t>
      </w:r>
      <w:r>
        <w:rPr>
          <w:rFonts w:ascii="Times New Roman" w:hAnsi="Times New Roman" w:eastAsia="宋体" w:cs="Times New Roman"/>
          <w:b/>
          <w:bCs/>
          <w:color w:val="auto"/>
          <w:sz w:val="32"/>
          <w:szCs w:val="32"/>
          <w:highlight w:val="none"/>
        </w:rPr>
        <w:t>年</w:t>
      </w:r>
      <w:r>
        <w:rPr>
          <w:rFonts w:hint="eastAsia" w:ascii="Times New Roman" w:hAnsi="Times New Roman" w:eastAsia="宋体" w:cs="Times New Roman"/>
          <w:b/>
          <w:bCs/>
          <w:color w:val="auto"/>
          <w:sz w:val="32"/>
          <w:szCs w:val="32"/>
          <w:highlight w:val="none"/>
          <w:lang w:val="en-US" w:eastAsia="zh-CN"/>
        </w:rPr>
        <w:t>2</w:t>
      </w:r>
      <w:r>
        <w:rPr>
          <w:rFonts w:hint="eastAsia" w:ascii="Times New Roman" w:hAnsi="Times New Roman" w:eastAsia="宋体" w:cs="Times New Roman"/>
          <w:b/>
          <w:bCs/>
          <w:color w:val="auto"/>
          <w:sz w:val="32"/>
          <w:szCs w:val="32"/>
          <w:highlight w:val="none"/>
        </w:rPr>
        <w:t>月</w:t>
      </w:r>
    </w:p>
    <w:p>
      <w:pPr>
        <w:widowControl/>
        <w:spacing w:line="240" w:lineRule="auto"/>
        <w:jc w:val="left"/>
        <w:rPr>
          <w:rFonts w:ascii="Times New Roman" w:hAnsi="Times New Roman" w:cs="Times New Roman"/>
          <w:color w:val="auto"/>
          <w:highlight w:val="none"/>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Times New Roman" w:hAnsi="Times New Roman" w:eastAsia="宋体" w:cs="Times New Roman"/>
          <w:b/>
          <w:bCs/>
          <w:color w:val="auto"/>
          <w:sz w:val="32"/>
          <w:szCs w:val="32"/>
          <w:highlight w:val="none"/>
        </w:rPr>
        <w:br w:type="page"/>
      </w:r>
    </w:p>
    <w:p>
      <w:pPr>
        <w:widowControl/>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color w:val="auto"/>
          <w:sz w:val="28"/>
          <w:szCs w:val="28"/>
          <w:highlight w:val="none"/>
        </w:rPr>
        <w:t>目</w:t>
      </w:r>
      <w:r>
        <w:rPr>
          <w:rFonts w:hint="default" w:ascii="Times New Roman" w:hAnsi="Times New Roman" w:eastAsia="宋体" w:cs="Times New Roman"/>
          <w:b/>
          <w:color w:val="auto"/>
          <w:sz w:val="28"/>
          <w:szCs w:val="28"/>
          <w:highlight w:val="none"/>
          <w:lang w:val="en-US" w:eastAsia="zh-CN"/>
        </w:rPr>
        <w:t xml:space="preserve">  </w:t>
      </w:r>
      <w:r>
        <w:rPr>
          <w:rFonts w:hint="default" w:ascii="Times New Roman" w:hAnsi="Times New Roman" w:eastAsia="宋体" w:cs="Times New Roman"/>
          <w:b/>
          <w:color w:val="auto"/>
          <w:sz w:val="28"/>
          <w:szCs w:val="28"/>
          <w:highlight w:val="none"/>
        </w:rPr>
        <w:t>录</w:t>
      </w:r>
      <w:r>
        <w:rPr>
          <w:rFonts w:hint="default" w:ascii="Times New Roman" w:hAnsi="Times New Roman" w:eastAsia="宋体" w:cs="Times New Roman"/>
          <w:b/>
          <w:bCs/>
          <w:caps/>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TOC \o "1-3" \h \z \u </w:instrText>
      </w:r>
      <w:r>
        <w:rPr>
          <w:rFonts w:hint="default" w:ascii="Times New Roman" w:hAnsi="Times New Roman" w:eastAsia="宋体" w:cs="Times New Roman"/>
          <w:b/>
          <w:bCs/>
          <w:caps/>
          <w:color w:val="auto"/>
          <w:sz w:val="24"/>
          <w:szCs w:val="24"/>
          <w:highlight w:val="none"/>
        </w:rPr>
        <w:fldChar w:fldCharType="separate"/>
      </w:r>
    </w:p>
    <w:p>
      <w:pPr>
        <w:pStyle w:val="63"/>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_Toc5827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1 概述</w:t>
      </w:r>
      <w:r>
        <w:rPr>
          <w:color w:val="auto"/>
          <w:highlight w:val="none"/>
        </w:rPr>
        <w:tab/>
      </w:r>
      <w:r>
        <w:rPr>
          <w:color w:val="auto"/>
          <w:highlight w:val="none"/>
        </w:rPr>
        <w:fldChar w:fldCharType="begin"/>
      </w:r>
      <w:r>
        <w:rPr>
          <w:color w:val="auto"/>
          <w:highlight w:val="none"/>
        </w:rPr>
        <w:instrText xml:space="preserve"> PAGEREF _Toc5827 \h </w:instrText>
      </w:r>
      <w:r>
        <w:rPr>
          <w:color w:val="auto"/>
          <w:highlight w:val="none"/>
        </w:rPr>
        <w:fldChar w:fldCharType="separate"/>
      </w:r>
      <w:r>
        <w:rPr>
          <w:color w:val="auto"/>
          <w:highlight w:val="none"/>
        </w:rPr>
        <w:t>1</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_Toc31812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spacing w:val="8"/>
          <w:kern w:val="0"/>
          <w:szCs w:val="24"/>
          <w:highlight w:val="none"/>
          <w:lang w:eastAsia="zh-CN"/>
        </w:rPr>
        <w:t xml:space="preserve">1.1 </w:t>
      </w:r>
      <w:r>
        <w:rPr>
          <w:rFonts w:hint="eastAsia" w:ascii="Times New Roman" w:hAnsi="Times New Roman" w:eastAsia="宋体" w:cs="Times New Roman"/>
          <w:color w:val="auto"/>
          <w:highlight w:val="none"/>
          <w:lang w:eastAsia="zh-CN"/>
        </w:rPr>
        <w:t>任务由来</w:t>
      </w:r>
      <w:r>
        <w:rPr>
          <w:color w:val="auto"/>
          <w:highlight w:val="none"/>
        </w:rPr>
        <w:tab/>
      </w:r>
      <w:r>
        <w:rPr>
          <w:color w:val="auto"/>
          <w:highlight w:val="none"/>
        </w:rPr>
        <w:fldChar w:fldCharType="begin"/>
      </w:r>
      <w:r>
        <w:rPr>
          <w:color w:val="auto"/>
          <w:highlight w:val="none"/>
        </w:rPr>
        <w:instrText xml:space="preserve"> PAGEREF _Toc31812 \h </w:instrText>
      </w:r>
      <w:r>
        <w:rPr>
          <w:color w:val="auto"/>
          <w:highlight w:val="none"/>
        </w:rPr>
        <w:fldChar w:fldCharType="separate"/>
      </w:r>
      <w:r>
        <w:rPr>
          <w:color w:val="auto"/>
          <w:highlight w:val="none"/>
        </w:rPr>
        <w:t>1</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_Toc19616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eastAsia="zh-CN"/>
        </w:rPr>
        <w:t>1.2 建设项目的特点</w:t>
      </w:r>
      <w:r>
        <w:rPr>
          <w:color w:val="auto"/>
          <w:highlight w:val="none"/>
        </w:rPr>
        <w:tab/>
      </w:r>
      <w:r>
        <w:rPr>
          <w:color w:val="auto"/>
          <w:highlight w:val="none"/>
        </w:rPr>
        <w:fldChar w:fldCharType="begin"/>
      </w:r>
      <w:r>
        <w:rPr>
          <w:color w:val="auto"/>
          <w:highlight w:val="none"/>
        </w:rPr>
        <w:instrText xml:space="preserve"> PAGEREF _Toc19616 \h </w:instrText>
      </w:r>
      <w:r>
        <w:rPr>
          <w:color w:val="auto"/>
          <w:highlight w:val="none"/>
        </w:rPr>
        <w:fldChar w:fldCharType="separate"/>
      </w:r>
      <w:r>
        <w:rPr>
          <w:color w:val="auto"/>
          <w:highlight w:val="none"/>
        </w:rPr>
        <w:t>2</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_Toc29412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lang w:eastAsia="zh-CN"/>
        </w:rPr>
        <w:t>1.3 环境影响评价的工作过程</w:t>
      </w:r>
      <w:r>
        <w:rPr>
          <w:color w:val="auto"/>
          <w:highlight w:val="none"/>
        </w:rPr>
        <w:tab/>
      </w:r>
      <w:r>
        <w:rPr>
          <w:color w:val="auto"/>
          <w:highlight w:val="none"/>
        </w:rPr>
        <w:fldChar w:fldCharType="begin"/>
      </w:r>
      <w:r>
        <w:rPr>
          <w:color w:val="auto"/>
          <w:highlight w:val="none"/>
        </w:rPr>
        <w:instrText xml:space="preserve"> PAGEREF _Toc29412 \h </w:instrText>
      </w:r>
      <w:r>
        <w:rPr>
          <w:color w:val="auto"/>
          <w:highlight w:val="none"/>
        </w:rPr>
        <w:fldChar w:fldCharType="separate"/>
      </w:r>
      <w:r>
        <w:rPr>
          <w:color w:val="auto"/>
          <w:highlight w:val="none"/>
        </w:rPr>
        <w:t>3</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_Toc11330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eastAsia="zh-CN"/>
        </w:rPr>
        <w:t xml:space="preserve">1.4 </w:t>
      </w:r>
      <w:r>
        <w:rPr>
          <w:rFonts w:hint="eastAsia" w:eastAsia="宋体" w:cs="Times New Roman"/>
          <w:color w:val="auto"/>
          <w:highlight w:val="none"/>
          <w:lang w:eastAsia="zh-CN"/>
        </w:rPr>
        <w:t>相关政策</w:t>
      </w:r>
      <w:r>
        <w:rPr>
          <w:rFonts w:hint="eastAsia" w:ascii="Times New Roman" w:hAnsi="Times New Roman" w:eastAsia="宋体" w:cs="Times New Roman"/>
          <w:color w:val="auto"/>
          <w:highlight w:val="none"/>
          <w:lang w:eastAsia="zh-CN"/>
        </w:rPr>
        <w:t>分析判定</w:t>
      </w:r>
      <w:r>
        <w:rPr>
          <w:rFonts w:hint="eastAsia" w:eastAsia="宋体" w:cs="Times New Roman"/>
          <w:color w:val="auto"/>
          <w:highlight w:val="none"/>
          <w:lang w:eastAsia="zh-CN"/>
        </w:rPr>
        <w:t>情况</w:t>
      </w:r>
      <w:r>
        <w:rPr>
          <w:color w:val="auto"/>
          <w:highlight w:val="none"/>
        </w:rPr>
        <w:tab/>
      </w:r>
      <w:r>
        <w:rPr>
          <w:color w:val="auto"/>
          <w:highlight w:val="none"/>
        </w:rPr>
        <w:fldChar w:fldCharType="begin"/>
      </w:r>
      <w:r>
        <w:rPr>
          <w:color w:val="auto"/>
          <w:highlight w:val="none"/>
        </w:rPr>
        <w:instrText xml:space="preserve"> PAGEREF _Toc11330 \h </w:instrText>
      </w:r>
      <w:r>
        <w:rPr>
          <w:color w:val="auto"/>
          <w:highlight w:val="none"/>
        </w:rPr>
        <w:fldChar w:fldCharType="separate"/>
      </w:r>
      <w:r>
        <w:rPr>
          <w:color w:val="auto"/>
          <w:highlight w:val="none"/>
        </w:rPr>
        <w:t>3</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_Toc25877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eastAsia="zh-CN"/>
        </w:rPr>
        <w:t>1.5 关注的主要环境问题及环境影响</w:t>
      </w:r>
      <w:r>
        <w:rPr>
          <w:color w:val="auto"/>
          <w:highlight w:val="none"/>
        </w:rPr>
        <w:tab/>
      </w:r>
      <w:r>
        <w:rPr>
          <w:color w:val="auto"/>
          <w:highlight w:val="none"/>
        </w:rPr>
        <w:fldChar w:fldCharType="begin"/>
      </w:r>
      <w:r>
        <w:rPr>
          <w:color w:val="auto"/>
          <w:highlight w:val="none"/>
        </w:rPr>
        <w:instrText xml:space="preserve"> PAGEREF _Toc25877 \h </w:instrText>
      </w:r>
      <w:r>
        <w:rPr>
          <w:color w:val="auto"/>
          <w:highlight w:val="none"/>
        </w:rPr>
        <w:fldChar w:fldCharType="separate"/>
      </w:r>
      <w:r>
        <w:rPr>
          <w:color w:val="auto"/>
          <w:highlight w:val="none"/>
        </w:rPr>
        <w:t>4</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_Toc3973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eastAsia="zh-CN"/>
        </w:rPr>
        <w:t>1.6 环境影响评价的主要结论</w:t>
      </w:r>
      <w:r>
        <w:rPr>
          <w:color w:val="auto"/>
          <w:highlight w:val="none"/>
        </w:rPr>
        <w:tab/>
      </w:r>
      <w:r>
        <w:rPr>
          <w:color w:val="auto"/>
          <w:highlight w:val="none"/>
        </w:rPr>
        <w:fldChar w:fldCharType="begin"/>
      </w:r>
      <w:r>
        <w:rPr>
          <w:color w:val="auto"/>
          <w:highlight w:val="none"/>
        </w:rPr>
        <w:instrText xml:space="preserve"> PAGEREF _Toc3973 \h </w:instrText>
      </w:r>
      <w:r>
        <w:rPr>
          <w:color w:val="auto"/>
          <w:highlight w:val="none"/>
        </w:rPr>
        <w:fldChar w:fldCharType="separate"/>
      </w:r>
      <w:r>
        <w:rPr>
          <w:color w:val="auto"/>
          <w:highlight w:val="none"/>
        </w:rPr>
        <w:t>4</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63"/>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_Toc18027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2 总则</w:t>
      </w:r>
      <w:r>
        <w:rPr>
          <w:color w:val="auto"/>
          <w:highlight w:val="none"/>
        </w:rPr>
        <w:tab/>
      </w:r>
      <w:r>
        <w:rPr>
          <w:color w:val="auto"/>
          <w:highlight w:val="none"/>
        </w:rPr>
        <w:fldChar w:fldCharType="begin"/>
      </w:r>
      <w:r>
        <w:rPr>
          <w:color w:val="auto"/>
          <w:highlight w:val="none"/>
        </w:rPr>
        <w:instrText xml:space="preserve"> PAGEREF _Toc18027 \h </w:instrText>
      </w:r>
      <w:r>
        <w:rPr>
          <w:color w:val="auto"/>
          <w:highlight w:val="none"/>
        </w:rPr>
        <w:fldChar w:fldCharType="separate"/>
      </w:r>
      <w:r>
        <w:rPr>
          <w:color w:val="auto"/>
          <w:highlight w:val="none"/>
        </w:rPr>
        <w:t>6</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_Toc8261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eastAsia="zh-CN"/>
        </w:rPr>
        <w:t>2.1 评价目的及原则</w:t>
      </w:r>
      <w:r>
        <w:rPr>
          <w:color w:val="auto"/>
          <w:highlight w:val="none"/>
        </w:rPr>
        <w:tab/>
      </w:r>
      <w:r>
        <w:rPr>
          <w:color w:val="auto"/>
          <w:highlight w:val="none"/>
        </w:rPr>
        <w:fldChar w:fldCharType="begin"/>
      </w:r>
      <w:r>
        <w:rPr>
          <w:color w:val="auto"/>
          <w:highlight w:val="none"/>
        </w:rPr>
        <w:instrText xml:space="preserve"> PAGEREF _Toc8261 \h </w:instrText>
      </w:r>
      <w:r>
        <w:rPr>
          <w:color w:val="auto"/>
          <w:highlight w:val="none"/>
        </w:rPr>
        <w:fldChar w:fldCharType="separate"/>
      </w:r>
      <w:r>
        <w:rPr>
          <w:color w:val="auto"/>
          <w:highlight w:val="none"/>
        </w:rPr>
        <w:t>6</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_Toc32084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eastAsia="zh-CN"/>
        </w:rPr>
        <w:t>2.2 编制依据</w:t>
      </w:r>
      <w:r>
        <w:rPr>
          <w:color w:val="auto"/>
          <w:highlight w:val="none"/>
        </w:rPr>
        <w:tab/>
      </w:r>
      <w:r>
        <w:rPr>
          <w:color w:val="auto"/>
          <w:highlight w:val="none"/>
        </w:rPr>
        <w:fldChar w:fldCharType="begin"/>
      </w:r>
      <w:r>
        <w:rPr>
          <w:color w:val="auto"/>
          <w:highlight w:val="none"/>
        </w:rPr>
        <w:instrText xml:space="preserve"> PAGEREF _Toc32084 \h </w:instrText>
      </w:r>
      <w:r>
        <w:rPr>
          <w:color w:val="auto"/>
          <w:highlight w:val="none"/>
        </w:rPr>
        <w:fldChar w:fldCharType="separate"/>
      </w:r>
      <w:r>
        <w:rPr>
          <w:color w:val="auto"/>
          <w:highlight w:val="none"/>
        </w:rPr>
        <w:t>7</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_Toc3512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eastAsia="zh-CN"/>
        </w:rPr>
        <w:t>2.3 环境影响要素识别及评价因子</w:t>
      </w:r>
      <w:r>
        <w:rPr>
          <w:color w:val="auto"/>
          <w:highlight w:val="none"/>
        </w:rPr>
        <w:tab/>
      </w:r>
      <w:r>
        <w:rPr>
          <w:color w:val="auto"/>
          <w:highlight w:val="none"/>
        </w:rPr>
        <w:fldChar w:fldCharType="begin"/>
      </w:r>
      <w:r>
        <w:rPr>
          <w:color w:val="auto"/>
          <w:highlight w:val="none"/>
        </w:rPr>
        <w:instrText xml:space="preserve"> PAGEREF _Toc3512 \h </w:instrText>
      </w:r>
      <w:r>
        <w:rPr>
          <w:color w:val="auto"/>
          <w:highlight w:val="none"/>
        </w:rPr>
        <w:fldChar w:fldCharType="separate"/>
      </w:r>
      <w:r>
        <w:rPr>
          <w:color w:val="auto"/>
          <w:highlight w:val="none"/>
        </w:rPr>
        <w:t>12</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_Toc28007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eastAsia="zh-CN"/>
        </w:rPr>
        <w:t xml:space="preserve">2.4 </w:t>
      </w:r>
      <w:r>
        <w:rPr>
          <w:rFonts w:hint="eastAsia" w:eastAsia="宋体" w:cs="Times New Roman"/>
          <w:color w:val="auto"/>
          <w:highlight w:val="none"/>
          <w:lang w:eastAsia="zh-CN"/>
        </w:rPr>
        <w:t>环境功能区划</w:t>
      </w:r>
      <w:r>
        <w:rPr>
          <w:color w:val="auto"/>
          <w:highlight w:val="none"/>
        </w:rPr>
        <w:tab/>
      </w:r>
      <w:r>
        <w:rPr>
          <w:color w:val="auto"/>
          <w:highlight w:val="none"/>
        </w:rPr>
        <w:fldChar w:fldCharType="begin"/>
      </w:r>
      <w:r>
        <w:rPr>
          <w:color w:val="auto"/>
          <w:highlight w:val="none"/>
        </w:rPr>
        <w:instrText xml:space="preserve"> PAGEREF _Toc28007 \h </w:instrText>
      </w:r>
      <w:r>
        <w:rPr>
          <w:color w:val="auto"/>
          <w:highlight w:val="none"/>
        </w:rPr>
        <w:fldChar w:fldCharType="separate"/>
      </w:r>
      <w:r>
        <w:rPr>
          <w:color w:val="auto"/>
          <w:highlight w:val="none"/>
        </w:rPr>
        <w:t>14</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_Toc106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eastAsia="zh-CN"/>
        </w:rPr>
        <w:t>2.5 评价标准</w:t>
      </w:r>
      <w:r>
        <w:rPr>
          <w:color w:val="auto"/>
          <w:highlight w:val="none"/>
        </w:rPr>
        <w:tab/>
      </w:r>
      <w:r>
        <w:rPr>
          <w:color w:val="auto"/>
          <w:highlight w:val="none"/>
        </w:rPr>
        <w:fldChar w:fldCharType="begin"/>
      </w:r>
      <w:r>
        <w:rPr>
          <w:color w:val="auto"/>
          <w:highlight w:val="none"/>
        </w:rPr>
        <w:instrText xml:space="preserve"> PAGEREF _Toc106 \h </w:instrText>
      </w:r>
      <w:r>
        <w:rPr>
          <w:color w:val="auto"/>
          <w:highlight w:val="none"/>
        </w:rPr>
        <w:fldChar w:fldCharType="separate"/>
      </w:r>
      <w:r>
        <w:rPr>
          <w:color w:val="auto"/>
          <w:highlight w:val="none"/>
        </w:rPr>
        <w:t>14</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_Toc4458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lang w:eastAsia="zh-CN"/>
        </w:rPr>
        <w:t>2.6 评价工作等级、评价范围和评价时段</w:t>
      </w:r>
      <w:r>
        <w:rPr>
          <w:color w:val="auto"/>
          <w:highlight w:val="none"/>
        </w:rPr>
        <w:tab/>
      </w:r>
      <w:r>
        <w:rPr>
          <w:color w:val="auto"/>
          <w:highlight w:val="none"/>
        </w:rPr>
        <w:fldChar w:fldCharType="begin"/>
      </w:r>
      <w:r>
        <w:rPr>
          <w:color w:val="auto"/>
          <w:highlight w:val="none"/>
        </w:rPr>
        <w:instrText xml:space="preserve"> PAGEREF _Toc4458 \h </w:instrText>
      </w:r>
      <w:r>
        <w:rPr>
          <w:color w:val="auto"/>
          <w:highlight w:val="none"/>
        </w:rPr>
        <w:fldChar w:fldCharType="separate"/>
      </w:r>
      <w:r>
        <w:rPr>
          <w:color w:val="auto"/>
          <w:highlight w:val="none"/>
        </w:rPr>
        <w:t>20</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_Toc26066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2.7 产业政策</w:t>
      </w:r>
      <w:r>
        <w:rPr>
          <w:rFonts w:hint="eastAsia" w:cs="Times New Roman"/>
          <w:color w:val="auto"/>
          <w:highlight w:val="none"/>
          <w:lang w:eastAsia="zh-CN"/>
        </w:rPr>
        <w:t>及规划符合性</w:t>
      </w:r>
      <w:r>
        <w:rPr>
          <w:color w:val="auto"/>
          <w:highlight w:val="none"/>
        </w:rPr>
        <w:tab/>
      </w:r>
      <w:r>
        <w:rPr>
          <w:color w:val="auto"/>
          <w:highlight w:val="none"/>
        </w:rPr>
        <w:fldChar w:fldCharType="begin"/>
      </w:r>
      <w:r>
        <w:rPr>
          <w:color w:val="auto"/>
          <w:highlight w:val="none"/>
        </w:rPr>
        <w:instrText xml:space="preserve"> PAGEREF _Toc26066 \h </w:instrText>
      </w:r>
      <w:r>
        <w:rPr>
          <w:color w:val="auto"/>
          <w:highlight w:val="none"/>
        </w:rPr>
        <w:fldChar w:fldCharType="separate"/>
      </w:r>
      <w:r>
        <w:rPr>
          <w:color w:val="auto"/>
          <w:highlight w:val="none"/>
        </w:rPr>
        <w:t>31</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_Toc27855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rPr>
        <w:t>2.8 选址合理性</w:t>
      </w:r>
      <w:r>
        <w:rPr>
          <w:color w:val="auto"/>
          <w:highlight w:val="none"/>
        </w:rPr>
        <w:tab/>
      </w:r>
      <w:r>
        <w:rPr>
          <w:color w:val="auto"/>
          <w:highlight w:val="none"/>
        </w:rPr>
        <w:fldChar w:fldCharType="begin"/>
      </w:r>
      <w:r>
        <w:rPr>
          <w:color w:val="auto"/>
          <w:highlight w:val="none"/>
        </w:rPr>
        <w:instrText xml:space="preserve"> PAGEREF _Toc27855 \h </w:instrText>
      </w:r>
      <w:r>
        <w:rPr>
          <w:color w:val="auto"/>
          <w:highlight w:val="none"/>
        </w:rPr>
        <w:fldChar w:fldCharType="separate"/>
      </w:r>
      <w:r>
        <w:rPr>
          <w:color w:val="auto"/>
          <w:highlight w:val="none"/>
        </w:rPr>
        <w:t>66</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_Toc23199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 xml:space="preserve">2.9 </w:t>
      </w:r>
      <w:r>
        <w:rPr>
          <w:rFonts w:hint="eastAsia" w:cs="Times New Roman"/>
          <w:color w:val="auto"/>
          <w:highlight w:val="none"/>
        </w:rPr>
        <w:t>平面</w:t>
      </w:r>
      <w:r>
        <w:rPr>
          <w:rFonts w:cs="Times New Roman"/>
          <w:color w:val="auto"/>
          <w:highlight w:val="none"/>
        </w:rPr>
        <w:t>布置合理性</w:t>
      </w:r>
      <w:r>
        <w:rPr>
          <w:color w:val="auto"/>
          <w:highlight w:val="none"/>
        </w:rPr>
        <w:tab/>
      </w:r>
      <w:r>
        <w:rPr>
          <w:color w:val="auto"/>
          <w:highlight w:val="none"/>
        </w:rPr>
        <w:fldChar w:fldCharType="begin"/>
      </w:r>
      <w:r>
        <w:rPr>
          <w:color w:val="auto"/>
          <w:highlight w:val="none"/>
        </w:rPr>
        <w:instrText xml:space="preserve"> PAGEREF _Toc23199 \h </w:instrText>
      </w:r>
      <w:r>
        <w:rPr>
          <w:color w:val="auto"/>
          <w:highlight w:val="none"/>
        </w:rPr>
        <w:fldChar w:fldCharType="separate"/>
      </w:r>
      <w:r>
        <w:rPr>
          <w:color w:val="auto"/>
          <w:highlight w:val="none"/>
        </w:rPr>
        <w:t>69</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63"/>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_Toc13316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rPr>
        <w:t>3 建设项目工程分析</w:t>
      </w:r>
      <w:r>
        <w:rPr>
          <w:color w:val="auto"/>
          <w:highlight w:val="none"/>
        </w:rPr>
        <w:tab/>
      </w:r>
      <w:r>
        <w:rPr>
          <w:color w:val="auto"/>
          <w:highlight w:val="none"/>
        </w:rPr>
        <w:fldChar w:fldCharType="begin"/>
      </w:r>
      <w:r>
        <w:rPr>
          <w:color w:val="auto"/>
          <w:highlight w:val="none"/>
        </w:rPr>
        <w:instrText xml:space="preserve"> PAGEREF _Toc13316 \h </w:instrText>
      </w:r>
      <w:r>
        <w:rPr>
          <w:color w:val="auto"/>
          <w:highlight w:val="none"/>
        </w:rPr>
        <w:fldChar w:fldCharType="separate"/>
      </w:r>
      <w:r>
        <w:rPr>
          <w:color w:val="auto"/>
          <w:highlight w:val="none"/>
        </w:rPr>
        <w:t>71</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_Toc18748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rPr>
        <w:t>3.1 建设项目概况</w:t>
      </w:r>
      <w:r>
        <w:rPr>
          <w:color w:val="auto"/>
          <w:highlight w:val="none"/>
        </w:rPr>
        <w:tab/>
      </w:r>
      <w:r>
        <w:rPr>
          <w:color w:val="auto"/>
          <w:highlight w:val="none"/>
        </w:rPr>
        <w:fldChar w:fldCharType="begin"/>
      </w:r>
      <w:r>
        <w:rPr>
          <w:color w:val="auto"/>
          <w:highlight w:val="none"/>
        </w:rPr>
        <w:instrText xml:space="preserve"> PAGEREF _Toc18748 \h </w:instrText>
      </w:r>
      <w:r>
        <w:rPr>
          <w:color w:val="auto"/>
          <w:highlight w:val="none"/>
        </w:rPr>
        <w:fldChar w:fldCharType="separate"/>
      </w:r>
      <w:r>
        <w:rPr>
          <w:color w:val="auto"/>
          <w:highlight w:val="none"/>
        </w:rPr>
        <w:t>71</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_Toc31416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3.2 工程分析</w:t>
      </w:r>
      <w:r>
        <w:rPr>
          <w:color w:val="auto"/>
          <w:highlight w:val="none"/>
        </w:rPr>
        <w:tab/>
      </w:r>
      <w:r>
        <w:rPr>
          <w:color w:val="auto"/>
          <w:highlight w:val="none"/>
        </w:rPr>
        <w:fldChar w:fldCharType="begin"/>
      </w:r>
      <w:r>
        <w:rPr>
          <w:color w:val="auto"/>
          <w:highlight w:val="none"/>
        </w:rPr>
        <w:instrText xml:space="preserve"> PAGEREF _Toc31416 \h </w:instrText>
      </w:r>
      <w:r>
        <w:rPr>
          <w:color w:val="auto"/>
          <w:highlight w:val="none"/>
        </w:rPr>
        <w:fldChar w:fldCharType="separate"/>
      </w:r>
      <w:r>
        <w:rPr>
          <w:color w:val="auto"/>
          <w:highlight w:val="none"/>
        </w:rPr>
        <w:t>83</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63"/>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_Toc3170 </w:instrText>
      </w:r>
      <w:r>
        <w:rPr>
          <w:rFonts w:hint="default" w:ascii="Times New Roman" w:hAnsi="Times New Roman" w:eastAsia="宋体" w:cs="Times New Roman"/>
          <w:color w:val="auto"/>
          <w:szCs w:val="24"/>
          <w:highlight w:val="none"/>
        </w:rPr>
        <w:fldChar w:fldCharType="separate"/>
      </w:r>
      <w:r>
        <w:rPr>
          <w:color w:val="auto"/>
          <w:highlight w:val="none"/>
        </w:rPr>
        <w:t xml:space="preserve">4 </w:t>
      </w:r>
      <w:r>
        <w:rPr>
          <w:rFonts w:hint="default" w:ascii="Times New Roman" w:hAnsi="Times New Roman" w:eastAsia="宋体" w:cs="Times New Roman"/>
          <w:color w:val="auto"/>
          <w:highlight w:val="none"/>
        </w:rPr>
        <w:t>环境现状调查与评价</w:t>
      </w:r>
      <w:r>
        <w:rPr>
          <w:color w:val="auto"/>
          <w:highlight w:val="none"/>
        </w:rPr>
        <w:tab/>
      </w:r>
      <w:r>
        <w:rPr>
          <w:color w:val="auto"/>
          <w:highlight w:val="none"/>
        </w:rPr>
        <w:fldChar w:fldCharType="begin"/>
      </w:r>
      <w:r>
        <w:rPr>
          <w:color w:val="auto"/>
          <w:highlight w:val="none"/>
        </w:rPr>
        <w:instrText xml:space="preserve"> PAGEREF _Toc3170 \h </w:instrText>
      </w:r>
      <w:r>
        <w:rPr>
          <w:color w:val="auto"/>
          <w:highlight w:val="none"/>
        </w:rPr>
        <w:fldChar w:fldCharType="separate"/>
      </w:r>
      <w:r>
        <w:rPr>
          <w:color w:val="auto"/>
          <w:highlight w:val="none"/>
        </w:rPr>
        <w:t>147</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_Toc19179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rPr>
        <w:t>4.1 自然环境现状调查与评价</w:t>
      </w:r>
      <w:r>
        <w:rPr>
          <w:color w:val="auto"/>
          <w:highlight w:val="none"/>
        </w:rPr>
        <w:tab/>
      </w:r>
      <w:r>
        <w:rPr>
          <w:color w:val="auto"/>
          <w:highlight w:val="none"/>
        </w:rPr>
        <w:fldChar w:fldCharType="begin"/>
      </w:r>
      <w:r>
        <w:rPr>
          <w:color w:val="auto"/>
          <w:highlight w:val="none"/>
        </w:rPr>
        <w:instrText xml:space="preserve"> PAGEREF _Toc19179 \h </w:instrText>
      </w:r>
      <w:r>
        <w:rPr>
          <w:color w:val="auto"/>
          <w:highlight w:val="none"/>
        </w:rPr>
        <w:fldChar w:fldCharType="separate"/>
      </w:r>
      <w:r>
        <w:rPr>
          <w:color w:val="auto"/>
          <w:highlight w:val="none"/>
        </w:rPr>
        <w:t>147</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_Toc27203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4.2 环境质量现状调查与评价</w:t>
      </w:r>
      <w:r>
        <w:rPr>
          <w:color w:val="auto"/>
          <w:highlight w:val="none"/>
        </w:rPr>
        <w:tab/>
      </w:r>
      <w:r>
        <w:rPr>
          <w:color w:val="auto"/>
          <w:highlight w:val="none"/>
        </w:rPr>
        <w:fldChar w:fldCharType="begin"/>
      </w:r>
      <w:r>
        <w:rPr>
          <w:color w:val="auto"/>
          <w:highlight w:val="none"/>
        </w:rPr>
        <w:instrText xml:space="preserve"> PAGEREF _Toc27203 \h </w:instrText>
      </w:r>
      <w:r>
        <w:rPr>
          <w:color w:val="auto"/>
          <w:highlight w:val="none"/>
        </w:rPr>
        <w:fldChar w:fldCharType="separate"/>
      </w:r>
      <w:r>
        <w:rPr>
          <w:color w:val="auto"/>
          <w:highlight w:val="none"/>
        </w:rPr>
        <w:t>151</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63"/>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_Toc14755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5 环境影响预测与评价</w:t>
      </w:r>
      <w:r>
        <w:rPr>
          <w:color w:val="auto"/>
          <w:highlight w:val="none"/>
        </w:rPr>
        <w:tab/>
      </w:r>
      <w:r>
        <w:rPr>
          <w:color w:val="auto"/>
          <w:highlight w:val="none"/>
        </w:rPr>
        <w:fldChar w:fldCharType="begin"/>
      </w:r>
      <w:r>
        <w:rPr>
          <w:color w:val="auto"/>
          <w:highlight w:val="none"/>
        </w:rPr>
        <w:instrText xml:space="preserve"> PAGEREF _Toc14755 \h </w:instrText>
      </w:r>
      <w:r>
        <w:rPr>
          <w:color w:val="auto"/>
          <w:highlight w:val="none"/>
        </w:rPr>
        <w:fldChar w:fldCharType="separate"/>
      </w:r>
      <w:r>
        <w:rPr>
          <w:color w:val="auto"/>
          <w:highlight w:val="none"/>
        </w:rPr>
        <w:t>164</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_Toc26918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rPr>
        <w:t>5.1 施工期环境影响评价</w:t>
      </w:r>
      <w:r>
        <w:rPr>
          <w:color w:val="auto"/>
          <w:highlight w:val="none"/>
        </w:rPr>
        <w:tab/>
      </w:r>
      <w:r>
        <w:rPr>
          <w:color w:val="auto"/>
          <w:highlight w:val="none"/>
        </w:rPr>
        <w:fldChar w:fldCharType="begin"/>
      </w:r>
      <w:r>
        <w:rPr>
          <w:color w:val="auto"/>
          <w:highlight w:val="none"/>
        </w:rPr>
        <w:instrText xml:space="preserve"> PAGEREF _Toc26918 \h </w:instrText>
      </w:r>
      <w:r>
        <w:rPr>
          <w:color w:val="auto"/>
          <w:highlight w:val="none"/>
        </w:rPr>
        <w:fldChar w:fldCharType="separate"/>
      </w:r>
      <w:r>
        <w:rPr>
          <w:color w:val="auto"/>
          <w:highlight w:val="none"/>
        </w:rPr>
        <w:t>164</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_Toc23729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rPr>
        <w:t>5.2 营运期环境影响评价</w:t>
      </w:r>
      <w:r>
        <w:rPr>
          <w:color w:val="auto"/>
          <w:highlight w:val="none"/>
        </w:rPr>
        <w:tab/>
      </w:r>
      <w:r>
        <w:rPr>
          <w:color w:val="auto"/>
          <w:highlight w:val="none"/>
        </w:rPr>
        <w:fldChar w:fldCharType="begin"/>
      </w:r>
      <w:r>
        <w:rPr>
          <w:color w:val="auto"/>
          <w:highlight w:val="none"/>
        </w:rPr>
        <w:instrText xml:space="preserve"> PAGEREF _Toc23729 \h </w:instrText>
      </w:r>
      <w:r>
        <w:rPr>
          <w:color w:val="auto"/>
          <w:highlight w:val="none"/>
        </w:rPr>
        <w:fldChar w:fldCharType="separate"/>
      </w:r>
      <w:r>
        <w:rPr>
          <w:color w:val="auto"/>
          <w:highlight w:val="none"/>
        </w:rPr>
        <w:t>171</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63"/>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_Toc24406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6 环境风险评价</w:t>
      </w:r>
      <w:r>
        <w:rPr>
          <w:color w:val="auto"/>
          <w:highlight w:val="none"/>
        </w:rPr>
        <w:tab/>
      </w:r>
      <w:r>
        <w:rPr>
          <w:color w:val="auto"/>
          <w:highlight w:val="none"/>
        </w:rPr>
        <w:fldChar w:fldCharType="begin"/>
      </w:r>
      <w:r>
        <w:rPr>
          <w:color w:val="auto"/>
          <w:highlight w:val="none"/>
        </w:rPr>
        <w:instrText xml:space="preserve"> PAGEREF _Toc24406 \h </w:instrText>
      </w:r>
      <w:r>
        <w:rPr>
          <w:color w:val="auto"/>
          <w:highlight w:val="none"/>
        </w:rPr>
        <w:fldChar w:fldCharType="separate"/>
      </w:r>
      <w:r>
        <w:rPr>
          <w:color w:val="auto"/>
          <w:highlight w:val="none"/>
        </w:rPr>
        <w:t>235</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_Toc3940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rPr>
        <w:t>6.1 风险评价目的</w:t>
      </w:r>
      <w:r>
        <w:rPr>
          <w:color w:val="auto"/>
          <w:highlight w:val="none"/>
        </w:rPr>
        <w:tab/>
      </w:r>
      <w:r>
        <w:rPr>
          <w:color w:val="auto"/>
          <w:highlight w:val="none"/>
        </w:rPr>
        <w:fldChar w:fldCharType="begin"/>
      </w:r>
      <w:r>
        <w:rPr>
          <w:color w:val="auto"/>
          <w:highlight w:val="none"/>
        </w:rPr>
        <w:instrText xml:space="preserve"> PAGEREF _Toc3940 \h </w:instrText>
      </w:r>
      <w:r>
        <w:rPr>
          <w:color w:val="auto"/>
          <w:highlight w:val="none"/>
        </w:rPr>
        <w:fldChar w:fldCharType="separate"/>
      </w:r>
      <w:r>
        <w:rPr>
          <w:color w:val="auto"/>
          <w:highlight w:val="none"/>
        </w:rPr>
        <w:t>235</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_Toc6090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lang w:val="en-US" w:eastAsia="zh-CN"/>
        </w:rPr>
        <w:t>6.2 评价依据</w:t>
      </w:r>
      <w:r>
        <w:rPr>
          <w:color w:val="auto"/>
          <w:highlight w:val="none"/>
        </w:rPr>
        <w:tab/>
      </w:r>
      <w:r>
        <w:rPr>
          <w:color w:val="auto"/>
          <w:highlight w:val="none"/>
        </w:rPr>
        <w:fldChar w:fldCharType="begin"/>
      </w:r>
      <w:r>
        <w:rPr>
          <w:color w:val="auto"/>
          <w:highlight w:val="none"/>
        </w:rPr>
        <w:instrText xml:space="preserve"> PAGEREF _Toc6090 \h </w:instrText>
      </w:r>
      <w:r>
        <w:rPr>
          <w:color w:val="auto"/>
          <w:highlight w:val="none"/>
        </w:rPr>
        <w:fldChar w:fldCharType="separate"/>
      </w:r>
      <w:r>
        <w:rPr>
          <w:color w:val="auto"/>
          <w:highlight w:val="none"/>
        </w:rPr>
        <w:t>235</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_Toc5800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6.3 风险识别</w:t>
      </w:r>
      <w:r>
        <w:rPr>
          <w:color w:val="auto"/>
          <w:highlight w:val="none"/>
        </w:rPr>
        <w:tab/>
      </w:r>
      <w:r>
        <w:rPr>
          <w:color w:val="auto"/>
          <w:highlight w:val="none"/>
        </w:rPr>
        <w:fldChar w:fldCharType="begin"/>
      </w:r>
      <w:r>
        <w:rPr>
          <w:color w:val="auto"/>
          <w:highlight w:val="none"/>
        </w:rPr>
        <w:instrText xml:space="preserve"> PAGEREF _Toc5800 \h </w:instrText>
      </w:r>
      <w:r>
        <w:rPr>
          <w:color w:val="auto"/>
          <w:highlight w:val="none"/>
        </w:rPr>
        <w:fldChar w:fldCharType="separate"/>
      </w:r>
      <w:r>
        <w:rPr>
          <w:color w:val="auto"/>
          <w:highlight w:val="none"/>
        </w:rPr>
        <w:t>239</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_Toc24986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6.4 环境敏感目标概况</w:t>
      </w:r>
      <w:r>
        <w:rPr>
          <w:color w:val="auto"/>
          <w:highlight w:val="none"/>
        </w:rPr>
        <w:tab/>
      </w:r>
      <w:r>
        <w:rPr>
          <w:color w:val="auto"/>
          <w:highlight w:val="none"/>
        </w:rPr>
        <w:fldChar w:fldCharType="begin"/>
      </w:r>
      <w:r>
        <w:rPr>
          <w:color w:val="auto"/>
          <w:highlight w:val="none"/>
        </w:rPr>
        <w:instrText xml:space="preserve"> PAGEREF _Toc24986 \h </w:instrText>
      </w:r>
      <w:r>
        <w:rPr>
          <w:color w:val="auto"/>
          <w:highlight w:val="none"/>
        </w:rPr>
        <w:fldChar w:fldCharType="separate"/>
      </w:r>
      <w:r>
        <w:rPr>
          <w:color w:val="auto"/>
          <w:highlight w:val="none"/>
        </w:rPr>
        <w:t>241</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_Toc32133 </w:instrText>
      </w:r>
      <w:r>
        <w:rPr>
          <w:rFonts w:hint="default" w:ascii="Times New Roman" w:hAnsi="Times New Roman" w:eastAsia="宋体" w:cs="Times New Roman"/>
          <w:color w:val="auto"/>
          <w:szCs w:val="24"/>
          <w:highlight w:val="none"/>
        </w:rPr>
        <w:fldChar w:fldCharType="separate"/>
      </w:r>
      <w:r>
        <w:rPr>
          <w:rFonts w:hint="eastAsia"/>
          <w:color w:val="auto"/>
          <w:highlight w:val="none"/>
        </w:rPr>
        <w:t xml:space="preserve">6.5 </w:t>
      </w:r>
      <w:r>
        <w:rPr>
          <w:rFonts w:hint="eastAsia" w:ascii="Times New Roman" w:hAnsi="Times New Roman" w:eastAsia="宋体" w:cs="Times New Roman"/>
          <w:color w:val="auto"/>
          <w:highlight w:val="none"/>
          <w:lang w:val="en-US" w:eastAsia="zh-CN"/>
        </w:rPr>
        <w:t>环境风险分析</w:t>
      </w:r>
      <w:r>
        <w:rPr>
          <w:color w:val="auto"/>
          <w:highlight w:val="none"/>
        </w:rPr>
        <w:tab/>
      </w:r>
      <w:r>
        <w:rPr>
          <w:color w:val="auto"/>
          <w:highlight w:val="none"/>
        </w:rPr>
        <w:fldChar w:fldCharType="begin"/>
      </w:r>
      <w:r>
        <w:rPr>
          <w:color w:val="auto"/>
          <w:highlight w:val="none"/>
        </w:rPr>
        <w:instrText xml:space="preserve"> PAGEREF _Toc32133 \h </w:instrText>
      </w:r>
      <w:r>
        <w:rPr>
          <w:color w:val="auto"/>
          <w:highlight w:val="none"/>
        </w:rPr>
        <w:fldChar w:fldCharType="separate"/>
      </w:r>
      <w:r>
        <w:rPr>
          <w:color w:val="auto"/>
          <w:highlight w:val="none"/>
        </w:rPr>
        <w:t>242</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_Toc19888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6.6 应急预案</w:t>
      </w:r>
      <w:r>
        <w:rPr>
          <w:color w:val="auto"/>
          <w:highlight w:val="none"/>
        </w:rPr>
        <w:tab/>
      </w:r>
      <w:r>
        <w:rPr>
          <w:color w:val="auto"/>
          <w:highlight w:val="none"/>
        </w:rPr>
        <w:fldChar w:fldCharType="begin"/>
      </w:r>
      <w:r>
        <w:rPr>
          <w:color w:val="auto"/>
          <w:highlight w:val="none"/>
        </w:rPr>
        <w:instrText xml:space="preserve"> PAGEREF _Toc19888 \h </w:instrText>
      </w:r>
      <w:r>
        <w:rPr>
          <w:color w:val="auto"/>
          <w:highlight w:val="none"/>
        </w:rPr>
        <w:fldChar w:fldCharType="separate"/>
      </w:r>
      <w:r>
        <w:rPr>
          <w:color w:val="auto"/>
          <w:highlight w:val="none"/>
        </w:rPr>
        <w:t>251</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_Toc25302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6.7 环境风险评价结论</w:t>
      </w:r>
      <w:r>
        <w:rPr>
          <w:color w:val="auto"/>
          <w:highlight w:val="none"/>
        </w:rPr>
        <w:tab/>
      </w:r>
      <w:r>
        <w:rPr>
          <w:color w:val="auto"/>
          <w:highlight w:val="none"/>
        </w:rPr>
        <w:fldChar w:fldCharType="begin"/>
      </w:r>
      <w:r>
        <w:rPr>
          <w:color w:val="auto"/>
          <w:highlight w:val="none"/>
        </w:rPr>
        <w:instrText xml:space="preserve"> PAGEREF _Toc25302 \h </w:instrText>
      </w:r>
      <w:r>
        <w:rPr>
          <w:color w:val="auto"/>
          <w:highlight w:val="none"/>
        </w:rPr>
        <w:fldChar w:fldCharType="separate"/>
      </w:r>
      <w:r>
        <w:rPr>
          <w:color w:val="auto"/>
          <w:highlight w:val="none"/>
        </w:rPr>
        <w:t>257</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63"/>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_Toc32287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7 环境保护措施及其可行性论证</w:t>
      </w:r>
      <w:r>
        <w:rPr>
          <w:color w:val="auto"/>
          <w:highlight w:val="none"/>
        </w:rPr>
        <w:tab/>
      </w:r>
      <w:r>
        <w:rPr>
          <w:color w:val="auto"/>
          <w:highlight w:val="none"/>
        </w:rPr>
        <w:fldChar w:fldCharType="begin"/>
      </w:r>
      <w:r>
        <w:rPr>
          <w:color w:val="auto"/>
          <w:highlight w:val="none"/>
        </w:rPr>
        <w:instrText xml:space="preserve"> PAGEREF _Toc32287 \h </w:instrText>
      </w:r>
      <w:r>
        <w:rPr>
          <w:color w:val="auto"/>
          <w:highlight w:val="none"/>
        </w:rPr>
        <w:fldChar w:fldCharType="separate"/>
      </w:r>
      <w:r>
        <w:rPr>
          <w:color w:val="auto"/>
          <w:highlight w:val="none"/>
        </w:rPr>
        <w:t>260</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_Toc6406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7.1 施工期环境保护措施及其可行性论证</w:t>
      </w:r>
      <w:r>
        <w:rPr>
          <w:color w:val="auto"/>
          <w:highlight w:val="none"/>
        </w:rPr>
        <w:tab/>
      </w:r>
      <w:r>
        <w:rPr>
          <w:color w:val="auto"/>
          <w:highlight w:val="none"/>
        </w:rPr>
        <w:fldChar w:fldCharType="begin"/>
      </w:r>
      <w:r>
        <w:rPr>
          <w:color w:val="auto"/>
          <w:highlight w:val="none"/>
        </w:rPr>
        <w:instrText xml:space="preserve"> PAGEREF _Toc6406 \h </w:instrText>
      </w:r>
      <w:r>
        <w:rPr>
          <w:color w:val="auto"/>
          <w:highlight w:val="none"/>
        </w:rPr>
        <w:fldChar w:fldCharType="separate"/>
      </w:r>
      <w:r>
        <w:rPr>
          <w:color w:val="auto"/>
          <w:highlight w:val="none"/>
        </w:rPr>
        <w:t>260</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_Toc32381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7.2 运营期环境保护措施及其可行性论证</w:t>
      </w:r>
      <w:r>
        <w:rPr>
          <w:color w:val="auto"/>
          <w:highlight w:val="none"/>
        </w:rPr>
        <w:tab/>
      </w:r>
      <w:r>
        <w:rPr>
          <w:color w:val="auto"/>
          <w:highlight w:val="none"/>
        </w:rPr>
        <w:fldChar w:fldCharType="begin"/>
      </w:r>
      <w:r>
        <w:rPr>
          <w:color w:val="auto"/>
          <w:highlight w:val="none"/>
        </w:rPr>
        <w:instrText xml:space="preserve"> PAGEREF _Toc32381 \h </w:instrText>
      </w:r>
      <w:r>
        <w:rPr>
          <w:color w:val="auto"/>
          <w:highlight w:val="none"/>
        </w:rPr>
        <w:fldChar w:fldCharType="separate"/>
      </w:r>
      <w:r>
        <w:rPr>
          <w:color w:val="auto"/>
          <w:highlight w:val="none"/>
        </w:rPr>
        <w:t>263</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_Toc23364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7.3 环保投资估算</w:t>
      </w:r>
      <w:r>
        <w:rPr>
          <w:color w:val="auto"/>
          <w:highlight w:val="none"/>
        </w:rPr>
        <w:tab/>
      </w:r>
      <w:r>
        <w:rPr>
          <w:color w:val="auto"/>
          <w:highlight w:val="none"/>
        </w:rPr>
        <w:fldChar w:fldCharType="begin"/>
      </w:r>
      <w:r>
        <w:rPr>
          <w:color w:val="auto"/>
          <w:highlight w:val="none"/>
        </w:rPr>
        <w:instrText xml:space="preserve"> PAGEREF _Toc23364 \h </w:instrText>
      </w:r>
      <w:r>
        <w:rPr>
          <w:color w:val="auto"/>
          <w:highlight w:val="none"/>
        </w:rPr>
        <w:fldChar w:fldCharType="separate"/>
      </w:r>
      <w:r>
        <w:rPr>
          <w:color w:val="auto"/>
          <w:highlight w:val="none"/>
        </w:rPr>
        <w:t>285</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63"/>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_Toc2923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8 环境影响经济损益分析</w:t>
      </w:r>
      <w:r>
        <w:rPr>
          <w:color w:val="auto"/>
          <w:highlight w:val="none"/>
        </w:rPr>
        <w:tab/>
      </w:r>
      <w:r>
        <w:rPr>
          <w:color w:val="auto"/>
          <w:highlight w:val="none"/>
        </w:rPr>
        <w:fldChar w:fldCharType="begin"/>
      </w:r>
      <w:r>
        <w:rPr>
          <w:color w:val="auto"/>
          <w:highlight w:val="none"/>
        </w:rPr>
        <w:instrText xml:space="preserve"> PAGEREF _Toc2923 \h </w:instrText>
      </w:r>
      <w:r>
        <w:rPr>
          <w:color w:val="auto"/>
          <w:highlight w:val="none"/>
        </w:rPr>
        <w:fldChar w:fldCharType="separate"/>
      </w:r>
      <w:r>
        <w:rPr>
          <w:color w:val="auto"/>
          <w:highlight w:val="none"/>
        </w:rPr>
        <w:t>289</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_Toc23923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8.1 概述</w:t>
      </w:r>
      <w:r>
        <w:rPr>
          <w:color w:val="auto"/>
          <w:highlight w:val="none"/>
        </w:rPr>
        <w:tab/>
      </w:r>
      <w:r>
        <w:rPr>
          <w:color w:val="auto"/>
          <w:highlight w:val="none"/>
        </w:rPr>
        <w:fldChar w:fldCharType="begin"/>
      </w:r>
      <w:r>
        <w:rPr>
          <w:color w:val="auto"/>
          <w:highlight w:val="none"/>
        </w:rPr>
        <w:instrText xml:space="preserve"> PAGEREF _Toc23923 \h </w:instrText>
      </w:r>
      <w:r>
        <w:rPr>
          <w:color w:val="auto"/>
          <w:highlight w:val="none"/>
        </w:rPr>
        <w:fldChar w:fldCharType="separate"/>
      </w:r>
      <w:r>
        <w:rPr>
          <w:color w:val="auto"/>
          <w:highlight w:val="none"/>
        </w:rPr>
        <w:t>289</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_Toc2259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8.2 环境经济损益分析的目的</w:t>
      </w:r>
      <w:r>
        <w:rPr>
          <w:color w:val="auto"/>
          <w:highlight w:val="none"/>
        </w:rPr>
        <w:tab/>
      </w:r>
      <w:r>
        <w:rPr>
          <w:color w:val="auto"/>
          <w:highlight w:val="none"/>
        </w:rPr>
        <w:fldChar w:fldCharType="begin"/>
      </w:r>
      <w:r>
        <w:rPr>
          <w:color w:val="auto"/>
          <w:highlight w:val="none"/>
        </w:rPr>
        <w:instrText xml:space="preserve"> PAGEREF _Toc2259 \h </w:instrText>
      </w:r>
      <w:r>
        <w:rPr>
          <w:color w:val="auto"/>
          <w:highlight w:val="none"/>
        </w:rPr>
        <w:fldChar w:fldCharType="separate"/>
      </w:r>
      <w:r>
        <w:rPr>
          <w:color w:val="auto"/>
          <w:highlight w:val="none"/>
        </w:rPr>
        <w:t>289</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_Toc1917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8.3 环境经济损益分析的方法</w:t>
      </w:r>
      <w:r>
        <w:rPr>
          <w:color w:val="auto"/>
          <w:highlight w:val="none"/>
        </w:rPr>
        <w:tab/>
      </w:r>
      <w:r>
        <w:rPr>
          <w:color w:val="auto"/>
          <w:highlight w:val="none"/>
        </w:rPr>
        <w:fldChar w:fldCharType="begin"/>
      </w:r>
      <w:r>
        <w:rPr>
          <w:color w:val="auto"/>
          <w:highlight w:val="none"/>
        </w:rPr>
        <w:instrText xml:space="preserve"> PAGEREF _Toc1917 \h </w:instrText>
      </w:r>
      <w:r>
        <w:rPr>
          <w:color w:val="auto"/>
          <w:highlight w:val="none"/>
        </w:rPr>
        <w:fldChar w:fldCharType="separate"/>
      </w:r>
      <w:r>
        <w:rPr>
          <w:color w:val="auto"/>
          <w:highlight w:val="none"/>
        </w:rPr>
        <w:t>289</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_Toc6545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8.4 项目经济效益分析</w:t>
      </w:r>
      <w:r>
        <w:rPr>
          <w:color w:val="auto"/>
          <w:highlight w:val="none"/>
        </w:rPr>
        <w:tab/>
      </w:r>
      <w:r>
        <w:rPr>
          <w:color w:val="auto"/>
          <w:highlight w:val="none"/>
        </w:rPr>
        <w:fldChar w:fldCharType="begin"/>
      </w:r>
      <w:r>
        <w:rPr>
          <w:color w:val="auto"/>
          <w:highlight w:val="none"/>
        </w:rPr>
        <w:instrText xml:space="preserve"> PAGEREF _Toc6545 \h </w:instrText>
      </w:r>
      <w:r>
        <w:rPr>
          <w:color w:val="auto"/>
          <w:highlight w:val="none"/>
        </w:rPr>
        <w:fldChar w:fldCharType="separate"/>
      </w:r>
      <w:r>
        <w:rPr>
          <w:color w:val="auto"/>
          <w:highlight w:val="none"/>
        </w:rPr>
        <w:t>289</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_Toc18378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8.5 项目社会效益分析</w:t>
      </w:r>
      <w:r>
        <w:rPr>
          <w:color w:val="auto"/>
          <w:highlight w:val="none"/>
        </w:rPr>
        <w:tab/>
      </w:r>
      <w:r>
        <w:rPr>
          <w:color w:val="auto"/>
          <w:highlight w:val="none"/>
        </w:rPr>
        <w:fldChar w:fldCharType="begin"/>
      </w:r>
      <w:r>
        <w:rPr>
          <w:color w:val="auto"/>
          <w:highlight w:val="none"/>
        </w:rPr>
        <w:instrText xml:space="preserve"> PAGEREF _Toc18378 \h </w:instrText>
      </w:r>
      <w:r>
        <w:rPr>
          <w:color w:val="auto"/>
          <w:highlight w:val="none"/>
        </w:rPr>
        <w:fldChar w:fldCharType="separate"/>
      </w:r>
      <w:r>
        <w:rPr>
          <w:color w:val="auto"/>
          <w:highlight w:val="none"/>
        </w:rPr>
        <w:t>290</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_Toc9138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8.6 项目生态效益分析</w:t>
      </w:r>
      <w:r>
        <w:rPr>
          <w:color w:val="auto"/>
          <w:highlight w:val="none"/>
        </w:rPr>
        <w:tab/>
      </w:r>
      <w:r>
        <w:rPr>
          <w:color w:val="auto"/>
          <w:highlight w:val="none"/>
        </w:rPr>
        <w:fldChar w:fldCharType="begin"/>
      </w:r>
      <w:r>
        <w:rPr>
          <w:color w:val="auto"/>
          <w:highlight w:val="none"/>
        </w:rPr>
        <w:instrText xml:space="preserve"> PAGEREF _Toc9138 \h </w:instrText>
      </w:r>
      <w:r>
        <w:rPr>
          <w:color w:val="auto"/>
          <w:highlight w:val="none"/>
        </w:rPr>
        <w:fldChar w:fldCharType="separate"/>
      </w:r>
      <w:r>
        <w:rPr>
          <w:color w:val="auto"/>
          <w:highlight w:val="none"/>
        </w:rPr>
        <w:t>291</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_Toc24688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8.7 环境经济损益分析</w:t>
      </w:r>
      <w:r>
        <w:rPr>
          <w:color w:val="auto"/>
          <w:highlight w:val="none"/>
        </w:rPr>
        <w:tab/>
      </w:r>
      <w:r>
        <w:rPr>
          <w:color w:val="auto"/>
          <w:highlight w:val="none"/>
        </w:rPr>
        <w:fldChar w:fldCharType="begin"/>
      </w:r>
      <w:r>
        <w:rPr>
          <w:color w:val="auto"/>
          <w:highlight w:val="none"/>
        </w:rPr>
        <w:instrText xml:space="preserve"> PAGEREF _Toc24688 \h </w:instrText>
      </w:r>
      <w:r>
        <w:rPr>
          <w:color w:val="auto"/>
          <w:highlight w:val="none"/>
        </w:rPr>
        <w:fldChar w:fldCharType="separate"/>
      </w:r>
      <w:r>
        <w:rPr>
          <w:color w:val="auto"/>
          <w:highlight w:val="none"/>
        </w:rPr>
        <w:t>291</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_Toc29180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8.8 环境综合效益分析</w:t>
      </w:r>
      <w:r>
        <w:rPr>
          <w:color w:val="auto"/>
          <w:highlight w:val="none"/>
        </w:rPr>
        <w:tab/>
      </w:r>
      <w:r>
        <w:rPr>
          <w:color w:val="auto"/>
          <w:highlight w:val="none"/>
        </w:rPr>
        <w:fldChar w:fldCharType="begin"/>
      </w:r>
      <w:r>
        <w:rPr>
          <w:color w:val="auto"/>
          <w:highlight w:val="none"/>
        </w:rPr>
        <w:instrText xml:space="preserve"> PAGEREF _Toc29180 \h </w:instrText>
      </w:r>
      <w:r>
        <w:rPr>
          <w:color w:val="auto"/>
          <w:highlight w:val="none"/>
        </w:rPr>
        <w:fldChar w:fldCharType="separate"/>
      </w:r>
      <w:r>
        <w:rPr>
          <w:color w:val="auto"/>
          <w:highlight w:val="none"/>
        </w:rPr>
        <w:t>294</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63"/>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_Toc2483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9 环境管理与监测计划</w:t>
      </w:r>
      <w:r>
        <w:rPr>
          <w:color w:val="auto"/>
          <w:highlight w:val="none"/>
        </w:rPr>
        <w:tab/>
      </w:r>
      <w:r>
        <w:rPr>
          <w:color w:val="auto"/>
          <w:highlight w:val="none"/>
        </w:rPr>
        <w:fldChar w:fldCharType="begin"/>
      </w:r>
      <w:r>
        <w:rPr>
          <w:color w:val="auto"/>
          <w:highlight w:val="none"/>
        </w:rPr>
        <w:instrText xml:space="preserve"> PAGEREF _Toc2483 \h </w:instrText>
      </w:r>
      <w:r>
        <w:rPr>
          <w:color w:val="auto"/>
          <w:highlight w:val="none"/>
        </w:rPr>
        <w:fldChar w:fldCharType="separate"/>
      </w:r>
      <w:r>
        <w:rPr>
          <w:color w:val="auto"/>
          <w:highlight w:val="none"/>
        </w:rPr>
        <w:t>295</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_Toc12037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9.1 环境管理</w:t>
      </w:r>
      <w:r>
        <w:rPr>
          <w:color w:val="auto"/>
          <w:highlight w:val="none"/>
        </w:rPr>
        <w:tab/>
      </w:r>
      <w:r>
        <w:rPr>
          <w:color w:val="auto"/>
          <w:highlight w:val="none"/>
        </w:rPr>
        <w:fldChar w:fldCharType="begin"/>
      </w:r>
      <w:r>
        <w:rPr>
          <w:color w:val="auto"/>
          <w:highlight w:val="none"/>
        </w:rPr>
        <w:instrText xml:space="preserve"> PAGEREF _Toc12037 \h </w:instrText>
      </w:r>
      <w:r>
        <w:rPr>
          <w:color w:val="auto"/>
          <w:highlight w:val="none"/>
        </w:rPr>
        <w:fldChar w:fldCharType="separate"/>
      </w:r>
      <w:r>
        <w:rPr>
          <w:color w:val="auto"/>
          <w:highlight w:val="none"/>
        </w:rPr>
        <w:t>295</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_Toc10389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9.2 环境监测</w:t>
      </w:r>
      <w:r>
        <w:rPr>
          <w:color w:val="auto"/>
          <w:highlight w:val="none"/>
        </w:rPr>
        <w:tab/>
      </w:r>
      <w:r>
        <w:rPr>
          <w:color w:val="auto"/>
          <w:highlight w:val="none"/>
        </w:rPr>
        <w:fldChar w:fldCharType="begin"/>
      </w:r>
      <w:r>
        <w:rPr>
          <w:color w:val="auto"/>
          <w:highlight w:val="none"/>
        </w:rPr>
        <w:instrText xml:space="preserve"> PAGEREF _Toc10389 \h </w:instrText>
      </w:r>
      <w:r>
        <w:rPr>
          <w:color w:val="auto"/>
          <w:highlight w:val="none"/>
        </w:rPr>
        <w:fldChar w:fldCharType="separate"/>
      </w:r>
      <w:r>
        <w:rPr>
          <w:color w:val="auto"/>
          <w:highlight w:val="none"/>
        </w:rPr>
        <w:t>302</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_Toc16672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9.3 排污口规范化管理</w:t>
      </w:r>
      <w:r>
        <w:rPr>
          <w:color w:val="auto"/>
          <w:highlight w:val="none"/>
        </w:rPr>
        <w:tab/>
      </w:r>
      <w:r>
        <w:rPr>
          <w:color w:val="auto"/>
          <w:highlight w:val="none"/>
        </w:rPr>
        <w:fldChar w:fldCharType="begin"/>
      </w:r>
      <w:r>
        <w:rPr>
          <w:color w:val="auto"/>
          <w:highlight w:val="none"/>
        </w:rPr>
        <w:instrText xml:space="preserve"> PAGEREF _Toc16672 \h </w:instrText>
      </w:r>
      <w:r>
        <w:rPr>
          <w:color w:val="auto"/>
          <w:highlight w:val="none"/>
        </w:rPr>
        <w:fldChar w:fldCharType="separate"/>
      </w:r>
      <w:r>
        <w:rPr>
          <w:color w:val="auto"/>
          <w:highlight w:val="none"/>
        </w:rPr>
        <w:t>305</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_Toc13345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9.4 总量控制</w:t>
      </w:r>
      <w:r>
        <w:rPr>
          <w:color w:val="auto"/>
          <w:highlight w:val="none"/>
        </w:rPr>
        <w:tab/>
      </w:r>
      <w:r>
        <w:rPr>
          <w:color w:val="auto"/>
          <w:highlight w:val="none"/>
        </w:rPr>
        <w:fldChar w:fldCharType="begin"/>
      </w:r>
      <w:r>
        <w:rPr>
          <w:color w:val="auto"/>
          <w:highlight w:val="none"/>
        </w:rPr>
        <w:instrText xml:space="preserve"> PAGEREF _Toc13345 \h </w:instrText>
      </w:r>
      <w:r>
        <w:rPr>
          <w:color w:val="auto"/>
          <w:highlight w:val="none"/>
        </w:rPr>
        <w:fldChar w:fldCharType="separate"/>
      </w:r>
      <w:r>
        <w:rPr>
          <w:color w:val="auto"/>
          <w:highlight w:val="none"/>
        </w:rPr>
        <w:t>308</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_Toc29807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9.5 竣工环境保护验收</w:t>
      </w:r>
      <w:r>
        <w:rPr>
          <w:color w:val="auto"/>
          <w:highlight w:val="none"/>
        </w:rPr>
        <w:tab/>
      </w:r>
      <w:r>
        <w:rPr>
          <w:color w:val="auto"/>
          <w:highlight w:val="none"/>
        </w:rPr>
        <w:fldChar w:fldCharType="begin"/>
      </w:r>
      <w:r>
        <w:rPr>
          <w:color w:val="auto"/>
          <w:highlight w:val="none"/>
        </w:rPr>
        <w:instrText xml:space="preserve"> PAGEREF _Toc29807 \h </w:instrText>
      </w:r>
      <w:r>
        <w:rPr>
          <w:color w:val="auto"/>
          <w:highlight w:val="none"/>
        </w:rPr>
        <w:fldChar w:fldCharType="separate"/>
      </w:r>
      <w:r>
        <w:rPr>
          <w:color w:val="auto"/>
          <w:highlight w:val="none"/>
        </w:rPr>
        <w:t>309</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45"/>
        <w:tabs>
          <w:tab w:val="right" w:leader="dot" w:pos="8306"/>
        </w:tabs>
        <w:rPr>
          <w:color w:val="auto"/>
          <w:highlight w:val="none"/>
        </w:rPr>
      </w:pPr>
    </w:p>
    <w:p>
      <w:pPr>
        <w:pStyle w:val="63"/>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_Toc793 </w:instrText>
      </w:r>
      <w:r>
        <w:rPr>
          <w:rFonts w:hint="default" w:ascii="Times New Roman" w:hAnsi="Times New Roman" w:eastAsia="宋体" w:cs="Times New Roman"/>
          <w:color w:val="auto"/>
          <w:szCs w:val="24"/>
          <w:highlight w:val="none"/>
        </w:rPr>
        <w:fldChar w:fldCharType="separate"/>
      </w:r>
      <w:r>
        <w:rPr>
          <w:rFonts w:cs="Times New Roman"/>
          <w:color w:val="auto"/>
          <w:highlight w:val="none"/>
        </w:rPr>
        <w:t>10 环境影响评价结论</w:t>
      </w:r>
      <w:r>
        <w:rPr>
          <w:color w:val="auto"/>
          <w:highlight w:val="none"/>
        </w:rPr>
        <w:tab/>
      </w:r>
      <w:r>
        <w:rPr>
          <w:color w:val="auto"/>
          <w:highlight w:val="none"/>
        </w:rPr>
        <w:fldChar w:fldCharType="begin"/>
      </w:r>
      <w:r>
        <w:rPr>
          <w:color w:val="auto"/>
          <w:highlight w:val="none"/>
        </w:rPr>
        <w:instrText xml:space="preserve"> PAGEREF _Toc793 \h </w:instrText>
      </w:r>
      <w:r>
        <w:rPr>
          <w:color w:val="auto"/>
          <w:highlight w:val="none"/>
        </w:rPr>
        <w:fldChar w:fldCharType="separate"/>
      </w:r>
      <w:r>
        <w:rPr>
          <w:color w:val="auto"/>
          <w:highlight w:val="none"/>
        </w:rPr>
        <w:t>316</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_Toc22702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10.1 项目概况</w:t>
      </w:r>
      <w:r>
        <w:rPr>
          <w:color w:val="auto"/>
          <w:highlight w:val="none"/>
        </w:rPr>
        <w:tab/>
      </w:r>
      <w:r>
        <w:rPr>
          <w:color w:val="auto"/>
          <w:highlight w:val="none"/>
        </w:rPr>
        <w:fldChar w:fldCharType="begin"/>
      </w:r>
      <w:r>
        <w:rPr>
          <w:color w:val="auto"/>
          <w:highlight w:val="none"/>
        </w:rPr>
        <w:instrText xml:space="preserve"> PAGEREF _Toc22702 \h </w:instrText>
      </w:r>
      <w:r>
        <w:rPr>
          <w:color w:val="auto"/>
          <w:highlight w:val="none"/>
        </w:rPr>
        <w:fldChar w:fldCharType="separate"/>
      </w:r>
      <w:r>
        <w:rPr>
          <w:color w:val="auto"/>
          <w:highlight w:val="none"/>
        </w:rPr>
        <w:t>316</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_Toc6801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10.2 环境影响评价结论</w:t>
      </w:r>
      <w:r>
        <w:rPr>
          <w:color w:val="auto"/>
          <w:highlight w:val="none"/>
        </w:rPr>
        <w:tab/>
      </w:r>
      <w:r>
        <w:rPr>
          <w:color w:val="auto"/>
          <w:highlight w:val="none"/>
        </w:rPr>
        <w:fldChar w:fldCharType="begin"/>
      </w:r>
      <w:r>
        <w:rPr>
          <w:color w:val="auto"/>
          <w:highlight w:val="none"/>
        </w:rPr>
        <w:instrText xml:space="preserve"> PAGEREF _Toc6801 \h </w:instrText>
      </w:r>
      <w:r>
        <w:rPr>
          <w:color w:val="auto"/>
          <w:highlight w:val="none"/>
        </w:rPr>
        <w:fldChar w:fldCharType="separate"/>
      </w:r>
      <w:r>
        <w:rPr>
          <w:color w:val="auto"/>
          <w:highlight w:val="none"/>
        </w:rPr>
        <w:t>316</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pStyle w:val="78"/>
        <w:tabs>
          <w:tab w:val="right" w:leader="dot" w:pos="8306"/>
        </w:tabs>
        <w:rPr>
          <w:color w:val="auto"/>
          <w:highlight w:val="none"/>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_Toc5995 </w:instrText>
      </w:r>
      <w:r>
        <w:rPr>
          <w:rFonts w:hint="default" w:ascii="Times New Roman" w:hAnsi="Times New Roman" w:eastAsia="宋体" w:cs="Times New Roman"/>
          <w:color w:val="auto"/>
          <w:szCs w:val="24"/>
          <w:highlight w:val="none"/>
        </w:rPr>
        <w:fldChar w:fldCharType="separate"/>
      </w:r>
      <w:r>
        <w:rPr>
          <w:rFonts w:hint="eastAsia" w:ascii="Times New Roman" w:hAnsi="Times New Roman" w:eastAsia="宋体" w:cs="Times New Roman"/>
          <w:color w:val="auto"/>
          <w:highlight w:val="none"/>
          <w:lang w:val="en-US" w:eastAsia="zh-CN"/>
        </w:rPr>
        <w:t>10.3 建议及要求</w:t>
      </w:r>
      <w:r>
        <w:rPr>
          <w:color w:val="auto"/>
          <w:highlight w:val="none"/>
        </w:rPr>
        <w:tab/>
      </w:r>
      <w:r>
        <w:rPr>
          <w:color w:val="auto"/>
          <w:highlight w:val="none"/>
        </w:rPr>
        <w:fldChar w:fldCharType="begin"/>
      </w:r>
      <w:r>
        <w:rPr>
          <w:color w:val="auto"/>
          <w:highlight w:val="none"/>
        </w:rPr>
        <w:instrText xml:space="preserve"> PAGEREF _Toc5995 \h </w:instrText>
      </w:r>
      <w:r>
        <w:rPr>
          <w:color w:val="auto"/>
          <w:highlight w:val="none"/>
        </w:rPr>
        <w:fldChar w:fldCharType="separate"/>
      </w:r>
      <w:r>
        <w:rPr>
          <w:color w:val="auto"/>
          <w:highlight w:val="none"/>
        </w:rPr>
        <w:t>320</w:t>
      </w:r>
      <w:r>
        <w:rPr>
          <w:color w:val="auto"/>
          <w:highlight w:val="none"/>
        </w:rPr>
        <w:fldChar w:fldCharType="end"/>
      </w:r>
      <w:r>
        <w:rPr>
          <w:rFonts w:hint="default" w:ascii="Times New Roman" w:hAnsi="Times New Roman" w:eastAsia="宋体" w:cs="Times New Roman"/>
          <w:color w:val="auto"/>
          <w:szCs w:val="24"/>
          <w:highlight w:val="none"/>
        </w:rPr>
        <w:fldChar w:fldCharType="end"/>
      </w:r>
    </w:p>
    <w:p>
      <w:pPr>
        <w:widowControl/>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end"/>
      </w:r>
    </w:p>
    <w:p>
      <w:pPr>
        <w:widowControl/>
        <w:spacing w:line="240" w:lineRule="auto"/>
        <w:jc w:val="left"/>
        <w:rPr>
          <w:rFonts w:ascii="Times New Roman" w:hAnsi="Times New Roman" w:cs="Times New Roman"/>
          <w:color w:val="auto"/>
          <w:highlight w:val="none"/>
        </w:rPr>
      </w:pPr>
      <w:r>
        <w:rPr>
          <w:rFonts w:ascii="Times New Roman" w:hAnsi="Times New Roman" w:cs="Times New Roman"/>
          <w:color w:val="auto"/>
          <w:highlight w:val="none"/>
        </w:rPr>
        <w:t>附图</w:t>
      </w:r>
    </w:p>
    <w:p>
      <w:pPr>
        <w:rPr>
          <w:rFonts w:ascii="Times New Roman" w:hAnsi="Times New Roman" w:cs="Times New Roman"/>
          <w:color w:val="auto"/>
          <w:highlight w:val="none"/>
        </w:rPr>
      </w:pPr>
      <w:r>
        <w:rPr>
          <w:rFonts w:hint="eastAsia" w:ascii="Times New Roman" w:hAnsi="Times New Roman" w:cs="Times New Roman"/>
          <w:color w:val="auto"/>
          <w:highlight w:val="none"/>
        </w:rPr>
        <w:t xml:space="preserve">附图1  </w:t>
      </w:r>
      <w:r>
        <w:rPr>
          <w:rFonts w:hint="eastAsia" w:ascii="Times New Roman" w:hAnsi="Times New Roman" w:cs="Times New Roman"/>
          <w:color w:val="auto"/>
          <w:highlight w:val="none"/>
          <w:lang w:eastAsia="zh-CN"/>
        </w:rPr>
        <w:t>项目</w:t>
      </w:r>
      <w:r>
        <w:rPr>
          <w:rFonts w:hint="eastAsia" w:ascii="Times New Roman" w:hAnsi="Times New Roman" w:cs="Times New Roman"/>
          <w:color w:val="auto"/>
          <w:highlight w:val="none"/>
        </w:rPr>
        <w:t>地理位置图</w:t>
      </w:r>
    </w:p>
    <w:p>
      <w:pP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rPr>
        <w:t>附图2</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项目土地利用规划图</w:t>
      </w:r>
    </w:p>
    <w:p>
      <w:pP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rPr>
        <w:t>附图2</w:t>
      </w:r>
      <w:r>
        <w:rPr>
          <w:rFonts w:hint="eastAsia" w:ascii="Times New Roman" w:hAnsi="Times New Roman" w:cs="Times New Roman"/>
          <w:color w:val="auto"/>
          <w:highlight w:val="none"/>
          <w:lang w:val="en-US" w:eastAsia="zh-CN"/>
        </w:rPr>
        <w:t>-2</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本项目与三区三线基本农田位置关系图</w:t>
      </w:r>
    </w:p>
    <w:p>
      <w:pP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rPr>
        <w:t>附图2</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本项目与周边饮用水源保护区位置关系图</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附图2-4  本项目与巴州区饮用水水源保护区禁养区位置关系图</w:t>
      </w:r>
    </w:p>
    <w:p>
      <w:pP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附图2-5  本项目与巴州区畜禽养殖禁养区位置关系图</w:t>
      </w:r>
    </w:p>
    <w:p>
      <w:pP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附图2-6 本项目与巴中市地表水功能区位置关系图</w:t>
      </w:r>
    </w:p>
    <w:p>
      <w:pP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rPr>
        <w:t>附图3</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项目</w:t>
      </w:r>
      <w:r>
        <w:rPr>
          <w:rFonts w:hint="eastAsia" w:ascii="Times New Roman" w:hAnsi="Times New Roman" w:cs="Times New Roman"/>
          <w:color w:val="auto"/>
          <w:highlight w:val="none"/>
        </w:rPr>
        <w:t>监测布点图</w:t>
      </w:r>
      <w:r>
        <w:rPr>
          <w:rFonts w:hint="eastAsia" w:ascii="Times New Roman" w:hAnsi="Times New Roman" w:cs="Times New Roman"/>
          <w:color w:val="auto"/>
          <w:highlight w:val="none"/>
          <w:lang w:eastAsia="zh-CN"/>
        </w:rPr>
        <w:t>（大气、噪声、地下水、土壤）</w:t>
      </w:r>
    </w:p>
    <w:p>
      <w:pPr>
        <w:rPr>
          <w:rFonts w:hint="eastAsia"/>
          <w:color w:val="auto"/>
          <w:highlight w:val="none"/>
          <w:lang w:eastAsia="zh-CN"/>
        </w:rPr>
      </w:pPr>
      <w:r>
        <w:rPr>
          <w:rFonts w:hint="eastAsia" w:ascii="Times New Roman" w:hAnsi="Times New Roman" w:cs="Times New Roman"/>
          <w:color w:val="auto"/>
          <w:highlight w:val="none"/>
        </w:rPr>
        <w:t>附图3</w:t>
      </w:r>
      <w:r>
        <w:rPr>
          <w:rFonts w:hint="eastAsia" w:ascii="Times New Roman" w:hAnsi="Times New Roman" w:cs="Times New Roman"/>
          <w:color w:val="auto"/>
          <w:highlight w:val="none"/>
          <w:lang w:val="en-US" w:eastAsia="zh-CN"/>
        </w:rPr>
        <w:t>-2</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项目</w:t>
      </w:r>
      <w:r>
        <w:rPr>
          <w:rFonts w:hint="eastAsia" w:ascii="Times New Roman" w:hAnsi="Times New Roman" w:cs="Times New Roman"/>
          <w:color w:val="auto"/>
          <w:highlight w:val="none"/>
        </w:rPr>
        <w:t>监测布点图</w:t>
      </w:r>
      <w:r>
        <w:rPr>
          <w:rFonts w:hint="eastAsia" w:ascii="Times New Roman" w:hAnsi="Times New Roman" w:cs="Times New Roman"/>
          <w:color w:val="auto"/>
          <w:highlight w:val="none"/>
          <w:lang w:eastAsia="zh-CN"/>
        </w:rPr>
        <w:t>（补充监测）</w:t>
      </w:r>
    </w:p>
    <w:p>
      <w:pP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rPr>
        <w:t>附图4</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项目外环境关系图</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附图4-2  项目大气评价范围内敏感点关系图</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附图4-3  项目噪声评价范围内敏感点关系图</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附图4-4  项目地下水评价范围内敏感点关系图</w:t>
      </w:r>
    </w:p>
    <w:p>
      <w:pPr>
        <w:rPr>
          <w:rFonts w:ascii="Times New Roman" w:hAnsi="Times New Roman" w:cs="Times New Roman"/>
          <w:color w:val="auto"/>
          <w:highlight w:val="none"/>
        </w:rPr>
      </w:pPr>
      <w:r>
        <w:rPr>
          <w:rFonts w:hint="eastAsia" w:ascii="Times New Roman" w:hAnsi="Times New Roman" w:cs="Times New Roman"/>
          <w:color w:val="auto"/>
          <w:highlight w:val="none"/>
        </w:rPr>
        <w:t>附图</w:t>
      </w:r>
      <w:r>
        <w:rPr>
          <w:rFonts w:hint="eastAsia" w:ascii="Times New Roman" w:hAnsi="Times New Roman" w:cs="Times New Roman"/>
          <w:color w:val="auto"/>
          <w:highlight w:val="none"/>
          <w:lang w:val="en-US" w:eastAsia="zh-CN"/>
        </w:rPr>
        <w:t>5</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项目</w:t>
      </w:r>
      <w:r>
        <w:rPr>
          <w:rFonts w:hint="eastAsia" w:ascii="Times New Roman" w:hAnsi="Times New Roman" w:cs="Times New Roman"/>
          <w:color w:val="auto"/>
          <w:highlight w:val="none"/>
        </w:rPr>
        <w:t>平面布置图</w:t>
      </w:r>
    </w:p>
    <w:p>
      <w:pPr>
        <w:rPr>
          <w:rFonts w:ascii="Times New Roman" w:hAnsi="Times New Roman" w:cs="Times New Roman"/>
          <w:color w:val="auto"/>
          <w:highlight w:val="none"/>
        </w:rPr>
      </w:pPr>
      <w:r>
        <w:rPr>
          <w:rFonts w:hint="eastAsia" w:ascii="Times New Roman" w:hAnsi="Times New Roman" w:cs="Times New Roman"/>
          <w:color w:val="auto"/>
          <w:highlight w:val="none"/>
        </w:rPr>
        <w:t>附图</w:t>
      </w:r>
      <w:r>
        <w:rPr>
          <w:rFonts w:hint="eastAsia" w:ascii="Times New Roman" w:hAnsi="Times New Roman" w:cs="Times New Roman"/>
          <w:color w:val="auto"/>
          <w:highlight w:val="none"/>
          <w:lang w:val="en-US" w:eastAsia="zh-CN"/>
        </w:rPr>
        <w:t>6</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项目</w:t>
      </w:r>
      <w:r>
        <w:rPr>
          <w:rFonts w:hint="eastAsia" w:ascii="Times New Roman" w:hAnsi="Times New Roman" w:cs="Times New Roman"/>
          <w:color w:val="auto"/>
          <w:highlight w:val="none"/>
        </w:rPr>
        <w:t>分区防渗区</w:t>
      </w:r>
    </w:p>
    <w:p>
      <w:pPr>
        <w:rPr>
          <w:rFonts w:ascii="Times New Roman" w:hAnsi="Times New Roman" w:cs="Times New Roman"/>
          <w:color w:val="auto"/>
          <w:highlight w:val="none"/>
        </w:rPr>
      </w:pPr>
      <w:r>
        <w:rPr>
          <w:rFonts w:hint="eastAsia" w:ascii="Times New Roman" w:hAnsi="Times New Roman" w:cs="Times New Roman"/>
          <w:color w:val="auto"/>
          <w:highlight w:val="none"/>
        </w:rPr>
        <w:t>附图</w:t>
      </w:r>
      <w:r>
        <w:rPr>
          <w:rFonts w:hint="eastAsia" w:ascii="Times New Roman" w:hAnsi="Times New Roman" w:cs="Times New Roman"/>
          <w:color w:val="auto"/>
          <w:highlight w:val="none"/>
          <w:lang w:val="en-US" w:eastAsia="zh-CN"/>
        </w:rPr>
        <w:t>7</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本项目</w:t>
      </w:r>
      <w:r>
        <w:rPr>
          <w:rFonts w:hint="eastAsia" w:ascii="Times New Roman" w:hAnsi="Times New Roman" w:cs="Times New Roman"/>
          <w:color w:val="auto"/>
          <w:highlight w:val="none"/>
        </w:rPr>
        <w:t>卫生防护距离图</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附图</w:t>
      </w:r>
      <w:r>
        <w:rPr>
          <w:rFonts w:hint="eastAsia" w:ascii="Times New Roman" w:hAnsi="Times New Roman" w:cs="Times New Roman"/>
          <w:color w:val="auto"/>
          <w:highlight w:val="none"/>
          <w:lang w:val="en-US" w:eastAsia="zh-CN"/>
        </w:rPr>
        <w:t>8</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巴州区水系</w:t>
      </w:r>
      <w:r>
        <w:rPr>
          <w:rFonts w:hint="eastAsia" w:ascii="Times New Roman" w:hAnsi="Times New Roman" w:cs="Times New Roman"/>
          <w:color w:val="auto"/>
          <w:highlight w:val="none"/>
        </w:rPr>
        <w:t>图</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附图</w:t>
      </w:r>
      <w:r>
        <w:rPr>
          <w:rFonts w:hint="eastAsia" w:ascii="Times New Roman" w:hAnsi="Times New Roman" w:cs="Times New Roman"/>
          <w:color w:val="auto"/>
          <w:highlight w:val="none"/>
          <w:lang w:val="en-US" w:eastAsia="zh-CN"/>
        </w:rPr>
        <w:t>9</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项目</w:t>
      </w:r>
      <w:r>
        <w:rPr>
          <w:rFonts w:hint="eastAsia" w:ascii="Times New Roman" w:hAnsi="Times New Roman" w:cs="Times New Roman"/>
          <w:color w:val="auto"/>
          <w:highlight w:val="none"/>
        </w:rPr>
        <w:t>水文地质图</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附图</w:t>
      </w:r>
      <w:r>
        <w:rPr>
          <w:rFonts w:hint="eastAsia" w:ascii="Times New Roman" w:hAnsi="Times New Roman" w:cs="Times New Roman"/>
          <w:color w:val="auto"/>
          <w:highlight w:val="none"/>
          <w:lang w:val="en-US" w:eastAsia="zh-CN"/>
        </w:rPr>
        <w:t>10</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本项目与生态红线位置图</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附图</w:t>
      </w:r>
      <w:r>
        <w:rPr>
          <w:rFonts w:hint="eastAsia" w:ascii="Times New Roman" w:hAnsi="Times New Roman" w:cs="Times New Roman"/>
          <w:color w:val="auto"/>
          <w:highlight w:val="none"/>
          <w:lang w:val="en-US" w:eastAsia="zh-CN"/>
        </w:rPr>
        <w:t>11</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本项目灌溉区域位置及管网布置</w:t>
      </w:r>
      <w:r>
        <w:rPr>
          <w:rFonts w:hint="eastAsia" w:ascii="Times New Roman" w:hAnsi="Times New Roman" w:cs="Times New Roman"/>
          <w:color w:val="auto"/>
          <w:highlight w:val="none"/>
        </w:rPr>
        <w:t>图</w:t>
      </w:r>
    </w:p>
    <w:p>
      <w:pPr>
        <w:pStyle w:val="2"/>
        <w:ind w:left="0" w:leftChars="0" w:firstLine="0" w:firstLineChars="0"/>
        <w:rPr>
          <w:rFonts w:hint="eastAsia"/>
          <w:color w:val="auto"/>
          <w:highlight w:val="none"/>
        </w:rPr>
      </w:pPr>
    </w:p>
    <w:p>
      <w:pPr>
        <w:pStyle w:val="114"/>
        <w:rPr>
          <w:color w:val="auto"/>
          <w:highlight w:val="none"/>
        </w:rPr>
      </w:pPr>
    </w:p>
    <w:p>
      <w:pPr>
        <w:rPr>
          <w:rFonts w:ascii="Times New Roman" w:hAnsi="Times New Roman" w:cs="Times New Roman"/>
          <w:color w:val="auto"/>
          <w:highlight w:val="none"/>
        </w:rPr>
      </w:pPr>
      <w:r>
        <w:rPr>
          <w:rFonts w:hint="eastAsia" w:ascii="Times New Roman" w:hAnsi="Times New Roman" w:cs="Times New Roman"/>
          <w:color w:val="auto"/>
          <w:highlight w:val="none"/>
        </w:rPr>
        <w:t>附件</w:t>
      </w:r>
    </w:p>
    <w:p>
      <w:pPr>
        <w:rPr>
          <w:rFonts w:ascii="Times New Roman" w:hAnsi="Times New Roman" w:cs="Times New Roman"/>
          <w:color w:val="auto"/>
          <w:highlight w:val="none"/>
        </w:rPr>
      </w:pPr>
      <w:r>
        <w:rPr>
          <w:rFonts w:hint="eastAsia" w:ascii="Times New Roman" w:hAnsi="Times New Roman" w:cs="Times New Roman"/>
          <w:color w:val="auto"/>
          <w:highlight w:val="none"/>
        </w:rPr>
        <w:t>附件1  环评委托书</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附件2</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rPr>
        <w:t xml:space="preserve">  四川省固定资产投资项目备案表</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附件2-2 育肥场出栏量情况说明</w:t>
      </w:r>
    </w:p>
    <w:p>
      <w:pPr>
        <w:rPr>
          <w:rFonts w:hint="eastAsia"/>
          <w:color w:val="auto"/>
          <w:highlight w:val="none"/>
        </w:rPr>
      </w:pPr>
      <w:r>
        <w:rPr>
          <w:rFonts w:hint="eastAsia" w:ascii="Times New Roman" w:hAnsi="Times New Roman" w:cs="Times New Roman"/>
          <w:color w:val="auto"/>
          <w:highlight w:val="none"/>
        </w:rPr>
        <w:t xml:space="preserve">附件3  </w:t>
      </w:r>
      <w:r>
        <w:rPr>
          <w:rFonts w:hint="eastAsia" w:ascii="Times New Roman" w:hAnsi="Times New Roman" w:cs="Times New Roman"/>
          <w:color w:val="auto"/>
          <w:highlight w:val="none"/>
          <w:lang w:eastAsia="zh-CN"/>
        </w:rPr>
        <w:t>营业执照</w:t>
      </w:r>
    </w:p>
    <w:p>
      <w:pP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附件4-1  用地备案表</w:t>
      </w:r>
    </w:p>
    <w:p>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附件4-2 农灌用地性质说明</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附件</w:t>
      </w:r>
      <w:r>
        <w:rPr>
          <w:rFonts w:hint="eastAsia" w:ascii="Times New Roman" w:hAnsi="Times New Roman" w:cs="Times New Roman"/>
          <w:color w:val="auto"/>
          <w:highlight w:val="none"/>
          <w:lang w:val="en-US" w:eastAsia="zh-CN"/>
        </w:rPr>
        <w:t>5</w:t>
      </w:r>
      <w:r>
        <w:rPr>
          <w:rFonts w:hint="eastAsia" w:ascii="Times New Roman" w:hAnsi="Times New Roman" w:cs="Times New Roman"/>
          <w:color w:val="auto"/>
          <w:highlight w:val="none"/>
        </w:rPr>
        <w:t xml:space="preserve">  土地流转合同</w:t>
      </w:r>
    </w:p>
    <w:p>
      <w:pPr>
        <w:rPr>
          <w:color w:val="auto"/>
          <w:highlight w:val="none"/>
        </w:rPr>
      </w:pPr>
      <w:r>
        <w:rPr>
          <w:rFonts w:hint="eastAsia" w:ascii="Times New Roman" w:hAnsi="Times New Roman" w:cs="Times New Roman"/>
          <w:color w:val="auto"/>
          <w:highlight w:val="none"/>
        </w:rPr>
        <w:t>附件</w:t>
      </w:r>
      <w:r>
        <w:rPr>
          <w:rFonts w:hint="eastAsia" w:ascii="Times New Roman" w:hAnsi="Times New Roman" w:cs="Times New Roman"/>
          <w:color w:val="auto"/>
          <w:highlight w:val="none"/>
          <w:lang w:val="en-US" w:eastAsia="zh-CN"/>
        </w:rPr>
        <w:t>6</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巴州区</w:t>
      </w:r>
      <w:r>
        <w:rPr>
          <w:rFonts w:hint="eastAsia" w:ascii="Times New Roman" w:hAnsi="Times New Roman" w:cs="Times New Roman"/>
          <w:color w:val="auto"/>
          <w:highlight w:val="none"/>
        </w:rPr>
        <w:t>禁养区文件</w:t>
      </w:r>
    </w:p>
    <w:p>
      <w:pP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rPr>
        <w:t>附件</w:t>
      </w:r>
      <w:r>
        <w:rPr>
          <w:rFonts w:hint="eastAsia" w:ascii="Times New Roman" w:hAnsi="Times New Roman" w:cs="Times New Roman"/>
          <w:color w:val="auto"/>
          <w:highlight w:val="none"/>
          <w:lang w:val="en-US" w:eastAsia="zh-CN"/>
        </w:rPr>
        <w:t>7</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牛粪清运协议</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附件</w:t>
      </w:r>
      <w:r>
        <w:rPr>
          <w:rFonts w:hint="eastAsia" w:ascii="Times New Roman" w:hAnsi="Times New Roman" w:cs="Times New Roman"/>
          <w:color w:val="auto"/>
          <w:highlight w:val="none"/>
          <w:lang w:val="en-US" w:eastAsia="zh-CN"/>
        </w:rPr>
        <w:t>8-1</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有机肥厂环评批复</w:t>
      </w:r>
      <w:r>
        <w:rPr>
          <w:rFonts w:hint="eastAsia" w:ascii="Times New Roman" w:hAnsi="Times New Roman" w:cs="Times New Roman"/>
          <w:color w:val="auto"/>
          <w:highlight w:val="none"/>
        </w:rPr>
        <w:t xml:space="preserve"> </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附件</w:t>
      </w:r>
      <w:r>
        <w:rPr>
          <w:rFonts w:hint="eastAsia" w:ascii="Times New Roman" w:hAnsi="Times New Roman" w:cs="Times New Roman"/>
          <w:color w:val="auto"/>
          <w:highlight w:val="none"/>
          <w:lang w:val="en-US" w:eastAsia="zh-CN"/>
        </w:rPr>
        <w:t>8-2</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牛粪消纳能力的情况说明</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附件</w:t>
      </w:r>
      <w:r>
        <w:rPr>
          <w:rFonts w:hint="eastAsia" w:ascii="Times New Roman" w:hAnsi="Times New Roman" w:cs="Times New Roman"/>
          <w:color w:val="auto"/>
          <w:highlight w:val="none"/>
          <w:lang w:val="en-US" w:eastAsia="zh-CN"/>
        </w:rPr>
        <w:t>9</w:t>
      </w:r>
      <w:r>
        <w:rPr>
          <w:rFonts w:hint="eastAsia" w:ascii="Times New Roman" w:hAnsi="Times New Roman" w:cs="Times New Roman"/>
          <w:color w:val="auto"/>
          <w:highlight w:val="none"/>
        </w:rPr>
        <w:t xml:space="preserve"> 无害化降解处理机处理</w:t>
      </w:r>
      <w:r>
        <w:rPr>
          <w:rFonts w:hint="eastAsia" w:ascii="Times New Roman" w:hAnsi="Times New Roman" w:cs="Times New Roman"/>
          <w:color w:val="auto"/>
          <w:highlight w:val="none"/>
          <w:lang w:eastAsia="zh-CN"/>
        </w:rPr>
        <w:t>专利及</w:t>
      </w:r>
      <w:r>
        <w:rPr>
          <w:rFonts w:hint="eastAsia" w:ascii="Times New Roman" w:hAnsi="Times New Roman" w:cs="Times New Roman"/>
          <w:color w:val="auto"/>
          <w:highlight w:val="none"/>
        </w:rPr>
        <w:t>检验报告</w:t>
      </w:r>
    </w:p>
    <w:p>
      <w:pPr>
        <w:rPr>
          <w:rFonts w:hint="eastAsia" w:ascii="Times New Roman" w:hAnsi="Times New Roman" w:cs="Times New Roman"/>
          <w:color w:val="auto"/>
          <w:highlight w:val="none"/>
        </w:rPr>
      </w:pPr>
      <w:r>
        <w:rPr>
          <w:rFonts w:hint="eastAsia" w:ascii="Times New Roman" w:hAnsi="Times New Roman" w:cs="Times New Roman"/>
          <w:color w:val="auto"/>
          <w:highlight w:val="none"/>
        </w:rPr>
        <w:t>附件</w:t>
      </w:r>
      <w:r>
        <w:rPr>
          <w:rFonts w:hint="eastAsia" w:ascii="Times New Roman" w:hAnsi="Times New Roman" w:cs="Times New Roman"/>
          <w:color w:val="auto"/>
          <w:highlight w:val="none"/>
          <w:lang w:val="en-US" w:eastAsia="zh-CN"/>
        </w:rPr>
        <w:t>10</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消纳协议</w:t>
      </w:r>
    </w:p>
    <w:p>
      <w:pPr>
        <w:rPr>
          <w:rFonts w:hint="eastAsia"/>
          <w:color w:val="auto"/>
          <w:highlight w:val="none"/>
        </w:rPr>
      </w:pPr>
      <w:r>
        <w:rPr>
          <w:rFonts w:hint="eastAsia" w:ascii="Times New Roman" w:hAnsi="Times New Roman" w:cs="Times New Roman"/>
          <w:color w:val="auto"/>
          <w:highlight w:val="none"/>
        </w:rPr>
        <w:t>附件</w:t>
      </w:r>
      <w:r>
        <w:rPr>
          <w:rFonts w:hint="eastAsia" w:ascii="Times New Roman" w:hAnsi="Times New Roman" w:cs="Times New Roman"/>
          <w:color w:val="auto"/>
          <w:highlight w:val="none"/>
          <w:lang w:val="en-US" w:eastAsia="zh-CN"/>
        </w:rPr>
        <w:t>11</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现状</w:t>
      </w:r>
      <w:r>
        <w:rPr>
          <w:rFonts w:hint="eastAsia" w:ascii="Times New Roman" w:hAnsi="Times New Roman" w:cs="Times New Roman"/>
          <w:color w:val="auto"/>
          <w:highlight w:val="none"/>
        </w:rPr>
        <w:t>监测报告</w:t>
      </w:r>
    </w:p>
    <w:p>
      <w:pP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附件12  配套用房租赁协议</w:t>
      </w:r>
    </w:p>
    <w:p>
      <w:pP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附件13 专家意见</w:t>
      </w:r>
    </w:p>
    <w:p>
      <w:pPr>
        <w:pStyle w:val="90"/>
        <w:rPr>
          <w:rFonts w:hint="default"/>
          <w:color w:val="auto"/>
          <w:highlight w:val="none"/>
          <w:lang w:val="en-US" w:eastAsia="zh-CN"/>
        </w:rPr>
      </w:pPr>
    </w:p>
    <w:p>
      <w:pPr>
        <w:rPr>
          <w:rFonts w:hint="default"/>
          <w:color w:val="auto"/>
          <w:highlight w:val="none"/>
          <w:lang w:val="en-US" w:eastAsia="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425" w:num="1"/>
          <w:docGrid w:type="lines" w:linePitch="312" w:charSpace="0"/>
        </w:sectPr>
      </w:pPr>
    </w:p>
    <w:p>
      <w:pPr>
        <w:pStyle w:val="6"/>
        <w:rPr>
          <w:rFonts w:cs="Times New Roman"/>
          <w:color w:val="auto"/>
          <w:highlight w:val="none"/>
        </w:rPr>
      </w:pPr>
      <w:bookmarkStart w:id="4" w:name="_Toc5827"/>
      <w:r>
        <w:rPr>
          <w:rFonts w:cs="Times New Roman"/>
          <w:color w:val="auto"/>
          <w:highlight w:val="none"/>
        </w:rPr>
        <w:t>概述</w:t>
      </w:r>
      <w:bookmarkEnd w:id="4"/>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spacing w:val="8"/>
          <w:kern w:val="0"/>
          <w:sz w:val="24"/>
          <w:szCs w:val="24"/>
          <w:highlight w:val="none"/>
          <w:lang w:eastAsia="zh-CN"/>
        </w:rPr>
      </w:pPr>
      <w:bookmarkStart w:id="5" w:name="_Toc31812"/>
      <w:r>
        <w:rPr>
          <w:rFonts w:hint="eastAsia" w:eastAsia="宋体" w:cs="Times New Roman"/>
          <w:color w:val="auto"/>
          <w:highlight w:val="none"/>
          <w:lang w:eastAsia="zh-CN"/>
        </w:rPr>
        <w:t>项目</w:t>
      </w:r>
      <w:r>
        <w:rPr>
          <w:rFonts w:hint="eastAsia" w:ascii="Times New Roman" w:hAnsi="Times New Roman" w:eastAsia="宋体" w:cs="Times New Roman"/>
          <w:color w:val="auto"/>
          <w:highlight w:val="none"/>
          <w:lang w:eastAsia="zh-CN"/>
        </w:rPr>
        <w:t>由来</w:t>
      </w:r>
      <w:bookmarkEnd w:id="5"/>
    </w:p>
    <w:p>
      <w:pPr>
        <w:spacing w:line="360" w:lineRule="auto"/>
        <w:ind w:firstLine="480" w:firstLineChars="200"/>
        <w:rPr>
          <w:rFonts w:hint="eastAsia"/>
          <w:color w:val="auto"/>
          <w:sz w:val="24"/>
          <w:highlight w:val="none"/>
        </w:rPr>
      </w:pPr>
      <w:r>
        <w:rPr>
          <w:rFonts w:hint="eastAsia"/>
          <w:color w:val="auto"/>
          <w:sz w:val="24"/>
          <w:highlight w:val="none"/>
        </w:rPr>
        <w:t>我国目前正处于经济转型的重要时期，也是我国农业和农村经济发展的转型时期。“十四五”以来，我国畜牧业取得了长足发展，综合生产能力显著提高，肉、蛋、奶等主要畜产品产量居世界前列，畜牧业已经成为我国农业农村经济的支柱产业和农民收入的重要来源，进入了一个生产不断发展、质量稳步提高、综合生产能力不断增强的新阶段。针对我国畜牧业实际发展情况，国家将发展现代农业提到了重要位置，提出要大力发展现代畜牧业，其中，肉牛养殖是国家大力提倡、扶持发展的重点发展产业，支持规模化饲养，加强品种改良，符合国家农业政策。</w:t>
      </w:r>
    </w:p>
    <w:p>
      <w:pPr>
        <w:snapToGrid w:val="0"/>
        <w:ind w:left="105" w:leftChars="50" w:right="105" w:rightChars="50"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根据巴中市委市政府“三市两地一枢纽”发展定位，巴中市委、市政府主要领导决定将巴山牛产业作为巴中市的主导产业。2021年8月，市政府相继出台《巴中市支持肉牛产业发展十条措施》、《巴中市“十四五”肉牛产业发展规划》，大力支持巴山牛产业发展。经四川农业大学、西北农林科技大学研究论证，巴中市巴山牛（空山黄牛）品种优于国内其它普通肉牛，属全国优势种质资源。</w:t>
      </w:r>
    </w:p>
    <w:p>
      <w:pPr>
        <w:snapToGrid w:val="0"/>
        <w:ind w:left="105" w:leftChars="50" w:right="105" w:rightChars="50"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《巴中市“十四五”肉牛产业发展规划》指出，到2025年，巴中要建成西南地区最大肉牛交易中心和全国山区肉牛产业发展</w:t>
      </w:r>
      <w:bookmarkStart w:id="409" w:name="_GoBack"/>
      <w:bookmarkEnd w:id="409"/>
      <w:r>
        <w:rPr>
          <w:rFonts w:hint="default" w:ascii="Times New Roman" w:hAnsi="Times New Roman" w:eastAsia="宋体" w:cs="Times New Roman"/>
          <w:color w:val="auto"/>
          <w:sz w:val="24"/>
          <w:szCs w:val="24"/>
          <w:highlight w:val="none"/>
          <w:lang w:eastAsia="zh-CN"/>
        </w:rPr>
        <w:t>示范区，产业全产业链条基本形成，力争年出栏肉牛22万头以上，年屠宰加工10万头以上，配套优质牧草基地20万亩，综合产值突破100亿元。</w:t>
      </w:r>
    </w:p>
    <w:p>
      <w:pPr>
        <w:snapToGrid w:val="0"/>
        <w:ind w:left="105" w:leftChars="50" w:right="105" w:rightChars="5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在上述背景条件下，四川巴中国家粮食和物资储备库有限公司拟投资</w:t>
      </w:r>
      <w:r>
        <w:rPr>
          <w:rFonts w:hint="eastAsia" w:ascii="Times New Roman" w:hAnsi="Times New Roman" w:eastAsia="宋体" w:cs="Times New Roman"/>
          <w:color w:val="auto"/>
          <w:sz w:val="24"/>
          <w:szCs w:val="24"/>
          <w:highlight w:val="none"/>
          <w:lang w:val="en-US" w:eastAsia="zh-CN"/>
        </w:rPr>
        <w:t>27688.93</w:t>
      </w:r>
      <w:r>
        <w:rPr>
          <w:rFonts w:hint="default" w:ascii="Times New Roman" w:hAnsi="Times New Roman" w:eastAsia="宋体" w:cs="Times New Roman"/>
          <w:color w:val="auto"/>
          <w:sz w:val="24"/>
          <w:szCs w:val="24"/>
          <w:highlight w:val="none"/>
          <w:lang w:val="en-US" w:eastAsia="zh-CN"/>
        </w:rPr>
        <w:t>万元，在巴州区鼎山镇首市村新建年存栏量12500</w:t>
      </w:r>
      <w:r>
        <w:rPr>
          <w:rFonts w:hint="eastAsia" w:ascii="Times New Roman" w:hAnsi="Times New Roman" w:eastAsia="宋体" w:cs="Times New Roman"/>
          <w:color w:val="auto"/>
          <w:sz w:val="24"/>
          <w:szCs w:val="24"/>
          <w:highlight w:val="none"/>
          <w:lang w:val="en-US" w:eastAsia="zh-CN"/>
        </w:rPr>
        <w:t>头</w:t>
      </w:r>
      <w:r>
        <w:rPr>
          <w:rFonts w:hint="default" w:ascii="Times New Roman" w:hAnsi="Times New Roman" w:eastAsia="宋体" w:cs="Times New Roman"/>
          <w:color w:val="auto"/>
          <w:sz w:val="24"/>
          <w:szCs w:val="24"/>
          <w:highlight w:val="none"/>
          <w:lang w:val="en-US" w:eastAsia="zh-CN"/>
        </w:rPr>
        <w:t>的标准化育肥场，该项目于2022年4月15日在巴州区发展和改革局完成备案，</w:t>
      </w:r>
      <w:r>
        <w:rPr>
          <w:rFonts w:hint="default" w:ascii="Times New Roman" w:hAnsi="Times New Roman" w:eastAsia="宋体" w:cs="Times New Roman"/>
          <w:color w:val="auto"/>
          <w:sz w:val="24"/>
          <w:szCs w:val="24"/>
          <w:highlight w:val="none"/>
        </w:rPr>
        <w:t>备案号：川投资备【</w:t>
      </w:r>
      <w:r>
        <w:rPr>
          <w:rFonts w:hint="default" w:ascii="Times New Roman" w:hAnsi="Times New Roman" w:eastAsia="宋体" w:cs="Times New Roman"/>
          <w:color w:val="auto"/>
          <w:sz w:val="24"/>
          <w:szCs w:val="24"/>
          <w:highlight w:val="none"/>
          <w:lang w:val="en-US" w:eastAsia="zh-CN"/>
        </w:rPr>
        <w:t>2204-511902-04-01-295288</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FG</w:t>
      </w:r>
      <w:r>
        <w:rPr>
          <w:rFonts w:hint="default" w:ascii="Times New Roman" w:hAnsi="Times New Roman" w:eastAsia="宋体" w:cs="Times New Roman"/>
          <w:color w:val="auto"/>
          <w:sz w:val="24"/>
          <w:szCs w:val="24"/>
          <w:highlight w:val="none"/>
        </w:rPr>
        <w:t>QB-</w:t>
      </w:r>
      <w:r>
        <w:rPr>
          <w:rFonts w:hint="default" w:ascii="Times New Roman" w:hAnsi="Times New Roman" w:eastAsia="宋体" w:cs="Times New Roman"/>
          <w:color w:val="auto"/>
          <w:sz w:val="24"/>
          <w:szCs w:val="24"/>
          <w:highlight w:val="none"/>
          <w:lang w:val="en-US" w:eastAsia="zh-CN"/>
        </w:rPr>
        <w:t>0083</w:t>
      </w:r>
      <w:r>
        <w:rPr>
          <w:rFonts w:hint="default" w:ascii="Times New Roman" w:hAnsi="Times New Roman" w:eastAsia="宋体" w:cs="Times New Roman"/>
          <w:color w:val="auto"/>
          <w:sz w:val="24"/>
          <w:szCs w:val="24"/>
          <w:highlight w:val="none"/>
        </w:rPr>
        <w:t>号</w:t>
      </w:r>
      <w:r>
        <w:rPr>
          <w:rFonts w:hint="default" w:ascii="Times New Roman" w:hAnsi="Times New Roman" w:eastAsia="宋体" w:cs="Times New Roman"/>
          <w:color w:val="auto"/>
          <w:sz w:val="24"/>
          <w:szCs w:val="24"/>
          <w:highlight w:val="none"/>
          <w:lang w:eastAsia="zh-CN"/>
        </w:rPr>
        <w:t>。</w:t>
      </w:r>
    </w:p>
    <w:p>
      <w:pPr>
        <w:snapToGrid w:val="0"/>
        <w:ind w:left="105" w:leftChars="50" w:right="105" w:rightChars="5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根据《中华人民共和国环境保护法》、《中华人民共和国环境影响评价法》和《建设项目环境保护管理条例》</w:t>
      </w:r>
      <w:r>
        <w:rPr>
          <w:rFonts w:hint="default" w:ascii="Times New Roman" w:hAnsi="Times New Roman" w:eastAsia="宋体" w:cs="Times New Roman"/>
          <w:color w:val="auto"/>
          <w:sz w:val="24"/>
          <w:szCs w:val="24"/>
          <w:highlight w:val="none"/>
          <w:lang w:eastAsia="zh-CN"/>
        </w:rPr>
        <w:t>（国务院令第682号）</w:t>
      </w:r>
      <w:r>
        <w:rPr>
          <w:rFonts w:hint="default" w:ascii="Times New Roman" w:hAnsi="Times New Roman" w:eastAsia="宋体" w:cs="Times New Roman"/>
          <w:color w:val="auto"/>
          <w:sz w:val="24"/>
          <w:szCs w:val="24"/>
          <w:highlight w:val="none"/>
        </w:rPr>
        <w:t>的相关内容，项目建设前须进行环境影响评价工作。根据《建设项目环境影响评价分类管理名录</w:t>
      </w:r>
      <w:r>
        <w:rPr>
          <w:rFonts w:hint="default" w:ascii="Times New Roman" w:hAnsi="Times New Roman" w:eastAsia="宋体" w:cs="Times New Roman"/>
          <w:color w:val="auto"/>
          <w:sz w:val="24"/>
          <w:szCs w:val="24"/>
          <w:highlight w:val="none"/>
          <w:lang w:eastAsia="zh-CN"/>
        </w:rPr>
        <w:t>（2021年版）</w:t>
      </w:r>
      <w:r>
        <w:rPr>
          <w:rFonts w:hint="default" w:ascii="Times New Roman" w:hAnsi="Times New Roman" w:eastAsia="宋体" w:cs="Times New Roman"/>
          <w:color w:val="auto"/>
          <w:sz w:val="24"/>
          <w:szCs w:val="24"/>
          <w:highlight w:val="none"/>
        </w:rPr>
        <w:t>》，项目属于“二、畜牧业03、牲畜饲养031：年出栏生猪5000头（其他畜禽种类折合猪的养殖量）及以上的规模化畜禽养殖；存栏生猪2500头（其他畜禽种类折合猪的养殖规模）及以上无出栏量的规模化畜禽养殖；涉及环境敏感区的规模化畜禽养殖”，</w:t>
      </w:r>
      <w:r>
        <w:rPr>
          <w:rFonts w:hint="default" w:ascii="Times New Roman" w:hAnsi="Times New Roman" w:eastAsia="宋体" w:cs="Times New Roman"/>
          <w:color w:val="auto"/>
          <w:sz w:val="24"/>
          <w:szCs w:val="24"/>
          <w:highlight w:val="none"/>
          <w:lang w:eastAsia="zh-CN"/>
        </w:rPr>
        <w:t>本</w:t>
      </w:r>
      <w:r>
        <w:rPr>
          <w:rFonts w:hint="default" w:ascii="Times New Roman" w:hAnsi="Times New Roman" w:eastAsia="宋体" w:cs="Times New Roman"/>
          <w:color w:val="auto"/>
          <w:sz w:val="24"/>
          <w:szCs w:val="24"/>
          <w:highlight w:val="none"/>
        </w:rPr>
        <w:t>拟建项目存栏</w:t>
      </w:r>
      <w:r>
        <w:rPr>
          <w:rFonts w:hint="default" w:ascii="Times New Roman" w:hAnsi="Times New Roman" w:eastAsia="宋体" w:cs="Times New Roman"/>
          <w:color w:val="auto"/>
          <w:sz w:val="24"/>
          <w:szCs w:val="24"/>
          <w:highlight w:val="none"/>
          <w:lang w:val="en-US" w:eastAsia="zh-CN"/>
        </w:rPr>
        <w:t>12500</w:t>
      </w:r>
      <w:r>
        <w:rPr>
          <w:rFonts w:hint="default" w:ascii="Times New Roman" w:hAnsi="Times New Roman" w:eastAsia="宋体" w:cs="Times New Roman"/>
          <w:color w:val="auto"/>
          <w:sz w:val="24"/>
          <w:szCs w:val="24"/>
          <w:highlight w:val="none"/>
        </w:rPr>
        <w:t>头肉牛</w:t>
      </w:r>
      <w:r>
        <w:rPr>
          <w:rFonts w:hint="eastAsia" w:ascii="Times New Roman" w:hAnsi="Times New Roman" w:eastAsia="宋体" w:cs="Times New Roman"/>
          <w:color w:val="auto"/>
          <w:sz w:val="24"/>
          <w:szCs w:val="24"/>
          <w:highlight w:val="none"/>
          <w:lang w:eastAsia="zh-CN"/>
        </w:rPr>
        <w:t>（育肥期</w:t>
      </w:r>
      <w:r>
        <w:rPr>
          <w:rFonts w:hint="eastAsia" w:ascii="Times New Roman" w:hAnsi="Times New Roman" w:eastAsia="宋体" w:cs="Times New Roman"/>
          <w:color w:val="auto"/>
          <w:sz w:val="24"/>
          <w:szCs w:val="24"/>
          <w:highlight w:val="none"/>
          <w:lang w:val="en-US" w:eastAsia="zh-CN"/>
        </w:rPr>
        <w:t>6个月），考虑运营期其他相关因素后设计</w:t>
      </w:r>
      <w:r>
        <w:rPr>
          <w:rFonts w:hint="default" w:ascii="Times New Roman" w:hAnsi="Times New Roman" w:eastAsia="宋体" w:cs="Times New Roman"/>
          <w:color w:val="auto"/>
          <w:sz w:val="24"/>
          <w:szCs w:val="24"/>
          <w:highlight w:val="none"/>
        </w:rPr>
        <w:t>年出栏肉牛</w:t>
      </w:r>
      <w:r>
        <w:rPr>
          <w:rFonts w:hint="eastAsia" w:ascii="Times New Roman" w:hAnsi="Times New Roman" w:eastAsia="宋体" w:cs="Times New Roman"/>
          <w:color w:val="auto"/>
          <w:sz w:val="24"/>
          <w:szCs w:val="24"/>
          <w:highlight w:val="none"/>
          <w:lang w:eastAsia="zh-CN"/>
        </w:rPr>
        <w:t>约</w:t>
      </w:r>
      <w:r>
        <w:rPr>
          <w:rFonts w:hint="eastAsia" w:ascii="Times New Roman" w:hAnsi="Times New Roman" w:eastAsia="宋体" w:cs="Times New Roman"/>
          <w:color w:val="auto"/>
          <w:sz w:val="24"/>
          <w:szCs w:val="24"/>
          <w:highlight w:val="none"/>
          <w:lang w:val="en-US" w:eastAsia="zh-CN"/>
        </w:rPr>
        <w:t>170000</w:t>
      </w:r>
      <w:r>
        <w:rPr>
          <w:rFonts w:hint="default" w:ascii="Times New Roman" w:hAnsi="Times New Roman" w:eastAsia="宋体" w:cs="Times New Roman"/>
          <w:color w:val="auto"/>
          <w:sz w:val="24"/>
          <w:szCs w:val="24"/>
          <w:highlight w:val="none"/>
        </w:rPr>
        <w:t>头，折算成猪为存栏</w:t>
      </w:r>
      <w:r>
        <w:rPr>
          <w:rFonts w:hint="eastAsia" w:ascii="Times New Roman" w:hAnsi="Times New Roman" w:eastAsia="宋体" w:cs="Times New Roman"/>
          <w:color w:val="auto"/>
          <w:sz w:val="24"/>
          <w:szCs w:val="24"/>
          <w:highlight w:val="none"/>
          <w:lang w:val="en-US" w:eastAsia="zh-CN"/>
        </w:rPr>
        <w:t>62500</w:t>
      </w:r>
      <w:r>
        <w:rPr>
          <w:rFonts w:hint="default" w:ascii="Times New Roman" w:hAnsi="Times New Roman" w:eastAsia="宋体" w:cs="Times New Roman"/>
          <w:color w:val="auto"/>
          <w:sz w:val="24"/>
          <w:szCs w:val="24"/>
          <w:highlight w:val="none"/>
        </w:rPr>
        <w:t>生猪、年出栏生猪</w:t>
      </w:r>
      <w:r>
        <w:rPr>
          <w:rFonts w:hint="eastAsia" w:ascii="Times New Roman" w:hAnsi="Times New Roman" w:eastAsia="宋体" w:cs="Times New Roman"/>
          <w:color w:val="auto"/>
          <w:sz w:val="24"/>
          <w:szCs w:val="24"/>
          <w:highlight w:val="none"/>
          <w:lang w:val="en-US" w:eastAsia="zh-CN"/>
        </w:rPr>
        <w:t>85000</w:t>
      </w:r>
      <w:r>
        <w:rPr>
          <w:rFonts w:hint="default" w:ascii="Times New Roman" w:hAnsi="Times New Roman" w:eastAsia="宋体" w:cs="Times New Roman"/>
          <w:color w:val="auto"/>
          <w:sz w:val="24"/>
          <w:szCs w:val="24"/>
          <w:highlight w:val="none"/>
        </w:rPr>
        <w:t>头，需编制环境影响报告书。</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eastAsia="zh-CN"/>
        </w:rPr>
      </w:pPr>
      <w:bookmarkStart w:id="6" w:name="_Toc19616"/>
      <w:r>
        <w:rPr>
          <w:rFonts w:hint="eastAsia" w:ascii="Times New Roman" w:hAnsi="Times New Roman" w:eastAsia="宋体" w:cs="Times New Roman"/>
          <w:color w:val="auto"/>
          <w:highlight w:val="none"/>
          <w:lang w:eastAsia="zh-CN"/>
        </w:rPr>
        <w:t>建设项目的特点</w:t>
      </w:r>
      <w:bookmarkEnd w:id="6"/>
    </w:p>
    <w:p>
      <w:pPr>
        <w:pStyle w:val="85"/>
        <w:keepNext w:val="0"/>
        <w:keepLines w:val="0"/>
        <w:widowControl w:val="0"/>
        <w:suppressLineNumbers w:val="0"/>
        <w:spacing w:before="0" w:beforeAutospacing="0" w:after="0" w:afterAutospacing="0" w:line="440" w:lineRule="exact"/>
        <w:ind w:right="0"/>
        <w:jc w:val="both"/>
        <w:rPr>
          <w:rFonts w:hint="default" w:ascii="Times New Roman" w:hAnsi="Times New Roman" w:cs="Times New Roman"/>
          <w:color w:val="auto"/>
          <w:highlight w:val="none"/>
          <w:lang w:val="en-US"/>
        </w:rPr>
      </w:pPr>
      <w:r>
        <w:rPr>
          <w:rFonts w:hint="eastAsia" w:ascii="Times New Roman" w:hAnsi="Times New Roman" w:eastAsia="宋体" w:cs="宋体"/>
          <w:color w:val="auto"/>
          <w:kern w:val="2"/>
          <w:sz w:val="24"/>
          <w:szCs w:val="20"/>
          <w:highlight w:val="none"/>
          <w:lang w:val="en-US" w:eastAsia="zh-CN" w:bidi="ar"/>
        </w:rPr>
        <w:t>本项目主要特点如下：</w:t>
      </w:r>
    </w:p>
    <w:p>
      <w:pPr>
        <w:pStyle w:val="85"/>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cs="Times New Roman"/>
          <w:color w:val="auto"/>
          <w:highlight w:val="none"/>
          <w:lang w:val="en-US"/>
        </w:rPr>
      </w:pPr>
      <w:r>
        <w:rPr>
          <w:rFonts w:hint="eastAsia" w:ascii="Times New Roman" w:hAnsi="Times New Roman" w:eastAsia="宋体" w:cs="宋体"/>
          <w:color w:val="auto"/>
          <w:kern w:val="2"/>
          <w:sz w:val="24"/>
          <w:szCs w:val="20"/>
          <w:highlight w:val="none"/>
          <w:lang w:val="en-US" w:eastAsia="zh-CN" w:bidi="ar"/>
        </w:rPr>
        <w:t>（</w:t>
      </w:r>
      <w:r>
        <w:rPr>
          <w:rFonts w:hint="default" w:ascii="Times New Roman" w:hAnsi="Times New Roman" w:eastAsia="宋体" w:cs="Times New Roman"/>
          <w:color w:val="auto"/>
          <w:kern w:val="2"/>
          <w:sz w:val="24"/>
          <w:szCs w:val="20"/>
          <w:highlight w:val="none"/>
          <w:lang w:val="en-US" w:eastAsia="zh-CN" w:bidi="ar"/>
        </w:rPr>
        <w:t>1</w:t>
      </w:r>
      <w:r>
        <w:rPr>
          <w:rFonts w:hint="eastAsia" w:ascii="Times New Roman" w:hAnsi="Times New Roman" w:eastAsia="宋体" w:cs="宋体"/>
          <w:color w:val="auto"/>
          <w:kern w:val="2"/>
          <w:sz w:val="24"/>
          <w:szCs w:val="20"/>
          <w:highlight w:val="none"/>
          <w:lang w:val="en-US" w:eastAsia="zh-CN" w:bidi="ar"/>
        </w:rPr>
        <w:t>）本项目位于</w:t>
      </w:r>
      <w:r>
        <w:rPr>
          <w:rFonts w:hint="eastAsia" w:ascii="Times New Roman" w:hAnsi="Times New Roman" w:cs="宋体"/>
          <w:color w:val="auto"/>
          <w:kern w:val="2"/>
          <w:sz w:val="24"/>
          <w:szCs w:val="20"/>
          <w:highlight w:val="none"/>
          <w:lang w:val="en-US" w:eastAsia="zh-CN" w:bidi="ar"/>
        </w:rPr>
        <w:t>四川省巴中市巴州区鼎山镇首市村</w:t>
      </w:r>
      <w:r>
        <w:rPr>
          <w:rFonts w:hint="eastAsia" w:ascii="Times New Roman" w:hAnsi="Times New Roman" w:eastAsia="宋体" w:cs="宋体"/>
          <w:color w:val="auto"/>
          <w:kern w:val="2"/>
          <w:sz w:val="24"/>
          <w:szCs w:val="20"/>
          <w:highlight w:val="none"/>
          <w:lang w:val="en-US" w:eastAsia="zh-CN" w:bidi="ar"/>
        </w:rPr>
        <w:t>，项目占地为</w:t>
      </w:r>
      <w:r>
        <w:rPr>
          <w:rFonts w:hint="eastAsia" w:ascii="Times New Roman" w:hAnsi="Times New Roman" w:cs="宋体"/>
          <w:color w:val="auto"/>
          <w:kern w:val="2"/>
          <w:sz w:val="24"/>
          <w:szCs w:val="20"/>
          <w:highlight w:val="none"/>
          <w:lang w:val="en-US" w:eastAsia="zh-CN" w:bidi="ar"/>
        </w:rPr>
        <w:t>农用地</w:t>
      </w:r>
      <w:r>
        <w:rPr>
          <w:rFonts w:hint="eastAsia" w:ascii="Times New Roman" w:hAnsi="Times New Roman" w:eastAsia="宋体" w:cs="宋体"/>
          <w:color w:val="auto"/>
          <w:kern w:val="2"/>
          <w:sz w:val="24"/>
          <w:szCs w:val="20"/>
          <w:highlight w:val="none"/>
          <w:lang w:val="en-US" w:eastAsia="zh-CN" w:bidi="ar"/>
        </w:rPr>
        <w:t>，项目选址范围内不占基本农田；场区周边</w:t>
      </w:r>
      <w:r>
        <w:rPr>
          <w:rFonts w:hint="eastAsia"/>
          <w:color w:val="auto"/>
          <w:highlight w:val="none"/>
          <w:lang w:eastAsia="zh-CN"/>
        </w:rPr>
        <w:t>主要为</w:t>
      </w:r>
      <w:r>
        <w:rPr>
          <w:rFonts w:hint="eastAsia" w:ascii="Times New Roman" w:hAnsi="Times New Roman" w:cs="宋体"/>
          <w:color w:val="auto"/>
          <w:kern w:val="2"/>
          <w:sz w:val="24"/>
          <w:szCs w:val="20"/>
          <w:highlight w:val="none"/>
          <w:lang w:val="en-US" w:eastAsia="zh-CN" w:bidi="ar"/>
        </w:rPr>
        <w:t>林地，少量耕地</w:t>
      </w:r>
      <w:r>
        <w:rPr>
          <w:rFonts w:hint="eastAsia" w:ascii="Times New Roman" w:hAnsi="Times New Roman" w:eastAsia="宋体" w:cs="宋体"/>
          <w:color w:val="auto"/>
          <w:kern w:val="2"/>
          <w:sz w:val="24"/>
          <w:szCs w:val="20"/>
          <w:highlight w:val="none"/>
          <w:lang w:val="en-US" w:eastAsia="zh-CN" w:bidi="ar"/>
        </w:rPr>
        <w:t>，无珍稀濒危物种、自然保护区、风景名胜区等生态敏感目标分布。</w:t>
      </w:r>
    </w:p>
    <w:p>
      <w:pPr>
        <w:pStyle w:val="85"/>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cs="Times New Roman"/>
          <w:color w:val="auto"/>
          <w:highlight w:val="none"/>
          <w:lang w:val="en-US"/>
        </w:rPr>
      </w:pPr>
      <w:r>
        <w:rPr>
          <w:rFonts w:hint="eastAsia" w:ascii="Times New Roman" w:hAnsi="Times New Roman" w:eastAsia="宋体" w:cs="宋体"/>
          <w:color w:val="auto"/>
          <w:kern w:val="2"/>
          <w:sz w:val="24"/>
          <w:szCs w:val="20"/>
          <w:highlight w:val="none"/>
          <w:lang w:val="en-US" w:eastAsia="zh-CN" w:bidi="ar"/>
        </w:rPr>
        <w:t>（</w:t>
      </w:r>
      <w:r>
        <w:rPr>
          <w:rFonts w:hint="default" w:ascii="Times New Roman" w:hAnsi="Times New Roman" w:eastAsia="宋体" w:cs="Times New Roman"/>
          <w:color w:val="auto"/>
          <w:kern w:val="2"/>
          <w:sz w:val="24"/>
          <w:szCs w:val="20"/>
          <w:highlight w:val="none"/>
          <w:lang w:val="en-US" w:eastAsia="zh-CN" w:bidi="ar"/>
        </w:rPr>
        <w:t>2</w:t>
      </w:r>
      <w:r>
        <w:rPr>
          <w:rFonts w:hint="eastAsia" w:ascii="Times New Roman" w:hAnsi="Times New Roman" w:eastAsia="宋体" w:cs="宋体"/>
          <w:color w:val="auto"/>
          <w:kern w:val="2"/>
          <w:sz w:val="24"/>
          <w:szCs w:val="20"/>
          <w:highlight w:val="none"/>
          <w:lang w:val="en-US" w:eastAsia="zh-CN" w:bidi="ar"/>
        </w:rPr>
        <w:t>）本项目为</w:t>
      </w:r>
      <w:r>
        <w:rPr>
          <w:rFonts w:hint="eastAsia" w:ascii="Times New Roman" w:hAnsi="Times New Roman" w:cs="宋体"/>
          <w:color w:val="auto"/>
          <w:kern w:val="2"/>
          <w:sz w:val="24"/>
          <w:szCs w:val="20"/>
          <w:highlight w:val="none"/>
          <w:lang w:val="en-US" w:eastAsia="zh-CN" w:bidi="ar"/>
        </w:rPr>
        <w:t>肉牛育肥</w:t>
      </w:r>
      <w:r>
        <w:rPr>
          <w:rFonts w:hint="eastAsia" w:ascii="Times New Roman" w:hAnsi="Times New Roman" w:eastAsia="宋体" w:cs="宋体"/>
          <w:color w:val="auto"/>
          <w:kern w:val="2"/>
          <w:sz w:val="24"/>
          <w:szCs w:val="20"/>
          <w:highlight w:val="none"/>
          <w:lang w:val="en-US" w:eastAsia="zh-CN" w:bidi="ar"/>
        </w:rPr>
        <w:t>项目，</w:t>
      </w:r>
      <w:r>
        <w:rPr>
          <w:rFonts w:hint="eastAsia" w:ascii="Times New Roman" w:hAnsi="Times New Roman" w:cs="Times New Roman"/>
          <w:bCs/>
          <w:color w:val="auto"/>
          <w:sz w:val="24"/>
          <w:highlight w:val="none"/>
        </w:rPr>
        <w:t>建成后常年存栏</w:t>
      </w:r>
      <w:r>
        <w:rPr>
          <w:rFonts w:hint="eastAsia" w:ascii="Times New Roman" w:hAnsi="Times New Roman" w:eastAsia="宋体" w:cs="Times New Roman"/>
          <w:color w:val="auto"/>
          <w:sz w:val="24"/>
          <w:highlight w:val="none"/>
          <w:lang w:val="en-US" w:eastAsia="zh-CN"/>
        </w:rPr>
        <w:t>12500</w:t>
      </w:r>
      <w:r>
        <w:rPr>
          <w:rFonts w:hint="default" w:ascii="Times New Roman" w:hAnsi="Times New Roman" w:eastAsia="宋体" w:cs="Times New Roman"/>
          <w:color w:val="auto"/>
          <w:sz w:val="24"/>
          <w:highlight w:val="none"/>
        </w:rPr>
        <w:t>头肉牛</w:t>
      </w:r>
      <w:r>
        <w:rPr>
          <w:rFonts w:hint="eastAsia" w:ascii="Times New Roman" w:hAnsi="Times New Roman" w:cs="宋体"/>
          <w:color w:val="auto"/>
          <w:kern w:val="2"/>
          <w:sz w:val="24"/>
          <w:szCs w:val="20"/>
          <w:highlight w:val="none"/>
          <w:lang w:val="en-US" w:eastAsia="zh-CN" w:bidi="ar"/>
        </w:rPr>
        <w:t>，年出栏17000头肉牛（</w:t>
      </w:r>
      <w:r>
        <w:rPr>
          <w:rFonts w:hint="eastAsia" w:ascii="Times New Roman" w:hAnsi="Times New Roman" w:eastAsia="宋体" w:cs="Times New Roman"/>
          <w:color w:val="auto"/>
          <w:sz w:val="24"/>
          <w:highlight w:val="none"/>
          <w:lang w:eastAsia="zh-CN"/>
        </w:rPr>
        <w:t>折合成年生猪</w:t>
      </w:r>
      <w:r>
        <w:rPr>
          <w:rFonts w:hint="eastAsia" w:ascii="Times New Roman" w:hAnsi="Times New Roman" w:cs="Times New Roman"/>
          <w:color w:val="auto"/>
          <w:sz w:val="24"/>
          <w:highlight w:val="none"/>
          <w:lang w:val="en-US" w:eastAsia="zh-CN"/>
        </w:rPr>
        <w:t>85000</w:t>
      </w:r>
      <w:r>
        <w:rPr>
          <w:rFonts w:hint="eastAsia" w:ascii="Times New Roman" w:hAnsi="Times New Roman" w:eastAsia="宋体" w:cs="Times New Roman"/>
          <w:color w:val="auto"/>
          <w:sz w:val="24"/>
          <w:highlight w:val="none"/>
          <w:lang w:val="en-US" w:eastAsia="zh-CN"/>
        </w:rPr>
        <w:t>头）</w:t>
      </w:r>
      <w:r>
        <w:rPr>
          <w:rFonts w:hint="eastAsia" w:ascii="Times New Roman" w:hAnsi="Times New Roman" w:eastAsia="宋体" w:cs="宋体"/>
          <w:color w:val="auto"/>
          <w:kern w:val="2"/>
          <w:sz w:val="24"/>
          <w:szCs w:val="20"/>
          <w:highlight w:val="none"/>
          <w:lang w:val="en-US" w:eastAsia="zh-CN" w:bidi="ar"/>
        </w:rPr>
        <w:t>。</w:t>
      </w:r>
      <w:r>
        <w:rPr>
          <w:rFonts w:hint="eastAsia" w:ascii="Times New Roman" w:hAnsi="Times New Roman" w:eastAsia="宋体" w:cs="宋体"/>
          <w:b/>
          <w:bCs w:val="0"/>
          <w:color w:val="auto"/>
          <w:kern w:val="2"/>
          <w:sz w:val="24"/>
          <w:szCs w:val="20"/>
          <w:highlight w:val="none"/>
          <w:lang w:val="en-US" w:eastAsia="zh-CN" w:bidi="ar"/>
        </w:rPr>
        <w:t>项目内不进行</w:t>
      </w:r>
      <w:r>
        <w:rPr>
          <w:rFonts w:hint="eastAsia" w:ascii="Times New Roman" w:hAnsi="Times New Roman" w:cs="宋体"/>
          <w:b/>
          <w:bCs w:val="0"/>
          <w:color w:val="auto"/>
          <w:kern w:val="2"/>
          <w:sz w:val="24"/>
          <w:szCs w:val="20"/>
          <w:highlight w:val="none"/>
          <w:lang w:val="en-US" w:eastAsia="zh-CN" w:bidi="ar"/>
        </w:rPr>
        <w:t>有机肥生产、</w:t>
      </w:r>
      <w:r>
        <w:rPr>
          <w:rFonts w:hint="eastAsia" w:ascii="Times New Roman" w:hAnsi="Times New Roman" w:eastAsia="宋体" w:cs="宋体"/>
          <w:b/>
          <w:bCs w:val="0"/>
          <w:color w:val="auto"/>
          <w:kern w:val="2"/>
          <w:sz w:val="24"/>
          <w:szCs w:val="20"/>
          <w:highlight w:val="none"/>
          <w:lang w:val="en-US" w:eastAsia="zh-CN" w:bidi="ar"/>
        </w:rPr>
        <w:t>饲料加工、屠宰。</w:t>
      </w:r>
    </w:p>
    <w:p>
      <w:pPr>
        <w:pStyle w:val="85"/>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cs="Times New Roman"/>
          <w:color w:val="auto"/>
          <w:highlight w:val="none"/>
          <w:lang w:val="en-US"/>
        </w:rPr>
      </w:pPr>
      <w:r>
        <w:rPr>
          <w:rFonts w:hint="eastAsia" w:ascii="Times New Roman" w:hAnsi="Times New Roman" w:eastAsia="宋体" w:cs="宋体"/>
          <w:color w:val="auto"/>
          <w:kern w:val="2"/>
          <w:sz w:val="24"/>
          <w:szCs w:val="20"/>
          <w:highlight w:val="none"/>
          <w:lang w:val="en-US" w:eastAsia="zh-CN" w:bidi="ar"/>
        </w:rPr>
        <w:t>（</w:t>
      </w:r>
      <w:r>
        <w:rPr>
          <w:rFonts w:hint="default" w:ascii="Times New Roman" w:hAnsi="Times New Roman" w:eastAsia="宋体" w:cs="Times New Roman"/>
          <w:color w:val="auto"/>
          <w:kern w:val="2"/>
          <w:sz w:val="24"/>
          <w:szCs w:val="20"/>
          <w:highlight w:val="none"/>
          <w:lang w:val="en-US" w:eastAsia="zh-CN" w:bidi="ar"/>
        </w:rPr>
        <w:t>3</w:t>
      </w:r>
      <w:r>
        <w:rPr>
          <w:rFonts w:hint="eastAsia" w:ascii="Times New Roman" w:hAnsi="Times New Roman" w:eastAsia="宋体" w:cs="宋体"/>
          <w:color w:val="auto"/>
          <w:kern w:val="2"/>
          <w:sz w:val="24"/>
          <w:szCs w:val="20"/>
          <w:highlight w:val="none"/>
          <w:lang w:val="en-US" w:eastAsia="zh-CN" w:bidi="ar"/>
        </w:rPr>
        <w:t>）本项目采用干清粪工艺，</w:t>
      </w:r>
      <w:r>
        <w:rPr>
          <w:rFonts w:hint="default" w:ascii="Times New Roman" w:hAnsi="Times New Roman" w:eastAsia="宋体" w:cs="Times New Roman"/>
          <w:color w:val="auto"/>
          <w:sz w:val="24"/>
          <w:szCs w:val="24"/>
          <w:highlight w:val="none"/>
          <w:lang w:val="en-US" w:eastAsia="zh-CN"/>
        </w:rPr>
        <w:t>项目牛粪、牛尿依靠重力进入粪污收集池，最终经污水处理系统固液分离机进行干湿分离，经干湿分离后的干粪暂存于封闭的干粪棚，日产日清，</w:t>
      </w:r>
      <w:r>
        <w:rPr>
          <w:rFonts w:hint="eastAsia" w:ascii="Times New Roman" w:hAnsi="Times New Roman" w:eastAsia="宋体" w:cs="Times New Roman"/>
          <w:color w:val="auto"/>
          <w:sz w:val="24"/>
          <w:szCs w:val="24"/>
          <w:highlight w:val="none"/>
          <w:lang w:val="en-US" w:eastAsia="zh-CN"/>
        </w:rPr>
        <w:t>暂存</w:t>
      </w:r>
      <w:r>
        <w:rPr>
          <w:rFonts w:hint="default" w:ascii="Times New Roman" w:hAnsi="Times New Roman" w:eastAsia="宋体" w:cs="Times New Roman"/>
          <w:color w:val="auto"/>
          <w:sz w:val="24"/>
          <w:szCs w:val="24"/>
          <w:highlight w:val="none"/>
          <w:lang w:val="en-US" w:eastAsia="zh-CN"/>
        </w:rPr>
        <w:t>后运输至</w:t>
      </w:r>
      <w:r>
        <w:rPr>
          <w:rFonts w:hint="eastAsia" w:ascii="Times New Roman" w:hAnsi="Times New Roman"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hint="eastAsia" w:ascii="Times New Roman" w:hAnsi="Times New Roman" w:cs="Times New Roman"/>
          <w:color w:val="auto"/>
          <w:sz w:val="24"/>
          <w:szCs w:val="24"/>
          <w:highlight w:val="none"/>
          <w:lang w:val="en-US" w:eastAsia="zh-CN"/>
        </w:rPr>
        <w:t>。</w:t>
      </w:r>
      <w:r>
        <w:rPr>
          <w:rFonts w:hint="eastAsia" w:ascii="Times New Roman" w:hAnsi="Times New Roman" w:eastAsia="宋体" w:cs="宋体"/>
          <w:color w:val="auto"/>
          <w:kern w:val="2"/>
          <w:sz w:val="24"/>
          <w:szCs w:val="20"/>
          <w:highlight w:val="none"/>
          <w:lang w:val="en-US" w:eastAsia="zh-CN" w:bidi="ar"/>
        </w:rPr>
        <w:t>为实现项目“污水肥料化利用”，建设单位拟采用“</w:t>
      </w:r>
      <w:r>
        <w:rPr>
          <w:rFonts w:hint="eastAsia" w:ascii="Times New Roman" w:hAnsi="Times New Roman" w:cs="宋体"/>
          <w:color w:val="auto"/>
          <w:kern w:val="2"/>
          <w:sz w:val="24"/>
          <w:szCs w:val="20"/>
          <w:highlight w:val="none"/>
          <w:lang w:val="en-US" w:eastAsia="zh-CN" w:bidi="ar"/>
        </w:rPr>
        <w:t>固液分离+UASB厌氧+絮凝沉淀+两级A/O系统+混凝絮凝沉淀+消毒</w:t>
      </w:r>
      <w:r>
        <w:rPr>
          <w:rFonts w:hint="eastAsia" w:ascii="Times New Roman" w:hAnsi="Times New Roman" w:eastAsia="宋体" w:cs="宋体"/>
          <w:color w:val="auto"/>
          <w:kern w:val="2"/>
          <w:sz w:val="24"/>
          <w:szCs w:val="20"/>
          <w:highlight w:val="none"/>
          <w:lang w:val="en-US" w:eastAsia="zh-CN" w:bidi="ar"/>
        </w:rPr>
        <w:t>”工艺进行处理，与《畜禽养殖业污染治理工程技术规范》（</w:t>
      </w:r>
      <w:r>
        <w:rPr>
          <w:rFonts w:hint="default" w:ascii="Times New Roman" w:hAnsi="Times New Roman" w:eastAsia="宋体" w:cs="Times New Roman"/>
          <w:color w:val="auto"/>
          <w:kern w:val="2"/>
          <w:sz w:val="24"/>
          <w:szCs w:val="20"/>
          <w:highlight w:val="none"/>
          <w:lang w:val="en-US" w:eastAsia="zh-CN" w:bidi="ar"/>
        </w:rPr>
        <w:t>GBHJ497-2009</w:t>
      </w:r>
      <w:r>
        <w:rPr>
          <w:rFonts w:hint="eastAsia" w:ascii="Times New Roman" w:hAnsi="Times New Roman" w:eastAsia="宋体" w:cs="宋体"/>
          <w:color w:val="auto"/>
          <w:kern w:val="2"/>
          <w:sz w:val="24"/>
          <w:szCs w:val="20"/>
          <w:highlight w:val="none"/>
          <w:lang w:val="en-US" w:eastAsia="zh-CN" w:bidi="ar"/>
        </w:rPr>
        <w:t>）中规定的“粪污处理基本工艺模式</w:t>
      </w:r>
      <w:r>
        <w:rPr>
          <w:rFonts w:hint="default" w:ascii="Times New Roman" w:hAnsi="Times New Roman" w:eastAsia="宋体" w:cs="Times New Roman"/>
          <w:color w:val="auto"/>
          <w:kern w:val="2"/>
          <w:sz w:val="24"/>
          <w:szCs w:val="20"/>
          <w:highlight w:val="none"/>
          <w:lang w:val="en-US" w:eastAsia="zh-CN" w:bidi="ar"/>
        </w:rPr>
        <w:t>——</w:t>
      </w:r>
      <w:r>
        <w:rPr>
          <w:rFonts w:hint="eastAsia" w:ascii="Times New Roman" w:hAnsi="Times New Roman" w:eastAsia="宋体" w:cs="宋体"/>
          <w:color w:val="auto"/>
          <w:kern w:val="2"/>
          <w:sz w:val="24"/>
          <w:szCs w:val="20"/>
          <w:highlight w:val="none"/>
          <w:lang w:val="en-US" w:eastAsia="zh-CN" w:bidi="ar"/>
        </w:rPr>
        <w:t>模式</w:t>
      </w:r>
      <w:r>
        <w:rPr>
          <w:rFonts w:hint="default" w:ascii="Times New Roman" w:hAnsi="Times New Roman" w:eastAsia="宋体" w:cs="Times New Roman"/>
          <w:color w:val="auto"/>
          <w:kern w:val="2"/>
          <w:sz w:val="24"/>
          <w:szCs w:val="20"/>
          <w:highlight w:val="none"/>
          <w:lang w:val="en-US" w:eastAsia="zh-CN" w:bidi="ar"/>
        </w:rPr>
        <w:t>Ⅲ</w:t>
      </w:r>
      <w:r>
        <w:rPr>
          <w:rFonts w:hint="eastAsia" w:ascii="Times New Roman" w:hAnsi="Times New Roman" w:eastAsia="宋体" w:cs="宋体"/>
          <w:color w:val="auto"/>
          <w:kern w:val="2"/>
          <w:sz w:val="24"/>
          <w:szCs w:val="20"/>
          <w:highlight w:val="none"/>
          <w:lang w:val="en-US" w:eastAsia="zh-CN" w:bidi="ar"/>
        </w:rPr>
        <w:t>”相符，处理后的废水达《农田灌溉水质标准》（</w:t>
      </w:r>
      <w:r>
        <w:rPr>
          <w:rFonts w:hint="default" w:ascii="Times New Roman" w:hAnsi="Times New Roman" w:eastAsia="宋体" w:cs="Times New Roman"/>
          <w:color w:val="auto"/>
          <w:kern w:val="2"/>
          <w:sz w:val="24"/>
          <w:szCs w:val="20"/>
          <w:highlight w:val="none"/>
          <w:lang w:val="en-US" w:eastAsia="zh-CN" w:bidi="ar"/>
        </w:rPr>
        <w:t>GB5084-20</w:t>
      </w:r>
      <w:r>
        <w:rPr>
          <w:rFonts w:hint="eastAsia" w:ascii="Times New Roman" w:hAnsi="Times New Roman" w:cs="Times New Roman"/>
          <w:color w:val="auto"/>
          <w:kern w:val="2"/>
          <w:sz w:val="24"/>
          <w:szCs w:val="20"/>
          <w:highlight w:val="none"/>
          <w:lang w:val="en-US" w:eastAsia="zh-CN" w:bidi="ar"/>
        </w:rPr>
        <w:t>20</w:t>
      </w:r>
      <w:r>
        <w:rPr>
          <w:rFonts w:hint="eastAsia" w:ascii="Times New Roman" w:hAnsi="Times New Roman" w:eastAsia="宋体" w:cs="宋体"/>
          <w:color w:val="auto"/>
          <w:kern w:val="2"/>
          <w:sz w:val="24"/>
          <w:szCs w:val="20"/>
          <w:highlight w:val="none"/>
          <w:lang w:val="en-US" w:eastAsia="zh-CN" w:bidi="ar"/>
        </w:rPr>
        <w:t>）中</w:t>
      </w:r>
      <w:r>
        <w:rPr>
          <w:rFonts w:hint="eastAsia" w:ascii="Times New Roman" w:hAnsi="Times New Roman" w:cs="宋体"/>
          <w:color w:val="auto"/>
          <w:kern w:val="2"/>
          <w:sz w:val="24"/>
          <w:szCs w:val="20"/>
          <w:highlight w:val="none"/>
          <w:lang w:val="en-US" w:eastAsia="zh-CN" w:bidi="ar"/>
        </w:rPr>
        <w:t>蔬菜</w:t>
      </w:r>
      <w:r>
        <w:rPr>
          <w:rFonts w:hint="eastAsia" w:ascii="Times New Roman" w:hAnsi="Times New Roman" w:eastAsia="宋体" w:cs="宋体"/>
          <w:color w:val="auto"/>
          <w:kern w:val="2"/>
          <w:sz w:val="24"/>
          <w:szCs w:val="20"/>
          <w:highlight w:val="none"/>
          <w:lang w:val="en-US" w:eastAsia="zh-CN" w:bidi="ar"/>
        </w:rPr>
        <w:t>标准后暂存于储存池内，</w:t>
      </w:r>
      <w:r>
        <w:rPr>
          <w:rFonts w:hint="eastAsia" w:ascii="Times New Roman" w:hAnsi="Times New Roman" w:cs="宋体"/>
          <w:color w:val="auto"/>
          <w:kern w:val="2"/>
          <w:sz w:val="24"/>
          <w:szCs w:val="20"/>
          <w:highlight w:val="none"/>
          <w:lang w:val="en-US" w:eastAsia="zh-CN" w:bidi="ar"/>
        </w:rPr>
        <w:t>用于周围林地及农田灌溉，不外排。</w:t>
      </w:r>
    </w:p>
    <w:p>
      <w:pPr>
        <w:pStyle w:val="85"/>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cs="Times New Roman"/>
          <w:color w:val="auto"/>
          <w:highlight w:val="none"/>
          <w:lang w:val="en-US"/>
        </w:rPr>
      </w:pPr>
      <w:r>
        <w:rPr>
          <w:rFonts w:hint="eastAsia" w:ascii="Times New Roman" w:hAnsi="Times New Roman" w:eastAsia="宋体" w:cs="宋体"/>
          <w:color w:val="auto"/>
          <w:kern w:val="2"/>
          <w:sz w:val="24"/>
          <w:szCs w:val="20"/>
          <w:highlight w:val="none"/>
          <w:lang w:val="en-US" w:eastAsia="zh-CN" w:bidi="ar"/>
        </w:rPr>
        <w:t>（</w:t>
      </w:r>
      <w:r>
        <w:rPr>
          <w:rFonts w:hint="eastAsia" w:ascii="Times New Roman" w:hAnsi="Times New Roman" w:cs="Times New Roman"/>
          <w:color w:val="auto"/>
          <w:kern w:val="2"/>
          <w:sz w:val="24"/>
          <w:szCs w:val="20"/>
          <w:highlight w:val="none"/>
          <w:lang w:val="en-US" w:eastAsia="zh-CN" w:bidi="ar"/>
        </w:rPr>
        <w:t>4</w:t>
      </w:r>
      <w:r>
        <w:rPr>
          <w:rFonts w:hint="eastAsia" w:ascii="Times New Roman" w:hAnsi="Times New Roman" w:eastAsia="宋体" w:cs="宋体"/>
          <w:color w:val="auto"/>
          <w:kern w:val="2"/>
          <w:sz w:val="24"/>
          <w:szCs w:val="20"/>
          <w:highlight w:val="none"/>
          <w:lang w:val="en-US" w:eastAsia="zh-CN" w:bidi="ar"/>
        </w:rPr>
        <w:t>）项目拟</w:t>
      </w:r>
      <w:r>
        <w:rPr>
          <w:rFonts w:hint="eastAsia" w:ascii="Times New Roman" w:hAnsi="Times New Roman" w:cs="宋体"/>
          <w:color w:val="auto"/>
          <w:kern w:val="2"/>
          <w:sz w:val="24"/>
          <w:szCs w:val="20"/>
          <w:highlight w:val="none"/>
          <w:lang w:val="en-US" w:eastAsia="zh-CN" w:bidi="ar"/>
        </w:rPr>
        <w:t>在场内新建病死牛无害化处理车间</w:t>
      </w:r>
      <w:r>
        <w:rPr>
          <w:rFonts w:hint="eastAsia" w:ascii="Times New Roman" w:hAnsi="Times New Roman" w:eastAsia="宋体" w:cs="宋体"/>
          <w:color w:val="auto"/>
          <w:kern w:val="2"/>
          <w:sz w:val="24"/>
          <w:szCs w:val="20"/>
          <w:highlight w:val="none"/>
          <w:lang w:val="en-US" w:eastAsia="zh-CN" w:bidi="ar"/>
        </w:rPr>
        <w:t>采取高温法对病死</w:t>
      </w:r>
      <w:r>
        <w:rPr>
          <w:rFonts w:hint="eastAsia" w:ascii="Times New Roman" w:hAnsi="Times New Roman" w:cs="宋体"/>
          <w:color w:val="auto"/>
          <w:kern w:val="2"/>
          <w:sz w:val="24"/>
          <w:szCs w:val="20"/>
          <w:highlight w:val="none"/>
          <w:lang w:val="en-US" w:eastAsia="zh-CN" w:bidi="ar"/>
        </w:rPr>
        <w:t>牛</w:t>
      </w:r>
      <w:r>
        <w:rPr>
          <w:rFonts w:hint="eastAsia" w:ascii="Times New Roman" w:hAnsi="Times New Roman" w:eastAsia="宋体" w:cs="宋体"/>
          <w:color w:val="auto"/>
          <w:kern w:val="2"/>
          <w:sz w:val="24"/>
          <w:szCs w:val="20"/>
          <w:highlight w:val="none"/>
          <w:lang w:val="en-US" w:eastAsia="zh-CN" w:bidi="ar"/>
        </w:rPr>
        <w:t>进行无害化处理；对少量畜禽医疗废物统一收集后交由具有相应资质类别的危险废物处置单位处置；各类固体废物经减量化、无害化处理后，均能得到妥善处置，对周围环境的影响较小。</w:t>
      </w:r>
    </w:p>
    <w:p>
      <w:pPr>
        <w:pStyle w:val="85"/>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cs="Times New Roman"/>
          <w:b/>
          <w:bCs/>
          <w:color w:val="auto"/>
          <w:highlight w:val="none"/>
          <w:u w:val="single"/>
          <w:lang w:val="en-US"/>
        </w:rPr>
      </w:pPr>
      <w:r>
        <w:rPr>
          <w:rFonts w:hint="eastAsia" w:ascii="Times New Roman" w:hAnsi="Times New Roman" w:eastAsia="宋体" w:cs="宋体"/>
          <w:color w:val="auto"/>
          <w:kern w:val="2"/>
          <w:sz w:val="24"/>
          <w:szCs w:val="20"/>
          <w:highlight w:val="none"/>
          <w:lang w:val="en-US" w:eastAsia="zh-CN" w:bidi="ar"/>
        </w:rPr>
        <w:t>（</w:t>
      </w:r>
      <w:r>
        <w:rPr>
          <w:rFonts w:hint="eastAsia" w:ascii="Times New Roman" w:hAnsi="Times New Roman" w:cs="Times New Roman"/>
          <w:color w:val="auto"/>
          <w:kern w:val="2"/>
          <w:sz w:val="24"/>
          <w:szCs w:val="20"/>
          <w:highlight w:val="none"/>
          <w:lang w:val="en-US" w:eastAsia="zh-CN" w:bidi="ar"/>
        </w:rPr>
        <w:t>5</w:t>
      </w:r>
      <w:r>
        <w:rPr>
          <w:rFonts w:hint="eastAsia" w:ascii="Times New Roman" w:hAnsi="Times New Roman" w:eastAsia="宋体" w:cs="宋体"/>
          <w:color w:val="auto"/>
          <w:kern w:val="2"/>
          <w:sz w:val="24"/>
          <w:szCs w:val="20"/>
          <w:highlight w:val="none"/>
          <w:lang w:val="en-US" w:eastAsia="zh-CN" w:bidi="ar"/>
        </w:rPr>
        <w:t>）</w:t>
      </w:r>
      <w:r>
        <w:rPr>
          <w:rFonts w:hint="eastAsia" w:ascii="Times New Roman" w:hAnsi="Times New Roman" w:cs="宋体"/>
          <w:color w:val="auto"/>
          <w:kern w:val="2"/>
          <w:sz w:val="24"/>
          <w:szCs w:val="20"/>
          <w:highlight w:val="none"/>
          <w:lang w:val="en-US" w:eastAsia="zh-CN" w:bidi="ar"/>
        </w:rPr>
        <w:t>本项目</w:t>
      </w:r>
      <w:r>
        <w:rPr>
          <w:rFonts w:hint="eastAsia" w:ascii="Times New Roman" w:hAnsi="Times New Roman" w:eastAsia="宋体" w:cs="宋体"/>
          <w:color w:val="auto"/>
          <w:kern w:val="2"/>
          <w:sz w:val="24"/>
          <w:szCs w:val="20"/>
          <w:highlight w:val="none"/>
          <w:lang w:val="en-US" w:eastAsia="zh-CN" w:bidi="ar"/>
        </w:rPr>
        <w:t>以牛舍、污水处理站、干粪棚为边界划定200m卫生防护距离，根据现场踏勘调查，本项目卫生防护距离200m范围内有</w:t>
      </w:r>
      <w:r>
        <w:rPr>
          <w:rFonts w:hint="eastAsia" w:ascii="Times New Roman" w:hAnsi="Times New Roman" w:cs="宋体"/>
          <w:color w:val="auto"/>
          <w:kern w:val="2"/>
          <w:sz w:val="24"/>
          <w:szCs w:val="20"/>
          <w:highlight w:val="none"/>
          <w:lang w:val="en-US" w:eastAsia="zh-CN" w:bidi="ar"/>
        </w:rPr>
        <w:t>3</w:t>
      </w:r>
      <w:r>
        <w:rPr>
          <w:rFonts w:hint="eastAsia" w:ascii="Times New Roman" w:hAnsi="Times New Roman" w:eastAsia="宋体" w:cs="宋体"/>
          <w:color w:val="auto"/>
          <w:kern w:val="2"/>
          <w:sz w:val="24"/>
          <w:szCs w:val="20"/>
          <w:highlight w:val="none"/>
          <w:lang w:val="en-US" w:eastAsia="zh-CN" w:bidi="ar"/>
        </w:rPr>
        <w:t>栋农户自用房，拟由公司长期租赁用作项目</w:t>
      </w:r>
      <w:r>
        <w:rPr>
          <w:rFonts w:hint="eastAsia" w:ascii="Times New Roman" w:hAnsi="Times New Roman" w:cs="宋体"/>
          <w:color w:val="auto"/>
          <w:kern w:val="2"/>
          <w:sz w:val="24"/>
          <w:szCs w:val="20"/>
          <w:highlight w:val="none"/>
          <w:lang w:val="en-US" w:eastAsia="zh-CN" w:bidi="ar"/>
        </w:rPr>
        <w:t>生产管理用房，已签订租赁协议（附件12）</w:t>
      </w:r>
      <w:r>
        <w:rPr>
          <w:rFonts w:hint="eastAsia" w:ascii="Times New Roman" w:hAnsi="Times New Roman" w:eastAsia="宋体" w:cs="宋体"/>
          <w:color w:val="auto"/>
          <w:kern w:val="2"/>
          <w:sz w:val="24"/>
          <w:szCs w:val="20"/>
          <w:highlight w:val="none"/>
          <w:lang w:val="en-US" w:eastAsia="zh-CN" w:bidi="ar"/>
        </w:rPr>
        <w:t>；项目建成后，卫生防护距离范围内无学校、居民、医疗卫生、行政办公等环境敏感目标，</w:t>
      </w:r>
      <w:r>
        <w:rPr>
          <w:rFonts w:hint="eastAsia" w:ascii="Times New Roman" w:hAnsi="Times New Roman" w:eastAsia="宋体" w:cs="宋体"/>
          <w:b/>
          <w:bCs/>
          <w:color w:val="auto"/>
          <w:kern w:val="2"/>
          <w:sz w:val="24"/>
          <w:szCs w:val="20"/>
          <w:highlight w:val="none"/>
          <w:lang w:val="en-US" w:eastAsia="zh-CN" w:bidi="ar"/>
        </w:rPr>
        <w:t>本项目无环保搬迁</w:t>
      </w:r>
      <w:r>
        <w:rPr>
          <w:rFonts w:hint="eastAsia" w:ascii="Times New Roman" w:hAnsi="Times New Roman" w:eastAsia="宋体" w:cs="宋体"/>
          <w:color w:val="auto"/>
          <w:kern w:val="2"/>
          <w:sz w:val="24"/>
          <w:szCs w:val="20"/>
          <w:highlight w:val="none"/>
          <w:lang w:val="en-US" w:eastAsia="zh-CN" w:bidi="ar"/>
        </w:rPr>
        <w:t>。且环评要求：</w:t>
      </w:r>
      <w:r>
        <w:rPr>
          <w:rFonts w:hint="eastAsia" w:ascii="Times New Roman" w:hAnsi="Times New Roman" w:eastAsia="宋体" w:cs="宋体"/>
          <w:b/>
          <w:bCs/>
          <w:color w:val="auto"/>
          <w:kern w:val="2"/>
          <w:sz w:val="24"/>
          <w:szCs w:val="20"/>
          <w:highlight w:val="none"/>
          <w:u w:val="single"/>
          <w:lang w:val="en-US" w:eastAsia="zh-CN" w:bidi="ar"/>
        </w:rPr>
        <w:t>在卫生防护距离范围内不得规划新建集中居民区、医院、学校及食品医药加工企业等易受本项目恶臭影响的建设项目。</w:t>
      </w:r>
    </w:p>
    <w:p>
      <w:pPr>
        <w:pStyle w:val="85"/>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cs="Times New Roman"/>
          <w:color w:val="auto"/>
          <w:highlight w:val="none"/>
          <w:lang w:val="en-US"/>
        </w:rPr>
      </w:pPr>
      <w:r>
        <w:rPr>
          <w:rFonts w:hint="eastAsia" w:ascii="Times New Roman" w:hAnsi="Times New Roman" w:eastAsia="宋体" w:cs="宋体"/>
          <w:color w:val="auto"/>
          <w:kern w:val="2"/>
          <w:sz w:val="24"/>
          <w:szCs w:val="20"/>
          <w:highlight w:val="none"/>
          <w:lang w:val="en-US" w:eastAsia="zh-CN" w:bidi="ar"/>
        </w:rPr>
        <w:t>本次评价结合项目建设特点，针对可能产生的问题提出相应的环境保护措施，使建设项目施工期、营运期产生的污染物得到有效处置，防止对区域环境造成影响，并为企业建设、环保部门管理提供依据</w:t>
      </w:r>
      <w:r>
        <w:rPr>
          <w:rFonts w:hint="eastAsia" w:ascii="Times New Roman" w:hAnsi="Times New Roman" w:cs="宋体"/>
          <w:color w:val="auto"/>
          <w:kern w:val="2"/>
          <w:sz w:val="24"/>
          <w:szCs w:val="20"/>
          <w:highlight w:val="none"/>
          <w:lang w:val="en-US" w:eastAsia="zh-CN" w:bidi="ar"/>
        </w:rPr>
        <w:t>。</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default" w:ascii="Times New Roman" w:hAnsi="Times New Roman" w:eastAsia="宋体" w:cs="Times New Roman"/>
          <w:color w:val="auto"/>
          <w:highlight w:val="none"/>
          <w:lang w:eastAsia="zh-CN"/>
        </w:rPr>
      </w:pPr>
      <w:bookmarkStart w:id="7" w:name="_Toc29412"/>
      <w:r>
        <w:rPr>
          <w:rFonts w:hint="default" w:ascii="Times New Roman" w:hAnsi="Times New Roman" w:eastAsia="宋体" w:cs="Times New Roman"/>
          <w:color w:val="auto"/>
          <w:highlight w:val="none"/>
          <w:lang w:eastAsia="zh-CN"/>
        </w:rPr>
        <w:t>环境影响评价的工作过程</w:t>
      </w:r>
      <w:bookmarkEnd w:id="7"/>
    </w:p>
    <w:p>
      <w:pPr>
        <w:pStyle w:val="158"/>
        <w:ind w:firstLine="480"/>
        <w:rPr>
          <w:color w:val="auto"/>
          <w:highlight w:val="none"/>
        </w:rPr>
      </w:pPr>
      <w:r>
        <w:rPr>
          <w:rFonts w:hint="eastAsia"/>
          <w:color w:val="auto"/>
          <w:highlight w:val="none"/>
          <w:lang w:eastAsia="zh-CN"/>
        </w:rPr>
        <w:t>四川巴中国家粮食和物资储备库有限公司</w:t>
      </w:r>
      <w:r>
        <w:rPr>
          <w:color w:val="auto"/>
          <w:highlight w:val="none"/>
        </w:rPr>
        <w:t>于20</w:t>
      </w:r>
      <w:r>
        <w:rPr>
          <w:rFonts w:hint="eastAsia"/>
          <w:color w:val="auto"/>
          <w:highlight w:val="none"/>
          <w:lang w:val="en-US" w:eastAsia="zh-CN"/>
        </w:rPr>
        <w:t>22</w:t>
      </w:r>
      <w:r>
        <w:rPr>
          <w:color w:val="auto"/>
          <w:highlight w:val="none"/>
        </w:rPr>
        <w:t>年</w:t>
      </w:r>
      <w:r>
        <w:rPr>
          <w:rFonts w:hint="eastAsia"/>
          <w:color w:val="auto"/>
          <w:highlight w:val="none"/>
          <w:lang w:val="en-US" w:eastAsia="zh-CN"/>
        </w:rPr>
        <w:t>6</w:t>
      </w:r>
      <w:r>
        <w:rPr>
          <w:color w:val="auto"/>
          <w:highlight w:val="none"/>
        </w:rPr>
        <w:t>月</w:t>
      </w:r>
      <w:r>
        <w:rPr>
          <w:rFonts w:hint="eastAsia"/>
          <w:color w:val="auto"/>
          <w:highlight w:val="none"/>
          <w:lang w:val="en-US" w:eastAsia="zh-CN"/>
        </w:rPr>
        <w:t>1</w:t>
      </w:r>
      <w:r>
        <w:rPr>
          <w:color w:val="auto"/>
          <w:highlight w:val="none"/>
        </w:rPr>
        <w:t>日委托四川</w:t>
      </w:r>
      <w:r>
        <w:rPr>
          <w:rFonts w:hint="eastAsia"/>
          <w:color w:val="auto"/>
          <w:highlight w:val="none"/>
          <w:lang w:eastAsia="zh-CN"/>
        </w:rPr>
        <w:t>国投环保科技有限公司</w:t>
      </w:r>
      <w:r>
        <w:rPr>
          <w:color w:val="auto"/>
          <w:highlight w:val="none"/>
        </w:rPr>
        <w:t>编制《</w:t>
      </w:r>
      <w:r>
        <w:rPr>
          <w:rFonts w:hint="eastAsia"/>
          <w:color w:val="auto"/>
          <w:highlight w:val="none"/>
        </w:rPr>
        <w:t>巴州区鼎山镇首市村巴山肉牛标准化</w:t>
      </w:r>
      <w:r>
        <w:rPr>
          <w:rFonts w:hint="eastAsia"/>
          <w:color w:val="auto"/>
          <w:highlight w:val="none"/>
          <w:lang w:eastAsia="zh-CN"/>
        </w:rPr>
        <w:t>育肥场</w:t>
      </w:r>
      <w:r>
        <w:rPr>
          <w:color w:val="auto"/>
          <w:highlight w:val="none"/>
        </w:rPr>
        <w:t>环境影响报告书》。在接受业主委托后，我单位随即组织技术力量，进行了详细的现场踏勘、环境现状调查、资料收集工作，并在此基础上严格按照环境影响评价相关技术导则、规范的要求进行《</w:t>
      </w:r>
      <w:r>
        <w:rPr>
          <w:rFonts w:hint="eastAsia"/>
          <w:color w:val="auto"/>
          <w:highlight w:val="none"/>
        </w:rPr>
        <w:t>巴州区鼎山镇首市村巴山肉牛标准化</w:t>
      </w:r>
      <w:r>
        <w:rPr>
          <w:rFonts w:hint="eastAsia"/>
          <w:color w:val="auto"/>
          <w:highlight w:val="none"/>
          <w:lang w:eastAsia="zh-CN"/>
        </w:rPr>
        <w:t>育肥场</w:t>
      </w:r>
      <w:r>
        <w:rPr>
          <w:color w:val="auto"/>
          <w:highlight w:val="none"/>
        </w:rPr>
        <w:t>环境影响报告书》的编制工作。</w:t>
      </w:r>
    </w:p>
    <w:p>
      <w:pPr>
        <w:ind w:firstLine="480" w:firstLineChars="200"/>
        <w:rPr>
          <w:rFonts w:ascii="Times New Roman" w:hAnsi="Times New Roman" w:cs="Times New Roman"/>
          <w:color w:val="auto"/>
          <w:highlight w:val="none"/>
        </w:rPr>
      </w:pPr>
      <w:r>
        <w:rPr>
          <w:rFonts w:ascii="Times New Roman" w:hAnsi="Times New Roman" w:cs="Times New Roman"/>
          <w:color w:val="auto"/>
          <w:sz w:val="24"/>
          <w:highlight w:val="none"/>
        </w:rPr>
        <w:t>在本项目环境影响报告书的编制过程中，得到了各级环保部门、相关行政管理部门以及项目业主的大力支持和协助。在此，一并致以衷心的感谢。</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eastAsia="zh-CN"/>
        </w:rPr>
      </w:pPr>
      <w:bookmarkStart w:id="8" w:name="_Toc11330"/>
      <w:r>
        <w:rPr>
          <w:rFonts w:hint="eastAsia" w:eastAsia="宋体" w:cs="Times New Roman"/>
          <w:color w:val="auto"/>
          <w:highlight w:val="none"/>
          <w:lang w:eastAsia="zh-CN"/>
        </w:rPr>
        <w:t>相关政策</w:t>
      </w:r>
      <w:r>
        <w:rPr>
          <w:rFonts w:hint="eastAsia" w:ascii="Times New Roman" w:hAnsi="Times New Roman" w:eastAsia="宋体" w:cs="Times New Roman"/>
          <w:color w:val="auto"/>
          <w:highlight w:val="none"/>
          <w:lang w:eastAsia="zh-CN"/>
        </w:rPr>
        <w:t>分析判定</w:t>
      </w:r>
      <w:r>
        <w:rPr>
          <w:rFonts w:hint="eastAsia" w:eastAsia="宋体" w:cs="Times New Roman"/>
          <w:color w:val="auto"/>
          <w:highlight w:val="none"/>
          <w:lang w:eastAsia="zh-CN"/>
        </w:rPr>
        <w:t>情况</w:t>
      </w:r>
      <w:bookmarkEnd w:id="8"/>
    </w:p>
    <w:p>
      <w:pPr>
        <w:snapToGrid w:val="0"/>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根据国民经济行业分类和代码【GB/T4754-2017】</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2019年本）</w:t>
      </w:r>
      <w:r>
        <w:rPr>
          <w:rFonts w:ascii="Times New Roman" w:hAnsi="Times New Roman" w:cs="Times New Roman"/>
          <w:color w:val="auto"/>
          <w:sz w:val="24"/>
          <w:highlight w:val="none"/>
        </w:rPr>
        <w:t>，本项目代码为“</w:t>
      </w:r>
      <w:r>
        <w:rPr>
          <w:rFonts w:hint="eastAsia" w:ascii="Times New Roman" w:hAnsi="Times New Roman" w:cs="Times New Roman"/>
          <w:color w:val="auto"/>
          <w:sz w:val="24"/>
          <w:highlight w:val="none"/>
        </w:rPr>
        <w:t>031牲畜饲养</w:t>
      </w:r>
      <w:r>
        <w:rPr>
          <w:rFonts w:ascii="Times New Roman" w:hAnsi="Times New Roman" w:cs="Times New Roman"/>
          <w:color w:val="auto"/>
          <w:sz w:val="24"/>
          <w:highlight w:val="none"/>
        </w:rPr>
        <w:t>”。</w:t>
      </w:r>
    </w:p>
    <w:p>
      <w:pPr>
        <w:pStyle w:val="158"/>
        <w:ind w:firstLine="480"/>
        <w:rPr>
          <w:color w:val="auto"/>
          <w:highlight w:val="none"/>
        </w:rPr>
      </w:pPr>
      <w:r>
        <w:rPr>
          <w:rFonts w:hint="eastAsia"/>
          <w:color w:val="auto"/>
          <w:highlight w:val="none"/>
        </w:rPr>
        <w:t>根据国家发改委《产业结构调整指导目录（2019年本）》，本项目属第一类“鼓励类”第一条“农林业”第四小类“畜禽标准化规模养殖技术开发与应用”。</w:t>
      </w:r>
      <w:r>
        <w:rPr>
          <w:color w:val="auto"/>
          <w:highlight w:val="none"/>
        </w:rPr>
        <w:t>同时，</w:t>
      </w:r>
      <w:r>
        <w:rPr>
          <w:rFonts w:hint="eastAsia"/>
          <w:color w:val="auto"/>
          <w:highlight w:val="none"/>
          <w:lang w:eastAsia="zh-CN"/>
        </w:rPr>
        <w:t>巴州区</w:t>
      </w:r>
      <w:r>
        <w:rPr>
          <w:rFonts w:hint="eastAsia"/>
          <w:color w:val="auto"/>
          <w:highlight w:val="none"/>
        </w:rPr>
        <w:t>发展和改革局</w:t>
      </w:r>
      <w:r>
        <w:rPr>
          <w:rFonts w:hint="eastAsia"/>
          <w:color w:val="auto"/>
          <w:highlight w:val="none"/>
          <w:lang w:eastAsia="zh-CN"/>
        </w:rPr>
        <w:t>以</w:t>
      </w:r>
      <w:r>
        <w:rPr>
          <w:rFonts w:hint="eastAsia"/>
          <w:color w:val="auto"/>
          <w:highlight w:val="none"/>
        </w:rPr>
        <w:t>川投资备【2204-511902-04-01-295288】FGQB-0083号</w:t>
      </w:r>
      <w:r>
        <w:rPr>
          <w:rFonts w:hint="eastAsia"/>
          <w:color w:val="auto"/>
          <w:highlight w:val="none"/>
          <w:lang w:eastAsia="zh-CN"/>
        </w:rPr>
        <w:t>文</w:t>
      </w:r>
      <w:r>
        <w:rPr>
          <w:color w:val="auto"/>
          <w:highlight w:val="none"/>
        </w:rPr>
        <w:t>对本项目进行了备案（见附件2）。</w:t>
      </w:r>
    </w:p>
    <w:p>
      <w:pPr>
        <w:pStyle w:val="158"/>
        <w:spacing w:line="360" w:lineRule="auto"/>
        <w:rPr>
          <w:rFonts w:hint="default" w:ascii="Times New Roman" w:hAnsi="Times New Roman" w:eastAsia="宋体" w:cs="Times New Roman"/>
          <w:bCs/>
          <w:color w:val="auto"/>
          <w:highlight w:val="none"/>
        </w:rPr>
      </w:pPr>
      <w:r>
        <w:rPr>
          <w:rFonts w:hint="eastAsia"/>
          <w:b w:val="0"/>
          <w:bCs w:val="0"/>
          <w:color w:val="auto"/>
          <w:sz w:val="24"/>
          <w:szCs w:val="24"/>
          <w:highlight w:val="none"/>
        </w:rPr>
        <w:t>本项目符合</w:t>
      </w:r>
      <w:r>
        <w:rPr>
          <w:rFonts w:hint="default" w:ascii="Times New Roman" w:hAnsi="Times New Roman" w:eastAsia="宋体" w:cs="Times New Roman"/>
          <w:b w:val="0"/>
          <w:bCs w:val="0"/>
          <w:color w:val="auto"/>
          <w:sz w:val="24"/>
          <w:szCs w:val="24"/>
          <w:highlight w:val="none"/>
        </w:rPr>
        <w:t>《四川省畜牧业发展“十三五”规划（2016-2020）》</w:t>
      </w:r>
      <w:r>
        <w:rPr>
          <w:rFonts w:hint="eastAsia" w:ascii="Times New Roman" w:hAnsi="Times New Roman" w:eastAsia="宋体" w:cs="Times New Roman"/>
          <w:b w:val="0"/>
          <w:bCs w:val="0"/>
          <w:color w:val="auto"/>
          <w:sz w:val="24"/>
          <w:szCs w:val="24"/>
          <w:highlight w:val="none"/>
          <w:lang w:eastAsia="zh-CN"/>
        </w:rPr>
        <w:t>、</w:t>
      </w:r>
      <w:r>
        <w:rPr>
          <w:rFonts w:hint="eastAsia" w:cs="Times New Roman"/>
          <w:b w:val="0"/>
          <w:bCs w:val="0"/>
          <w:color w:val="auto"/>
          <w:sz w:val="24"/>
          <w:szCs w:val="24"/>
          <w:highlight w:val="none"/>
        </w:rPr>
        <w:t>《</w:t>
      </w:r>
      <w:r>
        <w:rPr>
          <w:rFonts w:ascii="ˎ̥" w:hAnsi="ˎ̥"/>
          <w:b w:val="0"/>
          <w:bCs w:val="0"/>
          <w:color w:val="auto"/>
          <w:sz w:val="24"/>
          <w:szCs w:val="24"/>
          <w:highlight w:val="none"/>
        </w:rPr>
        <w:t>四川省“十</w:t>
      </w:r>
      <w:r>
        <w:rPr>
          <w:rFonts w:hint="eastAsia" w:ascii="ˎ̥" w:hAnsi="ˎ̥"/>
          <w:b w:val="0"/>
          <w:bCs w:val="0"/>
          <w:color w:val="auto"/>
          <w:sz w:val="24"/>
          <w:szCs w:val="24"/>
          <w:highlight w:val="none"/>
          <w:lang w:eastAsia="zh-CN"/>
        </w:rPr>
        <w:t>四</w:t>
      </w:r>
      <w:r>
        <w:rPr>
          <w:rFonts w:ascii="ˎ̥" w:hAnsi="ˎ̥"/>
          <w:b w:val="0"/>
          <w:bCs w:val="0"/>
          <w:color w:val="auto"/>
          <w:sz w:val="24"/>
          <w:szCs w:val="24"/>
          <w:highlight w:val="none"/>
        </w:rPr>
        <w:t>五”生态</w:t>
      </w:r>
      <w:r>
        <w:rPr>
          <w:rFonts w:hint="eastAsia" w:ascii="ˎ̥" w:hAnsi="ˎ̥"/>
          <w:b w:val="0"/>
          <w:bCs w:val="0"/>
          <w:color w:val="auto"/>
          <w:sz w:val="24"/>
          <w:szCs w:val="24"/>
          <w:highlight w:val="none"/>
          <w:lang w:eastAsia="zh-CN"/>
        </w:rPr>
        <w:t>环节</w:t>
      </w:r>
      <w:r>
        <w:rPr>
          <w:rFonts w:ascii="ˎ̥" w:hAnsi="ˎ̥"/>
          <w:b w:val="0"/>
          <w:bCs w:val="0"/>
          <w:color w:val="auto"/>
          <w:sz w:val="24"/>
          <w:szCs w:val="24"/>
          <w:highlight w:val="none"/>
        </w:rPr>
        <w:t>保护规划</w:t>
      </w:r>
      <w:r>
        <w:rPr>
          <w:rFonts w:hint="eastAsia" w:cs="Times New Roman"/>
          <w:b w:val="0"/>
          <w:bCs w:val="0"/>
          <w:color w:val="auto"/>
          <w:sz w:val="24"/>
          <w:szCs w:val="24"/>
          <w:highlight w:val="none"/>
        </w:rPr>
        <w:t>》</w:t>
      </w:r>
      <w:r>
        <w:rPr>
          <w:rFonts w:hint="eastAsia" w:cs="Times New Roman"/>
          <w:b w:val="0"/>
          <w:bCs w:val="0"/>
          <w:color w:val="auto"/>
          <w:sz w:val="24"/>
          <w:szCs w:val="24"/>
          <w:highlight w:val="none"/>
          <w:lang w:eastAsia="zh-CN"/>
        </w:rPr>
        <w:t>、</w:t>
      </w:r>
      <w:r>
        <w:rPr>
          <w:rFonts w:hint="eastAsia" w:cs="Times New Roman"/>
          <w:b w:val="0"/>
          <w:bCs w:val="0"/>
          <w:color w:val="auto"/>
          <w:sz w:val="24"/>
          <w:szCs w:val="24"/>
          <w:highlight w:val="none"/>
        </w:rPr>
        <w:t>《巴中市“十四五”生态环境保护规划》</w:t>
      </w:r>
      <w:r>
        <w:rPr>
          <w:rFonts w:hint="eastAsia" w:cs="Times New Roman"/>
          <w:b w:val="0"/>
          <w:bCs w:val="0"/>
          <w:color w:val="auto"/>
          <w:sz w:val="24"/>
          <w:szCs w:val="24"/>
          <w:highlight w:val="none"/>
          <w:lang w:eastAsia="zh-CN"/>
        </w:rPr>
        <w:t>、</w:t>
      </w:r>
      <w:r>
        <w:rPr>
          <w:rFonts w:hint="eastAsia" w:cs="Times New Roman"/>
          <w:b w:val="0"/>
          <w:bCs w:val="0"/>
          <w:color w:val="auto"/>
          <w:sz w:val="24"/>
          <w:szCs w:val="24"/>
          <w:highlight w:val="none"/>
        </w:rPr>
        <w:t>《巴中市“十四五” 推进农业农村现代化规划》</w:t>
      </w:r>
      <w:r>
        <w:rPr>
          <w:rFonts w:hint="eastAsia" w:cs="Times New Roman"/>
          <w:b w:val="0"/>
          <w:bCs w:val="0"/>
          <w:color w:val="auto"/>
          <w:sz w:val="24"/>
          <w:szCs w:val="24"/>
          <w:highlight w:val="none"/>
          <w:lang w:eastAsia="zh-CN"/>
        </w:rPr>
        <w:t>、</w:t>
      </w:r>
      <w:r>
        <w:rPr>
          <w:rFonts w:hint="eastAsia" w:cs="Times New Roman"/>
          <w:b w:val="0"/>
          <w:bCs w:val="0"/>
          <w:color w:val="auto"/>
          <w:sz w:val="24"/>
          <w:szCs w:val="24"/>
          <w:highlight w:val="none"/>
        </w:rPr>
        <w:t>《</w:t>
      </w:r>
      <w:r>
        <w:rPr>
          <w:rFonts w:hint="eastAsia" w:cs="Times New Roman"/>
          <w:b w:val="0"/>
          <w:bCs w:val="0"/>
          <w:color w:val="auto"/>
          <w:sz w:val="24"/>
          <w:szCs w:val="24"/>
          <w:highlight w:val="none"/>
          <w:lang w:eastAsia="zh-CN"/>
        </w:rPr>
        <w:t>巴州区</w:t>
      </w:r>
      <w:r>
        <w:rPr>
          <w:rFonts w:hint="eastAsia" w:cs="Times New Roman"/>
          <w:b w:val="0"/>
          <w:bCs w:val="0"/>
          <w:color w:val="auto"/>
          <w:sz w:val="24"/>
          <w:szCs w:val="24"/>
          <w:highlight w:val="none"/>
        </w:rPr>
        <w:t>土地利用总体规划》（2006-2020年）</w:t>
      </w:r>
      <w:r>
        <w:rPr>
          <w:rFonts w:hint="eastAsia" w:cs="Times New Roman"/>
          <w:b w:val="0"/>
          <w:bCs w:val="0"/>
          <w:color w:val="auto"/>
          <w:sz w:val="24"/>
          <w:szCs w:val="24"/>
          <w:highlight w:val="none"/>
          <w:lang w:eastAsia="zh-CN"/>
        </w:rPr>
        <w:t>、</w:t>
      </w:r>
      <w:r>
        <w:rPr>
          <w:rFonts w:hint="eastAsia" w:cs="Times New Roman"/>
          <w:b w:val="0"/>
          <w:bCs w:val="0"/>
          <w:color w:val="auto"/>
          <w:sz w:val="24"/>
          <w:szCs w:val="24"/>
          <w:highlight w:val="none"/>
        </w:rPr>
        <w:t>《中华人民共和国水污染防治法》</w:t>
      </w:r>
      <w:r>
        <w:rPr>
          <w:rFonts w:hint="eastAsia" w:cs="Times New Roman"/>
          <w:b w:val="0"/>
          <w:bCs w:val="0"/>
          <w:color w:val="auto"/>
          <w:sz w:val="24"/>
          <w:szCs w:val="24"/>
          <w:highlight w:val="none"/>
          <w:lang w:eastAsia="zh-CN"/>
        </w:rPr>
        <w:t>、</w:t>
      </w:r>
      <w:r>
        <w:rPr>
          <w:rFonts w:hint="eastAsia"/>
          <w:b w:val="0"/>
          <w:bCs w:val="0"/>
          <w:color w:val="auto"/>
          <w:sz w:val="24"/>
          <w:szCs w:val="24"/>
          <w:highlight w:val="none"/>
        </w:rPr>
        <w:t>《水污染防治行动计划》（简称“水十条”）、《土壤污染防治行动计划》（简称“土十条”）和《土壤污染防治行动计划四川省工作方案》、《畜禽规模养殖污染防治条例》、《国务院办公厅关于加快推进畜禽养殖废弃物资源化利用的意见》、</w:t>
      </w:r>
      <w:r>
        <w:rPr>
          <w:rFonts w:hint="default" w:ascii="Times New Roman" w:hAnsi="Times New Roman" w:eastAsia="宋体" w:cs="Times New Roman"/>
          <w:b w:val="0"/>
          <w:bCs w:val="0"/>
          <w:color w:val="auto"/>
          <w:sz w:val="24"/>
          <w:szCs w:val="24"/>
          <w:highlight w:val="none"/>
        </w:rPr>
        <w:t>《</w:t>
      </w:r>
      <w:r>
        <w:rPr>
          <w:rFonts w:hint="eastAsia" w:ascii="Times New Roman" w:hAnsi="Times New Roman" w:eastAsia="宋体" w:cs="Times New Roman"/>
          <w:b w:val="0"/>
          <w:bCs w:val="0"/>
          <w:color w:val="auto"/>
          <w:sz w:val="24"/>
          <w:szCs w:val="24"/>
          <w:highlight w:val="none"/>
          <w:lang w:eastAsia="zh-CN"/>
        </w:rPr>
        <w:t>农</w:t>
      </w:r>
      <w:r>
        <w:rPr>
          <w:rFonts w:hint="default" w:ascii="Times New Roman" w:hAnsi="Times New Roman" w:eastAsia="宋体" w:cs="Times New Roman"/>
          <w:b w:val="0"/>
          <w:bCs w:val="0"/>
          <w:color w:val="auto"/>
          <w:sz w:val="24"/>
          <w:szCs w:val="24"/>
          <w:highlight w:val="none"/>
        </w:rPr>
        <w:t>业农村部办公厅 生态环境部办公厅关于进一步明确畜禽粪污还田利用要求强化养殖污染监管的通知》（农办牧〔2020〕23号）</w:t>
      </w:r>
      <w:r>
        <w:rPr>
          <w:rFonts w:hint="eastAsia"/>
          <w:b w:val="0"/>
          <w:bCs w:val="0"/>
          <w:color w:val="auto"/>
          <w:sz w:val="24"/>
          <w:szCs w:val="24"/>
          <w:highlight w:val="none"/>
        </w:rPr>
        <w:t>等</w:t>
      </w:r>
      <w:r>
        <w:rPr>
          <w:b w:val="0"/>
          <w:bCs w:val="0"/>
          <w:color w:val="auto"/>
          <w:sz w:val="24"/>
          <w:szCs w:val="24"/>
          <w:highlight w:val="none"/>
        </w:rPr>
        <w:t>相关要求</w:t>
      </w:r>
      <w:r>
        <w:rPr>
          <w:rFonts w:hint="eastAsia"/>
          <w:b w:val="0"/>
          <w:bCs w:val="0"/>
          <w:color w:val="auto"/>
          <w:sz w:val="24"/>
          <w:szCs w:val="24"/>
          <w:highlight w:val="none"/>
        </w:rPr>
        <w:t>。本项目符合“三线一单”要求，不在生态红线，未突破环境质量底线，未突破资源利用上线，不在环境负面清单内。</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eastAsia="zh-CN"/>
        </w:rPr>
      </w:pPr>
      <w:bookmarkStart w:id="9" w:name="_Toc25877"/>
      <w:r>
        <w:rPr>
          <w:rFonts w:hint="eastAsia" w:ascii="Times New Roman" w:hAnsi="Times New Roman" w:eastAsia="宋体" w:cs="Times New Roman"/>
          <w:color w:val="auto"/>
          <w:highlight w:val="none"/>
          <w:lang w:eastAsia="zh-CN"/>
        </w:rPr>
        <w:t>关注的主要环境问题及环境影响</w:t>
      </w:r>
      <w:bookmarkEnd w:id="9"/>
    </w:p>
    <w:p>
      <w:pPr>
        <w:pStyle w:val="158"/>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根据本项目的特点和环境条件，本次评价关注的主要环境问题为项目运营后废水、废气等污染物排放以及固</w:t>
      </w:r>
      <w:r>
        <w:rPr>
          <w:rFonts w:hint="eastAsia" w:cs="Times New Roman"/>
          <w:color w:val="auto"/>
          <w:highlight w:val="none"/>
          <w:lang w:eastAsia="zh-CN"/>
        </w:rPr>
        <w:t>体</w:t>
      </w:r>
      <w:r>
        <w:rPr>
          <w:rFonts w:hint="default" w:ascii="Times New Roman" w:hAnsi="Times New Roman" w:eastAsia="宋体" w:cs="Times New Roman"/>
          <w:color w:val="auto"/>
          <w:highlight w:val="none"/>
        </w:rPr>
        <w:t>废物处置对区域环境及敏感点的影响程度，分析项目选址是否合理，同时论证项目拟采取的环保设施和污染防治措施的可行性和可靠性。</w:t>
      </w:r>
    </w:p>
    <w:p>
      <w:pPr>
        <w:pStyle w:val="158"/>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废水</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主要关注运营期养殖废水和生活污水，废水污染因子为COD、BOD</w:t>
      </w:r>
      <w:r>
        <w:rPr>
          <w:rFonts w:hint="default" w:ascii="Times New Roman" w:hAnsi="Times New Roman" w:eastAsia="宋体" w:cs="Times New Roman"/>
          <w:color w:val="auto"/>
          <w:highlight w:val="none"/>
          <w:vertAlign w:val="subscript"/>
        </w:rPr>
        <w:t>5</w:t>
      </w:r>
      <w:r>
        <w:rPr>
          <w:rFonts w:hint="default" w:ascii="Times New Roman" w:hAnsi="Times New Roman" w:eastAsia="宋体" w:cs="Times New Roman"/>
          <w:color w:val="auto"/>
          <w:highlight w:val="none"/>
        </w:rPr>
        <w:t>、NH3-N、总磷、SS和粪大肠菌群。重点分析废水水量、水质及处理工艺的可行性；废水不外排的可行性。</w:t>
      </w:r>
    </w:p>
    <w:p>
      <w:pPr>
        <w:pStyle w:val="158"/>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废气</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主要关注运营期养殖区、污水处理站、</w:t>
      </w:r>
      <w:r>
        <w:rPr>
          <w:rFonts w:hint="eastAsia" w:cs="Times New Roman"/>
          <w:color w:val="auto"/>
          <w:highlight w:val="none"/>
          <w:lang w:eastAsia="zh-CN"/>
        </w:rPr>
        <w:t>干粪棚</w:t>
      </w:r>
      <w:r>
        <w:rPr>
          <w:rFonts w:hint="default" w:ascii="Times New Roman" w:hAnsi="Times New Roman" w:eastAsia="宋体" w:cs="Times New Roman"/>
          <w:color w:val="auto"/>
          <w:highlight w:val="none"/>
        </w:rPr>
        <w:t>恶臭。重点分析废气源强、治理措施的可行性及对周边大气环境的影响。</w:t>
      </w:r>
    </w:p>
    <w:p>
      <w:pPr>
        <w:pStyle w:val="158"/>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噪</w:t>
      </w:r>
      <w:r>
        <w:rPr>
          <w:rFonts w:hint="eastAsia" w:ascii="Times New Roman" w:hAnsi="Times New Roman" w:eastAsia="宋体" w:cs="Times New Roman"/>
          <w:color w:val="auto"/>
          <w:highlight w:val="none"/>
          <w:lang w:eastAsia="zh-CN"/>
        </w:rPr>
        <w:t>声</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主要关注运营期场界噪声是否可以达到相应的标准要求。重点分析噪声控制措施及场界达标的可行性。</w:t>
      </w:r>
    </w:p>
    <w:p>
      <w:pPr>
        <w:pStyle w:val="158"/>
        <w:ind w:firstLine="480"/>
        <w:rPr>
          <w:color w:val="auto"/>
          <w:highlight w:val="none"/>
        </w:rPr>
      </w:pPr>
      <w:r>
        <w:rPr>
          <w:rFonts w:hint="default" w:ascii="Times New Roman" w:hAnsi="Times New Roman" w:eastAsia="宋体" w:cs="Times New Roman"/>
          <w:color w:val="auto"/>
          <w:highlight w:val="none"/>
        </w:rPr>
        <w:t>固体废物</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主要关注</w:t>
      </w:r>
      <w:r>
        <w:rPr>
          <w:rFonts w:hint="eastAsia" w:cs="Times New Roman"/>
          <w:color w:val="auto"/>
          <w:highlight w:val="none"/>
          <w:lang w:eastAsia="zh-CN"/>
        </w:rPr>
        <w:t>牛</w:t>
      </w:r>
      <w:r>
        <w:rPr>
          <w:rFonts w:hint="default" w:ascii="Times New Roman" w:hAnsi="Times New Roman" w:eastAsia="宋体" w:cs="Times New Roman"/>
          <w:color w:val="auto"/>
          <w:highlight w:val="none"/>
        </w:rPr>
        <w:t>粪、污水处理设施污泥及沼渣、病死</w:t>
      </w:r>
      <w:r>
        <w:rPr>
          <w:rFonts w:hint="eastAsia" w:cs="Times New Roman"/>
          <w:color w:val="auto"/>
          <w:highlight w:val="none"/>
          <w:lang w:eastAsia="zh-CN"/>
        </w:rPr>
        <w:t>牛</w:t>
      </w:r>
      <w:r>
        <w:rPr>
          <w:rFonts w:hint="default" w:ascii="Times New Roman" w:hAnsi="Times New Roman" w:eastAsia="宋体" w:cs="Times New Roman"/>
          <w:color w:val="auto"/>
          <w:highlight w:val="none"/>
        </w:rPr>
        <w:t>、畜禽医疗废物、生活垃圾等的处置及去向。重点分析固废的产生情况、暂存设施设置的规范要求及处置措施是否符合环保要求。</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eastAsia="zh-CN"/>
        </w:rPr>
      </w:pPr>
      <w:bookmarkStart w:id="10" w:name="_Toc3973"/>
      <w:r>
        <w:rPr>
          <w:rFonts w:hint="eastAsia" w:ascii="Times New Roman" w:hAnsi="Times New Roman" w:eastAsia="宋体" w:cs="Times New Roman"/>
          <w:color w:val="auto"/>
          <w:highlight w:val="none"/>
          <w:lang w:eastAsia="zh-CN"/>
        </w:rPr>
        <w:t>环境影响评价的主要结论</w:t>
      </w:r>
      <w:bookmarkEnd w:id="10"/>
    </w:p>
    <w:p>
      <w:pPr>
        <w:pStyle w:val="158"/>
        <w:ind w:firstLine="480"/>
        <w:jc w:val="left"/>
        <w:rPr>
          <w:color w:val="auto"/>
          <w:highlight w:val="none"/>
        </w:rPr>
      </w:pPr>
      <w:r>
        <w:rPr>
          <w:color w:val="auto"/>
          <w:highlight w:val="none"/>
        </w:rPr>
        <w:t>本项目符合国家产业政策，选址可行。对各污染源采取的环保措施合理有效，技术可行，污染物能实现达标排放，满足总量控制要求，对评价区域环境质量的影响较小，环境风险水平可接受。因此，本评价认为，在该项目建设过程中有效落实各项环境保护设施及其它措施，并充分考虑环评提出的建议后，从环境保护角度分析，该项目的建设可行。</w:t>
      </w:r>
    </w:p>
    <w:p>
      <w:pPr>
        <w:rPr>
          <w:rFonts w:ascii="Times New Roman" w:hAnsi="Times New Roman" w:cs="Times New Roman"/>
          <w:color w:val="auto"/>
          <w:highlight w:val="none"/>
        </w:rPr>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6"/>
        <w:rPr>
          <w:rFonts w:cs="Times New Roman"/>
          <w:color w:val="auto"/>
          <w:highlight w:val="none"/>
        </w:rPr>
      </w:pPr>
      <w:bookmarkStart w:id="11" w:name="_Toc18027"/>
      <w:r>
        <w:rPr>
          <w:rFonts w:cs="Times New Roman"/>
          <w:color w:val="auto"/>
          <w:highlight w:val="none"/>
        </w:rPr>
        <w:t>总则</w:t>
      </w:r>
      <w:bookmarkEnd w:id="11"/>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eastAsia="zh-CN"/>
        </w:rPr>
      </w:pPr>
      <w:bookmarkStart w:id="12" w:name="_Toc8261"/>
      <w:r>
        <w:rPr>
          <w:rFonts w:hint="eastAsia" w:ascii="Times New Roman" w:hAnsi="Times New Roman" w:eastAsia="宋体" w:cs="Times New Roman"/>
          <w:color w:val="auto"/>
          <w:highlight w:val="none"/>
          <w:lang w:eastAsia="zh-CN"/>
        </w:rPr>
        <w:t>评价目的及原则</w:t>
      </w:r>
      <w:bookmarkEnd w:id="12"/>
    </w:p>
    <w:p>
      <w:pPr>
        <w:pStyle w:val="8"/>
        <w:spacing w:before="0" w:after="0" w:line="360" w:lineRule="auto"/>
        <w:ind w:left="0" w:firstLine="0"/>
        <w:rPr>
          <w:rFonts w:hint="eastAsia" w:ascii="宋体" w:hAnsi="宋体" w:eastAsia="宋体" w:cs="宋体"/>
          <w:color w:val="auto"/>
          <w:highlight w:val="none"/>
        </w:rPr>
      </w:pPr>
      <w:bookmarkStart w:id="13" w:name="_Toc29570"/>
      <w:r>
        <w:rPr>
          <w:rFonts w:hint="eastAsia" w:ascii="宋体" w:hAnsi="宋体" w:eastAsia="宋体" w:cs="宋体"/>
          <w:color w:val="auto"/>
          <w:highlight w:val="none"/>
          <w:lang w:eastAsia="zh-CN"/>
        </w:rPr>
        <w:t>评价目的</w:t>
      </w:r>
      <w:bookmarkEnd w:id="13"/>
    </w:p>
    <w:p>
      <w:pPr>
        <w:pStyle w:val="158"/>
        <w:ind w:firstLine="480"/>
        <w:rPr>
          <w:rFonts w:hint="eastAsia"/>
          <w:color w:val="auto"/>
          <w:highlight w:val="none"/>
        </w:rPr>
      </w:pPr>
      <w:r>
        <w:rPr>
          <w:rFonts w:hint="eastAsia"/>
          <w:color w:val="auto"/>
          <w:highlight w:val="none"/>
        </w:rPr>
        <w:t>环境影响评价作为建设项目管理的一项制度，其基本目的是贯彻“保护环境”的基本国策，认真执行“以防为主，防治结合，综合利用”的环境管理方针。通过评价，查清建设项目所在区域的环境现状，根据该项目的工程特征和污染特征，分析项目建设对当地环境可能造成的不良影响，弄清影响程度和范围，从而制定避免污染、减少污染的防治对策，为项目实现合理布局、最佳设计提供科学依据。</w:t>
      </w:r>
    </w:p>
    <w:p>
      <w:pPr>
        <w:pStyle w:val="158"/>
        <w:ind w:firstLine="48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本项目评价具体目的为：</w:t>
      </w:r>
    </w:p>
    <w:p>
      <w:pPr>
        <w:pStyle w:val="158"/>
        <w:numPr>
          <w:ilvl w:val="0"/>
          <w:numId w:val="3"/>
        </w:numPr>
        <w:ind w:firstLine="48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通过调查与监测，查清建设项目周围的自然环境和环境质量现状。</w:t>
      </w:r>
    </w:p>
    <w:p>
      <w:pPr>
        <w:pStyle w:val="158"/>
        <w:numPr>
          <w:ilvl w:val="0"/>
          <w:numId w:val="3"/>
        </w:numPr>
        <w:ind w:firstLine="48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通过工程分析和类比调查，查清建设项目的主要污染源、污染物及排放量；</w:t>
      </w:r>
    </w:p>
    <w:p>
      <w:pPr>
        <w:pStyle w:val="158"/>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（3）通过分析和计算，预测主要污染物排放对周围环境的影响程度和范围，判断其是否满足排放标准、环境质量标准和总量控制要求。</w:t>
      </w:r>
    </w:p>
    <w:p>
      <w:pPr>
        <w:pStyle w:val="158"/>
        <w:ind w:firstLine="48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（4）从技术、经济角度分析拟采取的环保措施的可行性和可靠性，必要时提出替代方案，为主管部门决策和加强环境管理提供依据。</w:t>
      </w:r>
    </w:p>
    <w:p>
      <w:pPr>
        <w:pStyle w:val="158"/>
        <w:ind w:firstLine="480"/>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rPr>
        <w:t>（5）从环保法规、产业政策、环境特点、污染防治等方面综合分析，对厂址选择的合理性和建设项目的环境可行性给出明确结论</w:t>
      </w:r>
      <w:r>
        <w:rPr>
          <w:rFonts w:hint="eastAsia" w:ascii="Times New Roman" w:hAnsi="Times New Roman" w:eastAsia="宋体" w:cs="Times New Roman"/>
          <w:color w:val="auto"/>
          <w:highlight w:val="none"/>
          <w:lang w:eastAsia="zh-CN"/>
        </w:rPr>
        <w:t>。</w:t>
      </w:r>
    </w:p>
    <w:p>
      <w:pPr>
        <w:pStyle w:val="8"/>
        <w:spacing w:before="0" w:after="0" w:line="360" w:lineRule="auto"/>
        <w:ind w:left="0" w:firstLine="0"/>
        <w:rPr>
          <w:rFonts w:hint="eastAsia" w:ascii="宋体" w:hAnsi="宋体" w:eastAsia="宋体" w:cs="宋体"/>
          <w:color w:val="auto"/>
          <w:highlight w:val="none"/>
        </w:rPr>
      </w:pPr>
      <w:bookmarkStart w:id="14" w:name="_Toc539"/>
      <w:r>
        <w:rPr>
          <w:rFonts w:hint="eastAsia" w:ascii="宋体" w:hAnsi="宋体" w:eastAsia="宋体" w:cs="宋体"/>
          <w:color w:val="auto"/>
          <w:highlight w:val="none"/>
          <w:lang w:eastAsia="zh-CN"/>
        </w:rPr>
        <w:t>评价原则</w:t>
      </w:r>
      <w:bookmarkEnd w:id="14"/>
    </w:p>
    <w:p>
      <w:pPr>
        <w:keepNext w:val="0"/>
        <w:keepLines w:val="0"/>
        <w:widowControl w:val="0"/>
        <w:suppressLineNumbers w:val="0"/>
        <w:spacing w:before="0" w:beforeAutospacing="0" w:after="0" w:afterAutospacing="0" w:line="440" w:lineRule="exact"/>
        <w:ind w:left="0" w:right="0" w:firstLine="480" w:firstLineChars="200"/>
        <w:jc w:val="both"/>
        <w:rPr>
          <w:color w:val="auto"/>
          <w:highlight w:val="none"/>
          <w:lang w:val="en-US"/>
        </w:rPr>
      </w:pPr>
      <w:r>
        <w:rPr>
          <w:rFonts w:hint="eastAsia" w:ascii="Times New Roman" w:hAnsi="Times New Roman" w:eastAsia="宋体" w:cs="宋体"/>
          <w:color w:val="auto"/>
          <w:kern w:val="2"/>
          <w:sz w:val="24"/>
          <w:szCs w:val="24"/>
          <w:highlight w:val="none"/>
          <w:lang w:val="en-US" w:eastAsia="zh-CN" w:bidi="ar"/>
        </w:rPr>
        <w:t>突出环境影响评价的源头预防作用，坚持保护和改善环境质量。</w:t>
      </w:r>
    </w:p>
    <w:p>
      <w:pPr>
        <w:keepNext w:val="0"/>
        <w:keepLines w:val="0"/>
        <w:widowControl w:val="0"/>
        <w:suppressLineNumbers w:val="0"/>
        <w:spacing w:before="0" w:beforeAutospacing="0" w:after="0" w:afterAutospacing="0" w:line="440" w:lineRule="exact"/>
        <w:ind w:left="0" w:right="0" w:firstLine="480" w:firstLineChars="200"/>
        <w:jc w:val="both"/>
        <w:rPr>
          <w:color w:val="auto"/>
          <w:highlight w:val="none"/>
          <w:lang w:val="en-US"/>
        </w:rPr>
      </w:pPr>
      <w:r>
        <w:rPr>
          <w:rFonts w:hint="eastAsia" w:ascii="Times New Roman" w:hAnsi="Times New Roman"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Times New Roman" w:hAnsi="Times New Roman" w:eastAsia="宋体" w:cs="宋体"/>
          <w:color w:val="auto"/>
          <w:kern w:val="2"/>
          <w:sz w:val="24"/>
          <w:szCs w:val="24"/>
          <w:highlight w:val="none"/>
          <w:lang w:val="en-US" w:eastAsia="zh-CN" w:bidi="ar"/>
        </w:rPr>
        <w:t>）依法评价</w:t>
      </w:r>
    </w:p>
    <w:p>
      <w:pPr>
        <w:keepNext w:val="0"/>
        <w:keepLines w:val="0"/>
        <w:widowControl w:val="0"/>
        <w:suppressLineNumbers w:val="0"/>
        <w:spacing w:before="0" w:beforeAutospacing="0" w:after="0" w:afterAutospacing="0" w:line="440" w:lineRule="exact"/>
        <w:ind w:left="0" w:right="0" w:firstLine="480" w:firstLineChars="200"/>
        <w:jc w:val="both"/>
        <w:rPr>
          <w:color w:val="auto"/>
          <w:highlight w:val="none"/>
          <w:lang w:val="en-US"/>
        </w:rPr>
      </w:pPr>
      <w:r>
        <w:rPr>
          <w:rFonts w:hint="eastAsia" w:ascii="Times New Roman" w:hAnsi="Times New Roman" w:eastAsia="宋体" w:cs="宋体"/>
          <w:color w:val="auto"/>
          <w:kern w:val="2"/>
          <w:sz w:val="24"/>
          <w:szCs w:val="24"/>
          <w:highlight w:val="none"/>
          <w:lang w:val="en-US" w:eastAsia="zh-CN" w:bidi="ar"/>
        </w:rPr>
        <w:t>贯彻执行我国环境保护相关法律法规、标准、政策和规划等，优化项目建设，服务环境管理。</w:t>
      </w:r>
    </w:p>
    <w:p>
      <w:pPr>
        <w:keepNext w:val="0"/>
        <w:keepLines w:val="0"/>
        <w:widowControl w:val="0"/>
        <w:suppressLineNumbers w:val="0"/>
        <w:spacing w:before="0" w:beforeAutospacing="0" w:after="0" w:afterAutospacing="0" w:line="440" w:lineRule="exact"/>
        <w:ind w:left="0" w:right="0" w:firstLine="480" w:firstLineChars="200"/>
        <w:jc w:val="both"/>
        <w:rPr>
          <w:color w:val="auto"/>
          <w:highlight w:val="none"/>
          <w:lang w:val="en-US"/>
        </w:rPr>
      </w:pPr>
      <w:r>
        <w:rPr>
          <w:rFonts w:hint="eastAsia" w:ascii="Times New Roman" w:hAnsi="Times New Roman"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Times New Roman" w:hAnsi="Times New Roman" w:eastAsia="宋体" w:cs="宋体"/>
          <w:color w:val="auto"/>
          <w:kern w:val="2"/>
          <w:sz w:val="24"/>
          <w:szCs w:val="24"/>
          <w:highlight w:val="none"/>
          <w:lang w:val="en-US" w:eastAsia="zh-CN" w:bidi="ar"/>
        </w:rPr>
        <w:t>）科学评价</w:t>
      </w:r>
    </w:p>
    <w:p>
      <w:pPr>
        <w:keepNext w:val="0"/>
        <w:keepLines w:val="0"/>
        <w:widowControl w:val="0"/>
        <w:suppressLineNumbers w:val="0"/>
        <w:spacing w:before="0" w:beforeAutospacing="0" w:after="0" w:afterAutospacing="0" w:line="440" w:lineRule="exact"/>
        <w:ind w:left="0" w:right="0" w:firstLine="480" w:firstLineChars="200"/>
        <w:jc w:val="both"/>
        <w:rPr>
          <w:color w:val="auto"/>
          <w:highlight w:val="none"/>
          <w:lang w:val="en-US"/>
        </w:rPr>
      </w:pPr>
      <w:r>
        <w:rPr>
          <w:rFonts w:hint="eastAsia" w:ascii="Times New Roman" w:hAnsi="Times New Roman" w:eastAsia="宋体" w:cs="宋体"/>
          <w:color w:val="auto"/>
          <w:kern w:val="2"/>
          <w:sz w:val="24"/>
          <w:szCs w:val="24"/>
          <w:highlight w:val="none"/>
          <w:lang w:val="en-US" w:eastAsia="zh-CN" w:bidi="ar"/>
        </w:rPr>
        <w:t>规范环境影响评价方法，科学分析项目建设对环境质量的影响。</w:t>
      </w:r>
    </w:p>
    <w:p>
      <w:pPr>
        <w:keepNext w:val="0"/>
        <w:keepLines w:val="0"/>
        <w:widowControl w:val="0"/>
        <w:suppressLineNumbers w:val="0"/>
        <w:spacing w:before="0" w:beforeAutospacing="0" w:after="0" w:afterAutospacing="0" w:line="440" w:lineRule="exact"/>
        <w:ind w:left="0" w:right="0" w:firstLine="480" w:firstLineChars="200"/>
        <w:jc w:val="both"/>
        <w:rPr>
          <w:color w:val="auto"/>
          <w:highlight w:val="none"/>
          <w:lang w:val="en-US"/>
        </w:rPr>
      </w:pPr>
      <w:r>
        <w:rPr>
          <w:rFonts w:hint="eastAsia" w:ascii="Times New Roman" w:hAnsi="Times New Roman"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Times New Roman" w:hAnsi="Times New Roman" w:eastAsia="宋体" w:cs="宋体"/>
          <w:color w:val="auto"/>
          <w:kern w:val="2"/>
          <w:sz w:val="24"/>
          <w:szCs w:val="24"/>
          <w:highlight w:val="none"/>
          <w:lang w:val="en-US" w:eastAsia="zh-CN" w:bidi="ar"/>
        </w:rPr>
        <w:t>）突出重点</w:t>
      </w:r>
    </w:p>
    <w:p>
      <w:pPr>
        <w:keepNext w:val="0"/>
        <w:keepLines w:val="0"/>
        <w:widowControl w:val="0"/>
        <w:suppressLineNumbers w:val="0"/>
        <w:spacing w:before="0" w:beforeAutospacing="0" w:after="0" w:afterAutospacing="0" w:line="440" w:lineRule="exact"/>
        <w:ind w:left="0" w:right="0" w:firstLine="480" w:firstLineChars="200"/>
        <w:jc w:val="both"/>
        <w:rPr>
          <w:color w:val="auto"/>
          <w:highlight w:val="none"/>
          <w:lang w:val="en-US"/>
        </w:rPr>
      </w:pPr>
      <w:r>
        <w:rPr>
          <w:rFonts w:hint="eastAsia" w:ascii="Times New Roman" w:hAnsi="Times New Roman" w:eastAsia="宋体" w:cs="宋体"/>
          <w:color w:val="auto"/>
          <w:kern w:val="2"/>
          <w:sz w:val="24"/>
          <w:szCs w:val="24"/>
          <w:highlight w:val="none"/>
          <w:lang w:val="en-US" w:eastAsia="zh-CN" w:bidi="ar"/>
        </w:rPr>
        <w:t>根据项目工程内容及其特点，明确与环境要素间的作用效应关系，根据环境影响评价结论和审查意见，充分利用符合时效的数据资料及成果，对建设项目主要环境影响予以重点分析和评价。</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eastAsia="zh-CN"/>
        </w:rPr>
      </w:pPr>
      <w:bookmarkStart w:id="15" w:name="_Toc32084"/>
      <w:r>
        <w:rPr>
          <w:rFonts w:hint="eastAsia" w:ascii="Times New Roman" w:hAnsi="Times New Roman" w:eastAsia="宋体" w:cs="Times New Roman"/>
          <w:color w:val="auto"/>
          <w:highlight w:val="none"/>
          <w:lang w:eastAsia="zh-CN"/>
        </w:rPr>
        <w:t>编制依据</w:t>
      </w:r>
      <w:bookmarkEnd w:id="15"/>
    </w:p>
    <w:p>
      <w:pPr>
        <w:pStyle w:val="8"/>
        <w:spacing w:before="0" w:after="0" w:line="360" w:lineRule="auto"/>
        <w:ind w:left="0" w:firstLine="0"/>
        <w:rPr>
          <w:rFonts w:hint="eastAsia" w:ascii="宋体" w:hAnsi="宋体" w:eastAsia="宋体" w:cs="宋体"/>
          <w:color w:val="auto"/>
          <w:highlight w:val="none"/>
        </w:rPr>
      </w:pPr>
      <w:bookmarkStart w:id="16" w:name="_Toc5841"/>
      <w:bookmarkStart w:id="17" w:name="_Toc349939593"/>
      <w:bookmarkStart w:id="18" w:name="_Toc376177509"/>
      <w:r>
        <w:rPr>
          <w:rFonts w:cs="Times New Roman"/>
          <w:color w:val="auto"/>
          <w:highlight w:val="none"/>
          <w:lang w:eastAsia="zh-CN"/>
        </w:rPr>
        <w:t>法律、法规、规章及规范性文件</w:t>
      </w:r>
      <w:bookmarkEnd w:id="16"/>
      <w:bookmarkEnd w:id="17"/>
      <w:bookmarkEnd w:id="18"/>
    </w:p>
    <w:p>
      <w:pPr>
        <w:spacing w:line="360" w:lineRule="auto"/>
        <w:ind w:firstLine="480"/>
        <w:rPr>
          <w:rFonts w:ascii="Times New Roman" w:hAnsi="Times New Roman" w:cs="Times New Roman"/>
          <w:color w:val="auto"/>
          <w:sz w:val="24"/>
          <w:szCs w:val="24"/>
          <w:highlight w:val="none"/>
          <w:lang w:eastAsia="zh-CN"/>
        </w:rPr>
      </w:pPr>
      <w:bookmarkStart w:id="19" w:name="_Toc349939594"/>
      <w:bookmarkStart w:id="20" w:name="_Toc376177510"/>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w:t>
      </w:r>
      <w:r>
        <w:rPr>
          <w:rFonts w:ascii="Times New Roman" w:hAnsi="Times New Roman" w:cs="Times New Roman"/>
          <w:color w:val="auto"/>
          <w:sz w:val="24"/>
          <w:szCs w:val="24"/>
          <w:highlight w:val="none"/>
          <w:lang w:eastAsia="zh-CN"/>
        </w:rPr>
        <w:t>《中华人民共和国环境保护法》（中华人民共和国第十二届全国人民代表大会常务委员会第八次会议于2014年4月24日修订通过，自2015年1月1日起施行）；</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eastAsia="zh-CN"/>
        </w:rPr>
        <w:t>《</w:t>
      </w:r>
      <w:r>
        <w:rPr>
          <w:rFonts w:ascii="Times New Roman" w:hAnsi="Times New Roman" w:cs="Times New Roman"/>
          <w:color w:val="auto"/>
          <w:sz w:val="24"/>
          <w:szCs w:val="24"/>
          <w:highlight w:val="none"/>
          <w:lang w:eastAsia="zh-CN"/>
        </w:rPr>
        <w:t>中华人民共和国大气污染防治法》（中华人民共和国第十</w:t>
      </w:r>
      <w:r>
        <w:rPr>
          <w:rFonts w:hint="eastAsia" w:ascii="Times New Roman" w:hAnsi="Times New Roman" w:cs="Times New Roman"/>
          <w:color w:val="auto"/>
          <w:sz w:val="24"/>
          <w:szCs w:val="24"/>
          <w:highlight w:val="none"/>
          <w:lang w:eastAsia="zh-CN"/>
        </w:rPr>
        <w:t>三</w:t>
      </w:r>
      <w:r>
        <w:rPr>
          <w:rFonts w:ascii="Times New Roman" w:hAnsi="Times New Roman" w:cs="Times New Roman"/>
          <w:color w:val="auto"/>
          <w:sz w:val="24"/>
          <w:szCs w:val="24"/>
          <w:highlight w:val="none"/>
          <w:lang w:eastAsia="zh-CN"/>
        </w:rPr>
        <w:t>届全国人民代表大会常务委员会第六次会议</w:t>
      </w:r>
      <w:r>
        <w:rPr>
          <w:rFonts w:hint="eastAsia" w:ascii="Times New Roman" w:hAnsi="Times New Roman" w:cs="Times New Roman"/>
          <w:color w:val="auto"/>
          <w:sz w:val="24"/>
          <w:szCs w:val="24"/>
          <w:highlight w:val="none"/>
          <w:lang w:eastAsia="zh-CN"/>
        </w:rPr>
        <w:t>于</w:t>
      </w:r>
      <w:r>
        <w:rPr>
          <w:rFonts w:ascii="Times New Roman" w:hAnsi="Times New Roman" w:cs="Times New Roman"/>
          <w:color w:val="auto"/>
          <w:sz w:val="24"/>
          <w:szCs w:val="24"/>
          <w:highlight w:val="none"/>
          <w:lang w:eastAsia="zh-CN"/>
        </w:rPr>
        <w:t>2018年10月26日修</w:t>
      </w:r>
      <w:r>
        <w:rPr>
          <w:rFonts w:hint="eastAsia" w:ascii="Times New Roman" w:hAnsi="Times New Roman" w:cs="Times New Roman"/>
          <w:color w:val="auto"/>
          <w:sz w:val="24"/>
          <w:szCs w:val="24"/>
          <w:highlight w:val="none"/>
          <w:lang w:eastAsia="zh-CN"/>
        </w:rPr>
        <w:t>正并施行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3）</w:t>
      </w:r>
      <w:r>
        <w:rPr>
          <w:rFonts w:ascii="Times New Roman" w:hAnsi="Times New Roman" w:cs="Times New Roman"/>
          <w:color w:val="auto"/>
          <w:sz w:val="24"/>
          <w:szCs w:val="24"/>
          <w:highlight w:val="none"/>
          <w:lang w:eastAsia="zh-CN"/>
        </w:rPr>
        <w:t>《中华人民共和国水污染防治法》（中华人民共和国第十二届全国人民代表大会常务委员会第二十八次会议</w:t>
      </w:r>
      <w:r>
        <w:rPr>
          <w:rFonts w:hint="eastAsia" w:ascii="Times New Roman" w:hAnsi="Times New Roman" w:cs="Times New Roman"/>
          <w:color w:val="auto"/>
          <w:sz w:val="24"/>
          <w:szCs w:val="24"/>
          <w:highlight w:val="none"/>
          <w:lang w:eastAsia="zh-CN"/>
        </w:rPr>
        <w:t>于</w:t>
      </w:r>
      <w:r>
        <w:rPr>
          <w:rFonts w:ascii="Times New Roman" w:hAnsi="Times New Roman" w:cs="Times New Roman"/>
          <w:color w:val="auto"/>
          <w:sz w:val="24"/>
          <w:szCs w:val="24"/>
          <w:highlight w:val="none"/>
          <w:lang w:eastAsia="zh-CN"/>
        </w:rPr>
        <w:t>2017年6月27日修</w:t>
      </w:r>
      <w:r>
        <w:rPr>
          <w:rFonts w:hint="eastAsia" w:ascii="Times New Roman" w:hAnsi="Times New Roman" w:cs="Times New Roman"/>
          <w:color w:val="auto"/>
          <w:sz w:val="24"/>
          <w:szCs w:val="24"/>
          <w:highlight w:val="none"/>
          <w:lang w:eastAsia="zh-CN"/>
        </w:rPr>
        <w:t>正</w:t>
      </w:r>
      <w:r>
        <w:rPr>
          <w:rFonts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eastAsia="zh-CN"/>
        </w:rPr>
        <w:t>自</w:t>
      </w:r>
      <w:r>
        <w:rPr>
          <w:rFonts w:ascii="Times New Roman" w:hAnsi="Times New Roman" w:cs="Times New Roman"/>
          <w:color w:val="auto"/>
          <w:sz w:val="24"/>
          <w:szCs w:val="24"/>
          <w:highlight w:val="none"/>
          <w:lang w:eastAsia="zh-CN"/>
        </w:rPr>
        <w:t>2018年1月1日起施行）；</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4）</w:t>
      </w:r>
      <w:r>
        <w:rPr>
          <w:rFonts w:ascii="Times New Roman" w:hAnsi="Times New Roman" w:cs="Times New Roman"/>
          <w:color w:val="auto"/>
          <w:sz w:val="24"/>
          <w:szCs w:val="24"/>
          <w:highlight w:val="none"/>
          <w:lang w:eastAsia="zh-CN"/>
        </w:rPr>
        <w:t>《中华人民共和国噪声污染防治法》（中华人民共和国第十</w:t>
      </w:r>
      <w:r>
        <w:rPr>
          <w:rFonts w:hint="eastAsia" w:ascii="Times New Roman" w:hAnsi="Times New Roman" w:cs="Times New Roman"/>
          <w:color w:val="auto"/>
          <w:sz w:val="24"/>
          <w:szCs w:val="24"/>
          <w:highlight w:val="none"/>
          <w:lang w:eastAsia="zh-CN"/>
        </w:rPr>
        <w:t>三</w:t>
      </w:r>
      <w:r>
        <w:rPr>
          <w:rFonts w:ascii="Times New Roman" w:hAnsi="Times New Roman" w:cs="Times New Roman"/>
          <w:color w:val="auto"/>
          <w:sz w:val="24"/>
          <w:szCs w:val="24"/>
          <w:highlight w:val="none"/>
          <w:lang w:eastAsia="zh-CN"/>
        </w:rPr>
        <w:t>届全国人民代表大会常务委员会第</w:t>
      </w:r>
      <w:r>
        <w:rPr>
          <w:rFonts w:hint="eastAsia" w:ascii="Times New Roman" w:hAnsi="Times New Roman" w:cs="Times New Roman"/>
          <w:color w:val="auto"/>
          <w:sz w:val="24"/>
          <w:szCs w:val="24"/>
          <w:highlight w:val="none"/>
          <w:lang w:eastAsia="zh-CN"/>
        </w:rPr>
        <w:t>七</w:t>
      </w:r>
      <w:r>
        <w:rPr>
          <w:rFonts w:ascii="Times New Roman" w:hAnsi="Times New Roman" w:cs="Times New Roman"/>
          <w:color w:val="auto"/>
          <w:sz w:val="24"/>
          <w:szCs w:val="24"/>
          <w:highlight w:val="none"/>
          <w:lang w:eastAsia="zh-CN"/>
        </w:rPr>
        <w:t>次会议</w:t>
      </w:r>
      <w:r>
        <w:rPr>
          <w:rFonts w:hint="eastAsia" w:ascii="Times New Roman" w:hAnsi="Times New Roman" w:cs="Times New Roman"/>
          <w:color w:val="auto"/>
          <w:sz w:val="24"/>
          <w:szCs w:val="24"/>
          <w:highlight w:val="none"/>
          <w:lang w:eastAsia="zh-CN"/>
        </w:rPr>
        <w:t>于</w:t>
      </w:r>
      <w:r>
        <w:rPr>
          <w:rFonts w:ascii="Times New Roman" w:hAnsi="Times New Roman" w:cs="Times New Roman"/>
          <w:color w:val="auto"/>
          <w:sz w:val="24"/>
          <w:szCs w:val="24"/>
          <w:highlight w:val="none"/>
          <w:lang w:eastAsia="zh-CN"/>
        </w:rPr>
        <w:t>2018年12月29日修</w:t>
      </w:r>
      <w:r>
        <w:rPr>
          <w:rFonts w:hint="eastAsia" w:ascii="Times New Roman" w:hAnsi="Times New Roman" w:cs="Times New Roman"/>
          <w:color w:val="auto"/>
          <w:sz w:val="24"/>
          <w:szCs w:val="24"/>
          <w:highlight w:val="none"/>
          <w:lang w:eastAsia="zh-CN"/>
        </w:rPr>
        <w:t>正并施行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5）</w:t>
      </w:r>
      <w:r>
        <w:rPr>
          <w:rFonts w:ascii="Times New Roman" w:hAnsi="Times New Roman" w:cs="Times New Roman"/>
          <w:color w:val="auto"/>
          <w:sz w:val="24"/>
          <w:szCs w:val="24"/>
          <w:highlight w:val="none"/>
          <w:lang w:eastAsia="zh-CN"/>
        </w:rPr>
        <w:t>《中华人民共和国固体废物污染环境防治法》（中华人民共和国</w:t>
      </w:r>
      <w:r>
        <w:rPr>
          <w:rFonts w:hint="eastAsia" w:ascii="Times New Roman" w:hAnsi="Times New Roman" w:cs="Times New Roman"/>
          <w:color w:val="auto"/>
          <w:sz w:val="24"/>
          <w:szCs w:val="24"/>
          <w:highlight w:val="none"/>
          <w:lang w:eastAsia="zh-CN"/>
        </w:rPr>
        <w:t>第十三届全国人大常委会第十七次会议于2020年4月29日修订通过，自2020年9月1日起施行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6）</w:t>
      </w:r>
      <w:r>
        <w:rPr>
          <w:rFonts w:hint="eastAsia" w:ascii="Times New Roman" w:hAnsi="Times New Roman" w:cs="Times New Roman"/>
          <w:color w:val="auto"/>
          <w:sz w:val="24"/>
          <w:szCs w:val="24"/>
          <w:highlight w:val="none"/>
          <w:lang w:eastAsia="zh-CN"/>
        </w:rPr>
        <w:t>《中华人民共和国土壤污染防治法》（</w:t>
      </w:r>
      <w:r>
        <w:rPr>
          <w:rFonts w:ascii="Times New Roman" w:hAnsi="Times New Roman" w:cs="Times New Roman"/>
          <w:color w:val="auto"/>
          <w:sz w:val="24"/>
          <w:szCs w:val="24"/>
          <w:highlight w:val="none"/>
          <w:lang w:eastAsia="zh-CN"/>
        </w:rPr>
        <w:t>中华人民共和国第十</w:t>
      </w:r>
      <w:r>
        <w:rPr>
          <w:rFonts w:hint="eastAsia" w:ascii="Times New Roman" w:hAnsi="Times New Roman" w:cs="Times New Roman"/>
          <w:color w:val="auto"/>
          <w:sz w:val="24"/>
          <w:szCs w:val="24"/>
          <w:highlight w:val="none"/>
          <w:lang w:eastAsia="zh-CN"/>
        </w:rPr>
        <w:t>三</w:t>
      </w:r>
      <w:r>
        <w:rPr>
          <w:rFonts w:ascii="Times New Roman" w:hAnsi="Times New Roman" w:cs="Times New Roman"/>
          <w:color w:val="auto"/>
          <w:sz w:val="24"/>
          <w:szCs w:val="24"/>
          <w:highlight w:val="none"/>
          <w:lang w:eastAsia="zh-CN"/>
        </w:rPr>
        <w:t>届全国人民代表大会常务委员会第</w:t>
      </w:r>
      <w:r>
        <w:rPr>
          <w:rFonts w:hint="eastAsia" w:ascii="Times New Roman" w:hAnsi="Times New Roman" w:cs="Times New Roman"/>
          <w:color w:val="auto"/>
          <w:sz w:val="24"/>
          <w:szCs w:val="24"/>
          <w:highlight w:val="none"/>
          <w:lang w:eastAsia="zh-CN"/>
        </w:rPr>
        <w:t>五</w:t>
      </w:r>
      <w:r>
        <w:rPr>
          <w:rFonts w:ascii="Times New Roman" w:hAnsi="Times New Roman" w:cs="Times New Roman"/>
          <w:color w:val="auto"/>
          <w:sz w:val="24"/>
          <w:szCs w:val="24"/>
          <w:highlight w:val="none"/>
          <w:lang w:eastAsia="zh-CN"/>
        </w:rPr>
        <w:t>次会议</w:t>
      </w:r>
      <w:r>
        <w:rPr>
          <w:rFonts w:hint="eastAsia" w:ascii="Times New Roman" w:hAnsi="Times New Roman" w:cs="Times New Roman"/>
          <w:color w:val="auto"/>
          <w:sz w:val="24"/>
          <w:szCs w:val="24"/>
          <w:highlight w:val="none"/>
          <w:lang w:eastAsia="zh-CN"/>
        </w:rPr>
        <w:t>于</w:t>
      </w:r>
      <w:r>
        <w:rPr>
          <w:rFonts w:ascii="Times New Roman" w:hAnsi="Times New Roman" w:cs="Times New Roman"/>
          <w:color w:val="auto"/>
          <w:sz w:val="24"/>
          <w:szCs w:val="24"/>
          <w:highlight w:val="none"/>
          <w:lang w:eastAsia="zh-CN"/>
        </w:rPr>
        <w:t>2018年8月31日</w:t>
      </w:r>
      <w:r>
        <w:rPr>
          <w:rFonts w:hint="eastAsia" w:ascii="Times New Roman" w:hAnsi="Times New Roman" w:cs="Times New Roman"/>
          <w:color w:val="auto"/>
          <w:sz w:val="24"/>
          <w:szCs w:val="24"/>
          <w:highlight w:val="none"/>
          <w:lang w:eastAsia="zh-CN"/>
        </w:rPr>
        <w:t>通过，自2</w:t>
      </w:r>
      <w:r>
        <w:rPr>
          <w:rFonts w:ascii="Times New Roman" w:hAnsi="Times New Roman" w:cs="Times New Roman"/>
          <w:color w:val="auto"/>
          <w:sz w:val="24"/>
          <w:szCs w:val="24"/>
          <w:highlight w:val="none"/>
          <w:lang w:eastAsia="zh-CN"/>
        </w:rPr>
        <w:t>019</w:t>
      </w:r>
      <w:r>
        <w:rPr>
          <w:rFonts w:hint="eastAsia" w:ascii="Times New Roman" w:hAnsi="Times New Roman" w:cs="Times New Roman"/>
          <w:color w:val="auto"/>
          <w:sz w:val="24"/>
          <w:szCs w:val="24"/>
          <w:highlight w:val="none"/>
          <w:lang w:eastAsia="zh-CN"/>
        </w:rPr>
        <w:t>年1月1日起施行）；</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7）</w:t>
      </w:r>
      <w:r>
        <w:rPr>
          <w:rFonts w:hint="eastAsia" w:ascii="Times New Roman" w:hAnsi="Times New Roman" w:cs="Times New Roman"/>
          <w:color w:val="auto"/>
          <w:sz w:val="24"/>
          <w:szCs w:val="24"/>
          <w:highlight w:val="none"/>
          <w:lang w:eastAsia="zh-CN"/>
        </w:rPr>
        <w:t>《中华人民共和国水法》</w:t>
      </w:r>
      <w:r>
        <w:rPr>
          <w:rFonts w:ascii="Times New Roman" w:hAnsi="Times New Roman" w:cs="Times New Roman"/>
          <w:color w:val="auto"/>
          <w:sz w:val="24"/>
          <w:szCs w:val="24"/>
          <w:highlight w:val="none"/>
          <w:lang w:eastAsia="zh-CN"/>
        </w:rPr>
        <w:t>（中华人民共和国第十二届全国人民代表大会常务委员会第二十</w:t>
      </w:r>
      <w:r>
        <w:rPr>
          <w:rFonts w:hint="eastAsia" w:ascii="Times New Roman" w:hAnsi="Times New Roman" w:cs="Times New Roman"/>
          <w:color w:val="auto"/>
          <w:sz w:val="24"/>
          <w:szCs w:val="24"/>
          <w:highlight w:val="none"/>
          <w:lang w:eastAsia="zh-CN"/>
        </w:rPr>
        <w:t>一</w:t>
      </w:r>
      <w:r>
        <w:rPr>
          <w:rFonts w:ascii="Times New Roman" w:hAnsi="Times New Roman" w:cs="Times New Roman"/>
          <w:color w:val="auto"/>
          <w:sz w:val="24"/>
          <w:szCs w:val="24"/>
          <w:highlight w:val="none"/>
          <w:lang w:eastAsia="zh-CN"/>
        </w:rPr>
        <w:t>次会议2016年7月</w:t>
      </w:r>
      <w:r>
        <w:rPr>
          <w:rFonts w:hint="eastAsia" w:ascii="Times New Roman" w:hAnsi="Times New Roman" w:cs="Times New Roman"/>
          <w:color w:val="auto"/>
          <w:sz w:val="24"/>
          <w:szCs w:val="24"/>
          <w:highlight w:val="none"/>
          <w:lang w:eastAsia="zh-CN"/>
        </w:rPr>
        <w:t>2</w:t>
      </w:r>
      <w:r>
        <w:rPr>
          <w:rFonts w:ascii="Times New Roman" w:hAnsi="Times New Roman" w:cs="Times New Roman"/>
          <w:color w:val="auto"/>
          <w:sz w:val="24"/>
          <w:szCs w:val="24"/>
          <w:highlight w:val="none"/>
          <w:lang w:eastAsia="zh-CN"/>
        </w:rPr>
        <w:t>日修</w:t>
      </w:r>
      <w:r>
        <w:rPr>
          <w:rFonts w:hint="eastAsia" w:ascii="Times New Roman" w:hAnsi="Times New Roman" w:cs="Times New Roman"/>
          <w:color w:val="auto"/>
          <w:sz w:val="24"/>
          <w:szCs w:val="24"/>
          <w:highlight w:val="none"/>
          <w:lang w:eastAsia="zh-CN"/>
        </w:rPr>
        <w:t>改并施行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8）</w:t>
      </w:r>
      <w:r>
        <w:rPr>
          <w:rFonts w:hint="eastAsia" w:ascii="Times New Roman" w:hAnsi="Times New Roman" w:cs="Times New Roman"/>
          <w:color w:val="auto"/>
          <w:sz w:val="24"/>
          <w:szCs w:val="24"/>
          <w:highlight w:val="none"/>
          <w:lang w:eastAsia="zh-CN"/>
        </w:rPr>
        <w:t>《中华人民共和国水土保持法》（</w:t>
      </w:r>
      <w:r>
        <w:rPr>
          <w:rFonts w:ascii="Times New Roman" w:hAnsi="Times New Roman" w:cs="Times New Roman"/>
          <w:color w:val="auto"/>
          <w:sz w:val="24"/>
          <w:szCs w:val="24"/>
          <w:highlight w:val="none"/>
          <w:lang w:eastAsia="zh-CN"/>
        </w:rPr>
        <w:t>中华人民共和国第十</w:t>
      </w:r>
      <w:r>
        <w:rPr>
          <w:rFonts w:hint="eastAsia" w:ascii="Times New Roman" w:hAnsi="Times New Roman" w:cs="Times New Roman"/>
          <w:color w:val="auto"/>
          <w:sz w:val="24"/>
          <w:szCs w:val="24"/>
          <w:highlight w:val="none"/>
          <w:lang w:eastAsia="zh-CN"/>
        </w:rPr>
        <w:t>一</w:t>
      </w:r>
      <w:r>
        <w:rPr>
          <w:rFonts w:ascii="Times New Roman" w:hAnsi="Times New Roman" w:cs="Times New Roman"/>
          <w:color w:val="auto"/>
          <w:sz w:val="24"/>
          <w:szCs w:val="24"/>
          <w:highlight w:val="none"/>
          <w:lang w:eastAsia="zh-CN"/>
        </w:rPr>
        <w:t>届全国人民代表大会常务委员会第</w:t>
      </w:r>
      <w:r>
        <w:rPr>
          <w:rFonts w:hint="eastAsia" w:ascii="Times New Roman" w:hAnsi="Times New Roman" w:cs="Times New Roman"/>
          <w:color w:val="auto"/>
          <w:sz w:val="24"/>
          <w:szCs w:val="24"/>
          <w:highlight w:val="none"/>
          <w:lang w:eastAsia="zh-CN"/>
        </w:rPr>
        <w:t>十八</w:t>
      </w:r>
      <w:r>
        <w:rPr>
          <w:rFonts w:ascii="Times New Roman" w:hAnsi="Times New Roman" w:cs="Times New Roman"/>
          <w:color w:val="auto"/>
          <w:sz w:val="24"/>
          <w:szCs w:val="24"/>
          <w:highlight w:val="none"/>
          <w:lang w:eastAsia="zh-CN"/>
        </w:rPr>
        <w:t>次会议</w:t>
      </w:r>
      <w:r>
        <w:rPr>
          <w:rFonts w:hint="eastAsia" w:ascii="Times New Roman" w:hAnsi="Times New Roman" w:cs="Times New Roman"/>
          <w:color w:val="auto"/>
          <w:sz w:val="24"/>
          <w:szCs w:val="24"/>
          <w:highlight w:val="none"/>
          <w:lang w:eastAsia="zh-CN"/>
        </w:rPr>
        <w:t>于</w:t>
      </w:r>
      <w:r>
        <w:rPr>
          <w:rFonts w:ascii="Times New Roman" w:hAnsi="Times New Roman" w:cs="Times New Roman"/>
          <w:color w:val="auto"/>
          <w:sz w:val="24"/>
          <w:szCs w:val="24"/>
          <w:highlight w:val="none"/>
          <w:lang w:eastAsia="zh-CN"/>
        </w:rPr>
        <w:t>2010年12月</w:t>
      </w:r>
      <w:r>
        <w:rPr>
          <w:rFonts w:hint="eastAsia" w:ascii="Times New Roman" w:hAnsi="Times New Roman" w:cs="Times New Roman"/>
          <w:color w:val="auto"/>
          <w:sz w:val="24"/>
          <w:szCs w:val="24"/>
          <w:highlight w:val="none"/>
          <w:lang w:eastAsia="zh-CN"/>
        </w:rPr>
        <w:t>2</w:t>
      </w:r>
      <w:r>
        <w:rPr>
          <w:rFonts w:ascii="Times New Roman" w:hAnsi="Times New Roman" w:cs="Times New Roman"/>
          <w:color w:val="auto"/>
          <w:sz w:val="24"/>
          <w:szCs w:val="24"/>
          <w:highlight w:val="none"/>
          <w:lang w:eastAsia="zh-CN"/>
        </w:rPr>
        <w:t>5日</w:t>
      </w:r>
      <w:r>
        <w:rPr>
          <w:rFonts w:hint="eastAsia" w:ascii="Times New Roman" w:hAnsi="Times New Roman" w:cs="Times New Roman"/>
          <w:color w:val="auto"/>
          <w:sz w:val="24"/>
          <w:szCs w:val="24"/>
          <w:highlight w:val="none"/>
          <w:lang w:eastAsia="zh-CN"/>
        </w:rPr>
        <w:t>修订通过，自2</w:t>
      </w:r>
      <w:r>
        <w:rPr>
          <w:rFonts w:ascii="Times New Roman" w:hAnsi="Times New Roman" w:cs="Times New Roman"/>
          <w:color w:val="auto"/>
          <w:sz w:val="24"/>
          <w:szCs w:val="24"/>
          <w:highlight w:val="none"/>
          <w:lang w:eastAsia="zh-CN"/>
        </w:rPr>
        <w:t>011</w:t>
      </w:r>
      <w:r>
        <w:rPr>
          <w:rFonts w:hint="eastAsia" w:ascii="Times New Roman" w:hAnsi="Times New Roman" w:cs="Times New Roman"/>
          <w:color w:val="auto"/>
          <w:sz w:val="24"/>
          <w:szCs w:val="24"/>
          <w:highlight w:val="none"/>
          <w:lang w:eastAsia="zh-CN"/>
        </w:rPr>
        <w:t>年</w:t>
      </w:r>
      <w:r>
        <w:rPr>
          <w:rFonts w:ascii="Times New Roman" w:hAnsi="Times New Roman" w:cs="Times New Roman"/>
          <w:color w:val="auto"/>
          <w:sz w:val="24"/>
          <w:szCs w:val="24"/>
          <w:highlight w:val="none"/>
          <w:lang w:eastAsia="zh-CN"/>
        </w:rPr>
        <w:t>3</w:t>
      </w:r>
      <w:r>
        <w:rPr>
          <w:rFonts w:hint="eastAsia" w:ascii="Times New Roman" w:hAnsi="Times New Roman" w:cs="Times New Roman"/>
          <w:color w:val="auto"/>
          <w:sz w:val="24"/>
          <w:szCs w:val="24"/>
          <w:highlight w:val="none"/>
          <w:lang w:eastAsia="zh-CN"/>
        </w:rPr>
        <w:t>月1日起施行）；</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9）</w:t>
      </w:r>
      <w:r>
        <w:rPr>
          <w:rFonts w:hint="eastAsia" w:ascii="Times New Roman" w:hAnsi="Times New Roman" w:cs="Times New Roman"/>
          <w:color w:val="auto"/>
          <w:sz w:val="24"/>
          <w:szCs w:val="24"/>
          <w:highlight w:val="none"/>
          <w:lang w:eastAsia="zh-CN"/>
        </w:rPr>
        <w:t>《中华人民共和国土地管理法》（</w:t>
      </w:r>
      <w:r>
        <w:rPr>
          <w:rFonts w:ascii="Times New Roman" w:hAnsi="Times New Roman" w:cs="Times New Roman"/>
          <w:color w:val="auto"/>
          <w:sz w:val="24"/>
          <w:szCs w:val="24"/>
          <w:highlight w:val="none"/>
          <w:lang w:eastAsia="zh-CN"/>
        </w:rPr>
        <w:t>中华人民共和国第十</w:t>
      </w:r>
      <w:r>
        <w:rPr>
          <w:rFonts w:hint="eastAsia" w:ascii="Times New Roman" w:hAnsi="Times New Roman" w:cs="Times New Roman"/>
          <w:color w:val="auto"/>
          <w:sz w:val="24"/>
          <w:szCs w:val="24"/>
          <w:highlight w:val="none"/>
          <w:lang w:eastAsia="zh-CN"/>
        </w:rPr>
        <w:t>三</w:t>
      </w:r>
      <w:r>
        <w:rPr>
          <w:rFonts w:ascii="Times New Roman" w:hAnsi="Times New Roman" w:cs="Times New Roman"/>
          <w:color w:val="auto"/>
          <w:sz w:val="24"/>
          <w:szCs w:val="24"/>
          <w:highlight w:val="none"/>
          <w:lang w:eastAsia="zh-CN"/>
        </w:rPr>
        <w:t>届全国人民代表大会常务委员会第</w:t>
      </w:r>
      <w:r>
        <w:rPr>
          <w:rFonts w:hint="eastAsia" w:ascii="Times New Roman" w:hAnsi="Times New Roman" w:cs="Times New Roman"/>
          <w:color w:val="auto"/>
          <w:sz w:val="24"/>
          <w:szCs w:val="24"/>
          <w:highlight w:val="none"/>
          <w:lang w:eastAsia="zh-CN"/>
        </w:rPr>
        <w:t>十二</w:t>
      </w:r>
      <w:r>
        <w:rPr>
          <w:rFonts w:ascii="Times New Roman" w:hAnsi="Times New Roman" w:cs="Times New Roman"/>
          <w:color w:val="auto"/>
          <w:sz w:val="24"/>
          <w:szCs w:val="24"/>
          <w:highlight w:val="none"/>
          <w:lang w:eastAsia="zh-CN"/>
        </w:rPr>
        <w:t>次会议</w:t>
      </w:r>
      <w:r>
        <w:rPr>
          <w:rFonts w:hint="eastAsia" w:ascii="Times New Roman" w:hAnsi="Times New Roman" w:cs="Times New Roman"/>
          <w:color w:val="auto"/>
          <w:sz w:val="24"/>
          <w:szCs w:val="24"/>
          <w:highlight w:val="none"/>
          <w:lang w:eastAsia="zh-CN"/>
        </w:rPr>
        <w:t>于</w:t>
      </w:r>
      <w:r>
        <w:rPr>
          <w:rFonts w:ascii="Times New Roman" w:hAnsi="Times New Roman" w:cs="Times New Roman"/>
          <w:color w:val="auto"/>
          <w:sz w:val="24"/>
          <w:szCs w:val="24"/>
          <w:highlight w:val="none"/>
          <w:lang w:eastAsia="zh-CN"/>
        </w:rPr>
        <w:t>2019年8月</w:t>
      </w:r>
      <w:r>
        <w:rPr>
          <w:rFonts w:hint="eastAsia" w:ascii="Times New Roman" w:hAnsi="Times New Roman" w:cs="Times New Roman"/>
          <w:color w:val="auto"/>
          <w:sz w:val="24"/>
          <w:szCs w:val="24"/>
          <w:highlight w:val="none"/>
          <w:lang w:eastAsia="zh-CN"/>
        </w:rPr>
        <w:t>2</w:t>
      </w:r>
      <w:r>
        <w:rPr>
          <w:rFonts w:ascii="Times New Roman" w:hAnsi="Times New Roman" w:cs="Times New Roman"/>
          <w:color w:val="auto"/>
          <w:sz w:val="24"/>
          <w:szCs w:val="24"/>
          <w:highlight w:val="none"/>
          <w:lang w:eastAsia="zh-CN"/>
        </w:rPr>
        <w:t>6日</w:t>
      </w:r>
      <w:r>
        <w:rPr>
          <w:rFonts w:hint="eastAsia" w:ascii="Times New Roman" w:hAnsi="Times New Roman" w:cs="Times New Roman"/>
          <w:color w:val="auto"/>
          <w:sz w:val="24"/>
          <w:szCs w:val="24"/>
          <w:highlight w:val="none"/>
          <w:lang w:eastAsia="zh-CN"/>
        </w:rPr>
        <w:t>修正，自2020年1月1日起施行）；</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10）</w:t>
      </w:r>
      <w:r>
        <w:rPr>
          <w:rFonts w:hint="eastAsia" w:ascii="Times New Roman" w:hAnsi="Times New Roman" w:cs="Times New Roman"/>
          <w:color w:val="auto"/>
          <w:sz w:val="24"/>
          <w:szCs w:val="24"/>
          <w:highlight w:val="none"/>
          <w:lang w:eastAsia="zh-CN"/>
        </w:rPr>
        <w:t>《基本农田保护条例》（2011年1月8日发布的中华人民共和国国务院令第588号《国务院关于废止和修改部分行政法规的决定》修正）；</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11）</w:t>
      </w:r>
      <w:r>
        <w:rPr>
          <w:rFonts w:ascii="Times New Roman" w:hAnsi="Times New Roman" w:cs="Times New Roman"/>
          <w:color w:val="auto"/>
          <w:sz w:val="24"/>
          <w:szCs w:val="24"/>
          <w:highlight w:val="none"/>
          <w:lang w:eastAsia="zh-CN"/>
        </w:rPr>
        <w:t>《中华人民共和国环境影响评价法》(中华人民共和国第十</w:t>
      </w:r>
      <w:r>
        <w:rPr>
          <w:rFonts w:hint="eastAsia" w:ascii="Times New Roman" w:hAnsi="Times New Roman" w:cs="Times New Roman"/>
          <w:color w:val="auto"/>
          <w:sz w:val="24"/>
          <w:szCs w:val="24"/>
          <w:highlight w:val="none"/>
          <w:lang w:eastAsia="zh-CN"/>
        </w:rPr>
        <w:t>三</w:t>
      </w:r>
      <w:r>
        <w:rPr>
          <w:rFonts w:ascii="Times New Roman" w:hAnsi="Times New Roman" w:cs="Times New Roman"/>
          <w:color w:val="auto"/>
          <w:sz w:val="24"/>
          <w:szCs w:val="24"/>
          <w:highlight w:val="none"/>
          <w:lang w:eastAsia="zh-CN"/>
        </w:rPr>
        <w:t>届全国人民代表大会常务委员会第</w:t>
      </w:r>
      <w:r>
        <w:rPr>
          <w:rFonts w:hint="eastAsia" w:ascii="Times New Roman" w:hAnsi="Times New Roman" w:cs="Times New Roman"/>
          <w:color w:val="auto"/>
          <w:sz w:val="24"/>
          <w:szCs w:val="24"/>
          <w:highlight w:val="none"/>
          <w:lang w:eastAsia="zh-CN"/>
        </w:rPr>
        <w:t>七</w:t>
      </w:r>
      <w:r>
        <w:rPr>
          <w:rFonts w:ascii="Times New Roman" w:hAnsi="Times New Roman" w:cs="Times New Roman"/>
          <w:color w:val="auto"/>
          <w:sz w:val="24"/>
          <w:szCs w:val="24"/>
          <w:highlight w:val="none"/>
          <w:lang w:eastAsia="zh-CN"/>
        </w:rPr>
        <w:t>次会议</w:t>
      </w:r>
      <w:r>
        <w:rPr>
          <w:rFonts w:hint="eastAsia" w:ascii="Times New Roman" w:hAnsi="Times New Roman" w:cs="Times New Roman"/>
          <w:color w:val="auto"/>
          <w:sz w:val="24"/>
          <w:szCs w:val="24"/>
          <w:highlight w:val="none"/>
          <w:lang w:eastAsia="zh-CN"/>
        </w:rPr>
        <w:t>于</w:t>
      </w:r>
      <w:r>
        <w:rPr>
          <w:rFonts w:ascii="Times New Roman" w:hAnsi="Times New Roman" w:cs="Times New Roman"/>
          <w:color w:val="auto"/>
          <w:sz w:val="24"/>
          <w:szCs w:val="24"/>
          <w:highlight w:val="none"/>
          <w:lang w:eastAsia="zh-CN"/>
        </w:rPr>
        <w:t>2018年12月29日修</w:t>
      </w:r>
      <w:r>
        <w:rPr>
          <w:rFonts w:hint="eastAsia" w:ascii="Times New Roman" w:hAnsi="Times New Roman" w:cs="Times New Roman"/>
          <w:color w:val="auto"/>
          <w:sz w:val="24"/>
          <w:szCs w:val="24"/>
          <w:highlight w:val="none"/>
          <w:lang w:eastAsia="zh-CN"/>
        </w:rPr>
        <w:t>正并施行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12）</w:t>
      </w:r>
      <w:r>
        <w:rPr>
          <w:rFonts w:ascii="Times New Roman" w:hAnsi="Times New Roman" w:cs="Times New Roman"/>
          <w:color w:val="auto"/>
          <w:sz w:val="24"/>
          <w:szCs w:val="24"/>
          <w:highlight w:val="none"/>
          <w:lang w:eastAsia="zh-CN"/>
        </w:rPr>
        <w:t>《建设项目环境保护管理条例》（国务院令第682号</w:t>
      </w:r>
      <w:r>
        <w:rPr>
          <w:rFonts w:hint="eastAsia" w:ascii="Times New Roman" w:hAnsi="Times New Roman" w:cs="Times New Roman"/>
          <w:color w:val="auto"/>
          <w:sz w:val="24"/>
          <w:szCs w:val="24"/>
          <w:highlight w:val="none"/>
          <w:lang w:eastAsia="zh-CN"/>
        </w:rPr>
        <w:t>，自2</w:t>
      </w:r>
      <w:r>
        <w:rPr>
          <w:rFonts w:ascii="Times New Roman" w:hAnsi="Times New Roman" w:cs="Times New Roman"/>
          <w:color w:val="auto"/>
          <w:sz w:val="24"/>
          <w:szCs w:val="24"/>
          <w:highlight w:val="none"/>
          <w:lang w:eastAsia="zh-CN"/>
        </w:rPr>
        <w:t>017</w:t>
      </w:r>
      <w:r>
        <w:rPr>
          <w:rFonts w:hint="eastAsia" w:ascii="Times New Roman" w:hAnsi="Times New Roman" w:cs="Times New Roman"/>
          <w:color w:val="auto"/>
          <w:sz w:val="24"/>
          <w:szCs w:val="24"/>
          <w:highlight w:val="none"/>
          <w:lang w:eastAsia="zh-CN"/>
        </w:rPr>
        <w:t>年1</w:t>
      </w:r>
      <w:r>
        <w:rPr>
          <w:rFonts w:ascii="Times New Roman" w:hAnsi="Times New Roman" w:cs="Times New Roman"/>
          <w:color w:val="auto"/>
          <w:sz w:val="24"/>
          <w:szCs w:val="24"/>
          <w:highlight w:val="none"/>
          <w:lang w:eastAsia="zh-CN"/>
        </w:rPr>
        <w:t>0</w:t>
      </w:r>
      <w:r>
        <w:rPr>
          <w:rFonts w:hint="eastAsia" w:ascii="Times New Roman" w:hAnsi="Times New Roman" w:cs="Times New Roman"/>
          <w:color w:val="auto"/>
          <w:sz w:val="24"/>
          <w:szCs w:val="24"/>
          <w:highlight w:val="none"/>
          <w:lang w:eastAsia="zh-CN"/>
        </w:rPr>
        <w:t>月1日起施行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13）</w:t>
      </w:r>
      <w:r>
        <w:rPr>
          <w:rFonts w:ascii="Times New Roman" w:hAnsi="Times New Roman" w:cs="Times New Roman"/>
          <w:color w:val="auto"/>
          <w:sz w:val="24"/>
          <w:szCs w:val="24"/>
          <w:highlight w:val="none"/>
          <w:lang w:eastAsia="zh-CN"/>
        </w:rPr>
        <w:t>《中华人民共和国动物防疫法》（中华人民共和国第十</w:t>
      </w:r>
      <w:r>
        <w:rPr>
          <w:rFonts w:hint="eastAsia" w:ascii="Times New Roman" w:hAnsi="Times New Roman" w:cs="Times New Roman"/>
          <w:color w:val="auto"/>
          <w:sz w:val="24"/>
          <w:szCs w:val="24"/>
          <w:highlight w:val="none"/>
          <w:lang w:eastAsia="zh-CN"/>
        </w:rPr>
        <w:t>三</w:t>
      </w:r>
      <w:r>
        <w:rPr>
          <w:rFonts w:ascii="Times New Roman" w:hAnsi="Times New Roman" w:cs="Times New Roman"/>
          <w:color w:val="auto"/>
          <w:sz w:val="24"/>
          <w:szCs w:val="24"/>
          <w:highlight w:val="none"/>
          <w:lang w:eastAsia="zh-CN"/>
        </w:rPr>
        <w:t>届全国人民代表大会常务委员会第</w:t>
      </w:r>
      <w:r>
        <w:rPr>
          <w:rFonts w:hint="eastAsia" w:ascii="Times New Roman" w:hAnsi="Times New Roman" w:cs="Times New Roman"/>
          <w:color w:val="auto"/>
          <w:sz w:val="24"/>
          <w:szCs w:val="24"/>
          <w:highlight w:val="none"/>
          <w:lang w:eastAsia="zh-CN"/>
        </w:rPr>
        <w:t>二十五</w:t>
      </w:r>
      <w:r>
        <w:rPr>
          <w:rFonts w:ascii="Times New Roman" w:hAnsi="Times New Roman" w:cs="Times New Roman"/>
          <w:color w:val="auto"/>
          <w:sz w:val="24"/>
          <w:szCs w:val="24"/>
          <w:highlight w:val="none"/>
          <w:lang w:eastAsia="zh-CN"/>
        </w:rPr>
        <w:t>次会议</w:t>
      </w:r>
      <w:r>
        <w:rPr>
          <w:rFonts w:hint="eastAsia" w:ascii="Times New Roman" w:hAnsi="Times New Roman" w:cs="Times New Roman"/>
          <w:color w:val="auto"/>
          <w:sz w:val="24"/>
          <w:szCs w:val="24"/>
          <w:highlight w:val="none"/>
          <w:lang w:eastAsia="zh-CN"/>
        </w:rPr>
        <w:t>于</w:t>
      </w:r>
      <w:r>
        <w:rPr>
          <w:rFonts w:ascii="Times New Roman" w:hAnsi="Times New Roman" w:cs="Times New Roman"/>
          <w:color w:val="auto"/>
          <w:sz w:val="24"/>
          <w:szCs w:val="24"/>
          <w:highlight w:val="none"/>
          <w:lang w:eastAsia="zh-CN"/>
        </w:rPr>
        <w:t>2021</w:t>
      </w:r>
      <w:r>
        <w:rPr>
          <w:rFonts w:hint="eastAsia" w:ascii="Times New Roman" w:hAnsi="Times New Roman" w:cs="Times New Roman"/>
          <w:color w:val="auto"/>
          <w:sz w:val="24"/>
          <w:szCs w:val="24"/>
          <w:highlight w:val="none"/>
          <w:lang w:eastAsia="zh-CN"/>
        </w:rPr>
        <w:t>年</w:t>
      </w:r>
      <w:r>
        <w:rPr>
          <w:rFonts w:ascii="Times New Roman" w:hAnsi="Times New Roman" w:cs="Times New Roman"/>
          <w:color w:val="auto"/>
          <w:sz w:val="24"/>
          <w:szCs w:val="24"/>
          <w:highlight w:val="none"/>
          <w:lang w:eastAsia="zh-CN"/>
        </w:rPr>
        <w:t>1</w:t>
      </w:r>
      <w:r>
        <w:rPr>
          <w:rFonts w:hint="eastAsia" w:ascii="Times New Roman" w:hAnsi="Times New Roman" w:cs="Times New Roman"/>
          <w:color w:val="auto"/>
          <w:sz w:val="24"/>
          <w:szCs w:val="24"/>
          <w:highlight w:val="none"/>
          <w:lang w:eastAsia="zh-CN"/>
        </w:rPr>
        <w:t>月2</w:t>
      </w:r>
      <w:r>
        <w:rPr>
          <w:rFonts w:ascii="Times New Roman" w:hAnsi="Times New Roman" w:cs="Times New Roman"/>
          <w:color w:val="auto"/>
          <w:sz w:val="24"/>
          <w:szCs w:val="24"/>
          <w:highlight w:val="none"/>
          <w:lang w:eastAsia="zh-CN"/>
        </w:rPr>
        <w:t>2</w:t>
      </w:r>
      <w:r>
        <w:rPr>
          <w:rFonts w:hint="eastAsia" w:ascii="Times New Roman" w:hAnsi="Times New Roman" w:cs="Times New Roman"/>
          <w:color w:val="auto"/>
          <w:sz w:val="24"/>
          <w:szCs w:val="24"/>
          <w:highlight w:val="none"/>
          <w:lang w:eastAsia="zh-CN"/>
        </w:rPr>
        <w:t>日修订通过，自2</w:t>
      </w:r>
      <w:r>
        <w:rPr>
          <w:rFonts w:ascii="Times New Roman" w:hAnsi="Times New Roman" w:cs="Times New Roman"/>
          <w:color w:val="auto"/>
          <w:sz w:val="24"/>
          <w:szCs w:val="24"/>
          <w:highlight w:val="none"/>
          <w:lang w:eastAsia="zh-CN"/>
        </w:rPr>
        <w:t>021年5月1日</w:t>
      </w:r>
      <w:r>
        <w:rPr>
          <w:rFonts w:hint="eastAsia" w:ascii="Times New Roman" w:hAnsi="Times New Roman" w:cs="Times New Roman"/>
          <w:color w:val="auto"/>
          <w:sz w:val="24"/>
          <w:szCs w:val="24"/>
          <w:highlight w:val="none"/>
          <w:lang w:eastAsia="zh-CN"/>
        </w:rPr>
        <w:t>起施行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14）</w:t>
      </w:r>
      <w:r>
        <w:rPr>
          <w:rFonts w:ascii="Times New Roman" w:hAnsi="Times New Roman" w:cs="Times New Roman"/>
          <w:color w:val="auto"/>
          <w:sz w:val="24"/>
          <w:szCs w:val="24"/>
          <w:highlight w:val="none"/>
          <w:lang w:eastAsia="zh-CN"/>
        </w:rPr>
        <w:t>《中华人民共和国畜牧法》（中华人民共和国第十二届全国人民代表大会常务委员会第</w:t>
      </w:r>
      <w:r>
        <w:rPr>
          <w:rFonts w:hint="eastAsia" w:ascii="Times New Roman" w:hAnsi="Times New Roman" w:cs="Times New Roman"/>
          <w:color w:val="auto"/>
          <w:sz w:val="24"/>
          <w:szCs w:val="24"/>
          <w:highlight w:val="none"/>
          <w:lang w:eastAsia="zh-CN"/>
        </w:rPr>
        <w:t>十四</w:t>
      </w:r>
      <w:r>
        <w:rPr>
          <w:rFonts w:ascii="Times New Roman" w:hAnsi="Times New Roman" w:cs="Times New Roman"/>
          <w:color w:val="auto"/>
          <w:sz w:val="24"/>
          <w:szCs w:val="24"/>
          <w:highlight w:val="none"/>
          <w:lang w:eastAsia="zh-CN"/>
        </w:rPr>
        <w:t>次会议</w:t>
      </w:r>
      <w:r>
        <w:rPr>
          <w:rFonts w:hint="eastAsia" w:ascii="Times New Roman" w:hAnsi="Times New Roman" w:cs="Times New Roman"/>
          <w:color w:val="auto"/>
          <w:sz w:val="24"/>
          <w:szCs w:val="24"/>
          <w:highlight w:val="none"/>
          <w:lang w:eastAsia="zh-CN"/>
        </w:rPr>
        <w:t>于</w:t>
      </w:r>
      <w:r>
        <w:rPr>
          <w:rFonts w:ascii="Times New Roman" w:hAnsi="Times New Roman" w:cs="Times New Roman"/>
          <w:color w:val="auto"/>
          <w:sz w:val="24"/>
          <w:szCs w:val="24"/>
          <w:highlight w:val="none"/>
          <w:lang w:eastAsia="zh-CN"/>
        </w:rPr>
        <w:t>2015年4月24日修</w:t>
      </w:r>
      <w:r>
        <w:rPr>
          <w:rFonts w:hint="eastAsia" w:ascii="Times New Roman" w:hAnsi="Times New Roman" w:cs="Times New Roman"/>
          <w:color w:val="auto"/>
          <w:sz w:val="24"/>
          <w:szCs w:val="24"/>
          <w:highlight w:val="none"/>
          <w:lang w:eastAsia="zh-CN"/>
        </w:rPr>
        <w:t>正并</w:t>
      </w:r>
      <w:r>
        <w:rPr>
          <w:rFonts w:ascii="Times New Roman" w:hAnsi="Times New Roman" w:cs="Times New Roman"/>
          <w:color w:val="auto"/>
          <w:sz w:val="24"/>
          <w:szCs w:val="24"/>
          <w:highlight w:val="none"/>
          <w:lang w:eastAsia="zh-CN"/>
        </w:rPr>
        <w:t>施行）；</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15）</w:t>
      </w:r>
      <w:r>
        <w:rPr>
          <w:rFonts w:ascii="Times New Roman" w:hAnsi="Times New Roman" w:cs="Times New Roman"/>
          <w:color w:val="auto"/>
          <w:sz w:val="24"/>
          <w:szCs w:val="24"/>
          <w:highlight w:val="none"/>
          <w:lang w:eastAsia="zh-CN"/>
        </w:rPr>
        <w:t>《建设项目环境影响评价分类管理名录》（中华人民共和国生态环境部令第</w:t>
      </w:r>
      <w:r>
        <w:rPr>
          <w:rFonts w:hint="eastAsia" w:ascii="Times New Roman" w:hAnsi="Times New Roman" w:cs="Times New Roman"/>
          <w:color w:val="auto"/>
          <w:sz w:val="24"/>
          <w:szCs w:val="24"/>
          <w:highlight w:val="none"/>
          <w:lang w:eastAsia="zh-CN"/>
        </w:rPr>
        <w:t>16</w:t>
      </w:r>
      <w:r>
        <w:rPr>
          <w:rFonts w:ascii="Times New Roman" w:hAnsi="Times New Roman" w:cs="Times New Roman"/>
          <w:color w:val="auto"/>
          <w:sz w:val="24"/>
          <w:szCs w:val="24"/>
          <w:highlight w:val="none"/>
          <w:lang w:eastAsia="zh-CN"/>
        </w:rPr>
        <w:t>号，</w:t>
      </w:r>
      <w:r>
        <w:rPr>
          <w:rFonts w:hint="eastAsia" w:ascii="Times New Roman" w:hAnsi="Times New Roman" w:cs="Times New Roman"/>
          <w:color w:val="auto"/>
          <w:sz w:val="24"/>
          <w:szCs w:val="24"/>
          <w:highlight w:val="none"/>
          <w:lang w:eastAsia="zh-CN"/>
        </w:rPr>
        <w:t>2020</w:t>
      </w:r>
      <w:r>
        <w:rPr>
          <w:rFonts w:ascii="Times New Roman" w:hAnsi="Times New Roman" w:cs="Times New Roman"/>
          <w:color w:val="auto"/>
          <w:sz w:val="24"/>
          <w:szCs w:val="24"/>
          <w:highlight w:val="none"/>
          <w:lang w:eastAsia="zh-CN"/>
        </w:rPr>
        <w:t>年</w:t>
      </w:r>
      <w:r>
        <w:rPr>
          <w:rFonts w:hint="eastAsia" w:ascii="Times New Roman" w:hAnsi="Times New Roman" w:cs="Times New Roman"/>
          <w:color w:val="auto"/>
          <w:sz w:val="24"/>
          <w:szCs w:val="24"/>
          <w:highlight w:val="none"/>
          <w:lang w:eastAsia="zh-CN"/>
        </w:rPr>
        <w:t>11</w:t>
      </w:r>
      <w:r>
        <w:rPr>
          <w:rFonts w:ascii="Times New Roman" w:hAnsi="Times New Roman" w:cs="Times New Roman"/>
          <w:color w:val="auto"/>
          <w:sz w:val="24"/>
          <w:szCs w:val="24"/>
          <w:highlight w:val="none"/>
          <w:lang w:eastAsia="zh-CN"/>
        </w:rPr>
        <w:t>月</w:t>
      </w:r>
      <w:r>
        <w:rPr>
          <w:rFonts w:hint="eastAsia" w:ascii="Times New Roman" w:hAnsi="Times New Roman" w:cs="Times New Roman"/>
          <w:color w:val="auto"/>
          <w:sz w:val="24"/>
          <w:szCs w:val="24"/>
          <w:highlight w:val="none"/>
          <w:lang w:eastAsia="zh-CN"/>
        </w:rPr>
        <w:t>5</w:t>
      </w:r>
      <w:r>
        <w:rPr>
          <w:rFonts w:ascii="Times New Roman" w:hAnsi="Times New Roman" w:cs="Times New Roman"/>
          <w:color w:val="auto"/>
          <w:sz w:val="24"/>
          <w:szCs w:val="24"/>
          <w:highlight w:val="none"/>
          <w:lang w:eastAsia="zh-CN"/>
        </w:rPr>
        <w:t>日修改</w:t>
      </w:r>
      <w:r>
        <w:rPr>
          <w:rFonts w:hint="eastAsia" w:ascii="Times New Roman" w:hAnsi="Times New Roman" w:cs="Times New Roman"/>
          <w:color w:val="auto"/>
          <w:sz w:val="24"/>
          <w:szCs w:val="24"/>
          <w:highlight w:val="none"/>
          <w:lang w:eastAsia="zh-CN"/>
        </w:rPr>
        <w:t>，2021年1月1日起施行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16）</w:t>
      </w:r>
      <w:r>
        <w:rPr>
          <w:rFonts w:ascii="Times New Roman" w:hAnsi="Times New Roman" w:cs="Times New Roman"/>
          <w:color w:val="auto"/>
          <w:sz w:val="24"/>
          <w:szCs w:val="24"/>
          <w:highlight w:val="none"/>
          <w:lang w:eastAsia="zh-CN"/>
        </w:rPr>
        <w:t>《国家危险废物名录</w:t>
      </w:r>
      <w:r>
        <w:rPr>
          <w:rFonts w:hint="eastAsia" w:ascii="Times New Roman" w:hAnsi="Times New Roman" w:cs="Times New Roman"/>
          <w:color w:val="auto"/>
          <w:sz w:val="24"/>
          <w:szCs w:val="24"/>
          <w:highlight w:val="none"/>
          <w:lang w:eastAsia="zh-CN"/>
        </w:rPr>
        <w:t>（2</w:t>
      </w:r>
      <w:r>
        <w:rPr>
          <w:rFonts w:ascii="Times New Roman" w:hAnsi="Times New Roman" w:cs="Times New Roman"/>
          <w:color w:val="auto"/>
          <w:sz w:val="24"/>
          <w:szCs w:val="24"/>
          <w:highlight w:val="none"/>
          <w:lang w:eastAsia="zh-CN"/>
        </w:rPr>
        <w:t>021</w:t>
      </w:r>
      <w:r>
        <w:rPr>
          <w:rFonts w:hint="eastAsia" w:ascii="Times New Roman" w:hAnsi="Times New Roman" w:cs="Times New Roman"/>
          <w:color w:val="auto"/>
          <w:sz w:val="24"/>
          <w:szCs w:val="24"/>
          <w:highlight w:val="none"/>
          <w:lang w:eastAsia="zh-CN"/>
        </w:rPr>
        <w:t>年版）</w:t>
      </w:r>
      <w:r>
        <w:rPr>
          <w:rFonts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eastAsia="zh-CN"/>
        </w:rPr>
        <w:t>于2</w:t>
      </w:r>
      <w:r>
        <w:rPr>
          <w:rFonts w:ascii="Times New Roman" w:hAnsi="Times New Roman" w:cs="Times New Roman"/>
          <w:color w:val="auto"/>
          <w:sz w:val="24"/>
          <w:szCs w:val="24"/>
          <w:highlight w:val="none"/>
          <w:lang w:eastAsia="zh-CN"/>
        </w:rPr>
        <w:t>020</w:t>
      </w:r>
      <w:r>
        <w:rPr>
          <w:rFonts w:hint="eastAsia" w:ascii="Times New Roman" w:hAnsi="Times New Roman" w:cs="Times New Roman"/>
          <w:color w:val="auto"/>
          <w:sz w:val="24"/>
          <w:szCs w:val="24"/>
          <w:highlight w:val="none"/>
          <w:lang w:eastAsia="zh-CN"/>
        </w:rPr>
        <w:t>年1</w:t>
      </w:r>
      <w:r>
        <w:rPr>
          <w:rFonts w:ascii="Times New Roman" w:hAnsi="Times New Roman" w:cs="Times New Roman"/>
          <w:color w:val="auto"/>
          <w:sz w:val="24"/>
          <w:szCs w:val="24"/>
          <w:highlight w:val="none"/>
          <w:lang w:eastAsia="zh-CN"/>
        </w:rPr>
        <w:t>1</w:t>
      </w:r>
      <w:r>
        <w:rPr>
          <w:rFonts w:hint="eastAsia" w:ascii="Times New Roman" w:hAnsi="Times New Roman" w:cs="Times New Roman"/>
          <w:color w:val="auto"/>
          <w:sz w:val="24"/>
          <w:szCs w:val="24"/>
          <w:highlight w:val="none"/>
          <w:lang w:eastAsia="zh-CN"/>
        </w:rPr>
        <w:t>月5日经生态环境部部务会议审议通过，自2021年1月1日起施行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17）</w:t>
      </w:r>
      <w:r>
        <w:rPr>
          <w:rFonts w:ascii="Times New Roman" w:hAnsi="Times New Roman" w:cs="Times New Roman"/>
          <w:color w:val="auto"/>
          <w:sz w:val="24"/>
          <w:szCs w:val="24"/>
          <w:highlight w:val="none"/>
          <w:lang w:eastAsia="zh-CN"/>
        </w:rPr>
        <w:t>《关于进一步加强环境影响评价管理防范环境风险的通知》（环发[2012]77号）；</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18）</w:t>
      </w:r>
      <w:r>
        <w:rPr>
          <w:rFonts w:ascii="Times New Roman" w:hAnsi="Times New Roman" w:cs="Times New Roman"/>
          <w:color w:val="auto"/>
          <w:sz w:val="24"/>
          <w:szCs w:val="24"/>
          <w:highlight w:val="none"/>
          <w:lang w:eastAsia="zh-CN"/>
        </w:rPr>
        <w:t>《环境影响评价公众参与办法》（</w:t>
      </w:r>
      <w:r>
        <w:rPr>
          <w:rFonts w:hint="eastAsia" w:ascii="Times New Roman" w:hAnsi="Times New Roman" w:cs="Times New Roman"/>
          <w:color w:val="auto"/>
          <w:sz w:val="24"/>
          <w:szCs w:val="24"/>
          <w:highlight w:val="none"/>
          <w:lang w:eastAsia="zh-CN"/>
        </w:rPr>
        <w:t>生态环境部第4号令，自</w:t>
      </w:r>
      <w:r>
        <w:rPr>
          <w:rFonts w:ascii="Times New Roman" w:hAnsi="Times New Roman" w:cs="Times New Roman"/>
          <w:color w:val="auto"/>
          <w:sz w:val="24"/>
          <w:szCs w:val="24"/>
          <w:highlight w:val="none"/>
          <w:lang w:eastAsia="zh-CN"/>
        </w:rPr>
        <w:t>2019</w:t>
      </w:r>
      <w:r>
        <w:rPr>
          <w:rFonts w:hint="eastAsia" w:ascii="Times New Roman" w:hAnsi="Times New Roman" w:cs="Times New Roman"/>
          <w:color w:val="auto"/>
          <w:sz w:val="24"/>
          <w:szCs w:val="24"/>
          <w:highlight w:val="none"/>
          <w:lang w:eastAsia="zh-CN"/>
        </w:rPr>
        <w:t>年1月1日起施行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19）</w:t>
      </w:r>
      <w:r>
        <w:rPr>
          <w:rFonts w:ascii="Times New Roman" w:hAnsi="Times New Roman" w:cs="Times New Roman"/>
          <w:color w:val="auto"/>
          <w:sz w:val="24"/>
          <w:szCs w:val="24"/>
          <w:highlight w:val="none"/>
          <w:lang w:eastAsia="zh-CN"/>
        </w:rPr>
        <w:t>《关于切实加强风险防范严格环境影响评价管理的通知》（环发[2012]98号）；</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20）</w:t>
      </w:r>
      <w:r>
        <w:rPr>
          <w:rFonts w:ascii="Times New Roman" w:hAnsi="Times New Roman" w:cs="Times New Roman"/>
          <w:color w:val="auto"/>
          <w:sz w:val="24"/>
          <w:szCs w:val="24"/>
          <w:highlight w:val="none"/>
          <w:lang w:eastAsia="zh-CN"/>
        </w:rPr>
        <w:t>《产业结构调整指导目录（2019年本）》</w:t>
      </w:r>
      <w:r>
        <w:rPr>
          <w:rFonts w:hint="eastAsia" w:ascii="Times New Roman" w:hAnsi="Times New Roman" w:cs="Times New Roman"/>
          <w:color w:val="auto"/>
          <w:sz w:val="24"/>
          <w:szCs w:val="24"/>
          <w:highlight w:val="none"/>
          <w:lang w:eastAsia="zh-CN"/>
        </w:rPr>
        <w:t>（国家发改委第2</w:t>
      </w:r>
      <w:r>
        <w:rPr>
          <w:rFonts w:ascii="Times New Roman" w:hAnsi="Times New Roman" w:cs="Times New Roman"/>
          <w:color w:val="auto"/>
          <w:sz w:val="24"/>
          <w:szCs w:val="24"/>
          <w:highlight w:val="none"/>
          <w:lang w:eastAsia="zh-CN"/>
        </w:rPr>
        <w:t>9</w:t>
      </w:r>
      <w:r>
        <w:rPr>
          <w:rFonts w:hint="eastAsia" w:ascii="Times New Roman" w:hAnsi="Times New Roman" w:cs="Times New Roman"/>
          <w:color w:val="auto"/>
          <w:sz w:val="24"/>
          <w:szCs w:val="24"/>
          <w:highlight w:val="none"/>
          <w:lang w:eastAsia="zh-CN"/>
        </w:rPr>
        <w:t>号令，自2</w:t>
      </w:r>
      <w:r>
        <w:rPr>
          <w:rFonts w:ascii="Times New Roman" w:hAnsi="Times New Roman" w:cs="Times New Roman"/>
          <w:color w:val="auto"/>
          <w:sz w:val="24"/>
          <w:szCs w:val="24"/>
          <w:highlight w:val="none"/>
          <w:lang w:eastAsia="zh-CN"/>
        </w:rPr>
        <w:t>020</w:t>
      </w:r>
      <w:r>
        <w:rPr>
          <w:rFonts w:hint="eastAsia" w:ascii="Times New Roman" w:hAnsi="Times New Roman" w:cs="Times New Roman"/>
          <w:color w:val="auto"/>
          <w:sz w:val="24"/>
          <w:szCs w:val="24"/>
          <w:highlight w:val="none"/>
          <w:lang w:eastAsia="zh-CN"/>
        </w:rPr>
        <w:t>年1月1日起施行）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21）</w:t>
      </w:r>
      <w:r>
        <w:rPr>
          <w:rFonts w:ascii="Times New Roman" w:hAnsi="Times New Roman" w:cs="Times New Roman"/>
          <w:color w:val="auto"/>
          <w:sz w:val="24"/>
          <w:szCs w:val="24"/>
          <w:highlight w:val="none"/>
          <w:lang w:eastAsia="zh-CN"/>
        </w:rPr>
        <w:t>《建设项目环境影响评价政府信息公开指南（试行）》（环办[2013]103号</w:t>
      </w:r>
      <w:r>
        <w:rPr>
          <w:rFonts w:hint="eastAsia" w:ascii="Times New Roman" w:hAnsi="Times New Roman" w:cs="Times New Roman"/>
          <w:color w:val="auto"/>
          <w:sz w:val="24"/>
          <w:szCs w:val="24"/>
          <w:highlight w:val="none"/>
          <w:lang w:eastAsia="zh-CN"/>
        </w:rPr>
        <w:t>，自2</w:t>
      </w:r>
      <w:r>
        <w:rPr>
          <w:rFonts w:ascii="Times New Roman" w:hAnsi="Times New Roman" w:cs="Times New Roman"/>
          <w:color w:val="auto"/>
          <w:sz w:val="24"/>
          <w:szCs w:val="24"/>
          <w:highlight w:val="none"/>
          <w:lang w:eastAsia="zh-CN"/>
        </w:rPr>
        <w:t>014</w:t>
      </w:r>
      <w:r>
        <w:rPr>
          <w:rFonts w:hint="eastAsia" w:ascii="Times New Roman" w:hAnsi="Times New Roman" w:cs="Times New Roman"/>
          <w:color w:val="auto"/>
          <w:sz w:val="24"/>
          <w:szCs w:val="24"/>
          <w:highlight w:val="none"/>
          <w:lang w:eastAsia="zh-CN"/>
        </w:rPr>
        <w:t>年1月1日起施行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22）</w:t>
      </w:r>
      <w:r>
        <w:rPr>
          <w:rFonts w:ascii="Times New Roman" w:hAnsi="Times New Roman" w:cs="Times New Roman"/>
          <w:color w:val="auto"/>
          <w:sz w:val="24"/>
          <w:szCs w:val="24"/>
          <w:highlight w:val="none"/>
          <w:lang w:eastAsia="zh-CN"/>
        </w:rPr>
        <w:t>《畜禽规模养殖污染防治条例》（中华人民共和国国务院第643号令，</w:t>
      </w:r>
      <w:r>
        <w:rPr>
          <w:rFonts w:hint="eastAsia" w:ascii="Times New Roman" w:hAnsi="Times New Roman" w:cs="Times New Roman"/>
          <w:color w:val="auto"/>
          <w:sz w:val="24"/>
          <w:szCs w:val="24"/>
          <w:highlight w:val="none"/>
          <w:lang w:eastAsia="zh-CN"/>
        </w:rPr>
        <w:t>自</w:t>
      </w:r>
      <w:r>
        <w:rPr>
          <w:rFonts w:ascii="Times New Roman" w:hAnsi="Times New Roman" w:cs="Times New Roman"/>
          <w:color w:val="auto"/>
          <w:sz w:val="24"/>
          <w:szCs w:val="24"/>
          <w:highlight w:val="none"/>
          <w:lang w:eastAsia="zh-CN"/>
        </w:rPr>
        <w:t>2014年1月1日</w:t>
      </w:r>
      <w:r>
        <w:rPr>
          <w:rFonts w:hint="eastAsia" w:ascii="Times New Roman" w:hAnsi="Times New Roman" w:cs="Times New Roman"/>
          <w:color w:val="auto"/>
          <w:sz w:val="24"/>
          <w:szCs w:val="24"/>
          <w:highlight w:val="none"/>
          <w:lang w:eastAsia="zh-CN"/>
        </w:rPr>
        <w:t>起施行</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23）</w:t>
      </w:r>
      <w:r>
        <w:rPr>
          <w:rFonts w:hint="eastAsia" w:ascii="Times New Roman" w:hAnsi="Times New Roman" w:cs="Times New Roman"/>
          <w:color w:val="auto"/>
          <w:sz w:val="24"/>
          <w:szCs w:val="24"/>
          <w:highlight w:val="none"/>
          <w:lang w:eastAsia="zh-CN"/>
        </w:rPr>
        <w:t>《重大动物疫情应急条例》（国务院令第</w:t>
      </w:r>
      <w:r>
        <w:rPr>
          <w:rFonts w:ascii="Times New Roman" w:hAnsi="Times New Roman" w:cs="Times New Roman"/>
          <w:color w:val="auto"/>
          <w:sz w:val="24"/>
          <w:szCs w:val="24"/>
          <w:highlight w:val="none"/>
          <w:lang w:eastAsia="zh-CN"/>
        </w:rPr>
        <w:t>687</w:t>
      </w:r>
      <w:r>
        <w:rPr>
          <w:rFonts w:hint="eastAsia" w:ascii="Times New Roman" w:hAnsi="Times New Roman" w:cs="Times New Roman"/>
          <w:color w:val="auto"/>
          <w:sz w:val="24"/>
          <w:szCs w:val="24"/>
          <w:highlight w:val="none"/>
          <w:lang w:eastAsia="zh-CN"/>
        </w:rPr>
        <w:t>号，2</w:t>
      </w:r>
      <w:r>
        <w:rPr>
          <w:rFonts w:ascii="Times New Roman" w:hAnsi="Times New Roman" w:cs="Times New Roman"/>
          <w:color w:val="auto"/>
          <w:sz w:val="24"/>
          <w:szCs w:val="24"/>
          <w:highlight w:val="none"/>
          <w:lang w:eastAsia="zh-CN"/>
        </w:rPr>
        <w:t>017</w:t>
      </w:r>
      <w:r>
        <w:rPr>
          <w:rFonts w:hint="eastAsia" w:ascii="Times New Roman" w:hAnsi="Times New Roman" w:cs="Times New Roman"/>
          <w:color w:val="auto"/>
          <w:sz w:val="24"/>
          <w:szCs w:val="24"/>
          <w:highlight w:val="none"/>
          <w:lang w:eastAsia="zh-CN"/>
        </w:rPr>
        <w:t>年1</w:t>
      </w:r>
      <w:r>
        <w:rPr>
          <w:rFonts w:ascii="Times New Roman" w:hAnsi="Times New Roman" w:cs="Times New Roman"/>
          <w:color w:val="auto"/>
          <w:sz w:val="24"/>
          <w:szCs w:val="24"/>
          <w:highlight w:val="none"/>
          <w:lang w:eastAsia="zh-CN"/>
        </w:rPr>
        <w:t>0</w:t>
      </w:r>
      <w:r>
        <w:rPr>
          <w:rFonts w:hint="eastAsia" w:ascii="Times New Roman" w:hAnsi="Times New Roman" w:cs="Times New Roman"/>
          <w:color w:val="auto"/>
          <w:sz w:val="24"/>
          <w:szCs w:val="24"/>
          <w:highlight w:val="none"/>
          <w:lang w:eastAsia="zh-CN"/>
        </w:rPr>
        <w:t>月7日修正并施行）；</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24）</w:t>
      </w:r>
      <w:r>
        <w:rPr>
          <w:rFonts w:hint="eastAsia" w:ascii="Times New Roman" w:hAnsi="Times New Roman" w:cs="Times New Roman"/>
          <w:color w:val="auto"/>
          <w:sz w:val="24"/>
          <w:szCs w:val="24"/>
          <w:highlight w:val="none"/>
          <w:lang w:eastAsia="zh-CN"/>
        </w:rPr>
        <w:t>农业农村部办公厅、生态环境部办公厅《关于促进畜禽粪污还田利用依法加强养殖污染治理的指导意见》（农办牧〔2019〕84号）；</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25）</w:t>
      </w:r>
      <w:r>
        <w:rPr>
          <w:rFonts w:hint="eastAsia" w:ascii="Times New Roman" w:hAnsi="Times New Roman" w:cs="Times New Roman"/>
          <w:color w:val="auto"/>
          <w:sz w:val="24"/>
          <w:szCs w:val="24"/>
          <w:highlight w:val="none"/>
          <w:lang w:eastAsia="zh-CN"/>
        </w:rPr>
        <w:t>《关于进一步明确畜禽粪污还田利用要求强化养殖污染监管的通知》（农办牧[2020]23 号）；</w:t>
      </w:r>
    </w:p>
    <w:p>
      <w:pPr>
        <w:spacing w:line="360" w:lineRule="auto"/>
        <w:ind w:firstLine="480"/>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26）</w:t>
      </w:r>
      <w:r>
        <w:rPr>
          <w:rFonts w:hint="eastAsia" w:ascii="Times New Roman" w:hAnsi="Times New Roman" w:cs="Times New Roman"/>
          <w:color w:val="auto"/>
          <w:sz w:val="24"/>
          <w:szCs w:val="24"/>
          <w:highlight w:val="none"/>
          <w:lang w:eastAsia="zh-CN"/>
        </w:rPr>
        <w:t>《生态环境部 农业农村部关于印发&lt;农业农村污染治理攻坚战行动计划&gt;的通知》（环土壤〔2018〕143 号）；</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27）《关于做好畜禽规模养殖项目环境影响评价管理工作的通知》（环办环评〔2018〕31 号）；</w:t>
      </w:r>
    </w:p>
    <w:p>
      <w:pPr>
        <w:spacing w:line="360" w:lineRule="auto"/>
        <w:ind w:firstLine="480"/>
        <w:rPr>
          <w:rFonts w:hint="eastAsia"/>
          <w:color w:val="auto"/>
          <w:highlight w:val="none"/>
          <w:lang w:val="en-US"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28）</w:t>
      </w:r>
      <w:r>
        <w:rPr>
          <w:rFonts w:ascii="Times New Roman" w:hAnsi="Times New Roman" w:cs="Times New Roman"/>
          <w:color w:val="auto"/>
          <w:sz w:val="24"/>
          <w:szCs w:val="24"/>
          <w:highlight w:val="none"/>
          <w:lang w:eastAsia="zh-CN"/>
        </w:rPr>
        <w:t>国务院办公厅</w:t>
      </w:r>
      <w:r>
        <w:rPr>
          <w:rFonts w:hint="eastAsia" w:ascii="Times New Roman" w:hAnsi="Times New Roman" w:cs="Times New Roman"/>
          <w:color w:val="auto"/>
          <w:sz w:val="24"/>
          <w:szCs w:val="24"/>
          <w:highlight w:val="none"/>
          <w:lang w:eastAsia="zh-CN"/>
        </w:rPr>
        <w:t>《</w:t>
      </w:r>
      <w:r>
        <w:rPr>
          <w:rFonts w:ascii="Times New Roman" w:hAnsi="Times New Roman" w:cs="Times New Roman"/>
          <w:color w:val="auto"/>
          <w:sz w:val="24"/>
          <w:szCs w:val="24"/>
          <w:highlight w:val="none"/>
          <w:lang w:eastAsia="zh-CN"/>
        </w:rPr>
        <w:t>关于加快推进畜禽养殖废弃物资源化利用的意见</w:t>
      </w:r>
      <w:r>
        <w:rPr>
          <w:rFonts w:hint="eastAsia" w:ascii="Times New Roman" w:hAnsi="Times New Roman" w:cs="Times New Roman"/>
          <w:color w:val="auto"/>
          <w:sz w:val="24"/>
          <w:szCs w:val="24"/>
          <w:highlight w:val="none"/>
          <w:lang w:eastAsia="zh-CN"/>
        </w:rPr>
        <w:t>》（</w:t>
      </w:r>
      <w:r>
        <w:rPr>
          <w:rFonts w:ascii="Times New Roman" w:hAnsi="Times New Roman" w:cs="Times New Roman"/>
          <w:color w:val="auto"/>
          <w:sz w:val="24"/>
          <w:szCs w:val="24"/>
          <w:highlight w:val="none"/>
          <w:lang w:eastAsia="zh-CN"/>
        </w:rPr>
        <w:t>国办发〔2017〕48号</w:t>
      </w:r>
      <w:r>
        <w:rPr>
          <w:rFonts w:hint="eastAsia" w:ascii="Times New Roman" w:hAnsi="Times New Roman" w:cs="Times New Roman"/>
          <w:color w:val="auto"/>
          <w:sz w:val="24"/>
          <w:szCs w:val="24"/>
          <w:highlight w:val="none"/>
          <w:lang w:eastAsia="zh-CN"/>
        </w:rPr>
        <w:t>）</w:t>
      </w:r>
      <w:r>
        <w:rPr>
          <w:rFonts w:ascii="Times New Roman" w:hAnsi="Times New Roman" w:cs="Times New Roman"/>
          <w:color w:val="auto"/>
          <w:sz w:val="24"/>
          <w:szCs w:val="24"/>
          <w:highlight w:val="none"/>
          <w:lang w:eastAsia="zh-CN"/>
        </w:rPr>
        <w:t>；</w:t>
      </w:r>
    </w:p>
    <w:bookmarkEnd w:id="19"/>
    <w:bookmarkEnd w:id="20"/>
    <w:p>
      <w:pPr>
        <w:pStyle w:val="8"/>
        <w:spacing w:before="0" w:after="0" w:line="360" w:lineRule="auto"/>
        <w:ind w:left="0" w:firstLine="0"/>
        <w:rPr>
          <w:rFonts w:cs="Times New Roman"/>
          <w:color w:val="auto"/>
          <w:highlight w:val="none"/>
        </w:rPr>
      </w:pPr>
      <w:bookmarkStart w:id="21" w:name="_Toc26701"/>
      <w:bookmarkStart w:id="22" w:name="_Toc349939596"/>
      <w:bookmarkStart w:id="23" w:name="_Toc376177512"/>
      <w:r>
        <w:rPr>
          <w:rFonts w:cs="Times New Roman"/>
          <w:color w:val="auto"/>
          <w:highlight w:val="none"/>
        </w:rPr>
        <w:t>地方性法规及规章</w:t>
      </w:r>
      <w:bookmarkEnd w:id="21"/>
      <w:bookmarkEnd w:id="22"/>
      <w:bookmarkEnd w:id="23"/>
    </w:p>
    <w:p>
      <w:pPr>
        <w:pStyle w:val="158"/>
        <w:ind w:firstLine="480"/>
        <w:rPr>
          <w:rFonts w:hint="eastAsia"/>
          <w:color w:val="auto"/>
          <w:highlight w:val="none"/>
        </w:rPr>
      </w:pPr>
      <w:r>
        <w:rPr>
          <w:rFonts w:hint="eastAsia"/>
          <w:color w:val="auto"/>
          <w:highlight w:val="none"/>
        </w:rPr>
        <w:t>（1）《四川省环境保护条例》，2017年9月22日修订，2018年1月1日施行；</w:t>
      </w:r>
    </w:p>
    <w:p>
      <w:pPr>
        <w:pStyle w:val="158"/>
        <w:ind w:firstLine="480"/>
        <w:rPr>
          <w:rFonts w:hint="eastAsia"/>
          <w:color w:val="auto"/>
          <w:highlight w:val="none"/>
        </w:rPr>
      </w:pPr>
      <w:r>
        <w:rPr>
          <w:rFonts w:hint="eastAsia"/>
          <w:color w:val="auto"/>
          <w:highlight w:val="none"/>
        </w:rPr>
        <w:t>（2）《四川省〈中华人民共和国大气污染防治法〉实施办法》，2018年12月7日修订，2019年1月1日施行；</w:t>
      </w:r>
    </w:p>
    <w:p>
      <w:pPr>
        <w:pStyle w:val="158"/>
        <w:ind w:firstLine="480"/>
        <w:rPr>
          <w:rFonts w:hint="eastAsia"/>
          <w:color w:val="auto"/>
          <w:highlight w:val="none"/>
        </w:rPr>
      </w:pPr>
      <w:r>
        <w:rPr>
          <w:rFonts w:hint="eastAsia"/>
          <w:color w:val="auto"/>
          <w:highlight w:val="none"/>
        </w:rPr>
        <w:t>（3）《四川省固体废物污染防治条例》，2014年1月1日施行；</w:t>
      </w:r>
    </w:p>
    <w:p>
      <w:pPr>
        <w:pStyle w:val="158"/>
        <w:ind w:firstLine="480"/>
        <w:rPr>
          <w:rFonts w:hint="eastAsia"/>
          <w:color w:val="auto"/>
          <w:highlight w:val="none"/>
        </w:rPr>
      </w:pPr>
      <w:r>
        <w:rPr>
          <w:rFonts w:hint="eastAsia"/>
          <w:color w:val="auto"/>
          <w:highlight w:val="none"/>
        </w:rPr>
        <w:t>（4）《四川省危险废物污染环境防治办法》，2004年1月1日施行；</w:t>
      </w:r>
    </w:p>
    <w:p>
      <w:pPr>
        <w:pStyle w:val="158"/>
        <w:ind w:firstLine="480"/>
        <w:rPr>
          <w:rFonts w:hint="eastAsia"/>
          <w:color w:val="auto"/>
          <w:highlight w:val="none"/>
        </w:rPr>
      </w:pPr>
      <w:r>
        <w:rPr>
          <w:rFonts w:hint="eastAsia"/>
          <w:color w:val="auto"/>
          <w:highlight w:val="none"/>
        </w:rPr>
        <w:t>（5）《四川省饮用水源保护管理条例》，201</w:t>
      </w:r>
      <w:r>
        <w:rPr>
          <w:rFonts w:hint="eastAsia"/>
          <w:color w:val="auto"/>
          <w:highlight w:val="none"/>
          <w:lang w:val="en-US" w:eastAsia="zh-CN"/>
        </w:rPr>
        <w:t>9</w:t>
      </w:r>
      <w:r>
        <w:rPr>
          <w:rFonts w:hint="eastAsia"/>
          <w:color w:val="auto"/>
          <w:highlight w:val="none"/>
        </w:rPr>
        <w:t>年</w:t>
      </w:r>
      <w:r>
        <w:rPr>
          <w:rFonts w:hint="eastAsia"/>
          <w:color w:val="auto"/>
          <w:highlight w:val="none"/>
          <w:lang w:val="en-US" w:eastAsia="zh-CN"/>
        </w:rPr>
        <w:t>9</w:t>
      </w:r>
      <w:r>
        <w:rPr>
          <w:rFonts w:hint="eastAsia"/>
          <w:color w:val="auto"/>
          <w:highlight w:val="none"/>
        </w:rPr>
        <w:t>月</w:t>
      </w:r>
      <w:r>
        <w:rPr>
          <w:rFonts w:hint="eastAsia"/>
          <w:color w:val="auto"/>
          <w:highlight w:val="none"/>
          <w:lang w:val="en-US" w:eastAsia="zh-CN"/>
        </w:rPr>
        <w:t>26</w:t>
      </w:r>
      <w:r>
        <w:rPr>
          <w:rFonts w:hint="eastAsia"/>
          <w:color w:val="auto"/>
          <w:highlight w:val="none"/>
        </w:rPr>
        <w:t>日</w:t>
      </w:r>
      <w:r>
        <w:rPr>
          <w:rFonts w:hint="eastAsia"/>
          <w:color w:val="auto"/>
          <w:highlight w:val="none"/>
          <w:lang w:eastAsia="zh-CN"/>
        </w:rPr>
        <w:t>修订</w:t>
      </w:r>
      <w:r>
        <w:rPr>
          <w:rFonts w:hint="eastAsia"/>
          <w:color w:val="auto"/>
          <w:highlight w:val="none"/>
        </w:rPr>
        <w:t>；</w:t>
      </w:r>
    </w:p>
    <w:p>
      <w:pPr>
        <w:pStyle w:val="158"/>
        <w:ind w:firstLine="480"/>
        <w:rPr>
          <w:rFonts w:hint="eastAsia"/>
          <w:color w:val="auto"/>
          <w:highlight w:val="none"/>
        </w:rPr>
      </w:pPr>
      <w:r>
        <w:rPr>
          <w:rFonts w:hint="eastAsia"/>
          <w:color w:val="auto"/>
          <w:highlight w:val="none"/>
        </w:rPr>
        <w:t>（6）《四川省人民政府关于加强环境保护工作的决定》，川府发[1996]142号；</w:t>
      </w:r>
    </w:p>
    <w:p>
      <w:pPr>
        <w:pStyle w:val="158"/>
        <w:ind w:firstLine="480"/>
        <w:rPr>
          <w:rFonts w:hint="eastAsia"/>
          <w:color w:val="auto"/>
          <w:highlight w:val="none"/>
        </w:rPr>
      </w:pPr>
      <w:r>
        <w:rPr>
          <w:rFonts w:hint="eastAsia"/>
          <w:color w:val="auto"/>
          <w:highlight w:val="none"/>
        </w:rPr>
        <w:t>（7）《关于进一步加强环境保护工作的决定》，川府发[2004]38号；</w:t>
      </w:r>
    </w:p>
    <w:p>
      <w:pPr>
        <w:pStyle w:val="158"/>
        <w:ind w:firstLine="480"/>
        <w:rPr>
          <w:rFonts w:hint="eastAsia"/>
          <w:color w:val="auto"/>
          <w:highlight w:val="none"/>
        </w:rPr>
      </w:pPr>
      <w:r>
        <w:rPr>
          <w:rFonts w:hint="eastAsia"/>
          <w:color w:val="auto"/>
          <w:highlight w:val="none"/>
        </w:rPr>
        <w:t>（8）《四川省人民政府关于印发四川省打赢蓝天保卫战等九个实施方案的通知》，川府发〔2019〕4号；</w:t>
      </w:r>
    </w:p>
    <w:p>
      <w:pPr>
        <w:pStyle w:val="158"/>
        <w:ind w:firstLine="480"/>
        <w:rPr>
          <w:rFonts w:hint="eastAsia"/>
          <w:color w:val="auto"/>
          <w:highlight w:val="none"/>
        </w:rPr>
      </w:pPr>
      <w:r>
        <w:rPr>
          <w:rFonts w:hint="eastAsia"/>
          <w:color w:val="auto"/>
          <w:highlight w:val="none"/>
        </w:rPr>
        <w:t>（9）《四川省人民政府关于印发四川省生态保护红线方案的通知》，川府发[2018]24号；</w:t>
      </w:r>
    </w:p>
    <w:p>
      <w:pPr>
        <w:pStyle w:val="158"/>
        <w:ind w:firstLine="480"/>
        <w:rPr>
          <w:rFonts w:hint="eastAsia"/>
          <w:color w:val="auto"/>
          <w:highlight w:val="none"/>
        </w:rPr>
      </w:pPr>
      <w:r>
        <w:rPr>
          <w:rFonts w:hint="eastAsia"/>
          <w:color w:val="auto"/>
          <w:highlight w:val="none"/>
        </w:rPr>
        <w:t>（10）《关于进一步加强我省农村饮用水水源保护区环境保护工作的通知》，川环办发[2011]98号；</w:t>
      </w:r>
    </w:p>
    <w:p>
      <w:pPr>
        <w:pStyle w:val="158"/>
        <w:ind w:firstLine="480"/>
        <w:rPr>
          <w:rFonts w:hint="eastAsia"/>
          <w:color w:val="auto"/>
          <w:highlight w:val="none"/>
        </w:rPr>
      </w:pPr>
      <w:r>
        <w:rPr>
          <w:rFonts w:hint="eastAsia"/>
          <w:color w:val="auto"/>
          <w:highlight w:val="none"/>
        </w:rPr>
        <w:t>（11）《四川省国家重点生态功能区产业准入负面清单（第一批）（试行）》，川发改规划[2017]407号；</w:t>
      </w:r>
    </w:p>
    <w:p>
      <w:pPr>
        <w:pStyle w:val="158"/>
        <w:ind w:firstLine="480"/>
        <w:rPr>
          <w:rFonts w:hint="eastAsia"/>
          <w:color w:val="auto"/>
          <w:highlight w:val="none"/>
        </w:rPr>
      </w:pPr>
      <w:r>
        <w:rPr>
          <w:rFonts w:hint="eastAsia"/>
          <w:color w:val="auto"/>
          <w:highlight w:val="none"/>
        </w:rPr>
        <w:t>（12）《四川省环境保护局关于依法加强环境影响评价管理防范环境风险的通知》，川环发[2006]1号；</w:t>
      </w:r>
    </w:p>
    <w:p>
      <w:pPr>
        <w:pStyle w:val="158"/>
        <w:ind w:firstLine="480"/>
        <w:rPr>
          <w:rFonts w:hint="eastAsia"/>
          <w:color w:val="auto"/>
          <w:highlight w:val="none"/>
        </w:rPr>
      </w:pPr>
      <w:r>
        <w:rPr>
          <w:rFonts w:hint="eastAsia"/>
          <w:color w:val="auto"/>
          <w:highlight w:val="none"/>
        </w:rPr>
        <w:t>（13））《四川省环境保护局关于进一步加强固体废物和危险废物环境监管的通知》，川环发[2009]112号；</w:t>
      </w:r>
    </w:p>
    <w:p>
      <w:pPr>
        <w:pStyle w:val="158"/>
        <w:ind w:firstLine="480"/>
        <w:rPr>
          <w:rFonts w:hint="eastAsia"/>
          <w:color w:val="auto"/>
          <w:highlight w:val="none"/>
        </w:rPr>
      </w:pPr>
      <w:r>
        <w:rPr>
          <w:rFonts w:hint="eastAsia"/>
          <w:color w:val="auto"/>
          <w:highlight w:val="none"/>
        </w:rPr>
        <w:t>（14）《四川省环境保护厅办公室关于贯彻落实〈建设项目主要污染物排放总量指标审核及管理暂行办法的通知》（川环办发[2015]333号）；</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15）</w:t>
      </w:r>
      <w:r>
        <w:rPr>
          <w:rFonts w:hint="eastAsia" w:ascii="Times New Roman" w:hAnsi="Times New Roman" w:cs="Times New Roman"/>
          <w:color w:val="auto"/>
          <w:sz w:val="24"/>
          <w:szCs w:val="24"/>
          <w:highlight w:val="none"/>
          <w:lang w:eastAsia="zh-CN"/>
        </w:rPr>
        <w:t>四川省自然资源厅四川省农业农村厅《关于进一步完善设施农业用地管理有关问题的通知》（川自然资规〔2020〕3号）；</w:t>
      </w:r>
    </w:p>
    <w:p>
      <w:pPr>
        <w:spacing w:line="360" w:lineRule="auto"/>
        <w:ind w:firstLine="480"/>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16）</w:t>
      </w:r>
      <w:r>
        <w:rPr>
          <w:rFonts w:hint="eastAsia" w:ascii="Times New Roman" w:hAnsi="Times New Roman" w:cs="Times New Roman"/>
          <w:color w:val="auto"/>
          <w:sz w:val="24"/>
          <w:szCs w:val="24"/>
          <w:highlight w:val="none"/>
          <w:lang w:eastAsia="zh-CN"/>
        </w:rPr>
        <w:t>巴中市人民政府《关于加快发展现代畜牧业的意见》（巴府发[2012]13号）；</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17）</w:t>
      </w:r>
      <w:r>
        <w:rPr>
          <w:rFonts w:hint="eastAsia" w:ascii="Times New Roman" w:hAnsi="Times New Roman" w:cs="Times New Roman"/>
          <w:color w:val="auto"/>
          <w:sz w:val="24"/>
          <w:szCs w:val="24"/>
          <w:highlight w:val="none"/>
          <w:lang w:eastAsia="zh-CN"/>
        </w:rPr>
        <w:t>《巴中市巴州区畜禽养殖区禁养区划定方案》（巴州府办〔2018〕143号）；</w:t>
      </w:r>
    </w:p>
    <w:p>
      <w:pPr>
        <w:spacing w:line="360" w:lineRule="auto"/>
        <w:ind w:firstLine="480"/>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18）</w:t>
      </w:r>
      <w:r>
        <w:rPr>
          <w:rFonts w:hint="eastAsia" w:ascii="Times New Roman" w:hAnsi="Times New Roman" w:cs="Times New Roman"/>
          <w:color w:val="auto"/>
          <w:sz w:val="24"/>
          <w:szCs w:val="24"/>
          <w:highlight w:val="none"/>
          <w:lang w:eastAsia="zh-CN"/>
        </w:rPr>
        <w:t>《巴中市巴州区畜禽养殖区调整后划定方案》（巴州府办〔201</w:t>
      </w:r>
      <w:r>
        <w:rPr>
          <w:rFonts w:hint="eastAsia" w:ascii="Times New Roman" w:hAnsi="Times New Roman" w:cs="Times New Roman"/>
          <w:color w:val="auto"/>
          <w:sz w:val="24"/>
          <w:szCs w:val="24"/>
          <w:highlight w:val="none"/>
          <w:lang w:val="en-US" w:eastAsia="zh-CN"/>
        </w:rPr>
        <w:t>9</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56</w:t>
      </w:r>
      <w:r>
        <w:rPr>
          <w:rFonts w:hint="eastAsia" w:ascii="Times New Roman" w:hAnsi="Times New Roman" w:cs="Times New Roman"/>
          <w:color w:val="auto"/>
          <w:sz w:val="24"/>
          <w:szCs w:val="24"/>
          <w:highlight w:val="none"/>
          <w:lang w:eastAsia="zh-CN"/>
        </w:rPr>
        <w:t>号）；</w:t>
      </w:r>
    </w:p>
    <w:p>
      <w:pPr>
        <w:spacing w:line="360" w:lineRule="auto"/>
        <w:ind w:firstLine="480"/>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19）</w:t>
      </w:r>
      <w:r>
        <w:rPr>
          <w:rFonts w:hint="eastAsia" w:ascii="Times New Roman" w:hAnsi="Times New Roman" w:cs="Times New Roman"/>
          <w:color w:val="auto"/>
          <w:sz w:val="24"/>
          <w:szCs w:val="24"/>
          <w:highlight w:val="none"/>
          <w:lang w:eastAsia="zh-CN"/>
        </w:rPr>
        <w:t>巴中市人民政府《关于实施“三线一单”生态环境分区管控的通知》（巴府发[2021]</w:t>
      </w:r>
      <w:r>
        <w:rPr>
          <w:rFonts w:ascii="Times New Roman" w:hAnsi="Times New Roman" w:cs="Times New Roman"/>
          <w:color w:val="auto"/>
          <w:sz w:val="24"/>
          <w:szCs w:val="24"/>
          <w:highlight w:val="none"/>
          <w:lang w:eastAsia="zh-CN"/>
        </w:rPr>
        <w:t>5</w:t>
      </w:r>
      <w:r>
        <w:rPr>
          <w:rFonts w:hint="eastAsia" w:ascii="Times New Roman" w:hAnsi="Times New Roman" w:cs="Times New Roman"/>
          <w:color w:val="auto"/>
          <w:sz w:val="24"/>
          <w:szCs w:val="24"/>
          <w:highlight w:val="none"/>
          <w:lang w:eastAsia="zh-CN"/>
        </w:rPr>
        <w:t>号，2021年6月</w:t>
      </w:r>
      <w:r>
        <w:rPr>
          <w:rFonts w:ascii="Times New Roman" w:hAnsi="Times New Roman" w:cs="Times New Roman"/>
          <w:color w:val="auto"/>
          <w:sz w:val="24"/>
          <w:szCs w:val="24"/>
          <w:highlight w:val="none"/>
          <w:lang w:eastAsia="zh-CN"/>
        </w:rPr>
        <w:t>28</w:t>
      </w:r>
      <w:r>
        <w:rPr>
          <w:rFonts w:hint="eastAsia" w:ascii="Times New Roman" w:hAnsi="Times New Roman" w:cs="Times New Roman"/>
          <w:color w:val="auto"/>
          <w:sz w:val="24"/>
          <w:szCs w:val="24"/>
          <w:highlight w:val="none"/>
          <w:lang w:eastAsia="zh-CN"/>
        </w:rPr>
        <w:t>日）；</w:t>
      </w:r>
    </w:p>
    <w:p>
      <w:pPr>
        <w:spacing w:line="360" w:lineRule="auto"/>
        <w:ind w:firstLine="48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20）《</w:t>
      </w:r>
      <w:r>
        <w:rPr>
          <w:rFonts w:hint="eastAsia" w:ascii="Times New Roman" w:hAnsi="Times New Roman" w:cs="Times New Roman"/>
          <w:color w:val="auto"/>
          <w:sz w:val="24"/>
          <w:szCs w:val="24"/>
          <w:highlight w:val="none"/>
          <w:lang w:eastAsia="zh-CN"/>
        </w:rPr>
        <w:t>巴中市巴州区人民政府 关于印发巴中市巴州区打赢碧水保卫战等八个实施方案的通知》（巴州府发〔2019〕15号，2019年10月14日）；</w:t>
      </w:r>
    </w:p>
    <w:p>
      <w:pPr>
        <w:pStyle w:val="8"/>
        <w:spacing w:before="0" w:after="0" w:line="360" w:lineRule="auto"/>
        <w:ind w:left="0" w:firstLine="0"/>
        <w:rPr>
          <w:rFonts w:cs="Times New Roman"/>
          <w:color w:val="auto"/>
          <w:highlight w:val="none"/>
        </w:rPr>
      </w:pPr>
      <w:bookmarkStart w:id="24" w:name="_Toc154987516"/>
      <w:bookmarkStart w:id="25" w:name="_Toc7085"/>
      <w:bookmarkStart w:id="26" w:name="_Toc154987274"/>
      <w:bookmarkStart w:id="27" w:name="_Toc102531209"/>
      <w:bookmarkStart w:id="28" w:name="_Toc123721498"/>
      <w:bookmarkStart w:id="29" w:name="_Toc80438852"/>
      <w:bookmarkStart w:id="30" w:name="_Toc154818497"/>
      <w:bookmarkStart w:id="31" w:name="_Toc321575574"/>
      <w:bookmarkStart w:id="32" w:name="_Toc80438680"/>
      <w:bookmarkStart w:id="33" w:name="_Toc83636253"/>
      <w:bookmarkStart w:id="34" w:name="_Toc154982379"/>
      <w:bookmarkStart w:id="35" w:name="_Toc102532648"/>
      <w:bookmarkStart w:id="36" w:name="_Toc405412750"/>
      <w:r>
        <w:rPr>
          <w:rFonts w:cs="Times New Roman"/>
          <w:color w:val="auto"/>
          <w:highlight w:val="none"/>
        </w:rPr>
        <w:t>技术规范</w:t>
      </w:r>
      <w:bookmarkEnd w:id="24"/>
      <w:bookmarkEnd w:id="25"/>
      <w:bookmarkEnd w:id="26"/>
      <w:bookmarkEnd w:id="27"/>
      <w:bookmarkEnd w:id="28"/>
      <w:bookmarkEnd w:id="29"/>
      <w:bookmarkEnd w:id="30"/>
      <w:bookmarkEnd w:id="31"/>
      <w:bookmarkEnd w:id="32"/>
      <w:bookmarkEnd w:id="33"/>
      <w:bookmarkEnd w:id="34"/>
      <w:bookmarkEnd w:id="35"/>
      <w:bookmarkEnd w:id="36"/>
    </w:p>
    <w:p>
      <w:pPr>
        <w:pStyle w:val="158"/>
        <w:ind w:firstLine="480"/>
        <w:rPr>
          <w:rFonts w:hint="eastAsia"/>
          <w:color w:val="auto"/>
          <w:highlight w:val="none"/>
        </w:rPr>
      </w:pPr>
      <w:r>
        <w:rPr>
          <w:color w:val="auto"/>
          <w:highlight w:val="none"/>
        </w:rPr>
        <w:t>（1）</w:t>
      </w:r>
      <w:r>
        <w:rPr>
          <w:rFonts w:hint="eastAsia"/>
          <w:color w:val="auto"/>
          <w:highlight w:val="none"/>
        </w:rPr>
        <w:t>《建设项目环境影响评价技术导则 总纲》(HJ2.1-2016)；</w:t>
      </w:r>
    </w:p>
    <w:p>
      <w:pPr>
        <w:pStyle w:val="158"/>
        <w:ind w:firstLine="480"/>
        <w:rPr>
          <w:rFonts w:hint="eastAsia"/>
          <w:color w:val="auto"/>
          <w:highlight w:val="none"/>
        </w:rPr>
      </w:pPr>
      <w:r>
        <w:rPr>
          <w:color w:val="auto"/>
          <w:highlight w:val="none"/>
        </w:rPr>
        <w:t>（2）</w:t>
      </w:r>
      <w:r>
        <w:rPr>
          <w:rFonts w:hint="eastAsia"/>
          <w:color w:val="auto"/>
          <w:highlight w:val="none"/>
        </w:rPr>
        <w:t>《环境影响评价技术导则 大气环境》(HJ2.2-2018)；</w:t>
      </w:r>
    </w:p>
    <w:p>
      <w:pPr>
        <w:pStyle w:val="158"/>
        <w:ind w:firstLine="480"/>
        <w:rPr>
          <w:rFonts w:hint="eastAsia"/>
          <w:color w:val="auto"/>
          <w:highlight w:val="none"/>
        </w:rPr>
      </w:pPr>
      <w:r>
        <w:rPr>
          <w:color w:val="auto"/>
          <w:highlight w:val="none"/>
        </w:rPr>
        <w:t>（3）</w:t>
      </w:r>
      <w:r>
        <w:rPr>
          <w:rFonts w:hint="eastAsia"/>
          <w:color w:val="auto"/>
          <w:highlight w:val="none"/>
        </w:rPr>
        <w:t>《环境影响评价技术导则地表 水环境》(HJ2.3-2018)；</w:t>
      </w:r>
    </w:p>
    <w:p>
      <w:pPr>
        <w:pStyle w:val="158"/>
        <w:ind w:firstLine="480"/>
        <w:rPr>
          <w:color w:val="auto"/>
          <w:highlight w:val="none"/>
        </w:rPr>
      </w:pPr>
      <w:r>
        <w:rPr>
          <w:color w:val="auto"/>
          <w:highlight w:val="none"/>
        </w:rPr>
        <w:t>（4）</w:t>
      </w:r>
      <w:r>
        <w:rPr>
          <w:rFonts w:hint="eastAsia"/>
          <w:color w:val="auto"/>
          <w:highlight w:val="none"/>
        </w:rPr>
        <w:t>《环境影响评价技术导则 地下水环境》(HJ610-2016)；</w:t>
      </w:r>
    </w:p>
    <w:p>
      <w:pPr>
        <w:pStyle w:val="158"/>
        <w:ind w:firstLine="480"/>
        <w:rPr>
          <w:rFonts w:hint="eastAsia"/>
          <w:color w:val="auto"/>
          <w:highlight w:val="none"/>
        </w:rPr>
      </w:pPr>
      <w:r>
        <w:rPr>
          <w:color w:val="auto"/>
          <w:highlight w:val="none"/>
        </w:rPr>
        <w:t>（5）</w:t>
      </w:r>
      <w:r>
        <w:rPr>
          <w:rFonts w:hint="eastAsia"/>
          <w:color w:val="auto"/>
          <w:highlight w:val="none"/>
        </w:rPr>
        <w:t>《环境影响评价技术导则 声环境》(HJ2.4-20</w:t>
      </w:r>
      <w:r>
        <w:rPr>
          <w:rFonts w:hint="eastAsia"/>
          <w:color w:val="auto"/>
          <w:highlight w:val="none"/>
          <w:lang w:val="en-US" w:eastAsia="zh-CN"/>
        </w:rPr>
        <w:t>21</w:t>
      </w:r>
      <w:r>
        <w:rPr>
          <w:rFonts w:hint="eastAsia"/>
          <w:color w:val="auto"/>
          <w:highlight w:val="none"/>
        </w:rPr>
        <w:t>)；</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6</w:t>
      </w:r>
      <w:r>
        <w:rPr>
          <w:color w:val="auto"/>
          <w:highlight w:val="none"/>
        </w:rPr>
        <w:t>）</w:t>
      </w:r>
      <w:r>
        <w:rPr>
          <w:rFonts w:hint="eastAsia"/>
          <w:color w:val="auto"/>
          <w:highlight w:val="none"/>
        </w:rPr>
        <w:t>《环境影响评价技术导则 土壤环境》(HJ 964-2018)；</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7</w:t>
      </w:r>
      <w:r>
        <w:rPr>
          <w:color w:val="auto"/>
          <w:highlight w:val="none"/>
        </w:rPr>
        <w:t>）</w:t>
      </w:r>
      <w:r>
        <w:rPr>
          <w:rFonts w:hint="eastAsia"/>
          <w:color w:val="auto"/>
          <w:highlight w:val="none"/>
        </w:rPr>
        <w:t>《建设项目环境风险评价技术导则》(HJ169-2018)；</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8</w:t>
      </w:r>
      <w:r>
        <w:rPr>
          <w:color w:val="auto"/>
          <w:highlight w:val="none"/>
        </w:rPr>
        <w:t>）</w:t>
      </w:r>
      <w:r>
        <w:rPr>
          <w:rFonts w:hint="eastAsia"/>
          <w:color w:val="auto"/>
          <w:highlight w:val="none"/>
        </w:rPr>
        <w:t>《环境影响评价技术导则</w:t>
      </w:r>
      <w:r>
        <w:rPr>
          <w:rFonts w:hint="eastAsia"/>
          <w:color w:val="auto"/>
          <w:highlight w:val="none"/>
          <w:lang w:val="en-US" w:eastAsia="zh-CN"/>
        </w:rPr>
        <w:t xml:space="preserve"> </w:t>
      </w:r>
      <w:r>
        <w:rPr>
          <w:rFonts w:hint="eastAsia"/>
          <w:color w:val="auto"/>
          <w:highlight w:val="none"/>
        </w:rPr>
        <w:t>生态影响》(HJ19-20</w:t>
      </w:r>
      <w:r>
        <w:rPr>
          <w:rFonts w:hint="eastAsia"/>
          <w:color w:val="auto"/>
          <w:highlight w:val="none"/>
          <w:lang w:val="en-US" w:eastAsia="zh-CN"/>
        </w:rPr>
        <w:t>22</w:t>
      </w:r>
      <w:r>
        <w:rPr>
          <w:rFonts w:hint="eastAsia"/>
          <w:color w:val="auto"/>
          <w:highlight w:val="none"/>
        </w:rPr>
        <w:t>)；</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9</w:t>
      </w:r>
      <w:r>
        <w:rPr>
          <w:color w:val="auto"/>
          <w:highlight w:val="none"/>
        </w:rPr>
        <w:t>）</w:t>
      </w:r>
      <w:r>
        <w:rPr>
          <w:rFonts w:hint="eastAsia"/>
          <w:color w:val="auto"/>
          <w:highlight w:val="none"/>
        </w:rPr>
        <w:t>《大气污染治理工程技术导则》(HJ2000-2010)；</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10</w:t>
      </w:r>
      <w:r>
        <w:rPr>
          <w:color w:val="auto"/>
          <w:highlight w:val="none"/>
        </w:rPr>
        <w:t>）</w:t>
      </w:r>
      <w:r>
        <w:rPr>
          <w:rFonts w:hint="eastAsia"/>
          <w:color w:val="auto"/>
          <w:highlight w:val="none"/>
        </w:rPr>
        <w:t>《地表水和污水监测技术规范》(HJ/T91-2002)；</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11</w:t>
      </w:r>
      <w:r>
        <w:rPr>
          <w:color w:val="auto"/>
          <w:highlight w:val="none"/>
        </w:rPr>
        <w:t>）</w:t>
      </w:r>
      <w:r>
        <w:rPr>
          <w:rFonts w:hint="eastAsia"/>
          <w:color w:val="auto"/>
          <w:highlight w:val="none"/>
        </w:rPr>
        <w:t>《环境空气质量功能区划分原则与技术方法》(HJ14-1996)；</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12</w:t>
      </w:r>
      <w:r>
        <w:rPr>
          <w:color w:val="auto"/>
          <w:highlight w:val="none"/>
        </w:rPr>
        <w:t>）</w:t>
      </w:r>
      <w:r>
        <w:rPr>
          <w:rFonts w:hint="eastAsia"/>
          <w:color w:val="auto"/>
          <w:highlight w:val="none"/>
        </w:rPr>
        <w:t>《建筑施工场界环境噪声排放标准》(GB12523-2011)；</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13</w:t>
      </w:r>
      <w:r>
        <w:rPr>
          <w:color w:val="auto"/>
          <w:highlight w:val="none"/>
        </w:rPr>
        <w:t>）</w:t>
      </w:r>
      <w:r>
        <w:rPr>
          <w:rFonts w:hint="eastAsia"/>
          <w:color w:val="auto"/>
          <w:highlight w:val="none"/>
        </w:rPr>
        <w:t>《声环境功能区划分技术规范》(GB/T15190-2014)；</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14</w:t>
      </w:r>
      <w:r>
        <w:rPr>
          <w:color w:val="auto"/>
          <w:highlight w:val="none"/>
        </w:rPr>
        <w:t>）</w:t>
      </w:r>
      <w:r>
        <w:rPr>
          <w:rFonts w:hint="eastAsia"/>
          <w:color w:val="auto"/>
          <w:highlight w:val="none"/>
        </w:rPr>
        <w:t>《恶臭污染物排放标准》（GB14554-93）；</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1</w:t>
      </w:r>
      <w:r>
        <w:rPr>
          <w:color w:val="auto"/>
          <w:highlight w:val="none"/>
        </w:rPr>
        <w:t>5）</w:t>
      </w:r>
      <w:r>
        <w:rPr>
          <w:rFonts w:hint="eastAsia"/>
          <w:color w:val="auto"/>
          <w:highlight w:val="none"/>
        </w:rPr>
        <w:t>《危险废物贮存污染控制标准》(GB18597-2001)及其修改单；</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16</w:t>
      </w:r>
      <w:r>
        <w:rPr>
          <w:color w:val="auto"/>
          <w:highlight w:val="none"/>
        </w:rPr>
        <w:t>）</w:t>
      </w:r>
      <w:r>
        <w:rPr>
          <w:rFonts w:hint="eastAsia"/>
          <w:color w:val="auto"/>
          <w:highlight w:val="none"/>
        </w:rPr>
        <w:t>《企业突发环境事件风险分级方法》(HJ941-2018)；</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17</w:t>
      </w:r>
      <w:r>
        <w:rPr>
          <w:color w:val="auto"/>
          <w:highlight w:val="none"/>
        </w:rPr>
        <w:t>）</w:t>
      </w:r>
      <w:r>
        <w:rPr>
          <w:rFonts w:hint="eastAsia"/>
          <w:color w:val="auto"/>
          <w:highlight w:val="none"/>
        </w:rPr>
        <w:t>《污染防治可行性技术指南编制导则》(HJ2300-2018)；</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18</w:t>
      </w:r>
      <w:r>
        <w:rPr>
          <w:color w:val="auto"/>
          <w:highlight w:val="none"/>
        </w:rPr>
        <w:t>）</w:t>
      </w:r>
      <w:r>
        <w:rPr>
          <w:rFonts w:hint="eastAsia"/>
          <w:color w:val="auto"/>
          <w:highlight w:val="none"/>
        </w:rPr>
        <w:t>《地下水和污水监测技术规范》(HJ/T164-2004)；</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19</w:t>
      </w:r>
      <w:r>
        <w:rPr>
          <w:color w:val="auto"/>
          <w:highlight w:val="none"/>
        </w:rPr>
        <w:t>）</w:t>
      </w:r>
      <w:r>
        <w:rPr>
          <w:rFonts w:hint="eastAsia"/>
          <w:color w:val="auto"/>
          <w:highlight w:val="none"/>
        </w:rPr>
        <w:t>《建筑给水排水设计规范》(2009 年修订版)；</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20</w:t>
      </w:r>
      <w:r>
        <w:rPr>
          <w:color w:val="auto"/>
          <w:highlight w:val="none"/>
        </w:rPr>
        <w:t>）</w:t>
      </w:r>
      <w:r>
        <w:rPr>
          <w:rFonts w:hint="eastAsia"/>
          <w:color w:val="auto"/>
          <w:highlight w:val="none"/>
        </w:rPr>
        <w:t>《建筑设计防火规范》（GB 50016-2014）；</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21</w:t>
      </w:r>
      <w:r>
        <w:rPr>
          <w:color w:val="auto"/>
          <w:highlight w:val="none"/>
        </w:rPr>
        <w:t>）</w:t>
      </w:r>
      <w:r>
        <w:rPr>
          <w:rFonts w:hint="eastAsia"/>
          <w:color w:val="auto"/>
          <w:highlight w:val="none"/>
        </w:rPr>
        <w:t>《危险废物收集贮存运输技术规范》(HJ2025-2012)；</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22</w:t>
      </w:r>
      <w:r>
        <w:rPr>
          <w:color w:val="auto"/>
          <w:highlight w:val="none"/>
        </w:rPr>
        <w:t>）</w:t>
      </w:r>
      <w:r>
        <w:rPr>
          <w:rFonts w:hint="eastAsia"/>
          <w:color w:val="auto"/>
          <w:highlight w:val="none"/>
        </w:rPr>
        <w:t>《建设项目危险废物环境影响评价指南》(环保部公告 2017 年第 43 号)；</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23</w:t>
      </w:r>
      <w:r>
        <w:rPr>
          <w:color w:val="auto"/>
          <w:highlight w:val="none"/>
        </w:rPr>
        <w:t>）</w:t>
      </w:r>
      <w:r>
        <w:rPr>
          <w:rFonts w:hint="eastAsia"/>
          <w:color w:val="auto"/>
          <w:highlight w:val="none"/>
        </w:rPr>
        <w:t>《畜禽养殖产地环境评价规范》(HJ568-2010)；</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24</w:t>
      </w:r>
      <w:r>
        <w:rPr>
          <w:color w:val="auto"/>
          <w:highlight w:val="none"/>
        </w:rPr>
        <w:t>）</w:t>
      </w:r>
      <w:r>
        <w:rPr>
          <w:rFonts w:hint="eastAsia"/>
          <w:color w:val="auto"/>
          <w:highlight w:val="none"/>
        </w:rPr>
        <w:t>《规模化畜禽养殖场污染防治最佳可行技术指南（试行）》(HJ-BAT-10)；</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25</w:t>
      </w:r>
      <w:r>
        <w:rPr>
          <w:color w:val="auto"/>
          <w:highlight w:val="none"/>
        </w:rPr>
        <w:t>）</w:t>
      </w:r>
      <w:r>
        <w:rPr>
          <w:rFonts w:hint="eastAsia"/>
          <w:color w:val="auto"/>
          <w:highlight w:val="none"/>
        </w:rPr>
        <w:t>《畜禽养殖业污染治理工程技术规范》(HJ497-2009)；</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26</w:t>
      </w:r>
      <w:r>
        <w:rPr>
          <w:color w:val="auto"/>
          <w:highlight w:val="none"/>
        </w:rPr>
        <w:t>）</w:t>
      </w:r>
      <w:r>
        <w:rPr>
          <w:rFonts w:hint="eastAsia"/>
          <w:color w:val="auto"/>
          <w:highlight w:val="none"/>
        </w:rPr>
        <w:t>《畜禽粪便无害化处理技术规范》(NY/T1168-2006)；</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27</w:t>
      </w:r>
      <w:r>
        <w:rPr>
          <w:color w:val="auto"/>
          <w:highlight w:val="none"/>
        </w:rPr>
        <w:t>）</w:t>
      </w:r>
      <w:r>
        <w:rPr>
          <w:rFonts w:hint="eastAsia"/>
          <w:color w:val="auto"/>
          <w:highlight w:val="none"/>
        </w:rPr>
        <w:t>《畜禽养殖污染防治技术规范》(HJ/T81-2001)；</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28</w:t>
      </w:r>
      <w:r>
        <w:rPr>
          <w:color w:val="auto"/>
          <w:highlight w:val="none"/>
        </w:rPr>
        <w:t>）</w:t>
      </w:r>
      <w:r>
        <w:rPr>
          <w:rFonts w:hint="eastAsia"/>
          <w:color w:val="auto"/>
          <w:highlight w:val="none"/>
        </w:rPr>
        <w:t>《病害动物和病害动物产品生物安全处理规程》(GB16548-2006)；</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29</w:t>
      </w:r>
      <w:r>
        <w:rPr>
          <w:color w:val="auto"/>
          <w:highlight w:val="none"/>
        </w:rPr>
        <w:t>）</w:t>
      </w:r>
      <w:r>
        <w:rPr>
          <w:rFonts w:hint="eastAsia"/>
          <w:color w:val="auto"/>
          <w:highlight w:val="none"/>
        </w:rPr>
        <w:t>《畜禽养殖业污染防治技术规范》(HJ/T81-2001)；</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30</w:t>
      </w:r>
      <w:r>
        <w:rPr>
          <w:color w:val="auto"/>
          <w:highlight w:val="none"/>
        </w:rPr>
        <w:t>）</w:t>
      </w:r>
      <w:r>
        <w:rPr>
          <w:rFonts w:hint="eastAsia"/>
          <w:color w:val="auto"/>
          <w:highlight w:val="none"/>
        </w:rPr>
        <w:t>《畜禽养殖产地环境评价规范》(HJ568-2010)；</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31</w:t>
      </w:r>
      <w:r>
        <w:rPr>
          <w:color w:val="auto"/>
          <w:highlight w:val="none"/>
        </w:rPr>
        <w:t>）</w:t>
      </w:r>
      <w:r>
        <w:rPr>
          <w:rFonts w:hint="eastAsia"/>
          <w:color w:val="auto"/>
          <w:highlight w:val="none"/>
        </w:rPr>
        <w:t>《排污单位自行监测技术指南总则》（HJ 819-2017）；</w:t>
      </w:r>
    </w:p>
    <w:p>
      <w:pPr>
        <w:pStyle w:val="158"/>
        <w:ind w:firstLine="480"/>
        <w:rPr>
          <w:rFonts w:hint="eastAsia"/>
          <w:color w:val="auto"/>
          <w:highlight w:val="none"/>
        </w:rPr>
      </w:pPr>
      <w:r>
        <w:rPr>
          <w:color w:val="auto"/>
          <w:highlight w:val="none"/>
        </w:rPr>
        <w:t>（</w:t>
      </w:r>
      <w:r>
        <w:rPr>
          <w:rFonts w:hint="eastAsia"/>
          <w:color w:val="auto"/>
          <w:highlight w:val="none"/>
          <w:lang w:val="en-US" w:eastAsia="zh-CN"/>
        </w:rPr>
        <w:t>32</w:t>
      </w:r>
      <w:r>
        <w:rPr>
          <w:color w:val="auto"/>
          <w:highlight w:val="none"/>
        </w:rPr>
        <w:t>）</w:t>
      </w:r>
      <w:r>
        <w:rPr>
          <w:rFonts w:hint="eastAsia"/>
          <w:color w:val="auto"/>
          <w:highlight w:val="none"/>
        </w:rPr>
        <w:t>《固定污染源排污许可分类管理名录（2019 年版）》；</w:t>
      </w:r>
    </w:p>
    <w:p>
      <w:pPr>
        <w:pStyle w:val="158"/>
        <w:ind w:firstLine="480"/>
        <w:rPr>
          <w:color w:val="auto"/>
          <w:highlight w:val="none"/>
        </w:rPr>
      </w:pPr>
      <w:r>
        <w:rPr>
          <w:color w:val="auto"/>
          <w:highlight w:val="none"/>
        </w:rPr>
        <w:t>（</w:t>
      </w:r>
      <w:r>
        <w:rPr>
          <w:rFonts w:hint="eastAsia"/>
          <w:color w:val="auto"/>
          <w:highlight w:val="none"/>
          <w:lang w:val="en-US" w:eastAsia="zh-CN"/>
        </w:rPr>
        <w:t>33</w:t>
      </w:r>
      <w:r>
        <w:rPr>
          <w:color w:val="auto"/>
          <w:highlight w:val="none"/>
        </w:rPr>
        <w:t>）</w:t>
      </w:r>
      <w:r>
        <w:rPr>
          <w:rFonts w:hint="eastAsia"/>
          <w:color w:val="auto"/>
          <w:highlight w:val="none"/>
        </w:rPr>
        <w:t>《排污许可证申请与核发技术规范畜禽养殖行业》（HJ1029—2019）；</w:t>
      </w:r>
    </w:p>
    <w:p>
      <w:pPr>
        <w:pStyle w:val="8"/>
        <w:spacing w:before="0" w:after="0" w:line="360" w:lineRule="auto"/>
        <w:ind w:left="0" w:firstLine="0"/>
        <w:rPr>
          <w:rFonts w:cs="Times New Roman"/>
          <w:color w:val="auto"/>
          <w:highlight w:val="none"/>
        </w:rPr>
      </w:pPr>
      <w:bookmarkStart w:id="37" w:name="_Toc349939597"/>
      <w:bookmarkStart w:id="38" w:name="_Toc376177513"/>
      <w:bookmarkStart w:id="39" w:name="_Toc17672"/>
      <w:r>
        <w:rPr>
          <w:rFonts w:hint="eastAsia" w:cs="Times New Roman"/>
          <w:color w:val="auto"/>
          <w:highlight w:val="none"/>
          <w:lang w:eastAsia="zh-CN"/>
        </w:rPr>
        <w:t>项目依据</w:t>
      </w:r>
      <w:bookmarkEnd w:id="37"/>
      <w:bookmarkEnd w:id="38"/>
      <w:bookmarkEnd w:id="39"/>
    </w:p>
    <w:p>
      <w:pPr>
        <w:spacing w:line="360" w:lineRule="auto"/>
        <w:ind w:firstLine="480"/>
        <w:rPr>
          <w:rFonts w:ascii="Times New Roman" w:hAnsi="Times New Roman" w:cs="Times New Roman"/>
          <w:color w:val="auto"/>
          <w:sz w:val="24"/>
          <w:szCs w:val="24"/>
          <w:highlight w:val="none"/>
          <w:lang w:eastAsia="zh-CN"/>
        </w:rPr>
      </w:pPr>
      <w:bookmarkStart w:id="40" w:name="_Toc470789036"/>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w:t>
      </w:r>
      <w:r>
        <w:rPr>
          <w:rFonts w:hint="eastAsia" w:ascii="Times New Roman" w:hAnsi="Times New Roman" w:cs="Times New Roman"/>
          <w:color w:val="auto"/>
          <w:sz w:val="24"/>
          <w:szCs w:val="24"/>
          <w:highlight w:val="none"/>
          <w:lang w:eastAsia="zh-CN"/>
        </w:rPr>
        <w:t>本项目环评工作委托书；</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w:t>
      </w:r>
      <w:r>
        <w:rPr>
          <w:rFonts w:ascii="Times New Roman" w:hAnsi="Times New Roman" w:cs="Times New Roman"/>
          <w:color w:val="auto"/>
          <w:sz w:val="24"/>
          <w:szCs w:val="24"/>
          <w:highlight w:val="none"/>
          <w:lang w:eastAsia="zh-CN"/>
        </w:rPr>
        <w:t>四川省固定资产投资项目备案表，备案号：</w:t>
      </w:r>
      <w:r>
        <w:rPr>
          <w:rFonts w:hint="default" w:ascii="Times New Roman" w:hAnsi="Times New Roman" w:eastAsia="宋体" w:cs="Times New Roman"/>
          <w:color w:val="auto"/>
          <w:sz w:val="24"/>
          <w:highlight w:val="none"/>
        </w:rPr>
        <w:t>川投资备【</w:t>
      </w:r>
      <w:r>
        <w:rPr>
          <w:rFonts w:hint="eastAsia" w:ascii="Times New Roman" w:hAnsi="Times New Roman" w:eastAsia="宋体" w:cs="Times New Roman"/>
          <w:color w:val="auto"/>
          <w:sz w:val="24"/>
          <w:highlight w:val="none"/>
          <w:lang w:val="en-US" w:eastAsia="zh-CN"/>
        </w:rPr>
        <w:t>2204-511902-04-01-295288</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FG</w:t>
      </w:r>
      <w:r>
        <w:rPr>
          <w:rFonts w:hint="default" w:ascii="Times New Roman" w:hAnsi="Times New Roman" w:eastAsia="宋体" w:cs="Times New Roman"/>
          <w:color w:val="auto"/>
          <w:sz w:val="24"/>
          <w:highlight w:val="none"/>
        </w:rPr>
        <w:t>QB-</w:t>
      </w:r>
      <w:r>
        <w:rPr>
          <w:rFonts w:hint="eastAsia" w:ascii="Times New Roman" w:hAnsi="Times New Roman" w:eastAsia="宋体" w:cs="Times New Roman"/>
          <w:color w:val="auto"/>
          <w:sz w:val="24"/>
          <w:highlight w:val="none"/>
          <w:lang w:val="en-US" w:eastAsia="zh-CN"/>
        </w:rPr>
        <w:t>0083</w:t>
      </w:r>
      <w:r>
        <w:rPr>
          <w:rFonts w:hint="default" w:ascii="Times New Roman" w:hAnsi="Times New Roman" w:eastAsia="宋体" w:cs="Times New Roman"/>
          <w:color w:val="auto"/>
          <w:sz w:val="24"/>
          <w:highlight w:val="none"/>
        </w:rPr>
        <w:t>号</w:t>
      </w:r>
      <w:r>
        <w:rPr>
          <w:rFonts w:ascii="Times New Roman" w:hAnsi="Times New Roman" w:cs="Times New Roman"/>
          <w:color w:val="auto"/>
          <w:sz w:val="24"/>
          <w:szCs w:val="24"/>
          <w:highlight w:val="none"/>
          <w:lang w:eastAsia="zh-CN"/>
        </w:rPr>
        <w:t>；</w:t>
      </w:r>
    </w:p>
    <w:p>
      <w:pPr>
        <w:spacing w:line="360" w:lineRule="auto"/>
        <w:ind w:firstLine="480"/>
        <w:rPr>
          <w:rFonts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3）四川巴中国家粮食和物资储备库有限公司</w:t>
      </w:r>
      <w:r>
        <w:rPr>
          <w:rFonts w:ascii="Times New Roman" w:hAnsi="Times New Roman" w:cs="Times New Roman"/>
          <w:color w:val="auto"/>
          <w:sz w:val="24"/>
          <w:szCs w:val="24"/>
          <w:highlight w:val="none"/>
          <w:lang w:eastAsia="zh-CN"/>
        </w:rPr>
        <w:t>提供的其他相关资料。</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eastAsia="zh-CN"/>
        </w:rPr>
      </w:pPr>
      <w:bookmarkStart w:id="41" w:name="_Toc3512"/>
      <w:r>
        <w:rPr>
          <w:rFonts w:hint="eastAsia" w:ascii="Times New Roman" w:hAnsi="Times New Roman" w:eastAsia="宋体" w:cs="Times New Roman"/>
          <w:color w:val="auto"/>
          <w:highlight w:val="none"/>
          <w:lang w:eastAsia="zh-CN"/>
        </w:rPr>
        <w:t>环境影响要素识别及评价因子</w:t>
      </w:r>
      <w:bookmarkEnd w:id="40"/>
      <w:bookmarkEnd w:id="41"/>
    </w:p>
    <w:p>
      <w:pPr>
        <w:pStyle w:val="8"/>
        <w:spacing w:before="0" w:after="0" w:line="360" w:lineRule="auto"/>
        <w:ind w:left="0" w:firstLine="0"/>
        <w:rPr>
          <w:rFonts w:cs="Times New Roman"/>
          <w:color w:val="auto"/>
          <w:highlight w:val="none"/>
        </w:rPr>
      </w:pPr>
      <w:bookmarkStart w:id="42" w:name="_Toc30674"/>
      <w:r>
        <w:rPr>
          <w:rFonts w:cs="Times New Roman"/>
          <w:color w:val="auto"/>
          <w:highlight w:val="none"/>
        </w:rPr>
        <w:t>环境影响要素识别</w:t>
      </w:r>
      <w:bookmarkEnd w:id="42"/>
    </w:p>
    <w:p>
      <w:pPr>
        <w:pStyle w:val="158"/>
        <w:ind w:firstLine="480"/>
        <w:rPr>
          <w:bCs/>
          <w:color w:val="auto"/>
          <w:highlight w:val="none"/>
        </w:rPr>
      </w:pPr>
      <w:r>
        <w:rPr>
          <w:rFonts w:hint="eastAsia"/>
          <w:bCs/>
          <w:color w:val="auto"/>
          <w:highlight w:val="none"/>
        </w:rPr>
        <w:t>（</w:t>
      </w:r>
      <w:r>
        <w:rPr>
          <w:bCs/>
          <w:color w:val="auto"/>
          <w:highlight w:val="none"/>
        </w:rPr>
        <w:t>1</w:t>
      </w:r>
      <w:r>
        <w:rPr>
          <w:rFonts w:hint="eastAsia"/>
          <w:bCs/>
          <w:color w:val="auto"/>
          <w:highlight w:val="none"/>
        </w:rPr>
        <w:t>）环境对工程制约因素分析</w:t>
      </w:r>
    </w:p>
    <w:p>
      <w:pPr>
        <w:pStyle w:val="158"/>
        <w:ind w:firstLine="480"/>
        <w:rPr>
          <w:bCs/>
          <w:color w:val="auto"/>
          <w:highlight w:val="none"/>
        </w:rPr>
      </w:pPr>
      <w:r>
        <w:rPr>
          <w:rFonts w:hint="eastAsia"/>
          <w:bCs/>
          <w:color w:val="auto"/>
          <w:highlight w:val="none"/>
        </w:rPr>
        <w:t>根据现场调查，项目所在区域自然环境状况较好，地形地貌、气候条件、地表水资源等对项目的制约作用较小。根据环境质量现状监测及现场调查，项目所在地的环境空气、地表水环境、声环境及生态环境现状均较良好，项目所在区域环境状况不会制约项目的建设和营运。外环境对项目制约作用很小。</w:t>
      </w:r>
    </w:p>
    <w:p>
      <w:pPr>
        <w:pStyle w:val="158"/>
        <w:ind w:firstLine="480"/>
        <w:rPr>
          <w:bCs/>
          <w:color w:val="auto"/>
          <w:highlight w:val="none"/>
        </w:rPr>
      </w:pPr>
      <w:r>
        <w:rPr>
          <w:rFonts w:hint="eastAsia"/>
          <w:bCs/>
          <w:color w:val="auto"/>
          <w:highlight w:val="none"/>
        </w:rPr>
        <w:t>（</w:t>
      </w:r>
      <w:r>
        <w:rPr>
          <w:bCs/>
          <w:color w:val="auto"/>
          <w:highlight w:val="none"/>
        </w:rPr>
        <w:t>2</w:t>
      </w:r>
      <w:r>
        <w:rPr>
          <w:rFonts w:hint="eastAsia"/>
          <w:bCs/>
          <w:color w:val="auto"/>
          <w:highlight w:val="none"/>
        </w:rPr>
        <w:t>）工程建设对环境影响分析</w:t>
      </w:r>
    </w:p>
    <w:p>
      <w:pPr>
        <w:pStyle w:val="158"/>
        <w:ind w:firstLine="480"/>
        <w:rPr>
          <w:rFonts w:ascii="Times New Roman" w:hAnsi="Times New Roman" w:eastAsia="宋体" w:cs="Times New Roman"/>
          <w:bCs/>
          <w:color w:val="auto"/>
          <w:sz w:val="24"/>
          <w:szCs w:val="24"/>
          <w:highlight w:val="none"/>
        </w:rPr>
      </w:pPr>
      <w:r>
        <w:rPr>
          <w:rFonts w:hint="eastAsia"/>
          <w:bCs/>
          <w:color w:val="auto"/>
          <w:highlight w:val="none"/>
        </w:rPr>
        <w:t>根据对各生产环节与环境要素关系的分析，按环境要素分类，施工期环境影响主要体现在：施工期烟尘、机械尾气，施工废水和施工人员生活污水，施工机械噪声，建筑垃圾和施工人员生活垃圾等对周边环境的影响；营运期环境影响体现在：养殖废水、圈舍臭气、养殖场噪声及</w:t>
      </w:r>
      <w:r>
        <w:rPr>
          <w:rFonts w:hint="eastAsia"/>
          <w:bCs/>
          <w:color w:val="auto"/>
          <w:highlight w:val="none"/>
          <w:lang w:eastAsia="zh-CN"/>
        </w:rPr>
        <w:t>牛</w:t>
      </w:r>
      <w:r>
        <w:rPr>
          <w:rFonts w:hint="eastAsia"/>
          <w:bCs/>
          <w:color w:val="auto"/>
          <w:highlight w:val="none"/>
        </w:rPr>
        <w:t>粪便对周边环境的影响。项目对环境要素影响分析见下表，对环境要素影响性质分析见下表。</w:t>
      </w:r>
    </w:p>
    <w:p>
      <w:pPr>
        <w:numPr>
          <w:ilvl w:val="0"/>
          <w:numId w:val="4"/>
        </w:numPr>
        <w:ind w:left="0" w:leftChars="0" w:firstLine="403" w:firstLineChars="0"/>
        <w:jc w:val="center"/>
        <w:rPr>
          <w:rFonts w:hint="default" w:ascii="Times New Roman" w:hAnsi="Times New Roman" w:cs="Times New Roman"/>
          <w:b/>
          <w:bCs/>
          <w:color w:val="auto"/>
          <w:sz w:val="21"/>
          <w:szCs w:val="21"/>
          <w:highlight w:val="none"/>
          <w:lang w:val="en-US" w:eastAsia="zh-CN"/>
        </w:rPr>
      </w:pPr>
      <w:bookmarkStart w:id="43" w:name="_Ref456456253"/>
      <w:r>
        <w:rPr>
          <w:rFonts w:hint="default" w:ascii="Times New Roman" w:hAnsi="Times New Roman" w:cs="Times New Roman"/>
          <w:b/>
          <w:bCs/>
          <w:color w:val="auto"/>
          <w:sz w:val="21"/>
          <w:szCs w:val="21"/>
          <w:highlight w:val="none"/>
          <w:lang w:val="en-US" w:eastAsia="zh-CN"/>
        </w:rPr>
        <w:t xml:space="preserve">   工程建设对环境影响要素分析</w:t>
      </w:r>
      <w:bookmarkEnd w:id="43"/>
    </w:p>
    <w:tbl>
      <w:tblPr>
        <w:tblStyle w:val="91"/>
        <w:tblW w:w="8504"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748"/>
        <w:gridCol w:w="1292"/>
        <w:gridCol w:w="2375"/>
        <w:gridCol w:w="1312"/>
        <w:gridCol w:w="1475"/>
        <w:gridCol w:w="1302"/>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b/>
                <w:color w:val="auto"/>
                <w:sz w:val="21"/>
                <w:highlight w:val="none"/>
              </w:rPr>
            </w:pPr>
            <w:r>
              <w:rPr>
                <w:rStyle w:val="2500"/>
                <w:rFonts w:hint="eastAsia"/>
                <w:b/>
                <w:color w:val="auto"/>
                <w:sz w:val="21"/>
                <w:highlight w:val="none"/>
              </w:rPr>
              <w:t>时期</w:t>
            </w:r>
          </w:p>
        </w:tc>
        <w:tc>
          <w:tcPr>
            <w:tcW w:w="3667" w:type="dxa"/>
            <w:gridSpan w:val="2"/>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b/>
                <w:color w:val="auto"/>
                <w:sz w:val="21"/>
                <w:highlight w:val="none"/>
              </w:rPr>
            </w:pPr>
            <w:r>
              <w:rPr>
                <w:rStyle w:val="2500"/>
                <w:rFonts w:hint="eastAsia"/>
                <w:b/>
                <w:color w:val="auto"/>
                <w:sz w:val="21"/>
                <w:highlight w:val="none"/>
              </w:rPr>
              <w:t>影响分析环境要素</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b/>
                <w:color w:val="auto"/>
                <w:sz w:val="21"/>
                <w:highlight w:val="none"/>
              </w:rPr>
            </w:pPr>
            <w:r>
              <w:rPr>
                <w:rStyle w:val="2500"/>
                <w:rFonts w:hint="eastAsia"/>
                <w:b/>
                <w:color w:val="auto"/>
                <w:sz w:val="21"/>
                <w:highlight w:val="none"/>
              </w:rPr>
              <w:t>有利影响</w:t>
            </w: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b/>
                <w:color w:val="auto"/>
                <w:sz w:val="21"/>
                <w:highlight w:val="none"/>
              </w:rPr>
            </w:pPr>
            <w:r>
              <w:rPr>
                <w:rStyle w:val="2500"/>
                <w:rFonts w:hint="eastAsia"/>
                <w:b/>
                <w:color w:val="auto"/>
                <w:sz w:val="21"/>
                <w:highlight w:val="none"/>
              </w:rPr>
              <w:t>不利影响</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b/>
                <w:color w:val="auto"/>
                <w:sz w:val="21"/>
                <w:highlight w:val="none"/>
              </w:rPr>
            </w:pPr>
            <w:r>
              <w:rPr>
                <w:rStyle w:val="2500"/>
                <w:rFonts w:hint="eastAsia"/>
                <w:b/>
                <w:color w:val="auto"/>
                <w:sz w:val="21"/>
                <w:highlight w:val="none"/>
              </w:rPr>
              <w:t>综合影响</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施工期</w:t>
            </w:r>
          </w:p>
        </w:tc>
        <w:tc>
          <w:tcPr>
            <w:tcW w:w="1292"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自然环境</w:t>
            </w: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地形地貌</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工程地质</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土地资源</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生物资源</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生态环境</w:t>
            </w: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植</w:t>
            </w:r>
            <w:r>
              <w:rPr>
                <w:rStyle w:val="2500"/>
                <w:rFonts w:hint="default"/>
                <w:color w:val="auto"/>
                <w:sz w:val="21"/>
                <w:highlight w:val="none"/>
              </w:rPr>
              <w:t xml:space="preserve">  </w:t>
            </w:r>
            <w:r>
              <w:rPr>
                <w:rStyle w:val="2500"/>
                <w:rFonts w:hint="eastAsia"/>
                <w:color w:val="auto"/>
                <w:sz w:val="21"/>
                <w:highlight w:val="none"/>
              </w:rPr>
              <w:t>被</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景观资源</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土地利用</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社会环境</w:t>
            </w: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人民生活质量</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社会经济</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+M</w:t>
            </w: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+M</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劳动就业</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营运期</w:t>
            </w:r>
          </w:p>
        </w:tc>
        <w:tc>
          <w:tcPr>
            <w:tcW w:w="1292"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自然环境</w:t>
            </w: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地形地貌</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工程地质</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土地资源</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生物资源</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生态环境</w:t>
            </w: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景</w:t>
            </w:r>
            <w:r>
              <w:rPr>
                <w:rStyle w:val="2500"/>
                <w:rFonts w:hint="default"/>
                <w:color w:val="auto"/>
                <w:sz w:val="21"/>
                <w:highlight w:val="none"/>
              </w:rPr>
              <w:t xml:space="preserve"> </w:t>
            </w:r>
            <w:r>
              <w:rPr>
                <w:rStyle w:val="2500"/>
                <w:rFonts w:hint="eastAsia"/>
                <w:color w:val="auto"/>
                <w:sz w:val="21"/>
                <w:highlight w:val="none"/>
              </w:rPr>
              <w:t>观</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环境质量</w:t>
            </w: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地表水水质</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大气环境质量</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声环境质量</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-S</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社会环境</w:t>
            </w: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社会经济</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+M</w:t>
            </w: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+M</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748"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292"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c>
          <w:tcPr>
            <w:tcW w:w="23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eastAsia"/>
                <w:color w:val="auto"/>
                <w:sz w:val="21"/>
                <w:highlight w:val="none"/>
              </w:rPr>
              <w:t>劳动就业</w:t>
            </w:r>
          </w:p>
        </w:tc>
        <w:tc>
          <w:tcPr>
            <w:tcW w:w="131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+M</w:t>
            </w:r>
          </w:p>
        </w:tc>
        <w:tc>
          <w:tcPr>
            <w:tcW w:w="1475"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p>
        </w:tc>
        <w:tc>
          <w:tcPr>
            <w:tcW w:w="1302" w:type="dxa"/>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Style w:val="2500"/>
                <w:rFonts w:hint="default"/>
                <w:color w:val="auto"/>
                <w:sz w:val="21"/>
                <w:highlight w:val="none"/>
              </w:rPr>
              <w:t>+M</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8504" w:type="dxa"/>
            <w:gridSpan w:val="6"/>
            <w:tcBorders>
              <w:tl2br w:val="nil"/>
              <w:tr2bl w:val="nil"/>
            </w:tcBorders>
            <w:vAlign w:val="center"/>
          </w:tcPr>
          <w:p>
            <w:pPr>
              <w:pStyle w:val="267"/>
              <w:keepNext w:val="0"/>
              <w:keepLines w:val="0"/>
              <w:widowControl/>
              <w:suppressLineNumbers w:val="0"/>
              <w:spacing w:before="0" w:beforeAutospacing="0" w:after="0" w:afterAutospacing="0"/>
              <w:ind w:left="0" w:right="0"/>
              <w:rPr>
                <w:rStyle w:val="2500"/>
                <w:rFonts w:hint="default"/>
                <w:color w:val="auto"/>
                <w:sz w:val="21"/>
                <w:highlight w:val="none"/>
              </w:rPr>
            </w:pPr>
            <w:r>
              <w:rPr>
                <w:rFonts w:hint="default"/>
                <w:color w:val="auto"/>
                <w:highlight w:val="none"/>
              </w:rPr>
              <w:t>注：</w:t>
            </w:r>
            <w:r>
              <w:rPr>
                <w:rFonts w:hint="eastAsia"/>
                <w:color w:val="auto"/>
                <w:highlight w:val="none"/>
                <w:lang w:val="en-US" w:eastAsia="zh-CN"/>
              </w:rPr>
              <w:t>L</w:t>
            </w:r>
            <w:r>
              <w:rPr>
                <w:rFonts w:hint="default"/>
                <w:color w:val="auto"/>
                <w:highlight w:val="none"/>
              </w:rPr>
              <w:t>—重大影响；</w:t>
            </w:r>
            <w:r>
              <w:rPr>
                <w:rFonts w:hint="eastAsia"/>
                <w:color w:val="auto"/>
                <w:highlight w:val="none"/>
                <w:lang w:val="en-US" w:eastAsia="zh-CN"/>
              </w:rPr>
              <w:t>M</w:t>
            </w:r>
            <w:r>
              <w:rPr>
                <w:rFonts w:hint="default"/>
                <w:color w:val="auto"/>
                <w:highlight w:val="none"/>
              </w:rPr>
              <w:t>—中等影响；</w:t>
            </w:r>
            <w:r>
              <w:rPr>
                <w:rFonts w:hint="eastAsia"/>
                <w:color w:val="auto"/>
                <w:highlight w:val="none"/>
                <w:lang w:val="en-US" w:eastAsia="zh-CN"/>
              </w:rPr>
              <w:t>S</w:t>
            </w:r>
            <w:r>
              <w:rPr>
                <w:rFonts w:hint="default"/>
                <w:color w:val="auto"/>
                <w:highlight w:val="none"/>
              </w:rPr>
              <w:t>—轻微影响；“+”——表示有利影响；“-”——表示不利影响</w:t>
            </w:r>
          </w:p>
        </w:tc>
      </w:tr>
    </w:tbl>
    <w:p>
      <w:pPr>
        <w:numPr>
          <w:ilvl w:val="0"/>
          <w:numId w:val="4"/>
        </w:numPr>
        <w:ind w:left="0" w:leftChars="0" w:firstLine="403" w:firstLineChars="0"/>
        <w:jc w:val="center"/>
        <w:rPr>
          <w:rFonts w:hint="eastAsia" w:ascii="宋体" w:hAnsi="宋体" w:eastAsia="宋体" w:cs="宋体"/>
          <w:b/>
          <w:bCs/>
          <w:color w:val="auto"/>
          <w:highlight w:val="none"/>
          <w:lang w:val="en-US" w:eastAsia="zh-CN"/>
        </w:rPr>
      </w:pPr>
      <w:bookmarkStart w:id="44" w:name="_Ref456456289"/>
      <w:r>
        <w:rPr>
          <w:rFonts w:hint="eastAsia" w:ascii="宋体" w:hAnsi="宋体" w:eastAsia="宋体" w:cs="宋体"/>
          <w:b/>
          <w:bCs/>
          <w:color w:val="auto"/>
          <w:highlight w:val="none"/>
          <w:lang w:val="en-US" w:eastAsia="zh-CN"/>
        </w:rPr>
        <w:t xml:space="preserve">    项目对环境要素影响性质分析</w:t>
      </w:r>
      <w:bookmarkEnd w:id="44"/>
    </w:p>
    <w:tbl>
      <w:tblPr>
        <w:tblStyle w:val="91"/>
        <w:tblW w:w="8504"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543"/>
        <w:gridCol w:w="1797"/>
        <w:gridCol w:w="1080"/>
        <w:gridCol w:w="1095"/>
        <w:gridCol w:w="1080"/>
        <w:gridCol w:w="1099"/>
        <w:gridCol w:w="907"/>
        <w:gridCol w:w="90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543"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highlight w:val="none"/>
              </w:rPr>
            </w:pPr>
            <w:r>
              <w:rPr>
                <w:rFonts w:hint="eastAsia" w:cs="Times New Roman"/>
                <w:color w:val="auto"/>
                <w:highlight w:val="none"/>
              </w:rPr>
              <w:t>时段</w:t>
            </w:r>
          </w:p>
        </w:tc>
        <w:tc>
          <w:tcPr>
            <w:tcW w:w="1797"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highlight w:val="none"/>
              </w:rPr>
            </w:pPr>
            <w:r>
              <w:rPr>
                <w:rFonts w:hint="default"/>
                <w:color w:val="auto"/>
                <w:highlight w:val="none"/>
              </w:rPr>
              <w:pict>
                <v:line id="直线 176" o:spid="_x0000_s2050" o:spt="20" style="position:absolute;left:0pt;margin-left:-0.3pt;margin-top:0.05pt;height:31.6pt;width:89.9pt;z-index:251662336;mso-width-relative:page;mso-height-relative:page;" coordsize="21600,21600" o:gfxdata="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8rs90gAAAAUBAAAPAAAAAAAAAAEAIAAA&#10;ACIAAABkcnMvZG93bnJldi54bWxQSwECFAAUAAAACACHTuJAGdKHbdkBAACiAwAADgAAAAAAAAAB&#10;ACAAAAAhAQAAZHJzL2Uyb0RvYy54bWxQSwUGAAAAAAYABgBZAQAAbAUAAAAA&#10;">
                  <v:path arrowok="t"/>
                  <v:fill focussize="0,0"/>
                  <v:stroke/>
                  <v:imagedata o:title=""/>
                  <o:lock v:ext="edit"/>
                </v:line>
              </w:pict>
            </w:r>
            <w:r>
              <w:rPr>
                <w:rFonts w:hint="default" w:cs="Times New Roman"/>
                <w:color w:val="auto"/>
                <w:highlight w:val="none"/>
              </w:rPr>
              <w:t xml:space="preserve">       </w:t>
            </w:r>
            <w:r>
              <w:rPr>
                <w:rFonts w:hint="eastAsia" w:cs="Times New Roman"/>
                <w:color w:val="auto"/>
                <w:highlight w:val="none"/>
              </w:rPr>
              <w:t>影响性质</w:t>
            </w:r>
          </w:p>
          <w:p>
            <w:pPr>
              <w:pStyle w:val="945"/>
              <w:keepNext w:val="0"/>
              <w:keepLines w:val="0"/>
              <w:suppressLineNumbers w:val="0"/>
              <w:spacing w:before="0" w:beforeAutospacing="0" w:after="0" w:afterAutospacing="0"/>
              <w:ind w:left="0" w:right="0"/>
              <w:jc w:val="left"/>
              <w:rPr>
                <w:rFonts w:hint="default" w:cs="Times New Roman"/>
                <w:color w:val="auto"/>
                <w:highlight w:val="none"/>
              </w:rPr>
            </w:pPr>
            <w:r>
              <w:rPr>
                <w:rFonts w:hint="eastAsia" w:cs="Times New Roman"/>
                <w:color w:val="auto"/>
                <w:highlight w:val="none"/>
              </w:rPr>
              <w:t>环境要素</w:t>
            </w:r>
          </w:p>
        </w:tc>
        <w:tc>
          <w:tcPr>
            <w:tcW w:w="1080"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highlight w:val="none"/>
              </w:rPr>
            </w:pPr>
            <w:r>
              <w:rPr>
                <w:rFonts w:hint="eastAsia" w:cs="Times New Roman"/>
                <w:color w:val="auto"/>
                <w:highlight w:val="none"/>
              </w:rPr>
              <w:t>短期影响</w:t>
            </w:r>
          </w:p>
        </w:tc>
        <w:tc>
          <w:tcPr>
            <w:tcW w:w="1095"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highlight w:val="none"/>
              </w:rPr>
            </w:pPr>
            <w:r>
              <w:rPr>
                <w:rFonts w:hint="eastAsia" w:cs="Times New Roman"/>
                <w:color w:val="auto"/>
                <w:highlight w:val="none"/>
              </w:rPr>
              <w:t>长期影响</w:t>
            </w:r>
          </w:p>
        </w:tc>
        <w:tc>
          <w:tcPr>
            <w:tcW w:w="1080"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highlight w:val="none"/>
              </w:rPr>
            </w:pPr>
            <w:r>
              <w:rPr>
                <w:rFonts w:hint="eastAsia" w:cs="Times New Roman"/>
                <w:color w:val="auto"/>
                <w:highlight w:val="none"/>
              </w:rPr>
              <w:t>可逆影响</w:t>
            </w:r>
          </w:p>
        </w:tc>
        <w:tc>
          <w:tcPr>
            <w:tcW w:w="1099"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highlight w:val="none"/>
              </w:rPr>
            </w:pPr>
            <w:r>
              <w:rPr>
                <w:rFonts w:hint="eastAsia" w:cs="Times New Roman"/>
                <w:color w:val="auto"/>
                <w:highlight w:val="none"/>
              </w:rPr>
              <w:t>不可逆影响</w:t>
            </w:r>
          </w:p>
        </w:tc>
        <w:tc>
          <w:tcPr>
            <w:tcW w:w="907"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highlight w:val="none"/>
              </w:rPr>
            </w:pPr>
            <w:r>
              <w:rPr>
                <w:rFonts w:hint="eastAsia" w:cs="Times New Roman"/>
                <w:color w:val="auto"/>
                <w:highlight w:val="none"/>
              </w:rPr>
              <w:t>直接影响</w:t>
            </w:r>
          </w:p>
        </w:tc>
        <w:tc>
          <w:tcPr>
            <w:tcW w:w="903"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highlight w:val="none"/>
              </w:rPr>
            </w:pPr>
            <w:r>
              <w:rPr>
                <w:rFonts w:hint="eastAsia" w:cs="Times New Roman"/>
                <w:color w:val="auto"/>
                <w:highlight w:val="none"/>
              </w:rPr>
              <w:t>间接影响</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543"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Times New Roman" w:hAnsi="Times New Roman"/>
                <w:color w:val="auto"/>
                <w:highlight w:val="none"/>
              </w:rPr>
              <w:t>营运期</w:t>
            </w:r>
          </w:p>
        </w:tc>
        <w:tc>
          <w:tcPr>
            <w:tcW w:w="179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Times New Roman" w:hAnsi="Times New Roman"/>
                <w:color w:val="auto"/>
                <w:highlight w:val="none"/>
              </w:rPr>
              <w:t>地表水水质</w:t>
            </w: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1095"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1099"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90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903"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543"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79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Times New Roman" w:hAnsi="Times New Roman"/>
                <w:color w:val="auto"/>
                <w:highlight w:val="none"/>
              </w:rPr>
              <w:t>大气环境质量</w:t>
            </w: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095"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1099"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90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903"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543"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79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Times New Roman" w:hAnsi="Times New Roman"/>
                <w:color w:val="auto"/>
                <w:highlight w:val="none"/>
              </w:rPr>
              <w:t>声环境质量</w:t>
            </w: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095"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1099"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90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903"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543"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79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Times New Roman" w:hAnsi="Times New Roman"/>
                <w:color w:val="auto"/>
                <w:highlight w:val="none"/>
              </w:rPr>
              <w:t>地形、地貌</w:t>
            </w: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095"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099"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90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903"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543"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79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Times New Roman" w:hAnsi="Times New Roman"/>
                <w:color w:val="auto"/>
                <w:highlight w:val="none"/>
              </w:rPr>
              <w:t>植被</w:t>
            </w: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095"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1099"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90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903"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543"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79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Times New Roman" w:hAnsi="Times New Roman"/>
                <w:color w:val="auto"/>
                <w:highlight w:val="none"/>
              </w:rPr>
              <w:t>土地利用</w:t>
            </w: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1095"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1080"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1099"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c>
          <w:tcPr>
            <w:tcW w:w="90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r>
              <w:rPr>
                <w:rFonts w:hint="eastAsia" w:ascii="宋体" w:hAnsi="宋体" w:cs="宋体"/>
                <w:color w:val="auto"/>
                <w:highlight w:val="none"/>
              </w:rPr>
              <w:t>◆</w:t>
            </w:r>
          </w:p>
        </w:tc>
        <w:tc>
          <w:tcPr>
            <w:tcW w:w="903"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highlight w:val="none"/>
              </w:rPr>
            </w:pPr>
          </w:p>
        </w:tc>
      </w:tr>
    </w:tbl>
    <w:p>
      <w:pPr>
        <w:pStyle w:val="267"/>
        <w:jc w:val="left"/>
        <w:rPr>
          <w:color w:val="auto"/>
          <w:highlight w:val="none"/>
        </w:rPr>
      </w:pPr>
      <w:bookmarkStart w:id="45" w:name="_Toc302306729"/>
      <w:r>
        <w:rPr>
          <w:rFonts w:hint="eastAsia"/>
          <w:color w:val="auto"/>
          <w:highlight w:val="none"/>
        </w:rPr>
        <w:t>注：表中</w:t>
      </w:r>
      <w:r>
        <w:rPr>
          <w:color w:val="auto"/>
          <w:highlight w:val="none"/>
        </w:rPr>
        <w:t>“</w:t>
      </w:r>
      <w:r>
        <w:rPr>
          <w:rFonts w:hint="eastAsia" w:ascii="宋体" w:hAnsi="宋体" w:cs="宋体"/>
          <w:color w:val="auto"/>
          <w:kern w:val="0"/>
          <w:highlight w:val="none"/>
        </w:rPr>
        <w:t>◆</w:t>
      </w:r>
      <w:r>
        <w:rPr>
          <w:color w:val="auto"/>
          <w:highlight w:val="none"/>
        </w:rPr>
        <w:t>”</w:t>
      </w:r>
      <w:r>
        <w:rPr>
          <w:rFonts w:hint="eastAsia"/>
          <w:color w:val="auto"/>
          <w:highlight w:val="none"/>
        </w:rPr>
        <w:t>表示相关联。</w:t>
      </w:r>
      <w:bookmarkEnd w:id="45"/>
    </w:p>
    <w:p>
      <w:pPr>
        <w:pStyle w:val="1386"/>
        <w:ind w:firstLine="480"/>
        <w:rPr>
          <w:color w:val="auto"/>
          <w:highlight w:val="none"/>
        </w:rPr>
      </w:pPr>
      <w:r>
        <w:rPr>
          <w:rFonts w:hint="eastAsia"/>
          <w:color w:val="auto"/>
          <w:highlight w:val="none"/>
        </w:rPr>
        <w:t>由以上两表可以看出：</w:t>
      </w:r>
    </w:p>
    <w:p>
      <w:pPr>
        <w:pStyle w:val="1386"/>
        <w:ind w:firstLine="480"/>
        <w:rPr>
          <w:color w:val="auto"/>
          <w:highlight w:val="none"/>
        </w:rPr>
      </w:pPr>
      <w:r>
        <w:rPr>
          <w:color w:val="auto"/>
          <w:highlight w:val="none"/>
        </w:rPr>
        <w:t>1</w:t>
      </w:r>
      <w:r>
        <w:rPr>
          <w:rFonts w:hint="eastAsia"/>
          <w:color w:val="auto"/>
          <w:highlight w:val="none"/>
        </w:rPr>
        <w:t>、不利影响</w:t>
      </w:r>
    </w:p>
    <w:p>
      <w:pPr>
        <w:pStyle w:val="1386"/>
        <w:ind w:firstLine="480"/>
        <w:rPr>
          <w:color w:val="auto"/>
          <w:szCs w:val="24"/>
          <w:highlight w:val="none"/>
        </w:rPr>
      </w:pPr>
      <w:r>
        <w:rPr>
          <w:rFonts w:hint="eastAsia"/>
          <w:color w:val="auto"/>
          <w:szCs w:val="24"/>
          <w:highlight w:val="none"/>
        </w:rPr>
        <w:t>从工程施工的环境影响因素及环境影响性质识别结果看，受工程建设影响的环境要素主要有：生态环境、地表水、环境空气、声环境和固体废物。</w:t>
      </w:r>
    </w:p>
    <w:p>
      <w:pPr>
        <w:pStyle w:val="1386"/>
        <w:ind w:firstLine="480"/>
        <w:rPr>
          <w:color w:val="auto"/>
          <w:szCs w:val="24"/>
          <w:highlight w:val="none"/>
        </w:rPr>
      </w:pPr>
      <w:r>
        <w:rPr>
          <w:color w:val="auto"/>
          <w:szCs w:val="24"/>
          <w:highlight w:val="none"/>
        </w:rPr>
        <w:t>2</w:t>
      </w:r>
      <w:r>
        <w:rPr>
          <w:rFonts w:hint="eastAsia"/>
          <w:color w:val="auto"/>
          <w:szCs w:val="24"/>
          <w:highlight w:val="none"/>
        </w:rPr>
        <w:t>、有利影响</w:t>
      </w:r>
    </w:p>
    <w:p>
      <w:pPr>
        <w:pStyle w:val="1386"/>
        <w:ind w:firstLine="480"/>
        <w:rPr>
          <w:color w:val="auto"/>
          <w:szCs w:val="24"/>
          <w:highlight w:val="none"/>
        </w:rPr>
      </w:pPr>
      <w:r>
        <w:rPr>
          <w:rFonts w:hint="eastAsia"/>
          <w:color w:val="auto"/>
          <w:szCs w:val="24"/>
          <w:highlight w:val="none"/>
        </w:rPr>
        <w:t>施工及营运过程中需雇佣工作人员，提供部分就业机会；施工期间使用大量的水泥、河砂、钢筋等建筑材料，营运期消耗大量饲料、向社会投放</w:t>
      </w:r>
      <w:r>
        <w:rPr>
          <w:rFonts w:hint="eastAsia"/>
          <w:color w:val="auto"/>
          <w:szCs w:val="24"/>
          <w:highlight w:val="none"/>
          <w:lang w:eastAsia="zh-CN"/>
        </w:rPr>
        <w:t>肉牛</w:t>
      </w:r>
      <w:r>
        <w:rPr>
          <w:rFonts w:hint="eastAsia"/>
          <w:color w:val="auto"/>
          <w:szCs w:val="24"/>
          <w:highlight w:val="none"/>
        </w:rPr>
        <w:t>，将带动当地经济的发展。</w:t>
      </w:r>
    </w:p>
    <w:p>
      <w:pPr>
        <w:pStyle w:val="8"/>
        <w:spacing w:before="0" w:after="0" w:line="360" w:lineRule="auto"/>
        <w:ind w:left="0" w:firstLine="0"/>
        <w:rPr>
          <w:rFonts w:cs="Times New Roman"/>
          <w:color w:val="auto"/>
          <w:highlight w:val="none"/>
        </w:rPr>
      </w:pPr>
      <w:bookmarkStart w:id="46" w:name="_Toc30134"/>
      <w:r>
        <w:rPr>
          <w:rFonts w:cs="Times New Roman"/>
          <w:color w:val="auto"/>
          <w:highlight w:val="none"/>
        </w:rPr>
        <w:t>评价因子</w:t>
      </w:r>
      <w:bookmarkEnd w:id="46"/>
    </w:p>
    <w:p>
      <w:pPr>
        <w:pStyle w:val="158"/>
        <w:ind w:firstLine="480"/>
        <w:rPr>
          <w:color w:val="auto"/>
          <w:highlight w:val="none"/>
        </w:rPr>
      </w:pPr>
      <w:r>
        <w:rPr>
          <w:color w:val="auto"/>
          <w:highlight w:val="none"/>
        </w:rPr>
        <w:t>根据环境影响要素的识别结果，结合建设项目的工程特点、污染物排放种类及去向，以及项目周围区域的环境质量现状，确定本评价的评价因子如下所示：</w:t>
      </w:r>
    </w:p>
    <w:p>
      <w:pPr>
        <w:numPr>
          <w:ilvl w:val="0"/>
          <w:numId w:val="4"/>
        </w:numPr>
        <w:ind w:left="0" w:leftChars="0" w:firstLine="403" w:firstLineChars="0"/>
        <w:jc w:val="cente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 xml:space="preserve">   </w:t>
      </w:r>
      <w:r>
        <w:rPr>
          <w:rFonts w:hint="eastAsia" w:ascii="宋体" w:hAnsi="宋体" w:eastAsia="宋体" w:cs="宋体"/>
          <w:b/>
          <w:bCs/>
          <w:color w:val="auto"/>
          <w:highlight w:val="none"/>
        </w:rPr>
        <w:t>本项目评价因子一览表</w:t>
      </w:r>
    </w:p>
    <w:tbl>
      <w:tblPr>
        <w:tblStyle w:val="91"/>
        <w:tblW w:w="8737"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118"/>
        <w:gridCol w:w="4545"/>
        <w:gridCol w:w="3074"/>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8"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snapToGrid w:val="0"/>
                <w:color w:val="auto"/>
                <w:kern w:val="18"/>
                <w:highlight w:val="none"/>
              </w:rPr>
            </w:pPr>
            <w:r>
              <w:rPr>
                <w:rFonts w:hint="default" w:ascii="Times New Roman" w:hAnsi="Times New Roman" w:cs="Times New Roman"/>
                <w:b/>
                <w:snapToGrid w:val="0"/>
                <w:color w:val="auto"/>
                <w:kern w:val="18"/>
                <w:highlight w:val="none"/>
              </w:rPr>
              <w:t>评价项目</w:t>
            </w:r>
          </w:p>
        </w:tc>
        <w:tc>
          <w:tcPr>
            <w:tcW w:w="4545"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snapToGrid w:val="0"/>
                <w:color w:val="auto"/>
                <w:kern w:val="18"/>
                <w:highlight w:val="none"/>
              </w:rPr>
            </w:pPr>
            <w:r>
              <w:rPr>
                <w:rFonts w:hint="default" w:ascii="Times New Roman" w:hAnsi="Times New Roman" w:cs="Times New Roman"/>
                <w:b/>
                <w:snapToGrid w:val="0"/>
                <w:color w:val="auto"/>
                <w:kern w:val="18"/>
                <w:highlight w:val="none"/>
              </w:rPr>
              <w:t>现状评价因子</w:t>
            </w:r>
          </w:p>
        </w:tc>
        <w:tc>
          <w:tcPr>
            <w:tcW w:w="3074"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snapToGrid w:val="0"/>
                <w:color w:val="auto"/>
                <w:kern w:val="18"/>
                <w:highlight w:val="none"/>
              </w:rPr>
            </w:pPr>
            <w:r>
              <w:rPr>
                <w:rFonts w:hint="eastAsia" w:ascii="Times New Roman" w:hAnsi="Times New Roman" w:cs="Times New Roman"/>
                <w:b/>
                <w:snapToGrid w:val="0"/>
                <w:color w:val="auto"/>
                <w:kern w:val="18"/>
                <w:highlight w:val="none"/>
                <w:lang w:eastAsia="zh-CN"/>
              </w:rPr>
              <w:t>预测</w:t>
            </w:r>
            <w:r>
              <w:rPr>
                <w:rFonts w:hint="default" w:ascii="Times New Roman" w:hAnsi="Times New Roman" w:cs="Times New Roman"/>
                <w:b/>
                <w:snapToGrid w:val="0"/>
                <w:color w:val="auto"/>
                <w:kern w:val="18"/>
                <w:highlight w:val="none"/>
              </w:rPr>
              <w:t>评价因子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8"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大气环境</w:t>
            </w:r>
          </w:p>
        </w:tc>
        <w:tc>
          <w:tcPr>
            <w:tcW w:w="4545"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snapToGrid w:val="0"/>
                <w:color w:val="auto"/>
                <w:kern w:val="18"/>
                <w:highlight w:val="none"/>
                <w:vertAlign w:val="baseline"/>
                <w:lang w:eastAsia="zh-CN"/>
              </w:rPr>
            </w:pPr>
            <w:r>
              <w:rPr>
                <w:rFonts w:hint="default" w:ascii="Times New Roman" w:hAnsi="Times New Roman" w:cs="Times New Roman"/>
                <w:color w:val="auto"/>
                <w:highlight w:val="none"/>
              </w:rPr>
              <w:t>SO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、NO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、PM</w:t>
            </w:r>
            <w:r>
              <w:rPr>
                <w:rFonts w:hint="default" w:ascii="Times New Roman" w:hAnsi="Times New Roman" w:cs="Times New Roman"/>
                <w:color w:val="auto"/>
                <w:highlight w:val="none"/>
                <w:vertAlign w:val="subscript"/>
              </w:rPr>
              <w:t>10</w:t>
            </w:r>
            <w:r>
              <w:rPr>
                <w:rFonts w:hint="default" w:ascii="Times New Roman" w:hAnsi="Times New Roman" w:cs="Times New Roman"/>
                <w:color w:val="auto"/>
                <w:highlight w:val="none"/>
              </w:rPr>
              <w:t>、PM</w:t>
            </w:r>
            <w:r>
              <w:rPr>
                <w:rFonts w:hint="default" w:ascii="Times New Roman" w:hAnsi="Times New Roman" w:cs="Times New Roman"/>
                <w:color w:val="auto"/>
                <w:highlight w:val="none"/>
                <w:vertAlign w:val="subscript"/>
              </w:rPr>
              <w:t>2.5</w:t>
            </w:r>
            <w:r>
              <w:rPr>
                <w:rFonts w:hint="default" w:ascii="Times New Roman" w:hAnsi="Times New Roman" w:cs="Times New Roman"/>
                <w:color w:val="auto"/>
                <w:highlight w:val="none"/>
              </w:rPr>
              <w:t>、</w:t>
            </w:r>
            <w:r>
              <w:rPr>
                <w:rFonts w:hint="eastAsia" w:ascii="Times New Roman" w:hAnsi="Times New Roman" w:cs="Times New Roman"/>
                <w:color w:val="auto"/>
                <w:highlight w:val="none"/>
              </w:rPr>
              <w:t>CO</w:t>
            </w:r>
            <w:r>
              <w:rPr>
                <w:rFonts w:hint="default" w:ascii="Times New Roman" w:hAnsi="Times New Roman" w:cs="Times New Roman"/>
                <w:color w:val="auto"/>
                <w:highlight w:val="none"/>
              </w:rPr>
              <w:t>、</w:t>
            </w:r>
            <w:r>
              <w:rPr>
                <w:rFonts w:hint="eastAsia" w:ascii="Times New Roman" w:hAnsi="Times New Roman" w:cs="Times New Roman"/>
                <w:color w:val="auto"/>
                <w:highlight w:val="none"/>
              </w:rPr>
              <w:t>O</w:t>
            </w:r>
            <w:r>
              <w:rPr>
                <w:rFonts w:hint="eastAsia" w:ascii="Times New Roman" w:hAnsi="Times New Roman" w:cs="Times New Roman"/>
                <w:color w:val="auto"/>
                <w:highlight w:val="none"/>
                <w:vertAlign w:val="subscript"/>
              </w:rPr>
              <w:t>3</w:t>
            </w:r>
            <w:r>
              <w:rPr>
                <w:rFonts w:hint="eastAsia" w:ascii="Times New Roman" w:hAnsi="Times New Roman" w:cs="Times New Roman"/>
                <w:color w:val="auto"/>
                <w:highlight w:val="none"/>
              </w:rPr>
              <w:t>、</w:t>
            </w:r>
            <w:r>
              <w:rPr>
                <w:rFonts w:hint="eastAsia" w:ascii="Times New Roman" w:hAnsi="Times New Roman" w:cs="Times New Roman"/>
                <w:color w:val="auto"/>
                <w:highlight w:val="none"/>
                <w:vertAlign w:val="baseline"/>
                <w:lang w:val="en-US" w:eastAsia="zh-CN"/>
              </w:rPr>
              <w:t>TSP、</w:t>
            </w:r>
            <w:r>
              <w:rPr>
                <w:rFonts w:hint="default" w:ascii="Times New Roman" w:hAnsi="Times New Roman"/>
                <w:color w:val="auto"/>
                <w:highlight w:val="none"/>
              </w:rPr>
              <w:t>H</w:t>
            </w:r>
            <w:r>
              <w:rPr>
                <w:rFonts w:hint="default" w:ascii="Times New Roman" w:hAnsi="Times New Roman"/>
                <w:color w:val="auto"/>
                <w:highlight w:val="none"/>
                <w:vertAlign w:val="subscript"/>
              </w:rPr>
              <w:t>2</w:t>
            </w:r>
            <w:r>
              <w:rPr>
                <w:rFonts w:hint="default" w:ascii="Times New Roman" w:hAnsi="Times New Roman"/>
                <w:color w:val="auto"/>
                <w:highlight w:val="none"/>
              </w:rPr>
              <w:t>S</w:t>
            </w:r>
            <w:r>
              <w:rPr>
                <w:rFonts w:hint="eastAsia" w:ascii="Times New Roman" w:hAnsi="Times New Roman"/>
                <w:color w:val="auto"/>
                <w:highlight w:val="none"/>
              </w:rPr>
              <w:t>、</w:t>
            </w:r>
            <w:r>
              <w:rPr>
                <w:rFonts w:hint="default" w:ascii="Times New Roman" w:hAnsi="Times New Roman"/>
                <w:color w:val="auto"/>
                <w:highlight w:val="none"/>
              </w:rPr>
              <w:t>NH</w:t>
            </w:r>
            <w:r>
              <w:rPr>
                <w:rFonts w:hint="default" w:ascii="Times New Roman" w:hAnsi="Times New Roman"/>
                <w:color w:val="auto"/>
                <w:highlight w:val="none"/>
                <w:vertAlign w:val="subscript"/>
              </w:rPr>
              <w:t>3</w:t>
            </w:r>
            <w:r>
              <w:rPr>
                <w:rFonts w:hint="eastAsia" w:ascii="Times New Roman" w:hAnsi="Times New Roman"/>
                <w:color w:val="auto"/>
                <w:highlight w:val="none"/>
                <w:vertAlign w:val="baseline"/>
                <w:lang w:eastAsia="zh-CN"/>
              </w:rPr>
              <w:t>、臭气浓度</w:t>
            </w:r>
          </w:p>
        </w:tc>
        <w:tc>
          <w:tcPr>
            <w:tcW w:w="3074"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olor w:val="auto"/>
                <w:highlight w:val="none"/>
              </w:rPr>
              <w:t>H</w:t>
            </w:r>
            <w:r>
              <w:rPr>
                <w:rFonts w:hint="default" w:ascii="Times New Roman" w:hAnsi="Times New Roman"/>
                <w:color w:val="auto"/>
                <w:highlight w:val="none"/>
                <w:vertAlign w:val="subscript"/>
              </w:rPr>
              <w:t>2</w:t>
            </w:r>
            <w:r>
              <w:rPr>
                <w:rFonts w:hint="default" w:ascii="Times New Roman" w:hAnsi="Times New Roman"/>
                <w:color w:val="auto"/>
                <w:highlight w:val="none"/>
              </w:rPr>
              <w:t>S</w:t>
            </w:r>
            <w:r>
              <w:rPr>
                <w:rFonts w:hint="eastAsia" w:ascii="Times New Roman" w:hAnsi="Times New Roman"/>
                <w:color w:val="auto"/>
                <w:highlight w:val="none"/>
              </w:rPr>
              <w:t>、</w:t>
            </w:r>
            <w:r>
              <w:rPr>
                <w:rFonts w:hint="default" w:ascii="Times New Roman" w:hAnsi="Times New Roman"/>
                <w:color w:val="auto"/>
                <w:highlight w:val="none"/>
              </w:rPr>
              <w:t>NH</w:t>
            </w:r>
            <w:r>
              <w:rPr>
                <w:rFonts w:hint="default" w:ascii="Times New Roman" w:hAnsi="Times New Roman"/>
                <w:color w:val="auto"/>
                <w:highlight w:val="none"/>
                <w:vertAlign w:val="subscript"/>
              </w:rPr>
              <w:t>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8"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地表水</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环境</w:t>
            </w:r>
          </w:p>
        </w:tc>
        <w:tc>
          <w:tcPr>
            <w:tcW w:w="454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420" w:firstLineChars="200"/>
              <w:jc w:val="center"/>
              <w:rPr>
                <w:rFonts w:hint="default" w:ascii="Times New Roman" w:hAnsi="Times New Roman" w:cs="Times New Roman"/>
                <w:snapToGrid w:val="0"/>
                <w:color w:val="auto"/>
                <w:highlight w:val="none"/>
              </w:rPr>
            </w:pPr>
            <w:r>
              <w:rPr>
                <w:rFonts w:hint="default" w:ascii="Times New Roman" w:hAnsi="Times New Roman" w:cs="Times New Roman"/>
                <w:color w:val="auto"/>
                <w:highlight w:val="none"/>
              </w:rPr>
              <w:t>pH、COD</w:t>
            </w:r>
            <w:r>
              <w:rPr>
                <w:rFonts w:hint="default" w:ascii="Times New Roman" w:hAnsi="Times New Roman" w:cs="Times New Roman"/>
                <w:color w:val="auto"/>
                <w:highlight w:val="none"/>
                <w:vertAlign w:val="subscript"/>
              </w:rPr>
              <w:t>Cr</w:t>
            </w:r>
            <w:r>
              <w:rPr>
                <w:rFonts w:hint="default" w:ascii="Times New Roman" w:hAnsi="Times New Roman" w:cs="Times New Roman"/>
                <w:color w:val="auto"/>
                <w:highlight w:val="none"/>
              </w:rPr>
              <w:t>、BOD</w:t>
            </w:r>
            <w:r>
              <w:rPr>
                <w:rFonts w:hint="default" w:ascii="Times New Roman" w:hAnsi="Times New Roman" w:cs="Times New Roman"/>
                <w:color w:val="auto"/>
                <w:highlight w:val="none"/>
                <w:vertAlign w:val="subscript"/>
              </w:rPr>
              <w:t>5</w:t>
            </w:r>
            <w:r>
              <w:rPr>
                <w:rFonts w:hint="default" w:ascii="Times New Roman" w:hAnsi="Times New Roman" w:cs="Times New Roman"/>
                <w:color w:val="auto"/>
                <w:highlight w:val="none"/>
              </w:rPr>
              <w:t>、氨氮、</w:t>
            </w:r>
            <w:r>
              <w:rPr>
                <w:rFonts w:hint="eastAsia" w:ascii="Times New Roman" w:hAnsi="Times New Roman" w:cs="Times New Roman"/>
                <w:color w:val="auto"/>
                <w:highlight w:val="none"/>
                <w:lang w:eastAsia="zh-CN"/>
              </w:rPr>
              <w:t>总磷、总氮、</w:t>
            </w:r>
            <w:r>
              <w:rPr>
                <w:rFonts w:hint="eastAsia"/>
                <w:color w:val="auto"/>
                <w:highlight w:val="none"/>
              </w:rPr>
              <w:t>粪大肠菌群</w:t>
            </w:r>
            <w:r>
              <w:rPr>
                <w:rFonts w:hint="default" w:ascii="Times New Roman" w:hAnsi="Times New Roman" w:cs="Times New Roman"/>
                <w:color w:val="auto"/>
                <w:highlight w:val="none"/>
              </w:rPr>
              <w:t>，共</w:t>
            </w:r>
            <w:r>
              <w:rPr>
                <w:rFonts w:hint="eastAsia" w:ascii="Times New Roman" w:hAnsi="Times New Roman" w:cs="Times New Roman"/>
                <w:color w:val="auto"/>
                <w:highlight w:val="none"/>
                <w:lang w:val="en-US" w:eastAsia="zh-CN"/>
              </w:rPr>
              <w:t>7</w:t>
            </w:r>
            <w:r>
              <w:rPr>
                <w:rFonts w:hint="default" w:ascii="Times New Roman" w:hAnsi="Times New Roman" w:cs="Times New Roman"/>
                <w:color w:val="auto"/>
                <w:highlight w:val="none"/>
              </w:rPr>
              <w:t>项</w:t>
            </w:r>
          </w:p>
        </w:tc>
        <w:tc>
          <w:tcPr>
            <w:tcW w:w="3074" w:type="dxa"/>
            <w:tcBorders>
              <w:tl2br w:val="nil"/>
              <w:tr2bl w:val="nil"/>
            </w:tcBorders>
            <w:vAlign w:val="center"/>
          </w:tcPr>
          <w:p>
            <w:pPr>
              <w:keepNext w:val="0"/>
              <w:keepLines w:val="0"/>
              <w:suppressLineNumbers w:val="0"/>
              <w:spacing w:before="0" w:beforeAutospacing="0" w:after="0" w:afterAutospacing="0" w:line="240" w:lineRule="auto"/>
              <w:ind w:left="0" w:right="0"/>
              <w:jc w:val="both"/>
              <w:rPr>
                <w:rFonts w:hint="default" w:ascii="Times New Roman" w:hAnsi="Times New Roman" w:cs="Times New Roman"/>
                <w:snapToGrid w:val="0"/>
                <w:color w:val="auto"/>
                <w:kern w:val="18"/>
                <w:highlight w:val="none"/>
              </w:rPr>
            </w:pPr>
            <w:r>
              <w:rPr>
                <w:rFonts w:hint="eastAsia" w:ascii="Times New Roman" w:hAnsi="Times New Roman" w:cs="Times New Roman"/>
                <w:snapToGrid w:val="0"/>
                <w:color w:val="auto"/>
                <w:kern w:val="18"/>
                <w:highlight w:val="none"/>
              </w:rPr>
              <w:t>本项目生产废水经处理后全部综合利用，不直接排入地表水体，重点分析环境保护措施的可行性和可靠性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11" w:hRule="atLeast"/>
          <w:jc w:val="center"/>
        </w:trPr>
        <w:tc>
          <w:tcPr>
            <w:tcW w:w="1118"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地下水</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环境</w:t>
            </w:r>
          </w:p>
        </w:tc>
        <w:tc>
          <w:tcPr>
            <w:tcW w:w="4545" w:type="dxa"/>
            <w:tcBorders>
              <w:tl2br w:val="nil"/>
              <w:tr2bl w:val="nil"/>
            </w:tcBorders>
            <w:vAlign w:val="center"/>
          </w:tcPr>
          <w:p>
            <w:pPr>
              <w:keepNext w:val="0"/>
              <w:keepLines w:val="0"/>
              <w:suppressLineNumbers w:val="0"/>
              <w:spacing w:before="0" w:beforeAutospacing="0" w:after="0" w:afterAutospacing="0" w:line="240" w:lineRule="auto"/>
              <w:ind w:left="0" w:right="0"/>
              <w:jc w:val="both"/>
              <w:rPr>
                <w:rFonts w:hint="eastAsia" w:ascii="Times New Roman" w:hAnsi="Times New Roman" w:cs="Times New Roman" w:eastAsiaTheme="minorEastAsia"/>
                <w:snapToGrid w:val="0"/>
                <w:color w:val="auto"/>
                <w:highlight w:val="none"/>
                <w:lang w:eastAsia="zh-CN"/>
              </w:rPr>
            </w:pPr>
            <w:r>
              <w:rPr>
                <w:rFonts w:hint="eastAsia" w:ascii="Times New Roman" w:hAnsi="Times New Roman" w:cs="Times New Roman"/>
                <w:color w:val="auto"/>
                <w:highlight w:val="none"/>
              </w:rPr>
              <w:t xml:space="preserve">K </w:t>
            </w:r>
            <w:r>
              <w:rPr>
                <w:rFonts w:hint="eastAsia" w:ascii="Times New Roman" w:hAnsi="Times New Roman" w:cs="Times New Roman"/>
                <w:color w:val="auto"/>
                <w:highlight w:val="none"/>
                <w:vertAlign w:val="superscript"/>
              </w:rPr>
              <w:t xml:space="preserve">+ </w:t>
            </w:r>
            <w:r>
              <w:rPr>
                <w:rFonts w:hint="eastAsia" w:ascii="Times New Roman" w:hAnsi="Times New Roman" w:cs="Times New Roman"/>
                <w:color w:val="auto"/>
                <w:highlight w:val="none"/>
              </w:rPr>
              <w:t xml:space="preserve">、Na </w:t>
            </w:r>
            <w:r>
              <w:rPr>
                <w:rFonts w:hint="eastAsia" w:ascii="Times New Roman" w:hAnsi="Times New Roman" w:cs="Times New Roman"/>
                <w:color w:val="auto"/>
                <w:highlight w:val="none"/>
                <w:vertAlign w:val="superscript"/>
              </w:rPr>
              <w:t>+</w:t>
            </w:r>
            <w:r>
              <w:rPr>
                <w:rFonts w:hint="eastAsia" w:ascii="Times New Roman" w:hAnsi="Times New Roman" w:cs="Times New Roman"/>
                <w:color w:val="auto"/>
                <w:highlight w:val="none"/>
              </w:rPr>
              <w:t xml:space="preserve"> 、Ca</w:t>
            </w:r>
            <w:r>
              <w:rPr>
                <w:rFonts w:hint="eastAsia" w:ascii="Times New Roman" w:hAnsi="Times New Roman" w:cs="Times New Roman"/>
                <w:color w:val="auto"/>
                <w:highlight w:val="none"/>
                <w:vertAlign w:val="superscript"/>
              </w:rPr>
              <w:t xml:space="preserve"> 2+</w:t>
            </w:r>
            <w:r>
              <w:rPr>
                <w:rFonts w:hint="eastAsia" w:ascii="Times New Roman" w:hAnsi="Times New Roman" w:cs="Times New Roman"/>
                <w:color w:val="auto"/>
                <w:highlight w:val="none"/>
              </w:rPr>
              <w:t xml:space="preserve"> 、Mg </w:t>
            </w:r>
            <w:r>
              <w:rPr>
                <w:rFonts w:hint="eastAsia" w:ascii="Times New Roman" w:hAnsi="Times New Roman" w:cs="Times New Roman"/>
                <w:color w:val="auto"/>
                <w:highlight w:val="none"/>
                <w:vertAlign w:val="superscript"/>
              </w:rPr>
              <w:t xml:space="preserve">2+ </w:t>
            </w:r>
            <w:r>
              <w:rPr>
                <w:rFonts w:hint="eastAsia" w:ascii="Times New Roman" w:hAnsi="Times New Roman" w:cs="Times New Roman"/>
                <w:color w:val="auto"/>
                <w:highlight w:val="none"/>
              </w:rPr>
              <w:t>、CO</w:t>
            </w:r>
            <w:r>
              <w:rPr>
                <w:rFonts w:hint="eastAsia" w:ascii="Times New Roman" w:hAnsi="Times New Roman" w:cs="Times New Roman"/>
                <w:color w:val="auto"/>
                <w:highlight w:val="none"/>
                <w:vertAlign w:val="subscript"/>
              </w:rPr>
              <w:t>3</w:t>
            </w:r>
            <w:r>
              <w:rPr>
                <w:rFonts w:hint="eastAsia" w:ascii="Times New Roman" w:hAnsi="Times New Roman" w:cs="Times New Roman"/>
                <w:color w:val="auto"/>
                <w:highlight w:val="none"/>
              </w:rPr>
              <w:t xml:space="preserve"> </w:t>
            </w:r>
            <w:r>
              <w:rPr>
                <w:rFonts w:hint="eastAsia" w:ascii="Times New Roman" w:hAnsi="Times New Roman" w:cs="Times New Roman"/>
                <w:color w:val="auto"/>
                <w:highlight w:val="none"/>
                <w:vertAlign w:val="superscript"/>
              </w:rPr>
              <w:t xml:space="preserve">2- </w:t>
            </w:r>
            <w:r>
              <w:rPr>
                <w:rFonts w:hint="eastAsia" w:ascii="Times New Roman" w:hAnsi="Times New Roman" w:cs="Times New Roman"/>
                <w:color w:val="auto"/>
                <w:highlight w:val="none"/>
              </w:rPr>
              <w:t xml:space="preserve">、HCO </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 xml:space="preserve"> 、Cl</w:t>
            </w:r>
            <w:r>
              <w:rPr>
                <w:rFonts w:hint="eastAsia" w:ascii="Times New Roman" w:hAnsi="Times New Roman" w:cs="Times New Roman"/>
                <w:color w:val="auto"/>
                <w:highlight w:val="none"/>
                <w:vertAlign w:val="superscript"/>
              </w:rPr>
              <w:t>-</w:t>
            </w:r>
            <w:r>
              <w:rPr>
                <w:rFonts w:hint="eastAsia" w:ascii="Times New Roman" w:hAnsi="Times New Roman" w:cs="Times New Roman"/>
                <w:color w:val="auto"/>
                <w:highlight w:val="none"/>
              </w:rPr>
              <w:t xml:space="preserve"> 、SO</w:t>
            </w:r>
            <w:r>
              <w:rPr>
                <w:rFonts w:hint="eastAsia" w:ascii="Times New Roman" w:hAnsi="Times New Roman" w:cs="Times New Roman"/>
                <w:color w:val="auto"/>
                <w:highlight w:val="none"/>
                <w:vertAlign w:val="subscript"/>
              </w:rPr>
              <w:t xml:space="preserve">4 </w:t>
            </w:r>
            <w:r>
              <w:rPr>
                <w:rFonts w:hint="eastAsia" w:ascii="Times New Roman" w:hAnsi="Times New Roman" w:cs="Times New Roman"/>
                <w:color w:val="auto"/>
                <w:highlight w:val="none"/>
                <w:vertAlign w:val="superscript"/>
              </w:rPr>
              <w:t>2-</w:t>
            </w:r>
            <w:r>
              <w:rPr>
                <w:rFonts w:hint="eastAsia" w:ascii="Times New Roman" w:hAnsi="Times New Roman" w:cs="Times New Roman"/>
                <w:color w:val="auto"/>
                <w:highlight w:val="none"/>
              </w:rPr>
              <w:t>、</w:t>
            </w:r>
            <w:r>
              <w:rPr>
                <w:rFonts w:hint="eastAsia" w:ascii="Times New Roman" w:hAnsi="Times New Roman" w:cs="Times New Roman"/>
                <w:snapToGrid w:val="0"/>
                <w:color w:val="auto"/>
                <w:kern w:val="18"/>
                <w:highlight w:val="none"/>
              </w:rPr>
              <w:t>pH、氨氮、溶解性总固体、总硬度、耗氧量、硝酸盐、菌落总数、总大肠菌群</w:t>
            </w:r>
            <w:r>
              <w:rPr>
                <w:rFonts w:hint="eastAsia" w:ascii="Times New Roman" w:hAnsi="Times New Roman" w:cs="Times New Roman"/>
                <w:snapToGrid w:val="0"/>
                <w:color w:val="auto"/>
                <w:kern w:val="18"/>
                <w:highlight w:val="none"/>
                <w:lang w:eastAsia="zh-CN"/>
              </w:rPr>
              <w:t>、</w:t>
            </w:r>
            <w:r>
              <w:rPr>
                <w:rFonts w:hint="eastAsia" w:ascii="Times New Roman" w:hAnsi="Times New Roman" w:cs="Times New Roman"/>
                <w:snapToGrid w:val="0"/>
                <w:color w:val="auto"/>
                <w:kern w:val="18"/>
                <w:highlight w:val="none"/>
              </w:rPr>
              <w:t>挥发性酚类（以苯酚计）、氯化物、硫酸盐、铁、锰、</w:t>
            </w:r>
            <w:r>
              <w:rPr>
                <w:rFonts w:hint="eastAsia" w:ascii="Times New Roman" w:hAnsi="Times New Roman" w:cs="Times New Roman"/>
                <w:snapToGrid w:val="0"/>
                <w:color w:val="auto"/>
                <w:kern w:val="18"/>
                <w:highlight w:val="none"/>
                <w:lang w:eastAsia="zh-CN"/>
              </w:rPr>
              <w:t>钠、</w:t>
            </w:r>
            <w:r>
              <w:rPr>
                <w:rFonts w:hint="eastAsia" w:ascii="Times New Roman" w:hAnsi="Times New Roman" w:cs="Times New Roman"/>
                <w:snapToGrid w:val="0"/>
                <w:color w:val="auto"/>
                <w:kern w:val="18"/>
                <w:highlight w:val="none"/>
              </w:rPr>
              <w:t>亚硝酸盐（以N计）、氰化物、氟化物、六价铬、镉、铅</w:t>
            </w:r>
            <w:r>
              <w:rPr>
                <w:rFonts w:hint="eastAsia" w:ascii="Times New Roman" w:hAnsi="Times New Roman" w:cs="Times New Roman"/>
                <w:snapToGrid w:val="0"/>
                <w:color w:val="auto"/>
                <w:kern w:val="18"/>
                <w:highlight w:val="none"/>
                <w:lang w:eastAsia="zh-CN"/>
              </w:rPr>
              <w:t>、砷、汞、阴离子表面活性剂</w:t>
            </w:r>
          </w:p>
        </w:tc>
        <w:tc>
          <w:tcPr>
            <w:tcW w:w="3074"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snapToGrid w:val="0"/>
                <w:color w:val="auto"/>
                <w:highlight w:val="none"/>
                <w:lang w:val="en-US" w:eastAsia="zh-CN"/>
              </w:rPr>
            </w:pPr>
            <w:r>
              <w:rPr>
                <w:rFonts w:hint="eastAsia" w:ascii="Times New Roman" w:hAnsi="Times New Roman" w:cs="Times New Roman"/>
                <w:snapToGrid w:val="0"/>
                <w:color w:val="auto"/>
                <w:highlight w:val="none"/>
                <w:lang w:eastAsia="zh-CN"/>
              </w:rPr>
              <w:t>氨氮、</w:t>
            </w:r>
            <w:r>
              <w:rPr>
                <w:rFonts w:hint="eastAsia" w:ascii="Times New Roman" w:hAnsi="Times New Roman" w:cs="Times New Roman"/>
                <w:snapToGrid w:val="0"/>
                <w:color w:val="auto"/>
                <w:highlight w:val="none"/>
                <w:lang w:val="en-US" w:eastAsia="zh-CN"/>
              </w:rPr>
              <w:t>COD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8"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土壤</w:t>
            </w:r>
          </w:p>
        </w:tc>
        <w:tc>
          <w:tcPr>
            <w:tcW w:w="4545"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eastAsia" w:ascii="Times New Roman" w:hAnsi="Times New Roman" w:cs="Times New Roman"/>
                <w:snapToGrid w:val="0"/>
                <w:color w:val="auto"/>
                <w:kern w:val="18"/>
                <w:highlight w:val="none"/>
              </w:rPr>
              <w:t>pH、砷、铅、镉、总铬、汞、铜、镍、锌共9项</w:t>
            </w:r>
          </w:p>
        </w:tc>
        <w:tc>
          <w:tcPr>
            <w:tcW w:w="3074"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eastAsia" w:ascii="Times New Roman" w:hAnsi="Times New Roman" w:cs="Times New Roman"/>
                <w:snapToGrid w:val="0"/>
                <w:color w:val="auto"/>
                <w:kern w:val="18"/>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8"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噪声</w:t>
            </w:r>
          </w:p>
        </w:tc>
        <w:tc>
          <w:tcPr>
            <w:tcW w:w="4545"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等效连续A声级</w:t>
            </w:r>
          </w:p>
        </w:tc>
        <w:tc>
          <w:tcPr>
            <w:tcW w:w="3074"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等效连续A声级</w:t>
            </w:r>
          </w:p>
        </w:tc>
      </w:tr>
    </w:tbl>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eastAsia="zh-CN"/>
        </w:rPr>
      </w:pPr>
      <w:bookmarkStart w:id="47" w:name="_Toc28007"/>
      <w:r>
        <w:rPr>
          <w:rFonts w:hint="eastAsia" w:eastAsia="宋体" w:cs="Times New Roman"/>
          <w:color w:val="auto"/>
          <w:highlight w:val="none"/>
          <w:lang w:eastAsia="zh-CN"/>
        </w:rPr>
        <w:t>环境功能区划</w:t>
      </w:r>
      <w:bookmarkEnd w:id="47"/>
    </w:p>
    <w:p>
      <w:pPr>
        <w:pStyle w:val="158"/>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项目所在区域环境空气属二类功能区。地表水罗地沟水库</w:t>
      </w:r>
      <w:r>
        <w:rPr>
          <w:rFonts w:hint="eastAsia" w:cs="Times New Roman"/>
          <w:color w:val="auto"/>
          <w:sz w:val="24"/>
          <w:szCs w:val="24"/>
          <w:highlight w:val="none"/>
          <w:lang w:eastAsia="zh-CN"/>
        </w:rPr>
        <w:t>、油坊沟</w:t>
      </w:r>
      <w:r>
        <w:rPr>
          <w:rFonts w:hint="eastAsia" w:ascii="Times New Roman" w:hAnsi="Times New Roman" w:cs="Times New Roman"/>
          <w:color w:val="auto"/>
          <w:sz w:val="24"/>
          <w:szCs w:val="24"/>
          <w:highlight w:val="none"/>
          <w:lang w:eastAsia="zh-CN"/>
        </w:rPr>
        <w:t>执行《地表水环境质量标准》(GB3838-2002)中的Ⅲ类标准。地下水执行《地下水质量标准》(GB/T14848-2017)中的Ⅲ类标准。所在区域执行《声环境质量标准》(GB3096-2008)中的2类声环境功能区标准，项目所在区域环境功能区划见下表。</w:t>
      </w:r>
    </w:p>
    <w:p>
      <w:pPr>
        <w:numPr>
          <w:ilvl w:val="0"/>
          <w:numId w:val="5"/>
        </w:numPr>
        <w:tabs>
          <w:tab w:val="left" w:pos="0"/>
        </w:tabs>
        <w:ind w:left="425" w:leftChars="0" w:hanging="425" w:firstLineChars="0"/>
        <w:jc w:val="center"/>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本项目区域环境功能区划一览表</w:t>
      </w:r>
    </w:p>
    <w:tbl>
      <w:tblPr>
        <w:tblStyle w:val="91"/>
        <w:tblW w:w="4999"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2688"/>
        <w:gridCol w:w="3581"/>
        <w:gridCol w:w="225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577"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b/>
                <w:snapToGrid w:val="0"/>
                <w:color w:val="auto"/>
                <w:kern w:val="18"/>
                <w:highlight w:val="none"/>
                <w:lang w:eastAsia="zh-CN"/>
              </w:rPr>
            </w:pPr>
            <w:r>
              <w:rPr>
                <w:rFonts w:hint="eastAsia" w:ascii="Times New Roman" w:hAnsi="Times New Roman" w:cs="Times New Roman"/>
                <w:b/>
                <w:snapToGrid w:val="0"/>
                <w:color w:val="auto"/>
                <w:kern w:val="18"/>
                <w:highlight w:val="none"/>
                <w:lang w:eastAsia="zh-CN"/>
              </w:rPr>
              <w:t>环境要素</w:t>
            </w:r>
          </w:p>
        </w:tc>
        <w:tc>
          <w:tcPr>
            <w:tcW w:w="2101"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b/>
                <w:snapToGrid w:val="0"/>
                <w:color w:val="auto"/>
                <w:kern w:val="18"/>
                <w:highlight w:val="none"/>
                <w:lang w:eastAsia="zh-CN"/>
              </w:rPr>
            </w:pPr>
            <w:r>
              <w:rPr>
                <w:rFonts w:hint="eastAsia" w:ascii="Times New Roman" w:hAnsi="Times New Roman" w:cs="Times New Roman"/>
                <w:b/>
                <w:snapToGrid w:val="0"/>
                <w:color w:val="auto"/>
                <w:kern w:val="18"/>
                <w:highlight w:val="none"/>
                <w:lang w:eastAsia="zh-CN"/>
              </w:rPr>
              <w:t>区域范围</w:t>
            </w:r>
          </w:p>
        </w:tc>
        <w:tc>
          <w:tcPr>
            <w:tcW w:w="1320"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snapToGrid w:val="0"/>
                <w:color w:val="auto"/>
                <w:kern w:val="18"/>
                <w:highlight w:val="none"/>
              </w:rPr>
            </w:pPr>
            <w:r>
              <w:rPr>
                <w:rFonts w:hint="eastAsia" w:ascii="Times New Roman" w:hAnsi="Times New Roman" w:cs="Times New Roman"/>
                <w:b/>
                <w:snapToGrid w:val="0"/>
                <w:color w:val="auto"/>
                <w:kern w:val="18"/>
                <w:highlight w:val="none"/>
                <w:lang w:eastAsia="zh-CN"/>
              </w:rPr>
              <w:t>功能类别</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577"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大气环境</w:t>
            </w:r>
          </w:p>
        </w:tc>
        <w:tc>
          <w:tcPr>
            <w:tcW w:w="2101"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snapToGrid w:val="0"/>
                <w:color w:val="auto"/>
                <w:kern w:val="18"/>
                <w:highlight w:val="none"/>
                <w:vertAlign w:val="baseline"/>
                <w:lang w:eastAsia="zh-CN"/>
              </w:rPr>
            </w:pPr>
            <w:r>
              <w:rPr>
                <w:rFonts w:hint="eastAsia" w:ascii="Times New Roman" w:hAnsi="Times New Roman" w:cs="Times New Roman"/>
                <w:snapToGrid w:val="0"/>
                <w:color w:val="auto"/>
                <w:kern w:val="18"/>
                <w:highlight w:val="none"/>
                <w:vertAlign w:val="baseline"/>
                <w:lang w:eastAsia="zh-CN"/>
              </w:rPr>
              <w:t>项目所在地</w:t>
            </w:r>
          </w:p>
        </w:tc>
        <w:tc>
          <w:tcPr>
            <w:tcW w:w="1320"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snapToGrid w:val="0"/>
                <w:color w:val="auto"/>
                <w:kern w:val="18"/>
                <w:highlight w:val="none"/>
                <w:lang w:eastAsia="zh-CN"/>
              </w:rPr>
            </w:pPr>
            <w:r>
              <w:rPr>
                <w:rFonts w:hint="eastAsia" w:ascii="Times New Roman" w:hAnsi="Times New Roman" w:cs="Times New Roman"/>
                <w:snapToGrid w:val="0"/>
                <w:color w:val="auto"/>
                <w:kern w:val="18"/>
                <w:highlight w:val="none"/>
                <w:lang w:eastAsia="zh-CN"/>
              </w:rPr>
              <w:t>二类</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577"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地表水环境</w:t>
            </w:r>
          </w:p>
        </w:tc>
        <w:tc>
          <w:tcPr>
            <w:tcW w:w="210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420" w:firstLineChars="200"/>
              <w:jc w:val="center"/>
              <w:rPr>
                <w:rFonts w:hint="eastAsia" w:ascii="Times New Roman" w:hAnsi="Times New Roman" w:cs="Times New Roman" w:eastAsiaTheme="minorEastAsia"/>
                <w:snapToGrid w:val="0"/>
                <w:color w:val="auto"/>
                <w:highlight w:val="none"/>
                <w:lang w:eastAsia="zh-CN"/>
              </w:rPr>
            </w:pPr>
            <w:r>
              <w:rPr>
                <w:rFonts w:hint="eastAsia" w:ascii="Times New Roman" w:hAnsi="Times New Roman" w:cs="Times New Roman"/>
                <w:snapToGrid w:val="0"/>
                <w:color w:val="auto"/>
                <w:highlight w:val="none"/>
                <w:lang w:eastAsia="zh-CN"/>
              </w:rPr>
              <w:t>罗地沟水库、油坊沟</w:t>
            </w:r>
          </w:p>
        </w:tc>
        <w:tc>
          <w:tcPr>
            <w:tcW w:w="1320"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Ⅲ类</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11" w:hRule="atLeast"/>
          <w:jc w:val="center"/>
        </w:trPr>
        <w:tc>
          <w:tcPr>
            <w:tcW w:w="1577"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地下水环境</w:t>
            </w:r>
          </w:p>
        </w:tc>
        <w:tc>
          <w:tcPr>
            <w:tcW w:w="2101"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snapToGrid w:val="0"/>
                <w:color w:val="auto"/>
                <w:highlight w:val="none"/>
                <w:lang w:eastAsia="zh-CN"/>
              </w:rPr>
            </w:pPr>
            <w:r>
              <w:rPr>
                <w:rFonts w:hint="eastAsia" w:ascii="Times New Roman" w:hAnsi="Times New Roman" w:cs="Times New Roman" w:eastAsiaTheme="minorEastAsia"/>
                <w:snapToGrid w:val="0"/>
                <w:color w:val="auto"/>
                <w:highlight w:val="none"/>
                <w:lang w:eastAsia="zh-CN"/>
              </w:rPr>
              <w:t>项目厂区及周边</w:t>
            </w:r>
          </w:p>
        </w:tc>
        <w:tc>
          <w:tcPr>
            <w:tcW w:w="1320"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snapToGrid w:val="0"/>
                <w:color w:val="auto"/>
                <w:highlight w:val="none"/>
                <w:lang w:val="en-US" w:eastAsia="zh-CN"/>
              </w:rPr>
            </w:pPr>
            <w:r>
              <w:rPr>
                <w:rFonts w:hint="default" w:ascii="Times New Roman" w:hAnsi="Times New Roman" w:cs="Times New Roman"/>
                <w:snapToGrid w:val="0"/>
                <w:color w:val="auto"/>
                <w:kern w:val="18"/>
                <w:highlight w:val="none"/>
              </w:rPr>
              <w:t>Ⅲ类</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577"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auto"/>
                <w:kern w:val="18"/>
                <w:highlight w:val="none"/>
              </w:rPr>
            </w:pPr>
            <w:r>
              <w:rPr>
                <w:rFonts w:hint="default" w:ascii="Times New Roman" w:hAnsi="Times New Roman" w:cs="Times New Roman"/>
                <w:snapToGrid w:val="0"/>
                <w:color w:val="auto"/>
                <w:kern w:val="18"/>
                <w:highlight w:val="none"/>
              </w:rPr>
              <w:t>噪声</w:t>
            </w:r>
          </w:p>
        </w:tc>
        <w:tc>
          <w:tcPr>
            <w:tcW w:w="2101"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snapToGrid w:val="0"/>
                <w:color w:val="auto"/>
                <w:kern w:val="18"/>
                <w:highlight w:val="none"/>
                <w:lang w:eastAsia="zh-CN"/>
              </w:rPr>
            </w:pPr>
            <w:r>
              <w:rPr>
                <w:rFonts w:hint="eastAsia" w:ascii="Times New Roman" w:hAnsi="Times New Roman" w:cs="Times New Roman"/>
                <w:snapToGrid w:val="0"/>
                <w:color w:val="auto"/>
                <w:kern w:val="18"/>
                <w:highlight w:val="none"/>
                <w:lang w:eastAsia="zh-CN"/>
              </w:rPr>
              <w:t>项目所在区域</w:t>
            </w:r>
          </w:p>
        </w:tc>
        <w:tc>
          <w:tcPr>
            <w:tcW w:w="1320"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snapToGrid w:val="0"/>
                <w:color w:val="auto"/>
                <w:kern w:val="18"/>
                <w:highlight w:val="none"/>
                <w:lang w:val="en-US" w:eastAsia="zh-CN"/>
              </w:rPr>
            </w:pPr>
            <w:r>
              <w:rPr>
                <w:rFonts w:hint="eastAsia" w:ascii="Times New Roman" w:hAnsi="Times New Roman" w:cs="Times New Roman"/>
                <w:snapToGrid w:val="0"/>
                <w:color w:val="auto"/>
                <w:kern w:val="18"/>
                <w:highlight w:val="none"/>
                <w:lang w:val="en-US" w:eastAsia="zh-CN"/>
              </w:rPr>
              <w:t>2类</w:t>
            </w:r>
          </w:p>
        </w:tc>
      </w:tr>
    </w:tbl>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eastAsia="zh-CN"/>
        </w:rPr>
      </w:pPr>
      <w:bookmarkStart w:id="48" w:name="_Toc106"/>
      <w:r>
        <w:rPr>
          <w:rFonts w:hint="eastAsia" w:ascii="Times New Roman" w:hAnsi="Times New Roman" w:eastAsia="宋体" w:cs="Times New Roman"/>
          <w:color w:val="auto"/>
          <w:highlight w:val="none"/>
          <w:lang w:eastAsia="zh-CN"/>
        </w:rPr>
        <w:t>评价标准</w:t>
      </w:r>
      <w:bookmarkEnd w:id="48"/>
    </w:p>
    <w:p>
      <w:pPr>
        <w:pStyle w:val="158"/>
        <w:rPr>
          <w:color w:val="auto"/>
          <w:highlight w:val="none"/>
        </w:rPr>
      </w:pPr>
      <w:r>
        <w:rPr>
          <w:color w:val="auto"/>
          <w:highlight w:val="none"/>
        </w:rPr>
        <w:t>确定本项目环境质量评价标准和污染物排放标准如下：</w:t>
      </w:r>
    </w:p>
    <w:p>
      <w:pPr>
        <w:pStyle w:val="8"/>
        <w:spacing w:before="0" w:after="0" w:line="360" w:lineRule="auto"/>
        <w:ind w:left="0" w:firstLine="0"/>
        <w:rPr>
          <w:rFonts w:cs="Times New Roman"/>
          <w:color w:val="auto"/>
          <w:highlight w:val="none"/>
        </w:rPr>
      </w:pPr>
      <w:bookmarkStart w:id="49" w:name="_Toc11916"/>
      <w:r>
        <w:rPr>
          <w:rFonts w:cs="Times New Roman"/>
          <w:color w:val="auto"/>
          <w:highlight w:val="none"/>
        </w:rPr>
        <w:t>环境质量标准</w:t>
      </w:r>
      <w:bookmarkEnd w:id="49"/>
    </w:p>
    <w:p>
      <w:pPr>
        <w:pStyle w:val="158"/>
        <w:ind w:firstLine="480"/>
        <w:rPr>
          <w:color w:val="auto"/>
          <w:highlight w:val="none"/>
        </w:rPr>
      </w:pPr>
      <w:r>
        <w:rPr>
          <w:color w:val="auto"/>
          <w:highlight w:val="none"/>
        </w:rPr>
        <w:t>（1）环境空气</w:t>
      </w:r>
    </w:p>
    <w:p>
      <w:pPr>
        <w:autoSpaceDE w:val="0"/>
        <w:autoSpaceDN w:val="0"/>
        <w:adjustRightInd w:val="0"/>
        <w:ind w:firstLine="480" w:firstLineChars="200"/>
        <w:jc w:val="left"/>
        <w:rPr>
          <w:rFonts w:hint="eastAsia" w:ascii="宋体" w:hAnsi="宋体" w:eastAsia="宋体" w:cs="宋体"/>
          <w:b/>
          <w:bCs/>
          <w:color w:val="auto"/>
          <w:highlight w:val="none"/>
          <w:lang w:val="en-US" w:eastAsia="zh-CN"/>
        </w:rPr>
      </w:pPr>
      <w:r>
        <w:rPr>
          <w:rFonts w:hint="eastAsia" w:ascii="Times New Roman" w:hAnsi="Times New Roman" w:cs="Times New Roman"/>
          <w:color w:val="auto"/>
          <w:sz w:val="24"/>
          <w:szCs w:val="24"/>
          <w:highlight w:val="none"/>
          <w:lang w:eastAsia="zh-CN"/>
        </w:rPr>
        <w:t>本项</w:t>
      </w:r>
      <w:r>
        <w:rPr>
          <w:rFonts w:hint="eastAsia" w:ascii="Times New Roman" w:hAnsi="Times New Roman" w:cs="Times New Roman"/>
          <w:color w:val="auto"/>
          <w:sz w:val="24"/>
          <w:szCs w:val="24"/>
          <w:highlight w:val="none"/>
        </w:rPr>
        <w:t>目所在区域环境空气质量属二类功能区。项目评价区域内无自然保护区和风景名胜区，现状环境SO</w:t>
      </w:r>
      <w:r>
        <w:rPr>
          <w:rFonts w:hint="eastAsia" w:ascii="Times New Roman" w:hAnsi="Times New Roman" w:cs="Times New Roman"/>
          <w:color w:val="auto"/>
          <w:sz w:val="24"/>
          <w:szCs w:val="24"/>
          <w:highlight w:val="none"/>
          <w:vertAlign w:val="subscript"/>
        </w:rPr>
        <w:t>2</w:t>
      </w:r>
      <w:r>
        <w:rPr>
          <w:rFonts w:hint="eastAsia" w:ascii="Times New Roman" w:hAnsi="Times New Roman" w:cs="Times New Roman"/>
          <w:color w:val="auto"/>
          <w:sz w:val="24"/>
          <w:szCs w:val="24"/>
          <w:highlight w:val="none"/>
        </w:rPr>
        <w:t>、NO</w:t>
      </w:r>
      <w:r>
        <w:rPr>
          <w:rFonts w:hint="eastAsia" w:ascii="Times New Roman" w:hAnsi="Times New Roman" w:cs="Times New Roman"/>
          <w:color w:val="auto"/>
          <w:sz w:val="24"/>
          <w:szCs w:val="24"/>
          <w:highlight w:val="none"/>
          <w:vertAlign w:val="subscript"/>
        </w:rPr>
        <w:t>2</w:t>
      </w:r>
      <w:r>
        <w:rPr>
          <w:rFonts w:hint="eastAsia" w:ascii="Times New Roman" w:hAnsi="Times New Roman" w:cs="Times New Roman"/>
          <w:color w:val="auto"/>
          <w:sz w:val="24"/>
          <w:szCs w:val="24"/>
          <w:highlight w:val="none"/>
        </w:rPr>
        <w:t>、NOx、PM</w:t>
      </w:r>
      <w:r>
        <w:rPr>
          <w:rFonts w:hint="eastAsia" w:ascii="Times New Roman" w:hAnsi="Times New Roman" w:cs="Times New Roman"/>
          <w:color w:val="auto"/>
          <w:sz w:val="24"/>
          <w:szCs w:val="24"/>
          <w:highlight w:val="none"/>
          <w:vertAlign w:val="subscript"/>
        </w:rPr>
        <w:t>10</w:t>
      </w:r>
      <w:r>
        <w:rPr>
          <w:rFonts w:hint="eastAsia" w:ascii="Times New Roman" w:hAnsi="Times New Roman" w:cs="Times New Roman"/>
          <w:color w:val="auto"/>
          <w:sz w:val="24"/>
          <w:szCs w:val="24"/>
          <w:highlight w:val="none"/>
        </w:rPr>
        <w:t>、PM</w:t>
      </w:r>
      <w:r>
        <w:rPr>
          <w:rFonts w:hint="eastAsia" w:ascii="Times New Roman" w:hAnsi="Times New Roman" w:cs="Times New Roman"/>
          <w:color w:val="auto"/>
          <w:sz w:val="24"/>
          <w:szCs w:val="24"/>
          <w:highlight w:val="none"/>
          <w:vertAlign w:val="subscript"/>
        </w:rPr>
        <w:t>2.5</w:t>
      </w:r>
      <w:r>
        <w:rPr>
          <w:rFonts w:hint="eastAsia" w:ascii="Times New Roman" w:hAnsi="Times New Roman" w:cs="Times New Roman"/>
          <w:color w:val="auto"/>
          <w:sz w:val="24"/>
          <w:szCs w:val="24"/>
          <w:highlight w:val="none"/>
        </w:rPr>
        <w:t>、CO、O</w:t>
      </w:r>
      <w:r>
        <w:rPr>
          <w:rFonts w:hint="eastAsia" w:ascii="Times New Roman" w:hAnsi="Times New Roman" w:cs="Times New Roman"/>
          <w:color w:val="auto"/>
          <w:sz w:val="24"/>
          <w:szCs w:val="24"/>
          <w:highlight w:val="none"/>
          <w:vertAlign w:val="subscript"/>
        </w:rPr>
        <w:t>3</w:t>
      </w:r>
      <w:r>
        <w:rPr>
          <w:rFonts w:hint="eastAsia" w:ascii="Times New Roman" w:hAnsi="Times New Roman" w:cs="Times New Roman"/>
          <w:color w:val="auto"/>
          <w:sz w:val="24"/>
          <w:szCs w:val="24"/>
          <w:highlight w:val="none"/>
        </w:rPr>
        <w:t>、TSP执行《环境空气质量标准》(GB3095-2012)中二级标准；氨、硫化氢执行《环境影响评价技术导则大气环境》（HJ2.2-2018）中附录D表D.1其他污染物空气质量浓度参考限值</w:t>
      </w:r>
      <w:r>
        <w:rPr>
          <w:rFonts w:hint="eastAsia" w:ascii="Times New Roman" w:hAnsi="Times New Roman" w:cs="Times New Roman"/>
          <w:color w:val="auto"/>
          <w:sz w:val="24"/>
          <w:szCs w:val="24"/>
          <w:highlight w:val="none"/>
          <w:lang w:eastAsia="zh-CN"/>
        </w:rPr>
        <w:t>；臭气浓度参照《恶臭污染物排放标准》(GB14554-93)新改扩建项目厂界二级标准限值。</w:t>
      </w:r>
      <w:r>
        <w:rPr>
          <w:rFonts w:ascii="Times New Roman" w:hAnsi="Times New Roman" w:cs="Times New Roman"/>
          <w:color w:val="auto"/>
          <w:sz w:val="24"/>
          <w:szCs w:val="24"/>
          <w:highlight w:val="none"/>
        </w:rPr>
        <w:t>其具体标准限值见下表所示。</w:t>
      </w:r>
    </w:p>
    <w:p>
      <w:pPr>
        <w:numPr>
          <w:ilvl w:val="0"/>
          <w:numId w:val="6"/>
        </w:numPr>
        <w:tabs>
          <w:tab w:val="left" w:pos="0"/>
        </w:tabs>
        <w:ind w:left="425" w:leftChars="0" w:hanging="425" w:firstLineChars="0"/>
        <w:jc w:val="center"/>
        <w:rPr>
          <w:rFonts w:hint="default" w:ascii="Times New Roman" w:hAnsi="Times New Roman" w:cs="Times New Roman"/>
          <w:b/>
          <w:bCs/>
          <w:color w:val="auto"/>
          <w:highlight w:val="none"/>
        </w:rPr>
      </w:pPr>
      <w:r>
        <w:rPr>
          <w:rFonts w:hint="default" w:ascii="Times New Roman" w:hAnsi="Times New Roman" w:eastAsia="宋体" w:cs="Times New Roman"/>
          <w:b/>
          <w:bCs/>
          <w:color w:val="auto"/>
          <w:highlight w:val="none"/>
          <w:lang w:val="en-US" w:eastAsia="zh-CN"/>
        </w:rPr>
        <w:t>环境</w:t>
      </w:r>
      <w:r>
        <w:rPr>
          <w:rFonts w:hint="default" w:ascii="Times New Roman" w:hAnsi="Times New Roman" w:cs="Times New Roman"/>
          <w:b/>
          <w:bCs/>
          <w:color w:val="auto"/>
          <w:highlight w:val="none"/>
        </w:rPr>
        <w:t>空气质量标准  单位：mg/m</w:t>
      </w:r>
      <w:r>
        <w:rPr>
          <w:rFonts w:hint="default" w:ascii="Times New Roman" w:hAnsi="Times New Roman" w:cs="Times New Roman"/>
          <w:b/>
          <w:bCs/>
          <w:color w:val="auto"/>
          <w:highlight w:val="none"/>
          <w:vertAlign w:val="superscript"/>
        </w:rPr>
        <w:t>3</w:t>
      </w:r>
    </w:p>
    <w:tbl>
      <w:tblPr>
        <w:tblStyle w:val="91"/>
        <w:tblW w:w="0" w:type="auto"/>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2308"/>
        <w:gridCol w:w="1886"/>
        <w:gridCol w:w="822"/>
        <w:gridCol w:w="822"/>
        <w:gridCol w:w="822"/>
        <w:gridCol w:w="822"/>
        <w:gridCol w:w="824"/>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vMerge w:val="restart"/>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rPr>
            </w:pPr>
            <w:r>
              <w:rPr>
                <w:rFonts w:hint="default" w:ascii="Times New Roman" w:hAnsi="Times New Roman" w:cs="Times New Roman"/>
                <w:b/>
                <w:bCs/>
                <w:color w:val="auto"/>
                <w:sz w:val="21"/>
                <w:highlight w:val="none"/>
              </w:rPr>
              <w:t>评价标准</w:t>
            </w:r>
          </w:p>
        </w:tc>
        <w:tc>
          <w:tcPr>
            <w:tcW w:w="1886" w:type="dxa"/>
            <w:vMerge w:val="restart"/>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rPr>
            </w:pPr>
            <w:r>
              <w:rPr>
                <w:rFonts w:hint="default" w:ascii="Times New Roman" w:hAnsi="Times New Roman" w:cs="Times New Roman"/>
                <w:b/>
                <w:bCs/>
                <w:color w:val="auto"/>
                <w:sz w:val="21"/>
                <w:highlight w:val="none"/>
              </w:rPr>
              <w:t>污染物名称</w:t>
            </w:r>
          </w:p>
        </w:tc>
        <w:tc>
          <w:tcPr>
            <w:tcW w:w="4112" w:type="dxa"/>
            <w:gridSpan w:val="5"/>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1"/>
                <w:highlight w:val="none"/>
              </w:rPr>
            </w:pPr>
            <w:r>
              <w:rPr>
                <w:rFonts w:hint="default" w:ascii="Times New Roman" w:hAnsi="Times New Roman" w:cs="Times New Roman"/>
                <w:b/>
                <w:bCs/>
                <w:color w:val="auto"/>
                <w:sz w:val="21"/>
                <w:highlight w:val="none"/>
              </w:rPr>
              <w:t>浓度限值</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886"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highlight w:val="none"/>
                <w:lang w:eastAsia="zh-CN"/>
              </w:rPr>
            </w:pPr>
            <w:r>
              <w:rPr>
                <w:rFonts w:hint="default" w:ascii="Times New Roman" w:hAnsi="Times New Roman" w:cs="Times New Roman"/>
                <w:b/>
                <w:bCs/>
                <w:color w:val="auto"/>
                <w:sz w:val="21"/>
                <w:highlight w:val="none"/>
              </w:rPr>
              <w:t>1小时平均</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1"/>
                <w:highlight w:val="none"/>
              </w:rPr>
            </w:pPr>
            <w:r>
              <w:rPr>
                <w:rFonts w:hint="eastAsia" w:ascii="Times New Roman" w:hAnsi="Times New Roman" w:cs="Times New Roman"/>
                <w:b/>
                <w:color w:val="auto"/>
                <w:sz w:val="21"/>
                <w:highlight w:val="none"/>
                <w:lang w:eastAsia="zh-CN"/>
              </w:rPr>
              <w:t>日最大</w:t>
            </w:r>
            <w:r>
              <w:rPr>
                <w:rFonts w:hint="default" w:ascii="Times New Roman" w:hAnsi="Times New Roman" w:cs="Times New Roman"/>
                <w:b/>
                <w:color w:val="auto"/>
                <w:sz w:val="21"/>
                <w:highlight w:val="none"/>
                <w:lang w:eastAsia="zh-CN"/>
              </w:rPr>
              <w:t>8小时</w:t>
            </w:r>
            <w:r>
              <w:rPr>
                <w:rFonts w:hint="eastAsia" w:ascii="Times New Roman" w:hAnsi="Times New Roman" w:cs="Times New Roman"/>
                <w:b/>
                <w:color w:val="auto"/>
                <w:sz w:val="21"/>
                <w:highlight w:val="none"/>
                <w:lang w:eastAsia="zh-CN"/>
              </w:rPr>
              <w:t>平均</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1"/>
                <w:highlight w:val="none"/>
                <w:lang w:eastAsia="zh-CN"/>
              </w:rPr>
            </w:pPr>
            <w:r>
              <w:rPr>
                <w:rFonts w:hint="default" w:ascii="Times New Roman" w:hAnsi="Times New Roman" w:cs="Times New Roman"/>
                <w:b/>
                <w:bCs/>
                <w:color w:val="auto"/>
                <w:sz w:val="21"/>
                <w:highlight w:val="none"/>
              </w:rPr>
              <w:t>日平均</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1"/>
                <w:highlight w:val="none"/>
                <w:lang w:eastAsia="zh-CN"/>
              </w:rPr>
            </w:pPr>
            <w:r>
              <w:rPr>
                <w:rFonts w:hint="default" w:ascii="Times New Roman" w:hAnsi="Times New Roman" w:cs="Times New Roman"/>
                <w:b/>
                <w:bCs/>
                <w:color w:val="auto"/>
                <w:sz w:val="21"/>
                <w:highlight w:val="none"/>
              </w:rPr>
              <w:t>年均</w:t>
            </w:r>
          </w:p>
        </w:tc>
        <w:tc>
          <w:tcPr>
            <w:tcW w:w="824"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sz w:val="21"/>
                <w:highlight w:val="none"/>
                <w:lang w:eastAsia="zh-CN"/>
              </w:rPr>
            </w:pPr>
            <w:r>
              <w:rPr>
                <w:rFonts w:hint="eastAsia" w:ascii="Times New Roman" w:hAnsi="Times New Roman" w:cs="Times New Roman"/>
                <w:b/>
                <w:bCs/>
                <w:color w:val="auto"/>
                <w:sz w:val="21"/>
                <w:highlight w:val="none"/>
                <w:lang w:eastAsia="zh-CN"/>
              </w:rPr>
              <w:t>其他</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vMerge w:val="restart"/>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rPr>
              <w:t>GB3095-</w:t>
            </w:r>
            <w:r>
              <w:rPr>
                <w:rFonts w:hint="default" w:ascii="Times New Roman" w:hAnsi="Times New Roman" w:cs="Times New Roman"/>
                <w:color w:val="auto"/>
                <w:sz w:val="21"/>
                <w:highlight w:val="none"/>
                <w:lang w:eastAsia="zh-CN"/>
              </w:rPr>
              <w:t>2012</w:t>
            </w:r>
          </w:p>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rPr>
              <w:t>二级标准</w:t>
            </w:r>
          </w:p>
        </w:tc>
        <w:tc>
          <w:tcPr>
            <w:tcW w:w="1886"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SO</w:t>
            </w:r>
            <w:r>
              <w:rPr>
                <w:rFonts w:hint="default" w:ascii="Times New Roman" w:hAnsi="Times New Roman" w:cs="Times New Roman"/>
                <w:color w:val="auto"/>
                <w:sz w:val="21"/>
                <w:highlight w:val="none"/>
                <w:vertAlign w:val="subscript"/>
              </w:rPr>
              <w:t>2</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0.50</w:t>
            </w:r>
          </w:p>
        </w:tc>
        <w:tc>
          <w:tcPr>
            <w:tcW w:w="822"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0.15</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0.06</w:t>
            </w:r>
          </w:p>
        </w:tc>
        <w:tc>
          <w:tcPr>
            <w:tcW w:w="824"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886"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NO</w:t>
            </w:r>
            <w:r>
              <w:rPr>
                <w:rFonts w:hint="default" w:ascii="Times New Roman" w:hAnsi="Times New Roman" w:cs="Times New Roman"/>
                <w:color w:val="auto"/>
                <w:sz w:val="21"/>
                <w:highlight w:val="none"/>
                <w:vertAlign w:val="subscript"/>
              </w:rPr>
              <w:t>2</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0.20</w:t>
            </w:r>
          </w:p>
        </w:tc>
        <w:tc>
          <w:tcPr>
            <w:tcW w:w="822"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eastAsia="zh-CN"/>
              </w:rPr>
              <w:t>0.0</w:t>
            </w:r>
            <w:r>
              <w:rPr>
                <w:rFonts w:hint="eastAsia" w:ascii="Times New Roman" w:hAnsi="Times New Roman" w:cs="Times New Roman"/>
                <w:color w:val="auto"/>
                <w:sz w:val="21"/>
                <w:highlight w:val="none"/>
                <w:lang w:val="en-US" w:eastAsia="zh-CN"/>
              </w:rPr>
              <w:t>8</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0.04</w:t>
            </w:r>
          </w:p>
        </w:tc>
        <w:tc>
          <w:tcPr>
            <w:tcW w:w="824"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886"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PM</w:t>
            </w:r>
            <w:r>
              <w:rPr>
                <w:rFonts w:hint="default" w:ascii="Times New Roman" w:hAnsi="Times New Roman" w:cs="Times New Roman"/>
                <w:color w:val="auto"/>
                <w:sz w:val="21"/>
                <w:highlight w:val="none"/>
                <w:vertAlign w:val="subscript"/>
              </w:rPr>
              <w:t>10</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2"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0.15</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0.07</w:t>
            </w:r>
          </w:p>
        </w:tc>
        <w:tc>
          <w:tcPr>
            <w:tcW w:w="824"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886"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rPr>
              <w:t>PM</w:t>
            </w:r>
            <w:r>
              <w:rPr>
                <w:rFonts w:hint="default" w:ascii="Times New Roman" w:hAnsi="Times New Roman" w:cs="Times New Roman"/>
                <w:color w:val="auto"/>
                <w:sz w:val="21"/>
                <w:highlight w:val="none"/>
                <w:vertAlign w:val="subscript"/>
                <w:lang w:eastAsia="zh-CN"/>
              </w:rPr>
              <w:t>2.5</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2"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0.075</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0.035</w:t>
            </w:r>
          </w:p>
        </w:tc>
        <w:tc>
          <w:tcPr>
            <w:tcW w:w="824"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886"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eastAsia" w:ascii="Times New Roman" w:hAnsi="Times New Roman" w:cs="Times New Roman"/>
                <w:color w:val="auto"/>
                <w:sz w:val="21"/>
                <w:highlight w:val="none"/>
                <w:lang w:eastAsia="zh-CN"/>
              </w:rPr>
              <w:t>CO</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10</w:t>
            </w:r>
          </w:p>
        </w:tc>
        <w:tc>
          <w:tcPr>
            <w:tcW w:w="822"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4</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4"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886"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eastAsia" w:ascii="Times New Roman" w:hAnsi="Times New Roman" w:cs="Times New Roman"/>
                <w:color w:val="auto"/>
                <w:sz w:val="21"/>
                <w:highlight w:val="none"/>
                <w:lang w:eastAsia="zh-CN"/>
              </w:rPr>
              <w:t>O</w:t>
            </w:r>
            <w:r>
              <w:rPr>
                <w:rFonts w:hint="eastAsia" w:ascii="Times New Roman" w:hAnsi="Times New Roman" w:cs="Times New Roman"/>
                <w:color w:val="auto"/>
                <w:sz w:val="21"/>
                <w:highlight w:val="none"/>
                <w:vertAlign w:val="subscript"/>
                <w:lang w:eastAsia="zh-CN"/>
              </w:rPr>
              <w:t>3</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0.2</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0.16</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4"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886"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TSP</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eastAsia="zh-CN"/>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0.3</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0.2</w:t>
            </w:r>
          </w:p>
        </w:tc>
        <w:tc>
          <w:tcPr>
            <w:tcW w:w="824"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eastAsia" w:ascii="Times New Roman" w:hAnsi="Times New Roman" w:cs="Times New Roman"/>
                <w:color w:val="auto"/>
                <w:sz w:val="21"/>
                <w:highlight w:val="none"/>
                <w:lang w:val="en-US" w:eastAsia="zh-CN"/>
              </w:rPr>
            </w:pPr>
            <w:r>
              <w:rPr>
                <w:rFonts w:hint="default" w:ascii="Times New Roman" w:hAnsi="Times New Roman" w:eastAsia="宋体" w:cs="Times New Roman"/>
                <w:color w:val="auto"/>
                <w:kern w:val="0"/>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HJ2.2-2018</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附录D</w:t>
            </w:r>
          </w:p>
        </w:tc>
        <w:tc>
          <w:tcPr>
            <w:tcW w:w="1886"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eastAsia" w:ascii="Times New Roman" w:hAnsi="Times New Roman" w:cs="Times New Roman"/>
                <w:color w:val="auto"/>
                <w:sz w:val="21"/>
                <w:highlight w:val="none"/>
                <w:lang w:eastAsia="zh-CN"/>
              </w:rPr>
              <w:t>NH</w:t>
            </w:r>
            <w:r>
              <w:rPr>
                <w:rFonts w:hint="eastAsia" w:ascii="Times New Roman" w:hAnsi="Times New Roman" w:cs="Times New Roman"/>
                <w:color w:val="auto"/>
                <w:sz w:val="21"/>
                <w:highlight w:val="none"/>
                <w:vertAlign w:val="subscript"/>
                <w:lang w:eastAsia="zh-CN"/>
              </w:rPr>
              <w:t>3</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eastAsia" w:ascii="Times New Roman" w:hAnsi="Times New Roman" w:cs="Times New Roman"/>
                <w:color w:val="auto"/>
                <w:sz w:val="21"/>
                <w:highlight w:val="none"/>
                <w:lang w:eastAsia="zh-CN"/>
              </w:rPr>
              <w:t>0.2</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4"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886"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eastAsia" w:ascii="Times New Roman" w:hAnsi="Times New Roman" w:cs="Times New Roman"/>
                <w:color w:val="auto"/>
                <w:sz w:val="21"/>
                <w:highlight w:val="none"/>
                <w:lang w:eastAsia="zh-CN"/>
              </w:rPr>
              <w:t>H</w:t>
            </w:r>
            <w:r>
              <w:rPr>
                <w:rFonts w:hint="eastAsia" w:ascii="Times New Roman" w:hAnsi="Times New Roman" w:cs="Times New Roman"/>
                <w:color w:val="auto"/>
                <w:sz w:val="21"/>
                <w:highlight w:val="none"/>
                <w:vertAlign w:val="subscript"/>
                <w:lang w:eastAsia="zh-CN"/>
              </w:rPr>
              <w:t>2</w:t>
            </w:r>
            <w:r>
              <w:rPr>
                <w:rFonts w:hint="eastAsia" w:ascii="Times New Roman" w:hAnsi="Times New Roman" w:cs="Times New Roman"/>
                <w:color w:val="auto"/>
                <w:sz w:val="21"/>
                <w:highlight w:val="none"/>
                <w:lang w:eastAsia="zh-CN"/>
              </w:rPr>
              <w:t>S</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eastAsia" w:ascii="Times New Roman" w:hAnsi="Times New Roman" w:cs="Times New Roman"/>
                <w:color w:val="auto"/>
                <w:sz w:val="21"/>
                <w:highlight w:val="none"/>
                <w:lang w:eastAsia="zh-CN"/>
              </w:rPr>
              <w:t>0.01</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2"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eastAsia="zh-CN"/>
              </w:rPr>
              <w:t>—</w:t>
            </w:r>
          </w:p>
        </w:tc>
        <w:tc>
          <w:tcPr>
            <w:tcW w:w="824"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08"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《恶臭污染物排放标准》(GB14554-1993</w:t>
            </w:r>
          </w:p>
        </w:tc>
        <w:tc>
          <w:tcPr>
            <w:tcW w:w="1886"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臭气浓度（无量纲）</w:t>
            </w:r>
          </w:p>
        </w:tc>
        <w:tc>
          <w:tcPr>
            <w:tcW w:w="822"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eastAsia"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c>
          <w:tcPr>
            <w:tcW w:w="822"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c>
          <w:tcPr>
            <w:tcW w:w="822"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c>
          <w:tcPr>
            <w:tcW w:w="822"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21"/>
                <w:highlight w:val="none"/>
                <w:lang w:eastAsia="zh-CN"/>
              </w:rPr>
            </w:pPr>
            <w:r>
              <w:rPr>
                <w:rFonts w:hint="default" w:ascii="Times New Roman" w:hAnsi="Times New Roman" w:eastAsia="宋体" w:cs="Times New Roman"/>
                <w:color w:val="auto"/>
                <w:kern w:val="0"/>
                <w:highlight w:val="none"/>
              </w:rPr>
              <w:t>—</w:t>
            </w:r>
          </w:p>
        </w:tc>
        <w:tc>
          <w:tcPr>
            <w:tcW w:w="824" w:type="dxa"/>
            <w:tcBorders>
              <w:tl2br w:val="nil"/>
              <w:tr2bl w:val="nil"/>
            </w:tcBorders>
            <w:vAlign w:val="center"/>
          </w:tcPr>
          <w:p>
            <w:pPr>
              <w:pStyle w:val="1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20</w:t>
            </w:r>
          </w:p>
        </w:tc>
      </w:tr>
    </w:tbl>
    <w:p>
      <w:pPr>
        <w:pStyle w:val="158"/>
        <w:ind w:firstLine="480"/>
        <w:rPr>
          <w:color w:val="auto"/>
          <w:highlight w:val="none"/>
        </w:rPr>
      </w:pPr>
      <w:r>
        <w:rPr>
          <w:color w:val="auto"/>
          <w:highlight w:val="none"/>
        </w:rPr>
        <w:t>（2）地表水</w:t>
      </w:r>
    </w:p>
    <w:p>
      <w:pPr>
        <w:pStyle w:val="158"/>
        <w:ind w:firstLine="480"/>
        <w:rPr>
          <w:rFonts w:hint="eastAsia"/>
          <w:color w:val="auto"/>
          <w:highlight w:val="none"/>
          <w:lang w:val="en-US" w:eastAsia="zh-CN"/>
        </w:rPr>
      </w:pPr>
      <w:r>
        <w:rPr>
          <w:rFonts w:hint="eastAsia"/>
          <w:color w:val="auto"/>
          <w:highlight w:val="none"/>
        </w:rPr>
        <w:t>区域主要河流为</w:t>
      </w:r>
      <w:r>
        <w:rPr>
          <w:rFonts w:hint="eastAsia"/>
          <w:color w:val="auto"/>
          <w:highlight w:val="none"/>
          <w:lang w:eastAsia="zh-CN"/>
        </w:rPr>
        <w:t>罗地沟</w:t>
      </w:r>
      <w:r>
        <w:rPr>
          <w:rFonts w:hint="eastAsia"/>
          <w:color w:val="auto"/>
          <w:highlight w:val="none"/>
        </w:rPr>
        <w:t>水库</w:t>
      </w:r>
      <w:r>
        <w:rPr>
          <w:rFonts w:hint="eastAsia"/>
          <w:color w:val="auto"/>
          <w:highlight w:val="none"/>
          <w:lang w:eastAsia="zh-CN"/>
        </w:rPr>
        <w:t>、油坊沟，</w:t>
      </w:r>
      <w:r>
        <w:rPr>
          <w:color w:val="auto"/>
          <w:highlight w:val="none"/>
        </w:rPr>
        <w:t>地表水</w:t>
      </w:r>
      <w:r>
        <w:rPr>
          <w:rFonts w:hint="eastAsia"/>
          <w:color w:val="auto"/>
          <w:highlight w:val="none"/>
          <w:lang w:eastAsia="zh-CN"/>
        </w:rPr>
        <w:t>无功能区划，现场勘查为水产养殖，本次环评地表水参考</w:t>
      </w:r>
      <w:r>
        <w:rPr>
          <w:color w:val="auto"/>
          <w:highlight w:val="none"/>
        </w:rPr>
        <w:t>执行《地表水环境质量标准》（GB3838-2002）中的</w:t>
      </w:r>
      <w:r>
        <w:rPr>
          <w:rFonts w:hint="eastAsia"/>
          <w:color w:val="auto"/>
          <w:highlight w:val="none"/>
        </w:rPr>
        <w:t>Ⅲ</w:t>
      </w:r>
      <w:r>
        <w:rPr>
          <w:color w:val="auto"/>
          <w:highlight w:val="none"/>
        </w:rPr>
        <w:t>类水域标准，具体标准值见下表</w:t>
      </w:r>
      <w:r>
        <w:rPr>
          <w:color w:val="auto"/>
          <w:highlight w:val="none"/>
        </w:rPr>
        <w:t>。</w:t>
      </w:r>
    </w:p>
    <w:p>
      <w:pPr>
        <w:numPr>
          <w:ilvl w:val="0"/>
          <w:numId w:val="6"/>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 xml:space="preserve">  地表水环境质量标准（GB3838-2002）（摘录）单位：mg/L（pH无量纲）</w:t>
      </w:r>
    </w:p>
    <w:tbl>
      <w:tblPr>
        <w:tblStyle w:val="91"/>
        <w:tblW w:w="5000" w:type="pct"/>
        <w:tblInd w:w="0" w:type="dxa"/>
        <w:tblLayout w:type="fixed"/>
        <w:tblCellMar>
          <w:top w:w="0" w:type="dxa"/>
          <w:left w:w="108" w:type="dxa"/>
          <w:bottom w:w="0" w:type="dxa"/>
          <w:right w:w="108" w:type="dxa"/>
        </w:tblCellMar>
      </w:tblPr>
      <w:tblGrid>
        <w:gridCol w:w="1327"/>
        <w:gridCol w:w="3848"/>
        <w:gridCol w:w="3347"/>
      </w:tblGrid>
      <w:tr>
        <w:tblPrEx>
          <w:tblCellMar>
            <w:top w:w="0" w:type="dxa"/>
            <w:left w:w="108" w:type="dxa"/>
            <w:bottom w:w="0" w:type="dxa"/>
            <w:right w:w="108" w:type="dxa"/>
          </w:tblCellMar>
        </w:tblPrEx>
        <w:trPr>
          <w:trHeight w:val="288" w:hRule="exact"/>
        </w:trPr>
        <w:tc>
          <w:tcPr>
            <w:tcW w:w="779" w:type="pct"/>
            <w:vMerge w:val="restart"/>
            <w:tcBorders>
              <w:top w:val="single" w:color="auto" w:sz="12" w:space="0"/>
              <w:left w:val="nil"/>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序号</w:t>
            </w:r>
          </w:p>
        </w:tc>
        <w:tc>
          <w:tcPr>
            <w:tcW w:w="2257" w:type="pct"/>
            <w:vMerge w:val="restart"/>
            <w:tcBorders>
              <w:top w:val="single" w:color="auto" w:sz="12"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评价因子</w:t>
            </w:r>
          </w:p>
        </w:tc>
        <w:tc>
          <w:tcPr>
            <w:tcW w:w="1964" w:type="pct"/>
            <w:tcBorders>
              <w:top w:val="single" w:color="auto" w:sz="12" w:space="0"/>
              <w:left w:val="single" w:color="auto" w:sz="8" w:space="0"/>
              <w:bottom w:val="single" w:color="auto" w:sz="8" w:space="0"/>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分类标准</w:t>
            </w:r>
          </w:p>
        </w:tc>
      </w:tr>
      <w:tr>
        <w:tblPrEx>
          <w:tblCellMar>
            <w:top w:w="0" w:type="dxa"/>
            <w:left w:w="108" w:type="dxa"/>
            <w:bottom w:w="0" w:type="dxa"/>
            <w:right w:w="108" w:type="dxa"/>
          </w:tblCellMar>
        </w:tblPrEx>
        <w:trPr>
          <w:trHeight w:val="287" w:hRule="exact"/>
        </w:trPr>
        <w:tc>
          <w:tcPr>
            <w:tcW w:w="779" w:type="pct"/>
            <w:vMerge w:val="continue"/>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p>
        </w:tc>
        <w:tc>
          <w:tcPr>
            <w:tcW w:w="2257" w:type="pct"/>
            <w:vMerge w:val="continue"/>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p>
        </w:tc>
        <w:tc>
          <w:tcPr>
            <w:tcW w:w="1964" w:type="pct"/>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Ⅲ类</w:t>
            </w:r>
          </w:p>
        </w:tc>
      </w:tr>
      <w:tr>
        <w:tblPrEx>
          <w:tblCellMar>
            <w:top w:w="0" w:type="dxa"/>
            <w:left w:w="108" w:type="dxa"/>
            <w:bottom w:w="0" w:type="dxa"/>
            <w:right w:w="108" w:type="dxa"/>
          </w:tblCellMar>
        </w:tblPrEx>
        <w:trPr>
          <w:trHeight w:val="287" w:hRule="exact"/>
        </w:trPr>
        <w:tc>
          <w:tcPr>
            <w:tcW w:w="779" w:type="pct"/>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1</w:t>
            </w:r>
          </w:p>
        </w:tc>
        <w:tc>
          <w:tcPr>
            <w:tcW w:w="2257"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pH(无量纲)</w:t>
            </w:r>
          </w:p>
        </w:tc>
        <w:tc>
          <w:tcPr>
            <w:tcW w:w="1964" w:type="pct"/>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6～9</w:t>
            </w:r>
          </w:p>
        </w:tc>
      </w:tr>
      <w:tr>
        <w:tblPrEx>
          <w:tblCellMar>
            <w:top w:w="0" w:type="dxa"/>
            <w:left w:w="108" w:type="dxa"/>
            <w:bottom w:w="0" w:type="dxa"/>
            <w:right w:w="108" w:type="dxa"/>
          </w:tblCellMar>
        </w:tblPrEx>
        <w:trPr>
          <w:trHeight w:val="257" w:hRule="exact"/>
        </w:trPr>
        <w:tc>
          <w:tcPr>
            <w:tcW w:w="779" w:type="pct"/>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2</w:t>
            </w:r>
          </w:p>
        </w:tc>
        <w:tc>
          <w:tcPr>
            <w:tcW w:w="2257"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COD(mg/L)≤</w:t>
            </w:r>
          </w:p>
        </w:tc>
        <w:tc>
          <w:tcPr>
            <w:tcW w:w="1964" w:type="pct"/>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20</w:t>
            </w:r>
          </w:p>
        </w:tc>
      </w:tr>
      <w:tr>
        <w:tblPrEx>
          <w:tblCellMar>
            <w:top w:w="0" w:type="dxa"/>
            <w:left w:w="108" w:type="dxa"/>
            <w:bottom w:w="0" w:type="dxa"/>
            <w:right w:w="108" w:type="dxa"/>
          </w:tblCellMar>
        </w:tblPrEx>
        <w:trPr>
          <w:trHeight w:val="287" w:hRule="exact"/>
        </w:trPr>
        <w:tc>
          <w:tcPr>
            <w:tcW w:w="779" w:type="pct"/>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3</w:t>
            </w:r>
          </w:p>
        </w:tc>
        <w:tc>
          <w:tcPr>
            <w:tcW w:w="2257"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总磷(mg/L)≤</w:t>
            </w:r>
          </w:p>
        </w:tc>
        <w:tc>
          <w:tcPr>
            <w:tcW w:w="1964" w:type="pct"/>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0.2（湖、库0.05）</w:t>
            </w:r>
          </w:p>
        </w:tc>
      </w:tr>
      <w:tr>
        <w:tblPrEx>
          <w:tblCellMar>
            <w:top w:w="0" w:type="dxa"/>
            <w:left w:w="108" w:type="dxa"/>
            <w:bottom w:w="0" w:type="dxa"/>
            <w:right w:w="108" w:type="dxa"/>
          </w:tblCellMar>
        </w:tblPrEx>
        <w:trPr>
          <w:trHeight w:val="288" w:hRule="exact"/>
        </w:trPr>
        <w:tc>
          <w:tcPr>
            <w:tcW w:w="779" w:type="pct"/>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4</w:t>
            </w:r>
          </w:p>
        </w:tc>
        <w:tc>
          <w:tcPr>
            <w:tcW w:w="2257"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氨氮(mg/L)≤</w:t>
            </w:r>
          </w:p>
        </w:tc>
        <w:tc>
          <w:tcPr>
            <w:tcW w:w="1964" w:type="pct"/>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1.0</w:t>
            </w:r>
          </w:p>
        </w:tc>
      </w:tr>
      <w:tr>
        <w:tblPrEx>
          <w:tblCellMar>
            <w:top w:w="0" w:type="dxa"/>
            <w:left w:w="108" w:type="dxa"/>
            <w:bottom w:w="0" w:type="dxa"/>
            <w:right w:w="108" w:type="dxa"/>
          </w:tblCellMar>
        </w:tblPrEx>
        <w:trPr>
          <w:trHeight w:val="287" w:hRule="exact"/>
        </w:trPr>
        <w:tc>
          <w:tcPr>
            <w:tcW w:w="779" w:type="pct"/>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5</w:t>
            </w:r>
          </w:p>
        </w:tc>
        <w:tc>
          <w:tcPr>
            <w:tcW w:w="2257"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总氮(mg/L)≤</w:t>
            </w:r>
          </w:p>
        </w:tc>
        <w:tc>
          <w:tcPr>
            <w:tcW w:w="1964" w:type="pct"/>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rPr>
              <w:t>1.0</w:t>
            </w:r>
            <w:r>
              <w:rPr>
                <w:rFonts w:hint="eastAsia" w:ascii="Times New Roman" w:hAnsi="Times New Roman" w:cs="Times New Roman"/>
                <w:color w:val="auto"/>
                <w:highlight w:val="none"/>
                <w:lang w:eastAsia="zh-CN"/>
              </w:rPr>
              <w:t>（湖、库）</w:t>
            </w:r>
          </w:p>
        </w:tc>
      </w:tr>
      <w:tr>
        <w:tblPrEx>
          <w:tblCellMar>
            <w:top w:w="0" w:type="dxa"/>
            <w:left w:w="108" w:type="dxa"/>
            <w:bottom w:w="0" w:type="dxa"/>
            <w:right w:w="108" w:type="dxa"/>
          </w:tblCellMar>
        </w:tblPrEx>
        <w:trPr>
          <w:trHeight w:val="256" w:hRule="exact"/>
        </w:trPr>
        <w:tc>
          <w:tcPr>
            <w:tcW w:w="779" w:type="pct"/>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6</w:t>
            </w:r>
          </w:p>
        </w:tc>
        <w:tc>
          <w:tcPr>
            <w:tcW w:w="2257"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BOD</w:t>
            </w:r>
            <w:r>
              <w:rPr>
                <w:rFonts w:hint="eastAsia" w:ascii="Times New Roman" w:hAnsi="Times New Roman" w:cs="Times New Roman"/>
                <w:color w:val="auto"/>
                <w:highlight w:val="none"/>
                <w:vertAlign w:val="subscript"/>
              </w:rPr>
              <w:t>5</w:t>
            </w:r>
            <w:r>
              <w:rPr>
                <w:rFonts w:hint="eastAsia" w:ascii="Times New Roman" w:hAnsi="Times New Roman" w:cs="Times New Roman"/>
                <w:color w:val="auto"/>
                <w:highlight w:val="none"/>
              </w:rPr>
              <w:t>(mg/L)≤</w:t>
            </w:r>
          </w:p>
        </w:tc>
        <w:tc>
          <w:tcPr>
            <w:tcW w:w="1964" w:type="pct"/>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4</w:t>
            </w:r>
          </w:p>
        </w:tc>
      </w:tr>
      <w:tr>
        <w:tblPrEx>
          <w:tblCellMar>
            <w:top w:w="0" w:type="dxa"/>
            <w:left w:w="108" w:type="dxa"/>
            <w:bottom w:w="0" w:type="dxa"/>
            <w:right w:w="108" w:type="dxa"/>
          </w:tblCellMar>
        </w:tblPrEx>
        <w:trPr>
          <w:trHeight w:val="303" w:hRule="exact"/>
        </w:trPr>
        <w:tc>
          <w:tcPr>
            <w:tcW w:w="779" w:type="pct"/>
            <w:tcBorders>
              <w:top w:val="single" w:color="auto" w:sz="8" w:space="0"/>
              <w:left w:val="nil"/>
              <w:bottom w:val="single" w:color="auto" w:sz="12"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7</w:t>
            </w:r>
          </w:p>
        </w:tc>
        <w:tc>
          <w:tcPr>
            <w:tcW w:w="2257" w:type="pct"/>
            <w:tcBorders>
              <w:top w:val="single" w:color="auto" w:sz="8" w:space="0"/>
              <w:left w:val="single" w:color="auto" w:sz="8" w:space="0"/>
              <w:bottom w:val="single" w:color="auto" w:sz="12" w:space="0"/>
              <w:right w:val="single" w:color="auto" w:sz="8" w:space="0"/>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粪大肠菌群(个/L)≤</w:t>
            </w:r>
          </w:p>
        </w:tc>
        <w:tc>
          <w:tcPr>
            <w:tcW w:w="1964" w:type="pct"/>
            <w:tcBorders>
              <w:top w:val="single" w:color="auto" w:sz="8" w:space="0"/>
              <w:left w:val="single" w:color="auto" w:sz="8" w:space="0"/>
              <w:bottom w:val="single" w:color="auto" w:sz="12" w:space="0"/>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10000</w:t>
            </w:r>
          </w:p>
        </w:tc>
      </w:tr>
    </w:tbl>
    <w:p>
      <w:pPr>
        <w:pStyle w:val="158"/>
        <w:ind w:firstLine="480"/>
        <w:rPr>
          <w:color w:val="auto"/>
          <w:highlight w:val="none"/>
        </w:rPr>
      </w:pPr>
      <w:r>
        <w:rPr>
          <w:color w:val="auto"/>
          <w:highlight w:val="none"/>
        </w:rPr>
        <w:t>（3）地下水</w:t>
      </w:r>
    </w:p>
    <w:p>
      <w:pPr>
        <w:pStyle w:val="158"/>
        <w:ind w:firstLine="480"/>
        <w:rPr>
          <w:color w:val="auto"/>
          <w:highlight w:val="none"/>
        </w:rPr>
      </w:pPr>
      <w:r>
        <w:rPr>
          <w:color w:val="auto"/>
          <w:highlight w:val="none"/>
        </w:rPr>
        <w:t>地下水执行《地下水质量标准》（GB/T14848-2017）中的</w:t>
      </w:r>
      <w:r>
        <w:rPr>
          <w:rFonts w:hint="eastAsia" w:ascii="宋体" w:hAnsi="宋体" w:cs="宋体"/>
          <w:color w:val="auto"/>
          <w:highlight w:val="none"/>
        </w:rPr>
        <w:t>Ⅲ</w:t>
      </w:r>
      <w:r>
        <w:rPr>
          <w:color w:val="auto"/>
          <w:highlight w:val="none"/>
        </w:rPr>
        <w:t>类水域标准，具体标准值见下表。</w:t>
      </w:r>
    </w:p>
    <w:p>
      <w:pPr>
        <w:pStyle w:val="158"/>
        <w:ind w:firstLine="480"/>
        <w:rPr>
          <w:color w:val="auto"/>
          <w:highlight w:val="none"/>
        </w:rPr>
      </w:pPr>
    </w:p>
    <w:p>
      <w:pPr>
        <w:pStyle w:val="158"/>
        <w:ind w:firstLine="480"/>
        <w:rPr>
          <w:color w:val="auto"/>
          <w:highlight w:val="none"/>
        </w:rPr>
      </w:pPr>
    </w:p>
    <w:p>
      <w:pPr>
        <w:numPr>
          <w:ilvl w:val="0"/>
          <w:numId w:val="6"/>
        </w:numPr>
        <w:tabs>
          <w:tab w:val="left" w:pos="0"/>
        </w:tabs>
        <w:ind w:left="425" w:leftChars="0" w:hanging="425" w:firstLineChars="0"/>
        <w:jc w:val="center"/>
        <w:rPr>
          <w:rFonts w:hint="eastAsia"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地下水质量标准（GB/T14848-2017）（摘录）单位：mg/L（pH无量纲）</w:t>
      </w:r>
    </w:p>
    <w:tbl>
      <w:tblPr>
        <w:tblStyle w:val="91"/>
        <w:tblW w:w="4996"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925"/>
        <w:gridCol w:w="926"/>
        <w:gridCol w:w="926"/>
        <w:gridCol w:w="924"/>
        <w:gridCol w:w="924"/>
        <w:gridCol w:w="924"/>
        <w:gridCol w:w="1664"/>
        <w:gridCol w:w="1302"/>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625"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textAlignment w:val="baseline"/>
              <w:rPr>
                <w:rFonts w:hint="default" w:ascii="Times New Roman" w:hAnsi="Times New Roman" w:cs="Times New Roman"/>
                <w:b/>
                <w:color w:val="auto"/>
                <w:kern w:val="0"/>
                <w:highlight w:val="none"/>
              </w:rPr>
            </w:pPr>
            <w:r>
              <w:rPr>
                <w:rFonts w:hint="default" w:ascii="Times New Roman" w:hAnsi="Times New Roman" w:cs="Times New Roman"/>
                <w:b/>
                <w:color w:val="auto"/>
                <w:kern w:val="0"/>
                <w:highlight w:val="none"/>
              </w:rPr>
              <w:t>项目</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pH值</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lang w:val="en-US" w:eastAsia="zh-CN"/>
              </w:rPr>
            </w:pPr>
            <w:r>
              <w:rPr>
                <w:rFonts w:hint="default" w:ascii="Times New Roman" w:hAnsi="Times New Roman" w:eastAsia="宋体" w:cs="Times New Roman"/>
                <w:b/>
                <w:bCs/>
                <w:color w:val="auto"/>
                <w:kern w:val="0"/>
                <w:highlight w:val="none"/>
              </w:rPr>
              <w:t>氨氮</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sz w:val="21"/>
                <w:szCs w:val="21"/>
                <w:highlight w:val="none"/>
                <w:lang w:val="en-US" w:eastAsia="zh-CN"/>
              </w:rPr>
              <w:t>硝酸盐</w:t>
            </w:r>
            <w:r>
              <w:rPr>
                <w:rFonts w:hint="default" w:ascii="Times New Roman" w:hAnsi="Times New Roman" w:eastAsia="宋体" w:cs="Times New Roman"/>
                <w:b/>
                <w:bCs/>
                <w:color w:val="auto"/>
                <w:kern w:val="0"/>
                <w:highlight w:val="none"/>
              </w:rPr>
              <w:t>（以N计）</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lang w:val="en-US" w:eastAsia="zh-CN"/>
              </w:rPr>
            </w:pPr>
            <w:r>
              <w:rPr>
                <w:rFonts w:hint="default" w:ascii="Times New Roman" w:hAnsi="Times New Roman" w:eastAsia="宋体" w:cs="Times New Roman"/>
                <w:b/>
                <w:bCs/>
                <w:color w:val="auto"/>
                <w:kern w:val="0"/>
                <w:highlight w:val="none"/>
              </w:rPr>
              <w:t>亚硝酸盐（以N计）</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lang w:val="en-US" w:eastAsia="zh-CN"/>
              </w:rPr>
            </w:pPr>
            <w:r>
              <w:rPr>
                <w:rFonts w:hint="default" w:ascii="Times New Roman" w:hAnsi="Times New Roman" w:eastAsia="宋体" w:cs="Times New Roman"/>
                <w:b/>
                <w:bCs/>
                <w:color w:val="auto"/>
                <w:kern w:val="0"/>
                <w:highlight w:val="none"/>
              </w:rPr>
              <w:t>砷</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汞</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六价铬</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625"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textAlignment w:val="baseline"/>
              <w:rPr>
                <w:rFonts w:hint="default" w:ascii="Times New Roman" w:hAnsi="Times New Roman" w:cs="Times New Roman"/>
                <w:b/>
                <w:color w:val="auto"/>
                <w:kern w:val="0"/>
                <w:highlight w:val="none"/>
              </w:rPr>
            </w:pPr>
            <w:r>
              <w:rPr>
                <w:rFonts w:hint="eastAsia" w:ascii="宋体" w:hAnsi="宋体" w:eastAsia="宋体" w:cs="宋体"/>
                <w:b/>
                <w:color w:val="auto"/>
                <w:kern w:val="0"/>
                <w:highlight w:val="none"/>
              </w:rPr>
              <w:t>Ⅲ</w:t>
            </w:r>
            <w:r>
              <w:rPr>
                <w:rFonts w:hint="default" w:ascii="Times New Roman" w:hAnsi="Times New Roman" w:cs="Times New Roman"/>
                <w:b/>
                <w:color w:val="auto"/>
                <w:kern w:val="0"/>
                <w:highlight w:val="none"/>
              </w:rPr>
              <w:t>类标准</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6.5~8.5</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0.5</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lang w:val="en-US"/>
              </w:rPr>
            </w:pPr>
            <w:r>
              <w:rPr>
                <w:rFonts w:hint="default" w:ascii="Arial" w:hAnsi="Arial" w:eastAsia="宋体" w:cs="Arial"/>
                <w:color w:val="auto"/>
                <w:kern w:val="0"/>
                <w:highlight w:val="none"/>
              </w:rPr>
              <w:t>≤</w:t>
            </w:r>
            <w:r>
              <w:rPr>
                <w:rFonts w:hint="eastAsia" w:ascii="Times New Roman" w:hAnsi="Times New Roman" w:eastAsia="宋体" w:cs="Times New Roman"/>
                <w:color w:val="auto"/>
                <w:kern w:val="0"/>
                <w:highlight w:val="none"/>
                <w:lang w:val="en-US" w:eastAsia="zh-CN"/>
              </w:rPr>
              <w:t>20</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lang w:val="en-US" w:eastAsia="zh-CN"/>
              </w:rPr>
            </w:pPr>
            <w:r>
              <w:rPr>
                <w:rFonts w:hint="default" w:ascii="Arial" w:hAnsi="Arial" w:eastAsia="宋体" w:cs="Arial"/>
                <w:color w:val="auto"/>
                <w:kern w:val="0"/>
                <w:highlight w:val="none"/>
              </w:rPr>
              <w:t>≤</w:t>
            </w:r>
            <w:r>
              <w:rPr>
                <w:rFonts w:hint="eastAsia" w:ascii="Times New Roman" w:hAnsi="Times New Roman" w:eastAsia="宋体" w:cs="Times New Roman"/>
                <w:color w:val="auto"/>
                <w:kern w:val="0"/>
                <w:highlight w:val="none"/>
                <w:lang w:val="en-US" w:eastAsia="zh-CN"/>
              </w:rPr>
              <w:t>1.0</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0.01</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0.001</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0.05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625"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textAlignment w:val="baseline"/>
              <w:rPr>
                <w:rFonts w:hint="default" w:ascii="Times New Roman" w:hAnsi="Times New Roman" w:cs="Times New Roman"/>
                <w:b/>
                <w:color w:val="auto"/>
                <w:kern w:val="0"/>
                <w:highlight w:val="none"/>
              </w:rPr>
            </w:pPr>
            <w:r>
              <w:rPr>
                <w:rFonts w:hint="default" w:ascii="Times New Roman" w:hAnsi="Times New Roman" w:cs="Times New Roman"/>
                <w:b/>
                <w:color w:val="auto"/>
                <w:kern w:val="0"/>
                <w:highlight w:val="none"/>
              </w:rPr>
              <w:t>项目</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highlight w:val="none"/>
              </w:rPr>
              <w:t>铅</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highlight w:val="none"/>
              </w:rPr>
              <w:t>镉</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hAnsi="Times New Roman" w:eastAsia="宋体" w:cs="Times New Roman"/>
                <w:b/>
                <w:bCs/>
                <w:color w:val="auto"/>
                <w:kern w:val="0"/>
                <w:highlight w:val="none"/>
                <w:lang w:eastAsia="zh-CN"/>
              </w:rPr>
            </w:pPr>
            <w:r>
              <w:rPr>
                <w:rFonts w:hint="eastAsia" w:ascii="Times New Roman" w:hAnsi="Times New Roman" w:eastAsia="宋体" w:cs="Times New Roman"/>
                <w:b/>
                <w:bCs/>
                <w:color w:val="auto"/>
                <w:kern w:val="0"/>
                <w:highlight w:val="none"/>
                <w:lang w:eastAsia="zh-CN"/>
              </w:rPr>
              <w:t>氰化物</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铁</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锰</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耗氧量</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硫酸盐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625"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textAlignment w:val="baseline"/>
              <w:rPr>
                <w:rFonts w:hint="default" w:ascii="Times New Roman" w:hAnsi="Times New Roman" w:cs="Times New Roman"/>
                <w:b/>
                <w:color w:val="auto"/>
                <w:kern w:val="0"/>
                <w:highlight w:val="none"/>
              </w:rPr>
            </w:pPr>
            <w:r>
              <w:rPr>
                <w:rFonts w:hint="eastAsia" w:ascii="宋体" w:hAnsi="宋体" w:eastAsia="宋体" w:cs="宋体"/>
                <w:b/>
                <w:color w:val="auto"/>
                <w:kern w:val="0"/>
                <w:highlight w:val="none"/>
              </w:rPr>
              <w:t>Ⅲ</w:t>
            </w:r>
            <w:r>
              <w:rPr>
                <w:rFonts w:hint="default" w:ascii="Times New Roman" w:hAnsi="Times New Roman" w:cs="Times New Roman"/>
                <w:b/>
                <w:color w:val="auto"/>
                <w:kern w:val="0"/>
                <w:highlight w:val="none"/>
              </w:rPr>
              <w:t>类标准</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0.01</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0.005</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lang w:val="en-US" w:eastAsia="zh-CN"/>
              </w:rPr>
            </w:pPr>
            <w:r>
              <w:rPr>
                <w:rFonts w:hint="default" w:ascii="Arial" w:hAnsi="Arial" w:eastAsia="宋体" w:cs="Arial"/>
                <w:color w:val="auto"/>
                <w:kern w:val="0"/>
                <w:highlight w:val="none"/>
              </w:rPr>
              <w:t>≤</w:t>
            </w:r>
            <w:r>
              <w:rPr>
                <w:rFonts w:hint="eastAsia" w:ascii="Times New Roman" w:hAnsi="Times New Roman" w:eastAsia="宋体" w:cs="Times New Roman"/>
                <w:color w:val="auto"/>
                <w:kern w:val="0"/>
                <w:highlight w:val="none"/>
                <w:lang w:val="en-US" w:eastAsia="zh-CN"/>
              </w:rPr>
              <w:t>0.05</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0.3</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0.1</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3.0</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250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625"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textAlignment w:val="baseline"/>
              <w:rPr>
                <w:rFonts w:hint="default" w:ascii="Times New Roman" w:hAnsi="Times New Roman" w:cs="Times New Roman"/>
                <w:b/>
                <w:color w:val="auto"/>
                <w:kern w:val="0"/>
                <w:highlight w:val="none"/>
              </w:rPr>
            </w:pPr>
            <w:r>
              <w:rPr>
                <w:rFonts w:hint="default" w:ascii="Times New Roman" w:hAnsi="Times New Roman" w:cs="Times New Roman"/>
                <w:b/>
                <w:color w:val="auto"/>
                <w:kern w:val="0"/>
                <w:highlight w:val="none"/>
              </w:rPr>
              <w:t>项目</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溶解性总固体</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氯化物</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hAnsi="Times New Roman" w:eastAsia="宋体" w:cs="Times New Roman"/>
                <w:b/>
                <w:bCs/>
                <w:color w:val="auto"/>
                <w:kern w:val="0"/>
                <w:highlight w:val="none"/>
                <w:lang w:eastAsia="zh-CN"/>
              </w:rPr>
            </w:pPr>
            <w:r>
              <w:rPr>
                <w:rFonts w:hint="eastAsia" w:ascii="Times New Roman" w:hAnsi="Times New Roman" w:eastAsia="宋体" w:cs="Times New Roman"/>
                <w:b/>
                <w:bCs/>
                <w:color w:val="auto"/>
                <w:kern w:val="0"/>
                <w:highlight w:val="none"/>
                <w:lang w:eastAsia="zh-CN"/>
              </w:rPr>
              <w:t>氟化物</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阴离子表面活性剂</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钠</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lang w:val="en-US" w:eastAsia="zh-CN"/>
              </w:rPr>
            </w:pPr>
            <w:r>
              <w:rPr>
                <w:rFonts w:hint="eastAsia" w:ascii="Times New Roman" w:hAnsi="Times New Roman" w:eastAsia="宋体" w:cs="Times New Roman"/>
                <w:b/>
                <w:bCs/>
                <w:color w:val="auto"/>
                <w:kern w:val="0"/>
                <w:highlight w:val="none"/>
                <w:lang w:eastAsia="zh-CN"/>
              </w:rPr>
              <w:t>总大肠菌群（</w:t>
            </w:r>
            <w:r>
              <w:rPr>
                <w:rFonts w:hint="eastAsia" w:ascii="Times New Roman" w:hAnsi="Times New Roman" w:eastAsia="宋体" w:cs="Times New Roman"/>
                <w:b/>
                <w:bCs/>
                <w:color w:val="auto"/>
                <w:kern w:val="0"/>
                <w:highlight w:val="none"/>
                <w:lang w:val="en-US" w:eastAsia="zh-CN"/>
              </w:rPr>
              <w:t>MPN/100mL)</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eastAsia" w:ascii="Times New Roman" w:hAnsi="Times New Roman" w:eastAsia="宋体" w:cs="Times New Roman"/>
                <w:b/>
                <w:bCs/>
                <w:color w:val="auto"/>
                <w:kern w:val="0"/>
                <w:highlight w:val="none"/>
                <w:lang w:eastAsia="zh-CN"/>
              </w:rPr>
              <w:t>菌落总数（</w:t>
            </w:r>
            <w:r>
              <w:rPr>
                <w:rFonts w:hint="eastAsia" w:ascii="Times New Roman" w:hAnsi="Times New Roman" w:eastAsia="宋体" w:cs="Times New Roman"/>
                <w:b/>
                <w:bCs/>
                <w:color w:val="auto"/>
                <w:kern w:val="0"/>
                <w:highlight w:val="none"/>
                <w:lang w:val="en-US" w:eastAsia="zh-CN"/>
              </w:rPr>
              <w:t>CFU/mL)</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625"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textAlignment w:val="baseline"/>
              <w:rPr>
                <w:rFonts w:hint="default" w:ascii="Times New Roman" w:hAnsi="Times New Roman" w:cs="Times New Roman"/>
                <w:b/>
                <w:color w:val="auto"/>
                <w:kern w:val="0"/>
                <w:highlight w:val="none"/>
              </w:rPr>
            </w:pPr>
            <w:r>
              <w:rPr>
                <w:rFonts w:hint="eastAsia" w:ascii="宋体" w:hAnsi="宋体" w:eastAsia="宋体" w:cs="宋体"/>
                <w:b/>
                <w:color w:val="auto"/>
                <w:kern w:val="0"/>
                <w:highlight w:val="none"/>
              </w:rPr>
              <w:t>Ⅲ</w:t>
            </w:r>
            <w:r>
              <w:rPr>
                <w:rFonts w:hint="default" w:ascii="Times New Roman" w:hAnsi="Times New Roman" w:cs="Times New Roman"/>
                <w:b/>
                <w:color w:val="auto"/>
                <w:kern w:val="0"/>
                <w:highlight w:val="none"/>
              </w:rPr>
              <w:t>类标准</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1000</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250</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lang w:val="en-US" w:eastAsia="zh-CN"/>
              </w:rPr>
            </w:pPr>
            <w:r>
              <w:rPr>
                <w:rFonts w:hint="default" w:ascii="Arial" w:hAnsi="Arial" w:eastAsia="宋体" w:cs="Arial"/>
                <w:color w:val="auto"/>
                <w:kern w:val="0"/>
                <w:highlight w:val="none"/>
              </w:rPr>
              <w:t>≤</w:t>
            </w:r>
            <w:r>
              <w:rPr>
                <w:rFonts w:hint="eastAsia" w:ascii="Times New Roman" w:hAnsi="Times New Roman" w:eastAsia="宋体" w:cs="Times New Roman"/>
                <w:color w:val="auto"/>
                <w:kern w:val="0"/>
                <w:highlight w:val="none"/>
                <w:lang w:val="en-US" w:eastAsia="zh-CN"/>
              </w:rPr>
              <w:t>1.0</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0.3</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Arial" w:hAnsi="Arial" w:eastAsia="宋体" w:cs="Arial"/>
                <w:color w:val="auto"/>
                <w:kern w:val="0"/>
                <w:highlight w:val="none"/>
              </w:rPr>
              <w:t>≤</w:t>
            </w:r>
            <w:r>
              <w:rPr>
                <w:rFonts w:hint="default" w:ascii="Times New Roman" w:hAnsi="Times New Roman" w:eastAsia="宋体" w:cs="Times New Roman"/>
                <w:color w:val="auto"/>
                <w:kern w:val="0"/>
                <w:highlight w:val="none"/>
              </w:rPr>
              <w:t>200</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hAnsi="Times New Roman" w:eastAsia="宋体" w:cs="Times New Roman"/>
                <w:color w:val="auto"/>
                <w:kern w:val="0"/>
                <w:highlight w:val="none"/>
                <w:lang w:val="en-US" w:eastAsia="zh-CN"/>
              </w:rPr>
            </w:pPr>
            <w:r>
              <w:rPr>
                <w:rFonts w:hint="default" w:ascii="Arial" w:hAnsi="Arial" w:eastAsia="宋体" w:cs="Arial"/>
                <w:color w:val="auto"/>
                <w:kern w:val="0"/>
                <w:highlight w:val="none"/>
              </w:rPr>
              <w:t>≤</w:t>
            </w:r>
            <w:r>
              <w:rPr>
                <w:rFonts w:hint="eastAsia" w:ascii="Times New Roman" w:hAnsi="Times New Roman" w:eastAsia="宋体" w:cs="Times New Roman"/>
                <w:color w:val="auto"/>
                <w:kern w:val="0"/>
                <w:highlight w:val="none"/>
                <w:lang w:val="en-US" w:eastAsia="zh-CN"/>
              </w:rPr>
              <w:t>3</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lang w:val="en-US" w:eastAsia="zh-CN"/>
              </w:rPr>
            </w:pPr>
            <w:r>
              <w:rPr>
                <w:rFonts w:hint="default" w:ascii="Arial" w:hAnsi="Arial" w:eastAsia="宋体" w:cs="Arial"/>
                <w:color w:val="auto"/>
                <w:kern w:val="0"/>
                <w:highlight w:val="none"/>
              </w:rPr>
              <w:t>≤</w:t>
            </w:r>
            <w:r>
              <w:rPr>
                <w:rFonts w:hint="eastAsia" w:ascii="Times New Roman" w:hAnsi="Times New Roman" w:eastAsia="宋体" w:cs="Times New Roman"/>
                <w:color w:val="auto"/>
                <w:kern w:val="0"/>
                <w:highlight w:val="none"/>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941" w:type="dxa"/>
            <w:tcBorders>
              <w:tl2br w:val="nil"/>
              <w:tr2bl w:val="nil"/>
            </w:tcBorders>
            <w:vAlign w:val="center"/>
          </w:tcPr>
          <w:p>
            <w:pPr>
              <w:keepNext w:val="0"/>
              <w:keepLines w:val="0"/>
              <w:suppressLineNumbers w:val="0"/>
              <w:adjustRightInd w:val="0"/>
              <w:spacing w:before="0" w:beforeAutospacing="0" w:after="0" w:afterAutospacing="0" w:line="240" w:lineRule="auto"/>
              <w:ind w:left="0" w:leftChars="0" w:right="0" w:rightChars="0"/>
              <w:jc w:val="center"/>
              <w:textAlignment w:val="baseline"/>
              <w:rPr>
                <w:rFonts w:hint="eastAsia" w:ascii="宋体" w:hAnsi="宋体" w:eastAsia="宋体" w:cs="宋体"/>
                <w:b/>
                <w:color w:val="auto"/>
                <w:kern w:val="0"/>
                <w:highlight w:val="none"/>
              </w:rPr>
            </w:pPr>
            <w:r>
              <w:rPr>
                <w:rFonts w:hint="default" w:ascii="Times New Roman" w:hAnsi="Times New Roman" w:cs="Times New Roman"/>
                <w:b/>
                <w:color w:val="auto"/>
                <w:kern w:val="0"/>
                <w:highlight w:val="none"/>
              </w:rPr>
              <w:t>项目</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bCs/>
                <w:color w:val="auto"/>
                <w:kern w:val="0"/>
                <w:highlight w:val="none"/>
              </w:rPr>
            </w:pPr>
            <w:r>
              <w:rPr>
                <w:rFonts w:hint="default" w:ascii="Times New Roman" w:hAnsi="Times New Roman" w:eastAsia="宋体" w:cs="Times New Roman"/>
                <w:b/>
                <w:bCs/>
                <w:color w:val="auto"/>
                <w:sz w:val="21"/>
                <w:szCs w:val="21"/>
                <w:highlight w:val="none"/>
                <w:lang w:val="en-US" w:eastAsia="zh-CN"/>
              </w:rPr>
              <w:t>挥发性酚类</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bCs/>
                <w:color w:val="auto"/>
                <w:kern w:val="0"/>
                <w:highlight w:val="none"/>
              </w:rPr>
            </w:pPr>
            <w:r>
              <w:rPr>
                <w:rFonts w:hint="default" w:ascii="Times New Roman" w:hAnsi="Times New Roman" w:eastAsia="宋体" w:cs="Times New Roman"/>
                <w:b/>
                <w:bCs/>
                <w:color w:val="auto"/>
                <w:sz w:val="21"/>
                <w:szCs w:val="21"/>
                <w:highlight w:val="none"/>
                <w:lang w:val="en-US" w:eastAsia="zh-CN"/>
              </w:rPr>
              <w:t>总硬度</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eastAsia" w:ascii="Arial" w:hAnsi="Arial" w:eastAsia="宋体" w:cs="Arial"/>
                <w:color w:val="auto"/>
                <w:kern w:val="0"/>
                <w:highlight w:val="none"/>
                <w:lang w:eastAsia="zh-CN"/>
              </w:rPr>
            </w:pP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eastAsia" w:ascii="Arial" w:hAnsi="Arial" w:eastAsia="宋体" w:cs="Arial"/>
                <w:color w:val="auto"/>
                <w:kern w:val="0"/>
                <w:highlight w:val="none"/>
                <w:lang w:eastAsia="zh-CN"/>
              </w:rPr>
            </w:pP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rPr>
            </w:pP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rPr>
            </w:pP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941" w:type="dxa"/>
            <w:tcBorders>
              <w:tl2br w:val="nil"/>
              <w:tr2bl w:val="nil"/>
            </w:tcBorders>
            <w:vAlign w:val="center"/>
          </w:tcPr>
          <w:p>
            <w:pPr>
              <w:keepNext w:val="0"/>
              <w:keepLines w:val="0"/>
              <w:suppressLineNumbers w:val="0"/>
              <w:adjustRightInd w:val="0"/>
              <w:spacing w:before="0" w:beforeAutospacing="0" w:after="0" w:afterAutospacing="0" w:line="240" w:lineRule="auto"/>
              <w:ind w:left="0" w:leftChars="0" w:right="0" w:rightChars="0"/>
              <w:jc w:val="center"/>
              <w:textAlignment w:val="baseline"/>
              <w:rPr>
                <w:rFonts w:hint="eastAsia" w:ascii="宋体" w:hAnsi="宋体" w:eastAsia="宋体" w:cs="宋体"/>
                <w:b/>
                <w:color w:val="auto"/>
                <w:kern w:val="0"/>
                <w:highlight w:val="none"/>
              </w:rPr>
            </w:pPr>
            <w:r>
              <w:rPr>
                <w:rFonts w:hint="eastAsia" w:ascii="宋体" w:hAnsi="宋体" w:eastAsia="宋体" w:cs="宋体"/>
                <w:b/>
                <w:color w:val="auto"/>
                <w:kern w:val="0"/>
                <w:highlight w:val="none"/>
              </w:rPr>
              <w:t>Ⅲ</w:t>
            </w:r>
            <w:r>
              <w:rPr>
                <w:rFonts w:hint="default" w:ascii="Times New Roman" w:hAnsi="Times New Roman" w:cs="Times New Roman"/>
                <w:b/>
                <w:color w:val="auto"/>
                <w:kern w:val="0"/>
                <w:highlight w:val="none"/>
              </w:rPr>
              <w:t>类标准</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lang w:val="en-US" w:eastAsia="zh-CN"/>
              </w:rPr>
            </w:pPr>
            <w:r>
              <w:rPr>
                <w:rFonts w:hint="default" w:ascii="Arial" w:hAnsi="Arial" w:eastAsia="宋体" w:cs="Arial"/>
                <w:color w:val="auto"/>
                <w:kern w:val="0"/>
                <w:highlight w:val="none"/>
              </w:rPr>
              <w:t>≤</w:t>
            </w:r>
            <w:r>
              <w:rPr>
                <w:rFonts w:hint="eastAsia" w:ascii="Times New Roman" w:hAnsi="Times New Roman" w:eastAsia="宋体" w:cs="Times New Roman"/>
                <w:color w:val="auto"/>
                <w:kern w:val="0"/>
                <w:highlight w:val="none"/>
                <w:lang w:val="en-US" w:eastAsia="zh-CN"/>
              </w:rPr>
              <w:t>0.002</w:t>
            </w:r>
          </w:p>
        </w:tc>
        <w:tc>
          <w:tcPr>
            <w:tcW w:w="625"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lang w:val="en-US" w:eastAsia="zh-CN"/>
              </w:rPr>
            </w:pPr>
            <w:r>
              <w:rPr>
                <w:rFonts w:hint="default" w:ascii="Arial" w:hAnsi="Arial" w:eastAsia="宋体" w:cs="Arial"/>
                <w:color w:val="auto"/>
                <w:kern w:val="0"/>
                <w:highlight w:val="none"/>
              </w:rPr>
              <w:t>≤</w:t>
            </w:r>
            <w:r>
              <w:rPr>
                <w:rFonts w:hint="eastAsia" w:ascii="Arial" w:hAnsi="Arial" w:eastAsia="宋体" w:cs="Arial"/>
                <w:color w:val="auto"/>
                <w:kern w:val="0"/>
                <w:highlight w:val="none"/>
                <w:lang w:val="en-US" w:eastAsia="zh-CN"/>
              </w:rPr>
              <w:t>450</w:t>
            </w: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rPr>
            </w:pP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rPr>
            </w:pP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rPr>
            </w:pP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rPr>
            </w:pPr>
          </w:p>
        </w:tc>
        <w:tc>
          <w:tcPr>
            <w:tcW w:w="624" w:type="pct"/>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color w:val="auto"/>
                <w:kern w:val="0"/>
                <w:highlight w:val="none"/>
              </w:rPr>
            </w:pPr>
          </w:p>
        </w:tc>
      </w:tr>
    </w:tbl>
    <w:p>
      <w:pPr>
        <w:pStyle w:val="158"/>
        <w:ind w:firstLine="480"/>
        <w:rPr>
          <w:color w:val="auto"/>
          <w:highlight w:val="none"/>
        </w:rPr>
      </w:pPr>
      <w:r>
        <w:rPr>
          <w:color w:val="auto"/>
          <w:highlight w:val="none"/>
        </w:rPr>
        <w:t>（4）声环境</w:t>
      </w:r>
    </w:p>
    <w:p>
      <w:pPr>
        <w:pStyle w:val="158"/>
        <w:ind w:firstLine="480"/>
        <w:rPr>
          <w:color w:val="auto"/>
          <w:highlight w:val="none"/>
        </w:rPr>
      </w:pPr>
      <w:r>
        <w:rPr>
          <w:color w:val="auto"/>
          <w:highlight w:val="none"/>
        </w:rPr>
        <w:t>区域环境噪声执行《声环境质量标准》（GB3096-2008）中</w:t>
      </w:r>
      <w:r>
        <w:rPr>
          <w:rFonts w:hint="eastAsia"/>
          <w:color w:val="auto"/>
          <w:highlight w:val="none"/>
          <w:lang w:eastAsia="zh-CN"/>
        </w:rPr>
        <w:t>表</w:t>
      </w:r>
      <w:r>
        <w:rPr>
          <w:rFonts w:hint="eastAsia"/>
          <w:color w:val="auto"/>
          <w:highlight w:val="none"/>
        </w:rPr>
        <w:t>2</w:t>
      </w:r>
      <w:r>
        <w:rPr>
          <w:color w:val="auto"/>
          <w:highlight w:val="none"/>
        </w:rPr>
        <w:t>标准。</w:t>
      </w:r>
    </w:p>
    <w:p>
      <w:pPr>
        <w:numPr>
          <w:ilvl w:val="0"/>
          <w:numId w:val="6"/>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声环境质量标准（GB3096-2008）  单位：dB（A）</w:t>
      </w:r>
    </w:p>
    <w:tbl>
      <w:tblPr>
        <w:tblStyle w:val="91"/>
        <w:tblW w:w="8316"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2041"/>
        <w:gridCol w:w="3092"/>
        <w:gridCol w:w="318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04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类别</w:t>
            </w:r>
          </w:p>
        </w:tc>
        <w:tc>
          <w:tcPr>
            <w:tcW w:w="3092"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昼间</w:t>
            </w:r>
          </w:p>
        </w:tc>
        <w:tc>
          <w:tcPr>
            <w:tcW w:w="318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夜间</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04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2</w:t>
            </w:r>
            <w:r>
              <w:rPr>
                <w:rFonts w:hint="eastAsia" w:ascii="Times New Roman" w:hAnsi="Times New Roman" w:cs="Times New Roman"/>
                <w:color w:val="auto"/>
                <w:highlight w:val="none"/>
                <w:lang w:eastAsia="zh-CN"/>
              </w:rPr>
              <w:t>类</w:t>
            </w:r>
          </w:p>
        </w:tc>
        <w:tc>
          <w:tcPr>
            <w:tcW w:w="3092"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6</w:t>
            </w:r>
            <w:r>
              <w:rPr>
                <w:rFonts w:hint="eastAsia" w:ascii="Times New Roman" w:hAnsi="Times New Roman" w:cs="Times New Roman"/>
                <w:color w:val="auto"/>
                <w:highlight w:val="none"/>
              </w:rPr>
              <w:t>0</w:t>
            </w:r>
          </w:p>
        </w:tc>
        <w:tc>
          <w:tcPr>
            <w:tcW w:w="318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5</w:t>
            </w:r>
            <w:r>
              <w:rPr>
                <w:rFonts w:hint="eastAsia" w:ascii="Times New Roman" w:hAnsi="Times New Roman" w:cs="Times New Roman"/>
                <w:color w:val="auto"/>
                <w:highlight w:val="none"/>
              </w:rPr>
              <w:t>0</w:t>
            </w:r>
          </w:p>
        </w:tc>
      </w:tr>
    </w:tbl>
    <w:p>
      <w:pPr>
        <w:pStyle w:val="158"/>
        <w:ind w:firstLine="480"/>
        <w:rPr>
          <w:color w:val="auto"/>
          <w:highlight w:val="none"/>
        </w:rPr>
      </w:pPr>
      <w:r>
        <w:rPr>
          <w:color w:val="auto"/>
          <w:highlight w:val="none"/>
        </w:rPr>
        <w:t>（</w:t>
      </w:r>
      <w:r>
        <w:rPr>
          <w:rFonts w:hint="eastAsia"/>
          <w:color w:val="auto"/>
          <w:highlight w:val="none"/>
        </w:rPr>
        <w:t>5）土壤环境</w:t>
      </w:r>
    </w:p>
    <w:p>
      <w:pPr>
        <w:pStyle w:val="158"/>
        <w:ind w:firstLine="480"/>
        <w:rPr>
          <w:color w:val="auto"/>
          <w:highlight w:val="none"/>
        </w:rPr>
      </w:pPr>
      <w:r>
        <w:rPr>
          <w:rFonts w:hint="eastAsia"/>
          <w:color w:val="auto"/>
          <w:highlight w:val="none"/>
        </w:rPr>
        <w:t>根据《国土资源部农业部关于完善设施用地管理有关问题的通知》（国土资源发[2010]155号），</w:t>
      </w:r>
      <w:r>
        <w:rPr>
          <w:rFonts w:hint="eastAsia"/>
          <w:color w:val="auto"/>
          <w:highlight w:val="none"/>
          <w:lang w:eastAsia="zh-CN"/>
        </w:rPr>
        <w:t>“</w:t>
      </w:r>
      <w:r>
        <w:rPr>
          <w:rFonts w:hint="eastAsia"/>
          <w:color w:val="auto"/>
          <w:highlight w:val="none"/>
        </w:rPr>
        <w:t>直接用于经营性养殖的畜禽舍、工厂化作物栽培或水产养殖的生产设施用地及其相应附属设施用地为设施农用地，按农用地管理</w:t>
      </w:r>
      <w:r>
        <w:rPr>
          <w:rFonts w:hint="eastAsia"/>
          <w:color w:val="auto"/>
          <w:highlight w:val="none"/>
          <w:lang w:eastAsia="zh-CN"/>
        </w:rPr>
        <w:t>”</w:t>
      </w:r>
      <w:r>
        <w:rPr>
          <w:rFonts w:hint="eastAsia"/>
          <w:color w:val="auto"/>
          <w:highlight w:val="none"/>
        </w:rPr>
        <w:t>。本项目</w:t>
      </w:r>
      <w:r>
        <w:rPr>
          <w:rFonts w:hint="eastAsia"/>
          <w:color w:val="auto"/>
          <w:highlight w:val="none"/>
          <w:lang w:eastAsia="zh-CN"/>
        </w:rPr>
        <w:t>为农用地，</w:t>
      </w:r>
      <w:r>
        <w:rPr>
          <w:rFonts w:hint="eastAsia"/>
          <w:color w:val="auto"/>
          <w:highlight w:val="none"/>
        </w:rPr>
        <w:t>土壤环境执行《土壤环境质量 农用地土壤污染风险管控标准（试行）》（GB 15618-2018），其风险筛选值见下表。</w:t>
      </w:r>
    </w:p>
    <w:p>
      <w:pPr>
        <w:numPr>
          <w:ilvl w:val="0"/>
          <w:numId w:val="6"/>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农用地土壤污染风险筛选值（基本项目）  单位：mg/kg</w:t>
      </w:r>
    </w:p>
    <w:tbl>
      <w:tblPr>
        <w:tblStyle w:val="91"/>
        <w:tblW w:w="8316"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648"/>
        <w:gridCol w:w="745"/>
        <w:gridCol w:w="747"/>
        <w:gridCol w:w="1563"/>
        <w:gridCol w:w="1519"/>
        <w:gridCol w:w="1755"/>
        <w:gridCol w:w="133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22" w:hRule="exact"/>
        </w:trPr>
        <w:tc>
          <w:tcPr>
            <w:tcW w:w="648"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auto"/>
                <w:highlight w:val="none"/>
              </w:rPr>
            </w:pPr>
            <w:r>
              <w:rPr>
                <w:rFonts w:hint="eastAsia"/>
                <w:color w:val="auto"/>
                <w:highlight w:val="none"/>
              </w:rPr>
              <w:t>序号</w:t>
            </w:r>
          </w:p>
        </w:tc>
        <w:tc>
          <w:tcPr>
            <w:tcW w:w="1492" w:type="dxa"/>
            <w:gridSpan w:val="2"/>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auto"/>
                <w:highlight w:val="none"/>
              </w:rPr>
            </w:pPr>
            <w:r>
              <w:rPr>
                <w:rFonts w:hint="default"/>
                <w:color w:val="auto"/>
                <w:highlight w:val="none"/>
              </w:rPr>
              <w:t>污染物项目</w:t>
            </w:r>
            <w:r>
              <w:rPr>
                <w:rFonts w:hint="eastAsia"/>
                <w:color w:val="auto"/>
                <w:highlight w:val="none"/>
                <w:vertAlign w:val="superscript"/>
              </w:rPr>
              <w:t>①②</w:t>
            </w:r>
          </w:p>
        </w:tc>
        <w:tc>
          <w:tcPr>
            <w:tcW w:w="6176" w:type="dxa"/>
            <w:gridSpan w:val="4"/>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风险筛选值</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1492" w:type="dxa"/>
            <w:gridSpan w:val="2"/>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p</w:t>
            </w:r>
            <w:r>
              <w:rPr>
                <w:rFonts w:hint="default" w:ascii="Times New Roman" w:cs="Times New Roman"/>
                <w:color w:val="auto"/>
                <w:spacing w:val="-3"/>
                <w:highlight w:val="none"/>
              </w:rPr>
              <w:t>H</w:t>
            </w:r>
            <w:r>
              <w:rPr>
                <w:rFonts w:hint="eastAsia"/>
                <w:color w:val="auto"/>
                <w:highlight w:val="none"/>
              </w:rPr>
              <w:t>≤</w:t>
            </w:r>
            <w:r>
              <w:rPr>
                <w:rFonts w:hint="default" w:ascii="Times New Roman" w:cs="Times New Roman"/>
                <w:color w:val="auto"/>
                <w:spacing w:val="1"/>
                <w:highlight w:val="none"/>
              </w:rPr>
              <w:t>5</w:t>
            </w:r>
            <w:r>
              <w:rPr>
                <w:rFonts w:hint="default" w:ascii="Times New Roman" w:cs="Times New Roman"/>
                <w:color w:val="auto"/>
                <w:highlight w:val="none"/>
              </w:rPr>
              <w:t>.5</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5</w:t>
            </w:r>
            <w:r>
              <w:rPr>
                <w:rFonts w:hint="default" w:ascii="Times New Roman" w:cs="Times New Roman"/>
                <w:color w:val="auto"/>
                <w:spacing w:val="-2"/>
                <w:highlight w:val="none"/>
              </w:rPr>
              <w:t>.</w:t>
            </w:r>
            <w:r>
              <w:rPr>
                <w:rFonts w:hint="default" w:ascii="Times New Roman" w:cs="Times New Roman"/>
                <w:color w:val="auto"/>
                <w:spacing w:val="1"/>
                <w:highlight w:val="none"/>
              </w:rPr>
              <w:t>5</w:t>
            </w:r>
            <w:r>
              <w:rPr>
                <w:rFonts w:hint="eastAsia"/>
                <w:color w:val="auto"/>
                <w:highlight w:val="none"/>
              </w:rPr>
              <w:t>＜</w:t>
            </w:r>
            <w:r>
              <w:rPr>
                <w:rFonts w:hint="default" w:ascii="Times New Roman" w:cs="Times New Roman"/>
                <w:color w:val="auto"/>
                <w:spacing w:val="1"/>
                <w:highlight w:val="none"/>
              </w:rPr>
              <w:t>p</w:t>
            </w:r>
            <w:r>
              <w:rPr>
                <w:rFonts w:hint="default" w:ascii="Times New Roman" w:cs="Times New Roman"/>
                <w:color w:val="auto"/>
                <w:spacing w:val="-3"/>
                <w:highlight w:val="none"/>
              </w:rPr>
              <w:t>H</w:t>
            </w:r>
            <w:r>
              <w:rPr>
                <w:rFonts w:hint="eastAsia"/>
                <w:color w:val="auto"/>
                <w:highlight w:val="none"/>
              </w:rPr>
              <w:t>≤</w:t>
            </w:r>
            <w:r>
              <w:rPr>
                <w:rFonts w:hint="default" w:ascii="Times New Roman" w:cs="Times New Roman"/>
                <w:color w:val="auto"/>
                <w:spacing w:val="1"/>
                <w:highlight w:val="none"/>
              </w:rPr>
              <w:t>6</w:t>
            </w:r>
            <w:r>
              <w:rPr>
                <w:rFonts w:hint="default" w:ascii="Times New Roman" w:cs="Times New Roman"/>
                <w:color w:val="auto"/>
                <w:highlight w:val="none"/>
              </w:rPr>
              <w:t>.5</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6</w:t>
            </w:r>
            <w:r>
              <w:rPr>
                <w:rFonts w:hint="default" w:ascii="Times New Roman" w:cs="Times New Roman"/>
                <w:color w:val="auto"/>
                <w:highlight w:val="none"/>
              </w:rPr>
              <w:t>.</w:t>
            </w:r>
            <w:r>
              <w:rPr>
                <w:rFonts w:hint="default" w:ascii="Times New Roman" w:cs="Times New Roman"/>
                <w:color w:val="auto"/>
                <w:spacing w:val="-2"/>
                <w:highlight w:val="none"/>
              </w:rPr>
              <w:t>5</w:t>
            </w:r>
            <w:r>
              <w:rPr>
                <w:rFonts w:hint="default" w:ascii="Times New Roman" w:cs="Times New Roman"/>
                <w:color w:val="auto"/>
                <w:w w:val="99"/>
                <w:highlight w:val="none"/>
              </w:rPr>
              <w:t>&lt;</w:t>
            </w:r>
            <w:r>
              <w:rPr>
                <w:rFonts w:hint="default" w:ascii="Times New Roman" w:cs="Times New Roman"/>
                <w:color w:val="auto"/>
                <w:highlight w:val="none"/>
              </w:rPr>
              <w:t xml:space="preserve"> </w:t>
            </w:r>
            <w:r>
              <w:rPr>
                <w:rFonts w:hint="default" w:ascii="Times New Roman" w:cs="Times New Roman"/>
                <w:color w:val="auto"/>
                <w:spacing w:val="1"/>
                <w:highlight w:val="none"/>
              </w:rPr>
              <w:t>p</w:t>
            </w:r>
            <w:r>
              <w:rPr>
                <w:rFonts w:hint="default" w:ascii="Times New Roman" w:cs="Times New Roman"/>
                <w:color w:val="auto"/>
                <w:spacing w:val="-1"/>
                <w:highlight w:val="none"/>
              </w:rPr>
              <w:t>H</w:t>
            </w:r>
            <w:r>
              <w:rPr>
                <w:rFonts w:hint="eastAsia"/>
                <w:color w:val="auto"/>
                <w:highlight w:val="none"/>
              </w:rPr>
              <w:t>≤</w:t>
            </w:r>
            <w:r>
              <w:rPr>
                <w:rFonts w:hint="default" w:ascii="Times New Roman" w:cs="Times New Roman"/>
                <w:color w:val="auto"/>
                <w:spacing w:val="1"/>
                <w:highlight w:val="none"/>
              </w:rPr>
              <w:t>7</w:t>
            </w:r>
            <w:r>
              <w:rPr>
                <w:rFonts w:hint="default" w:ascii="Times New Roman" w:cs="Times New Roman"/>
                <w:color w:val="auto"/>
                <w:spacing w:val="-2"/>
                <w:highlight w:val="none"/>
              </w:rPr>
              <w:t>.</w:t>
            </w:r>
            <w:r>
              <w:rPr>
                <w:rFonts w:hint="default" w:ascii="Times New Roman" w:cs="Times New Roman"/>
                <w:color w:val="auto"/>
                <w:highlight w:val="none"/>
              </w:rPr>
              <w:t>5</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p</w:t>
            </w:r>
            <w:r>
              <w:rPr>
                <w:rFonts w:hint="default" w:ascii="Times New Roman" w:cs="Times New Roman"/>
                <w:color w:val="auto"/>
                <w:spacing w:val="-1"/>
                <w:highlight w:val="none"/>
              </w:rPr>
              <w:t>H</w:t>
            </w:r>
            <w:r>
              <w:rPr>
                <w:rFonts w:hint="default" w:ascii="Times New Roman" w:cs="Times New Roman"/>
                <w:color w:val="auto"/>
                <w:spacing w:val="-1"/>
                <w:w w:val="99"/>
                <w:highlight w:val="none"/>
              </w:rPr>
              <w:t>&gt;</w:t>
            </w:r>
            <w:r>
              <w:rPr>
                <w:rFonts w:hint="default" w:ascii="Times New Roman" w:cs="Times New Roman"/>
                <w:color w:val="auto"/>
                <w:spacing w:val="1"/>
                <w:highlight w:val="none"/>
              </w:rPr>
              <w:t>7</w:t>
            </w:r>
            <w:r>
              <w:rPr>
                <w:rFonts w:hint="default" w:ascii="Times New Roman" w:cs="Times New Roman"/>
                <w:color w:val="auto"/>
                <w:highlight w:val="none"/>
              </w:rPr>
              <w:t>.5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2" w:hRule="exact"/>
        </w:trPr>
        <w:tc>
          <w:tcPr>
            <w:tcW w:w="648"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highlight w:val="none"/>
              </w:rPr>
              <w:t>1</w:t>
            </w:r>
          </w:p>
        </w:tc>
        <w:tc>
          <w:tcPr>
            <w:tcW w:w="745"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镉</w:t>
            </w: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水田</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0</w:t>
            </w:r>
            <w:r>
              <w:rPr>
                <w:rFonts w:hint="default" w:ascii="Times New Roman" w:cs="Times New Roman"/>
                <w:color w:val="auto"/>
                <w:spacing w:val="-2"/>
                <w:highlight w:val="none"/>
              </w:rPr>
              <w:t>.</w:t>
            </w:r>
            <w:r>
              <w:rPr>
                <w:rFonts w:hint="default" w:ascii="Times New Roman" w:cs="Times New Roman"/>
                <w:color w:val="auto"/>
                <w:highlight w:val="none"/>
              </w:rPr>
              <w:t>3</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0</w:t>
            </w:r>
            <w:r>
              <w:rPr>
                <w:rFonts w:hint="default" w:ascii="Times New Roman" w:cs="Times New Roman"/>
                <w:color w:val="auto"/>
                <w:spacing w:val="-2"/>
                <w:highlight w:val="none"/>
              </w:rPr>
              <w:t>.</w:t>
            </w:r>
            <w:r>
              <w:rPr>
                <w:rFonts w:hint="default" w:ascii="Times New Roman" w:cs="Times New Roman"/>
                <w:color w:val="auto"/>
                <w:highlight w:val="none"/>
              </w:rPr>
              <w:t>4</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0</w:t>
            </w:r>
            <w:r>
              <w:rPr>
                <w:rFonts w:hint="default" w:ascii="Times New Roman" w:cs="Times New Roman"/>
                <w:color w:val="auto"/>
                <w:highlight w:val="none"/>
              </w:rPr>
              <w:t>.6</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0</w:t>
            </w:r>
            <w:r>
              <w:rPr>
                <w:rFonts w:hint="default" w:ascii="Times New Roman" w:cs="Times New Roman"/>
                <w:color w:val="auto"/>
                <w:highlight w:val="none"/>
              </w:rPr>
              <w:t>.8</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2" w:hRule="exact"/>
        </w:trPr>
        <w:tc>
          <w:tcPr>
            <w:tcW w:w="648"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5"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其他</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0</w:t>
            </w:r>
            <w:r>
              <w:rPr>
                <w:rFonts w:hint="default" w:ascii="Times New Roman" w:cs="Times New Roman"/>
                <w:color w:val="auto"/>
                <w:spacing w:val="-2"/>
                <w:highlight w:val="none"/>
              </w:rPr>
              <w:t>.</w:t>
            </w:r>
            <w:r>
              <w:rPr>
                <w:rFonts w:hint="default" w:ascii="Times New Roman" w:cs="Times New Roman"/>
                <w:color w:val="auto"/>
                <w:highlight w:val="none"/>
              </w:rPr>
              <w:t>3</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0</w:t>
            </w:r>
            <w:r>
              <w:rPr>
                <w:rFonts w:hint="default" w:ascii="Times New Roman" w:cs="Times New Roman"/>
                <w:color w:val="auto"/>
                <w:spacing w:val="-2"/>
                <w:highlight w:val="none"/>
              </w:rPr>
              <w:t>.</w:t>
            </w:r>
            <w:r>
              <w:rPr>
                <w:rFonts w:hint="default" w:ascii="Times New Roman" w:cs="Times New Roman"/>
                <w:color w:val="auto"/>
                <w:highlight w:val="none"/>
              </w:rPr>
              <w:t>3</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0</w:t>
            </w:r>
            <w:r>
              <w:rPr>
                <w:rFonts w:hint="default" w:ascii="Times New Roman" w:cs="Times New Roman"/>
                <w:color w:val="auto"/>
                <w:highlight w:val="none"/>
              </w:rPr>
              <w:t>.3</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0</w:t>
            </w:r>
            <w:r>
              <w:rPr>
                <w:rFonts w:hint="default" w:ascii="Times New Roman" w:cs="Times New Roman"/>
                <w:color w:val="auto"/>
                <w:highlight w:val="none"/>
              </w:rPr>
              <w:t>.6</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highlight w:val="none"/>
              </w:rPr>
              <w:t>2</w:t>
            </w:r>
          </w:p>
        </w:tc>
        <w:tc>
          <w:tcPr>
            <w:tcW w:w="745"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汞</w:t>
            </w: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水田</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0</w:t>
            </w:r>
            <w:r>
              <w:rPr>
                <w:rFonts w:hint="default" w:ascii="Times New Roman" w:cs="Times New Roman"/>
                <w:color w:val="auto"/>
                <w:spacing w:val="-2"/>
                <w:highlight w:val="none"/>
              </w:rPr>
              <w:t>.</w:t>
            </w:r>
            <w:r>
              <w:rPr>
                <w:rFonts w:hint="default" w:ascii="Times New Roman" w:cs="Times New Roman"/>
                <w:color w:val="auto"/>
                <w:highlight w:val="none"/>
              </w:rPr>
              <w:t>5</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0</w:t>
            </w:r>
            <w:r>
              <w:rPr>
                <w:rFonts w:hint="default" w:ascii="Times New Roman" w:cs="Times New Roman"/>
                <w:color w:val="auto"/>
                <w:spacing w:val="-2"/>
                <w:highlight w:val="none"/>
              </w:rPr>
              <w:t>.</w:t>
            </w:r>
            <w:r>
              <w:rPr>
                <w:rFonts w:hint="default" w:ascii="Times New Roman" w:cs="Times New Roman"/>
                <w:color w:val="auto"/>
                <w:highlight w:val="none"/>
              </w:rPr>
              <w:t>5</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0</w:t>
            </w:r>
            <w:r>
              <w:rPr>
                <w:rFonts w:hint="default" w:ascii="Times New Roman" w:cs="Times New Roman"/>
                <w:color w:val="auto"/>
                <w:highlight w:val="none"/>
              </w:rPr>
              <w:t>.6</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5"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其他</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w:t>
            </w:r>
            <w:r>
              <w:rPr>
                <w:rFonts w:hint="default" w:ascii="Times New Roman" w:cs="Times New Roman"/>
                <w:color w:val="auto"/>
                <w:highlight w:val="none"/>
              </w:rPr>
              <w:t>3</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w:t>
            </w:r>
            <w:r>
              <w:rPr>
                <w:rFonts w:hint="default" w:ascii="Times New Roman" w:cs="Times New Roman"/>
                <w:color w:val="auto"/>
                <w:highlight w:val="none"/>
              </w:rPr>
              <w:t>8</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highlight w:val="none"/>
              </w:rPr>
              <w:t>.4</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3</w:t>
            </w:r>
            <w:r>
              <w:rPr>
                <w:rFonts w:hint="default" w:ascii="Times New Roman" w:cs="Times New Roman"/>
                <w:color w:val="auto"/>
                <w:highlight w:val="none"/>
              </w:rPr>
              <w:t>.4</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highlight w:val="none"/>
              </w:rPr>
              <w:t>3</w:t>
            </w:r>
          </w:p>
        </w:tc>
        <w:tc>
          <w:tcPr>
            <w:tcW w:w="745"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砷</w:t>
            </w: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水田</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3</w:t>
            </w:r>
            <w:r>
              <w:rPr>
                <w:rFonts w:hint="default" w:ascii="Times New Roman" w:cs="Times New Roman"/>
                <w:color w:val="auto"/>
                <w:highlight w:val="none"/>
              </w:rPr>
              <w:t>0</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3</w:t>
            </w:r>
            <w:r>
              <w:rPr>
                <w:rFonts w:hint="default" w:ascii="Times New Roman" w:cs="Times New Roman"/>
                <w:color w:val="auto"/>
                <w:highlight w:val="none"/>
              </w:rPr>
              <w:t>0</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highlight w:val="none"/>
              </w:rPr>
              <w:t>5</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2"/>
                <w:highlight w:val="none"/>
              </w:rPr>
              <w:t>2</w:t>
            </w:r>
            <w:r>
              <w:rPr>
                <w:rFonts w:hint="default" w:asci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5"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其他</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4</w:t>
            </w:r>
            <w:r>
              <w:rPr>
                <w:rFonts w:hint="default" w:ascii="Times New Roman" w:cs="Times New Roman"/>
                <w:color w:val="auto"/>
                <w:highlight w:val="none"/>
              </w:rPr>
              <w:t>0</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4</w:t>
            </w:r>
            <w:r>
              <w:rPr>
                <w:rFonts w:hint="default" w:ascii="Times New Roman" w:cs="Times New Roman"/>
                <w:color w:val="auto"/>
                <w:highlight w:val="none"/>
              </w:rPr>
              <w:t>0</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3</w:t>
            </w:r>
            <w:r>
              <w:rPr>
                <w:rFonts w:hint="default" w:ascii="Times New Roman" w:cs="Times New Roman"/>
                <w:color w:val="auto"/>
                <w:highlight w:val="none"/>
              </w:rPr>
              <w:t>0</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highlight w:val="none"/>
              </w:rPr>
              <w:t>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highlight w:val="none"/>
              </w:rPr>
              <w:t>4</w:t>
            </w:r>
          </w:p>
        </w:tc>
        <w:tc>
          <w:tcPr>
            <w:tcW w:w="745"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铅</w:t>
            </w: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水田</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8</w:t>
            </w:r>
            <w:r>
              <w:rPr>
                <w:rFonts w:hint="default" w:ascii="Times New Roman" w:cs="Times New Roman"/>
                <w:color w:val="auto"/>
                <w:highlight w:val="none"/>
              </w:rPr>
              <w:t>0</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10</w:t>
            </w:r>
            <w:r>
              <w:rPr>
                <w:rFonts w:hint="default" w:ascii="Times New Roman" w:cs="Times New Roman"/>
                <w:color w:val="auto"/>
                <w:highlight w:val="none"/>
              </w:rPr>
              <w:t>0</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14</w:t>
            </w:r>
            <w:r>
              <w:rPr>
                <w:rFonts w:hint="default" w:ascii="Times New Roman" w:cs="Times New Roman"/>
                <w:color w:val="auto"/>
                <w:highlight w:val="none"/>
              </w:rPr>
              <w:t>0</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2"/>
                <w:highlight w:val="none"/>
              </w:rPr>
              <w:t>2</w:t>
            </w:r>
            <w:r>
              <w:rPr>
                <w:rFonts w:hint="default" w:ascii="Times New Roman" w:cs="Times New Roman"/>
                <w:color w:val="auto"/>
                <w:spacing w:val="1"/>
                <w:highlight w:val="none"/>
              </w:rPr>
              <w:t>4</w:t>
            </w:r>
            <w:r>
              <w:rPr>
                <w:rFonts w:hint="default" w:asci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5"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其他</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7</w:t>
            </w:r>
            <w:r>
              <w:rPr>
                <w:rFonts w:hint="default" w:ascii="Times New Roman" w:cs="Times New Roman"/>
                <w:color w:val="auto"/>
                <w:highlight w:val="none"/>
              </w:rPr>
              <w:t>0</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9</w:t>
            </w:r>
            <w:r>
              <w:rPr>
                <w:rFonts w:hint="default" w:ascii="Times New Roman" w:cs="Times New Roman"/>
                <w:color w:val="auto"/>
                <w:highlight w:val="none"/>
              </w:rPr>
              <w:t>0</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2</w:t>
            </w:r>
            <w:r>
              <w:rPr>
                <w:rFonts w:hint="default" w:ascii="Times New Roman" w:cs="Times New Roman"/>
                <w:color w:val="auto"/>
                <w:highlight w:val="none"/>
              </w:rPr>
              <w:t>0</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7</w:t>
            </w:r>
            <w:r>
              <w:rPr>
                <w:rFonts w:hint="default" w:asci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highlight w:val="none"/>
              </w:rPr>
              <w:t>5</w:t>
            </w:r>
          </w:p>
        </w:tc>
        <w:tc>
          <w:tcPr>
            <w:tcW w:w="745"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铬</w:t>
            </w: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水田</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spacing w:val="-2"/>
                <w:highlight w:val="none"/>
              </w:rPr>
              <w:t>5</w:t>
            </w:r>
            <w:r>
              <w:rPr>
                <w:rFonts w:hint="default" w:ascii="Times New Roman" w:cs="Times New Roman"/>
                <w:color w:val="auto"/>
                <w:highlight w:val="none"/>
              </w:rPr>
              <w:t>0</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spacing w:val="-2"/>
                <w:highlight w:val="none"/>
              </w:rPr>
              <w:t>5</w:t>
            </w:r>
            <w:r>
              <w:rPr>
                <w:rFonts w:hint="default" w:ascii="Times New Roman" w:cs="Times New Roman"/>
                <w:color w:val="auto"/>
                <w:highlight w:val="none"/>
              </w:rPr>
              <w:t>0</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3</w:t>
            </w:r>
            <w:r>
              <w:rPr>
                <w:rFonts w:hint="default" w:ascii="Times New Roman" w:cs="Times New Roman"/>
                <w:color w:val="auto"/>
                <w:spacing w:val="-2"/>
                <w:highlight w:val="none"/>
              </w:rPr>
              <w:t>0</w:t>
            </w:r>
            <w:r>
              <w:rPr>
                <w:rFonts w:hint="default" w:ascii="Times New Roman" w:cs="Times New Roman"/>
                <w:color w:val="auto"/>
                <w:highlight w:val="none"/>
              </w:rPr>
              <w:t>0</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3</w:t>
            </w:r>
            <w:r>
              <w:rPr>
                <w:rFonts w:hint="default" w:ascii="Times New Roman" w:cs="Times New Roman"/>
                <w:color w:val="auto"/>
                <w:spacing w:val="-2"/>
                <w:highlight w:val="none"/>
              </w:rPr>
              <w:t>5</w:t>
            </w:r>
            <w:r>
              <w:rPr>
                <w:rFonts w:hint="default" w:asci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5"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其他</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5</w:t>
            </w:r>
            <w:r>
              <w:rPr>
                <w:rFonts w:hint="default" w:ascii="Times New Roman" w:cs="Times New Roman"/>
                <w:color w:val="auto"/>
                <w:highlight w:val="none"/>
              </w:rPr>
              <w:t>0</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5</w:t>
            </w:r>
            <w:r>
              <w:rPr>
                <w:rFonts w:hint="default" w:ascii="Times New Roman" w:cs="Times New Roman"/>
                <w:color w:val="auto"/>
                <w:highlight w:val="none"/>
              </w:rPr>
              <w:t>0</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spacing w:val="-2"/>
                <w:highlight w:val="none"/>
              </w:rPr>
              <w:t>0</w:t>
            </w:r>
            <w:r>
              <w:rPr>
                <w:rFonts w:hint="default" w:ascii="Times New Roman" w:cs="Times New Roman"/>
                <w:color w:val="auto"/>
                <w:highlight w:val="none"/>
              </w:rPr>
              <w:t>0</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spacing w:val="-2"/>
                <w:highlight w:val="none"/>
              </w:rPr>
              <w:t>5</w:t>
            </w:r>
            <w:r>
              <w:rPr>
                <w:rFonts w:hint="default" w:asci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highlight w:val="none"/>
              </w:rPr>
              <w:t>6</w:t>
            </w:r>
          </w:p>
        </w:tc>
        <w:tc>
          <w:tcPr>
            <w:tcW w:w="745" w:type="dxa"/>
            <w:vMerge w:val="restart"/>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铜</w:t>
            </w: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果园</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5</w:t>
            </w:r>
            <w:r>
              <w:rPr>
                <w:rFonts w:hint="default" w:ascii="Times New Roman" w:cs="Times New Roman"/>
                <w:color w:val="auto"/>
                <w:highlight w:val="none"/>
              </w:rPr>
              <w:t>0</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5</w:t>
            </w:r>
            <w:r>
              <w:rPr>
                <w:rFonts w:hint="default" w:ascii="Times New Roman" w:cs="Times New Roman"/>
                <w:color w:val="auto"/>
                <w:highlight w:val="none"/>
              </w:rPr>
              <w:t>0</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spacing w:val="-2"/>
                <w:highlight w:val="none"/>
              </w:rPr>
              <w:t>0</w:t>
            </w:r>
            <w:r>
              <w:rPr>
                <w:rFonts w:hint="default" w:ascii="Times New Roman" w:cs="Times New Roman"/>
                <w:color w:val="auto"/>
                <w:highlight w:val="none"/>
              </w:rPr>
              <w:t>0</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spacing w:val="-2"/>
                <w:highlight w:val="none"/>
              </w:rPr>
              <w:t>0</w:t>
            </w:r>
            <w:r>
              <w:rPr>
                <w:rFonts w:hint="default" w:asci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5" w:type="dxa"/>
            <w:vMerge w:val="continue"/>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p>
        </w:tc>
        <w:tc>
          <w:tcPr>
            <w:tcW w:w="747"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其他</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5</w:t>
            </w:r>
            <w:r>
              <w:rPr>
                <w:rFonts w:hint="default" w:ascii="Times New Roman" w:cs="Times New Roman"/>
                <w:color w:val="auto"/>
                <w:highlight w:val="none"/>
              </w:rPr>
              <w:t>0</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5</w:t>
            </w:r>
            <w:r>
              <w:rPr>
                <w:rFonts w:hint="default" w:ascii="Times New Roman" w:cs="Times New Roman"/>
                <w:color w:val="auto"/>
                <w:highlight w:val="none"/>
              </w:rPr>
              <w:t>0</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0</w:t>
            </w:r>
            <w:r>
              <w:rPr>
                <w:rFonts w:hint="default" w:ascii="Times New Roman" w:cs="Times New Roman"/>
                <w:color w:val="auto"/>
                <w:highlight w:val="none"/>
              </w:rPr>
              <w:t>0</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0</w:t>
            </w:r>
            <w:r>
              <w:rPr>
                <w:rFonts w:hint="default" w:asci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highlight w:val="none"/>
              </w:rPr>
              <w:t>7</w:t>
            </w:r>
          </w:p>
        </w:tc>
        <w:tc>
          <w:tcPr>
            <w:tcW w:w="1492" w:type="dxa"/>
            <w:gridSpan w:val="2"/>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镍</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6</w:t>
            </w:r>
            <w:r>
              <w:rPr>
                <w:rFonts w:hint="default" w:ascii="Times New Roman" w:cs="Times New Roman"/>
                <w:color w:val="auto"/>
                <w:highlight w:val="none"/>
              </w:rPr>
              <w:t>0</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7</w:t>
            </w:r>
            <w:r>
              <w:rPr>
                <w:rFonts w:hint="default" w:ascii="Times New Roman" w:cs="Times New Roman"/>
                <w:color w:val="auto"/>
                <w:highlight w:val="none"/>
              </w:rPr>
              <w:t>0</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0</w:t>
            </w:r>
            <w:r>
              <w:rPr>
                <w:rFonts w:hint="default" w:ascii="Times New Roman" w:cs="Times New Roman"/>
                <w:color w:val="auto"/>
                <w:highlight w:val="none"/>
              </w:rPr>
              <w:t>0</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1</w:t>
            </w:r>
            <w:r>
              <w:rPr>
                <w:rFonts w:hint="default" w:ascii="Times New Roman" w:cs="Times New Roman"/>
                <w:color w:val="auto"/>
                <w:spacing w:val="-2"/>
                <w:highlight w:val="none"/>
              </w:rPr>
              <w:t>9</w:t>
            </w:r>
            <w:r>
              <w:rPr>
                <w:rFonts w:hint="default" w:asci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88" w:hRule="exact"/>
        </w:trPr>
        <w:tc>
          <w:tcPr>
            <w:tcW w:w="648"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highlight w:val="none"/>
              </w:rPr>
              <w:t>8</w:t>
            </w:r>
          </w:p>
        </w:tc>
        <w:tc>
          <w:tcPr>
            <w:tcW w:w="1492" w:type="dxa"/>
            <w:gridSpan w:val="2"/>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eastAsia"/>
                <w:color w:val="auto"/>
                <w:highlight w:val="none"/>
              </w:rPr>
              <w:t>锌</w:t>
            </w:r>
          </w:p>
        </w:tc>
        <w:tc>
          <w:tcPr>
            <w:tcW w:w="1563"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spacing w:val="-2"/>
                <w:highlight w:val="none"/>
              </w:rPr>
              <w:t>0</w:t>
            </w:r>
            <w:r>
              <w:rPr>
                <w:rFonts w:hint="default" w:ascii="Times New Roman" w:cs="Times New Roman"/>
                <w:color w:val="auto"/>
                <w:highlight w:val="none"/>
              </w:rPr>
              <w:t>0</w:t>
            </w:r>
          </w:p>
        </w:tc>
        <w:tc>
          <w:tcPr>
            <w:tcW w:w="151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spacing w:val="-2"/>
                <w:highlight w:val="none"/>
              </w:rPr>
              <w:t>0</w:t>
            </w:r>
            <w:r>
              <w:rPr>
                <w:rFonts w:hint="default" w:ascii="Times New Roman" w:cs="Times New Roman"/>
                <w:color w:val="auto"/>
                <w:highlight w:val="none"/>
              </w:rPr>
              <w:t>0</w:t>
            </w:r>
          </w:p>
        </w:tc>
        <w:tc>
          <w:tcPr>
            <w:tcW w:w="1755"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2</w:t>
            </w:r>
            <w:r>
              <w:rPr>
                <w:rFonts w:hint="default" w:ascii="Times New Roman" w:cs="Times New Roman"/>
                <w:color w:val="auto"/>
                <w:spacing w:val="-2"/>
                <w:highlight w:val="none"/>
              </w:rPr>
              <w:t>5</w:t>
            </w:r>
            <w:r>
              <w:rPr>
                <w:rFonts w:hint="default" w:ascii="Times New Roman" w:cs="Times New Roman"/>
                <w:color w:val="auto"/>
                <w:highlight w:val="none"/>
              </w:rPr>
              <w:t>0</w:t>
            </w:r>
          </w:p>
        </w:tc>
        <w:tc>
          <w:tcPr>
            <w:tcW w:w="1339" w:type="dxa"/>
            <w:tcBorders>
              <w:tl2br w:val="nil"/>
              <w:tr2bl w:val="nil"/>
            </w:tcBorders>
            <w:vAlign w:val="center"/>
          </w:tcPr>
          <w:p>
            <w:pPr>
              <w:pStyle w:val="4"/>
              <w:keepNext w:val="0"/>
              <w:keepLines w:val="0"/>
              <w:suppressLineNumbers w:val="0"/>
              <w:kinsoku w:val="0"/>
              <w:overflowPunct w:val="0"/>
              <w:spacing w:before="0" w:beforeAutospacing="0" w:after="0" w:afterAutospacing="0" w:line="240" w:lineRule="auto"/>
              <w:ind w:left="0" w:right="0"/>
              <w:jc w:val="center"/>
              <w:rPr>
                <w:rFonts w:hint="default" w:ascii="Times New Roman" w:cs="Times New Roman"/>
                <w:color w:val="auto"/>
                <w:sz w:val="24"/>
                <w:szCs w:val="24"/>
                <w:highlight w:val="none"/>
              </w:rPr>
            </w:pPr>
            <w:r>
              <w:rPr>
                <w:rFonts w:hint="default" w:ascii="Times New Roman" w:cs="Times New Roman"/>
                <w:color w:val="auto"/>
                <w:spacing w:val="1"/>
                <w:highlight w:val="none"/>
              </w:rPr>
              <w:t>3</w:t>
            </w:r>
            <w:r>
              <w:rPr>
                <w:rFonts w:hint="default" w:ascii="Times New Roman" w:cs="Times New Roman"/>
                <w:color w:val="auto"/>
                <w:spacing w:val="-2"/>
                <w:highlight w:val="none"/>
              </w:rPr>
              <w:t>0</w:t>
            </w:r>
            <w:r>
              <w:rPr>
                <w:rFonts w:hint="default" w:ascii="Times New Roman" w:cs="Times New Roman"/>
                <w:color w:val="auto"/>
                <w:highlight w:val="none"/>
              </w:rPr>
              <w:t>0</w:t>
            </w:r>
          </w:p>
        </w:tc>
      </w:tr>
    </w:tbl>
    <w:p>
      <w:pPr>
        <w:pStyle w:val="4"/>
        <w:kinsoku w:val="0"/>
        <w:overflowPunct w:val="0"/>
        <w:rPr>
          <w:rFonts w:ascii="Times New Roman" w:hAnsi="Times New Roman" w:cs="Times New Roman"/>
          <w:color w:val="auto"/>
          <w:sz w:val="24"/>
          <w:szCs w:val="24"/>
          <w:highlight w:val="none"/>
        </w:rPr>
      </w:pPr>
      <w:bookmarkStart w:id="50" w:name="注：①重金属和类金属砷均按元素总量计。"/>
      <w:bookmarkEnd w:id="50"/>
      <w:bookmarkStart w:id="51" w:name="4.1基本项目"/>
      <w:bookmarkEnd w:id="51"/>
      <w:bookmarkStart w:id="52" w:name="3.3"/>
      <w:bookmarkEnd w:id="52"/>
      <w:bookmarkStart w:id="53" w:name="bookmark0"/>
      <w:bookmarkEnd w:id="53"/>
      <w:bookmarkStart w:id="54" w:name="4_农用地土壤污染风险筛选值"/>
      <w:bookmarkEnd w:id="54"/>
      <w:bookmarkStart w:id="55" w:name="3.4"/>
      <w:bookmarkEnd w:id="55"/>
      <w:bookmarkStart w:id="56" w:name="3.5"/>
      <w:bookmarkEnd w:id="56"/>
      <w:bookmarkStart w:id="57" w:name="4.2其他项目"/>
      <w:bookmarkEnd w:id="57"/>
      <w:r>
        <w:rPr>
          <w:rFonts w:hint="eastAsia"/>
          <w:color w:val="auto"/>
          <w:highlight w:val="none"/>
        </w:rPr>
        <w:t>注：</w:t>
      </w:r>
      <w:bookmarkStart w:id="58" w:name="指因土壤污染导致食用农产品质量安全、农作物生长或土壤生态环境受到不利影响。"/>
      <w:bookmarkEnd w:id="58"/>
      <w:bookmarkStart w:id="59" w:name="指农用地土壤中污染物含量等于或者低于该值的，对农产品质量安全、农作物生长或土壤生"/>
      <w:bookmarkEnd w:id="59"/>
      <w:bookmarkStart w:id="60" w:name="指农用地土壤中污染物含量超过该值的，食用农产品不符合质量安全标准等农用地土壤污染"/>
      <w:bookmarkEnd w:id="60"/>
      <w:r>
        <w:rPr>
          <w:rFonts w:hint="eastAsia"/>
          <w:color w:val="auto"/>
          <w:highlight w:val="none"/>
        </w:rPr>
        <w:t>①重金属和类金属砷均按元素总量计。</w:t>
      </w:r>
      <w:bookmarkStart w:id="61" w:name="②对于水旱轮作地，采用其中较严格的风险筛选值。"/>
      <w:bookmarkEnd w:id="61"/>
      <w:r>
        <w:rPr>
          <w:rFonts w:hint="eastAsia"/>
          <w:color w:val="auto"/>
          <w:highlight w:val="none"/>
        </w:rPr>
        <w:t>②对于水旱轮作地，采用其中较严格的风险筛选值。</w:t>
      </w:r>
    </w:p>
    <w:p>
      <w:pPr>
        <w:pStyle w:val="8"/>
        <w:spacing w:before="0" w:after="0" w:line="360" w:lineRule="auto"/>
        <w:ind w:left="0" w:firstLine="0"/>
        <w:rPr>
          <w:rFonts w:cs="Times New Roman"/>
          <w:color w:val="auto"/>
          <w:highlight w:val="none"/>
        </w:rPr>
      </w:pPr>
      <w:bookmarkStart w:id="62" w:name="_Toc11859"/>
      <w:r>
        <w:rPr>
          <w:rFonts w:cs="Times New Roman"/>
          <w:color w:val="auto"/>
          <w:highlight w:val="none"/>
        </w:rPr>
        <w:t>污染物排放标准</w:t>
      </w:r>
      <w:bookmarkEnd w:id="62"/>
    </w:p>
    <w:p>
      <w:pPr>
        <w:pStyle w:val="158"/>
        <w:ind w:firstLine="480"/>
        <w:rPr>
          <w:color w:val="auto"/>
          <w:highlight w:val="none"/>
        </w:rPr>
      </w:pPr>
      <w:r>
        <w:rPr>
          <w:color w:val="auto"/>
          <w:highlight w:val="none"/>
        </w:rPr>
        <w:t>（1）废水</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本项目废水排水量执行《畜禽养殖业污染物排放标准》（GB18596-2001）中表4集约化畜禽养殖业干清粪工艺最高允许排水量，具体见表2.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；废水排放浓度</w:t>
      </w:r>
      <w:r>
        <w:rPr>
          <w:rFonts w:hint="eastAsia" w:ascii="Times New Roman" w:hAnsi="Times New Roman" w:eastAsia="宋体" w:cs="Times New Roman"/>
          <w:color w:val="auto"/>
          <w:sz w:val="24"/>
          <w:szCs w:val="24"/>
          <w:highlight w:val="none"/>
          <w:lang w:eastAsia="zh-CN"/>
        </w:rPr>
        <w:t>氨氮、总磷执行</w:t>
      </w:r>
      <w:r>
        <w:rPr>
          <w:rFonts w:hint="default" w:ascii="Times New Roman" w:hAnsi="Times New Roman" w:eastAsia="宋体" w:cs="Times New Roman"/>
          <w:color w:val="auto"/>
          <w:sz w:val="24"/>
          <w:szCs w:val="24"/>
          <w:highlight w:val="none"/>
        </w:rPr>
        <w:t>《畜禽养殖业污染物排放标准》（GB18596-2001）</w:t>
      </w:r>
      <w:r>
        <w:rPr>
          <w:rFonts w:hint="eastAsia" w:ascii="Times New Roman" w:hAnsi="Times New Roman" w:eastAsia="宋体" w:cs="Times New Roman"/>
          <w:color w:val="auto"/>
          <w:sz w:val="24"/>
          <w:szCs w:val="24"/>
          <w:highlight w:val="none"/>
          <w:lang w:eastAsia="zh-CN"/>
        </w:rPr>
        <w:t>，其余</w:t>
      </w:r>
      <w:r>
        <w:rPr>
          <w:rFonts w:hint="default" w:ascii="Times New Roman" w:hAnsi="Times New Roman" w:eastAsia="宋体" w:cs="Times New Roman"/>
          <w:color w:val="auto"/>
          <w:sz w:val="24"/>
          <w:szCs w:val="24"/>
          <w:highlight w:val="none"/>
        </w:rPr>
        <w:t>执行《农田灌溉水质标准》（GB5084-20</w:t>
      </w:r>
      <w:r>
        <w:rPr>
          <w:rFonts w:hint="eastAsia" w:ascii="Times New Roman" w:hAnsi="Times New Roman" w:eastAsia="宋体"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）中旱</w:t>
      </w:r>
      <w:r>
        <w:rPr>
          <w:rFonts w:hint="eastAsia" w:ascii="Times New Roman" w:hAnsi="Times New Roman" w:eastAsia="宋体" w:cs="Times New Roman"/>
          <w:color w:val="auto"/>
          <w:sz w:val="24"/>
          <w:szCs w:val="24"/>
          <w:highlight w:val="none"/>
          <w:lang w:eastAsia="zh-CN"/>
        </w:rPr>
        <w:t>地作物</w:t>
      </w:r>
      <w:r>
        <w:rPr>
          <w:rFonts w:hint="default" w:ascii="Times New Roman" w:hAnsi="Times New Roman" w:eastAsia="宋体" w:cs="Times New Roman"/>
          <w:color w:val="auto"/>
          <w:sz w:val="24"/>
          <w:szCs w:val="24"/>
          <w:highlight w:val="none"/>
        </w:rPr>
        <w:t>标准，具体见表2.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7，表2.5-8</w:t>
      </w:r>
      <w:r>
        <w:rPr>
          <w:rFonts w:hint="default" w:ascii="Times New Roman" w:hAnsi="Times New Roman" w:eastAsia="宋体" w:cs="Times New Roman"/>
          <w:color w:val="auto"/>
          <w:sz w:val="24"/>
          <w:szCs w:val="24"/>
          <w:highlight w:val="none"/>
        </w:rPr>
        <w:t>。</w:t>
      </w:r>
    </w:p>
    <w:p>
      <w:pPr>
        <w:numPr>
          <w:ilvl w:val="0"/>
          <w:numId w:val="6"/>
        </w:numPr>
        <w:tabs>
          <w:tab w:val="left" w:pos="0"/>
        </w:tabs>
        <w:ind w:left="425" w:leftChars="0" w:hanging="425" w:firstLineChars="0"/>
        <w:jc w:val="center"/>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集约化畜禽养殖业干清粪工艺最高允许排水量表</w:t>
      </w:r>
    </w:p>
    <w:tbl>
      <w:tblPr>
        <w:tblStyle w:val="9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1" w:type="dxa"/>
          <w:bottom w:w="0" w:type="dxa"/>
          <w:right w:w="11" w:type="dxa"/>
        </w:tblCellMar>
      </w:tblPr>
      <w:tblGrid>
        <w:gridCol w:w="2937"/>
        <w:gridCol w:w="2935"/>
        <w:gridCol w:w="29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26" w:hRule="atLeast"/>
          <w:jc w:val="center"/>
        </w:trPr>
        <w:tc>
          <w:tcPr>
            <w:tcW w:w="2937"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种类</w:t>
            </w:r>
          </w:p>
        </w:tc>
        <w:tc>
          <w:tcPr>
            <w:tcW w:w="5872" w:type="dxa"/>
            <w:gridSpan w:val="2"/>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牛</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/（百头.d）]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26" w:hRule="atLeast"/>
          <w:jc w:val="center"/>
        </w:trPr>
        <w:tc>
          <w:tcPr>
            <w:tcW w:w="2937"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季节</w:t>
            </w:r>
          </w:p>
        </w:tc>
        <w:tc>
          <w:tcPr>
            <w:tcW w:w="2935"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冬季</w:t>
            </w:r>
          </w:p>
        </w:tc>
        <w:tc>
          <w:tcPr>
            <w:tcW w:w="2937"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夏季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26" w:hRule="atLeast"/>
          <w:jc w:val="center"/>
        </w:trPr>
        <w:tc>
          <w:tcPr>
            <w:tcW w:w="2937"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2935"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17</w:t>
            </w:r>
          </w:p>
        </w:tc>
        <w:tc>
          <w:tcPr>
            <w:tcW w:w="2937"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20</w:t>
            </w:r>
          </w:p>
        </w:tc>
      </w:tr>
    </w:tbl>
    <w:p>
      <w:pPr>
        <w:pStyle w:val="158"/>
        <w:ind w:firstLine="480"/>
        <w:rPr>
          <w:rFonts w:hint="eastAsia" w:ascii="Times New Roman" w:hAnsi="Times New Roman" w:cs="Times New Roman"/>
          <w:color w:val="auto"/>
          <w:sz w:val="21"/>
          <w:szCs w:val="21"/>
          <w:highlight w:val="none"/>
        </w:rPr>
      </w:pPr>
      <w:r>
        <w:rPr>
          <w:rFonts w:hint="eastAsia" w:cs="Times New Roman"/>
          <w:color w:val="auto"/>
          <w:sz w:val="21"/>
          <w:szCs w:val="21"/>
          <w:highlight w:val="none"/>
          <w:lang w:eastAsia="zh-CN"/>
        </w:rPr>
        <w:t>注</w:t>
      </w:r>
      <w:r>
        <w:rPr>
          <w:rFonts w:hint="eastAsia" w:ascii="Times New Roman" w:hAnsi="Times New Roman" w:cs="Times New Roman"/>
          <w:color w:val="auto"/>
          <w:sz w:val="21"/>
          <w:szCs w:val="21"/>
          <w:highlight w:val="none"/>
        </w:rPr>
        <w:t>：百头指存栏数。春，秋季污水最高允许排放量按冬、夏两季的平均值计算。</w:t>
      </w:r>
    </w:p>
    <w:p>
      <w:pPr>
        <w:numPr>
          <w:ilvl w:val="0"/>
          <w:numId w:val="6"/>
        </w:numPr>
        <w:tabs>
          <w:tab w:val="left" w:pos="0"/>
        </w:tabs>
        <w:ind w:left="425" w:leftChars="0" w:hanging="425" w:firstLineChars="0"/>
        <w:jc w:val="center"/>
        <w:rPr>
          <w:b/>
          <w:color w:val="auto"/>
          <w:szCs w:val="21"/>
          <w:highlight w:val="none"/>
        </w:rPr>
      </w:pPr>
      <w:r>
        <w:rPr>
          <w:rFonts w:hint="eastAsia" w:ascii="Times New Roman" w:hAnsi="Times New Roman" w:eastAsia="宋体" w:cs="Times New Roman"/>
          <w:b/>
          <w:bCs/>
          <w:color w:val="auto"/>
          <w:highlight w:val="none"/>
          <w:lang w:val="en-US" w:eastAsia="zh-CN"/>
        </w:rPr>
        <w:t>集约化畜禽养殖业水污染物最高允许日排放浓度</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2" w:space="0"/>
        </w:tblBorders>
        <w:tblLayout w:type="autofit"/>
        <w:tblCellMar>
          <w:top w:w="0" w:type="dxa"/>
          <w:left w:w="108" w:type="dxa"/>
          <w:bottom w:w="0" w:type="dxa"/>
          <w:right w:w="108" w:type="dxa"/>
        </w:tblCellMar>
      </w:tblPr>
      <w:tblGrid>
        <w:gridCol w:w="1790"/>
        <w:gridCol w:w="767"/>
        <w:gridCol w:w="864"/>
        <w:gridCol w:w="670"/>
        <w:gridCol w:w="934"/>
        <w:gridCol w:w="1164"/>
        <w:gridCol w:w="1165"/>
        <w:gridCol w:w="1165"/>
      </w:tblGrid>
      <w:tr>
        <w:tblPrEx>
          <w:tblBorders>
            <w:top w:val="single" w:color="auto" w:sz="12" w:space="0"/>
            <w:left w:val="none" w:color="auto" w:sz="0" w:space="0"/>
            <w:bottom w:val="single" w:color="auto" w:sz="12" w:space="0"/>
            <w:right w:val="none" w:color="auto" w:sz="0" w:space="0"/>
            <w:insideH w:val="single" w:color="auto" w:sz="6" w:space="0"/>
            <w:insideV w:val="single" w:color="auto" w:sz="2" w:space="0"/>
          </w:tblBorders>
          <w:tblCellMar>
            <w:top w:w="0" w:type="dxa"/>
            <w:left w:w="108" w:type="dxa"/>
            <w:bottom w:w="0" w:type="dxa"/>
            <w:right w:w="108" w:type="dxa"/>
          </w:tblCellMar>
        </w:tblPrEx>
        <w:trPr>
          <w:trHeight w:val="340" w:hRule="atLeast"/>
        </w:trPr>
        <w:tc>
          <w:tcPr>
            <w:tcW w:w="105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szCs w:val="21"/>
                <w:highlight w:val="none"/>
              </w:rPr>
              <w:t>项目</w:t>
            </w:r>
          </w:p>
        </w:tc>
        <w:tc>
          <w:tcPr>
            <w:tcW w:w="45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val="0"/>
                <w:color w:val="auto"/>
                <w:kern w:val="0"/>
                <w:szCs w:val="21"/>
                <w:highlight w:val="none"/>
              </w:rPr>
            </w:pPr>
            <w:r>
              <w:rPr>
                <w:rFonts w:hint="default" w:ascii="Times New Roman" w:hAnsi="Times New Roman" w:cs="Times New Roman"/>
                <w:b/>
                <w:bCs w:val="0"/>
                <w:color w:val="auto"/>
                <w:kern w:val="0"/>
                <w:szCs w:val="21"/>
                <w:highlight w:val="none"/>
              </w:rPr>
              <w:t>COD</w:t>
            </w:r>
          </w:p>
        </w:tc>
        <w:tc>
          <w:tcPr>
            <w:tcW w:w="50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val="0"/>
                <w:color w:val="auto"/>
                <w:kern w:val="0"/>
                <w:szCs w:val="21"/>
                <w:highlight w:val="none"/>
              </w:rPr>
            </w:pPr>
            <w:r>
              <w:rPr>
                <w:rFonts w:hint="default" w:ascii="Times New Roman" w:hAnsi="Times New Roman" w:cs="Times New Roman"/>
                <w:b/>
                <w:bCs w:val="0"/>
                <w:color w:val="auto"/>
                <w:kern w:val="0"/>
                <w:szCs w:val="21"/>
                <w:highlight w:val="none"/>
              </w:rPr>
              <w:t>BOD</w:t>
            </w:r>
            <w:r>
              <w:rPr>
                <w:rFonts w:hint="default" w:ascii="Times New Roman" w:hAnsi="Times New Roman" w:cs="Times New Roman"/>
                <w:b/>
                <w:bCs w:val="0"/>
                <w:color w:val="auto"/>
                <w:kern w:val="0"/>
                <w:szCs w:val="21"/>
                <w:highlight w:val="none"/>
                <w:vertAlign w:val="subscript"/>
              </w:rPr>
              <w:t>5</w:t>
            </w:r>
          </w:p>
        </w:tc>
        <w:tc>
          <w:tcPr>
            <w:tcW w:w="393"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val="0"/>
                <w:color w:val="auto"/>
                <w:kern w:val="0"/>
                <w:szCs w:val="21"/>
                <w:highlight w:val="none"/>
              </w:rPr>
            </w:pPr>
            <w:r>
              <w:rPr>
                <w:rFonts w:hint="default" w:ascii="Times New Roman" w:hAnsi="Times New Roman" w:cs="Times New Roman"/>
                <w:b/>
                <w:bCs w:val="0"/>
                <w:color w:val="auto"/>
                <w:kern w:val="0"/>
                <w:szCs w:val="21"/>
                <w:highlight w:val="none"/>
              </w:rPr>
              <w:t>SS</w:t>
            </w:r>
          </w:p>
        </w:tc>
        <w:tc>
          <w:tcPr>
            <w:tcW w:w="54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val="0"/>
                <w:color w:val="auto"/>
                <w:kern w:val="0"/>
                <w:szCs w:val="21"/>
                <w:highlight w:val="none"/>
              </w:rPr>
            </w:pPr>
            <w:r>
              <w:rPr>
                <w:rFonts w:hint="default" w:ascii="Times New Roman" w:hAnsi="Times New Roman" w:cs="Times New Roman"/>
                <w:b/>
                <w:bCs w:val="0"/>
                <w:color w:val="auto"/>
                <w:kern w:val="0"/>
                <w:szCs w:val="21"/>
                <w:highlight w:val="none"/>
              </w:rPr>
              <w:t>NH</w:t>
            </w:r>
            <w:r>
              <w:rPr>
                <w:rFonts w:hint="default" w:ascii="Times New Roman" w:hAnsi="Times New Roman" w:cs="Times New Roman"/>
                <w:b/>
                <w:bCs w:val="0"/>
                <w:color w:val="auto"/>
                <w:kern w:val="0"/>
                <w:szCs w:val="21"/>
                <w:highlight w:val="none"/>
                <w:vertAlign w:val="subscript"/>
              </w:rPr>
              <w:t>3</w:t>
            </w:r>
            <w:r>
              <w:rPr>
                <w:rFonts w:hint="default" w:ascii="Times New Roman" w:hAnsi="Times New Roman" w:cs="Times New Roman"/>
                <w:b/>
                <w:bCs w:val="0"/>
                <w:color w:val="auto"/>
                <w:kern w:val="0"/>
                <w:szCs w:val="21"/>
                <w:highlight w:val="none"/>
              </w:rPr>
              <w:t>-N</w:t>
            </w:r>
          </w:p>
        </w:tc>
        <w:tc>
          <w:tcPr>
            <w:tcW w:w="683"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val="0"/>
                <w:color w:val="auto"/>
                <w:kern w:val="0"/>
                <w:szCs w:val="21"/>
                <w:highlight w:val="none"/>
              </w:rPr>
            </w:pPr>
            <w:r>
              <w:rPr>
                <w:rFonts w:hint="default" w:ascii="Times New Roman" w:hAnsi="Times New Roman" w:cs="Times New Roman"/>
                <w:b/>
                <w:bCs w:val="0"/>
                <w:color w:val="auto"/>
                <w:kern w:val="0"/>
                <w:szCs w:val="21"/>
                <w:highlight w:val="none"/>
              </w:rPr>
              <w:t>总磷</w:t>
            </w:r>
          </w:p>
        </w:tc>
        <w:tc>
          <w:tcPr>
            <w:tcW w:w="683"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b/>
                <w:bCs w:val="0"/>
                <w:color w:val="auto"/>
                <w:kern w:val="0"/>
                <w:szCs w:val="21"/>
                <w:highlight w:val="none"/>
                <w:lang w:val="en-US" w:eastAsia="zh-CN"/>
              </w:rPr>
            </w:pPr>
            <w:r>
              <w:rPr>
                <w:rFonts w:hint="default" w:ascii="Times New Roman" w:hAnsi="Times New Roman" w:cs="Times New Roman"/>
                <w:b/>
                <w:bCs w:val="0"/>
                <w:color w:val="auto"/>
                <w:kern w:val="0"/>
                <w:szCs w:val="21"/>
                <w:highlight w:val="none"/>
                <w:lang w:eastAsia="zh-CN"/>
              </w:rPr>
              <w:t>粪大肠菌群数（个</w:t>
            </w:r>
            <w:r>
              <w:rPr>
                <w:rFonts w:hint="default" w:ascii="Times New Roman" w:hAnsi="Times New Roman" w:cs="Times New Roman"/>
                <w:b/>
                <w:bCs w:val="0"/>
                <w:color w:val="auto"/>
                <w:kern w:val="0"/>
                <w:szCs w:val="21"/>
                <w:highlight w:val="none"/>
                <w:lang w:val="en-US" w:eastAsia="zh-CN"/>
              </w:rPr>
              <w:t>/100ml）</w:t>
            </w:r>
          </w:p>
        </w:tc>
        <w:tc>
          <w:tcPr>
            <w:tcW w:w="683"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val="0"/>
                <w:color w:val="auto"/>
                <w:kern w:val="0"/>
                <w:szCs w:val="21"/>
                <w:highlight w:val="none"/>
                <w:lang w:val="en-US" w:eastAsia="zh-CN"/>
              </w:rPr>
            </w:pPr>
            <w:r>
              <w:rPr>
                <w:rFonts w:hint="default" w:ascii="Times New Roman" w:hAnsi="Times New Roman" w:cs="Times New Roman"/>
                <w:b/>
                <w:bCs w:val="0"/>
                <w:color w:val="auto"/>
                <w:kern w:val="0"/>
                <w:szCs w:val="21"/>
                <w:highlight w:val="none"/>
                <w:lang w:eastAsia="zh-CN"/>
              </w:rPr>
              <w:t>蛔虫卵（个</w:t>
            </w:r>
            <w:r>
              <w:rPr>
                <w:rFonts w:hint="default" w:ascii="Times New Roman" w:hAnsi="Times New Roman" w:cs="Times New Roman"/>
                <w:b/>
                <w:bCs w:val="0"/>
                <w:color w:val="auto"/>
                <w:kern w:val="0"/>
                <w:szCs w:val="21"/>
                <w:highlight w:val="none"/>
                <w:lang w:val="en-US" w:eastAsia="zh-CN"/>
              </w:rPr>
              <w:t>/L）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2" w:space="0"/>
          </w:tblBorders>
          <w:tblCellMar>
            <w:top w:w="0" w:type="dxa"/>
            <w:left w:w="108" w:type="dxa"/>
            <w:bottom w:w="0" w:type="dxa"/>
            <w:right w:w="108" w:type="dxa"/>
          </w:tblCellMar>
        </w:tblPrEx>
        <w:trPr>
          <w:trHeight w:val="340" w:hRule="atLeast"/>
        </w:trPr>
        <w:tc>
          <w:tcPr>
            <w:tcW w:w="105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标准值（mg/L）</w:t>
            </w:r>
          </w:p>
        </w:tc>
        <w:tc>
          <w:tcPr>
            <w:tcW w:w="45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400</w:t>
            </w:r>
          </w:p>
        </w:tc>
        <w:tc>
          <w:tcPr>
            <w:tcW w:w="50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150</w:t>
            </w:r>
          </w:p>
        </w:tc>
        <w:tc>
          <w:tcPr>
            <w:tcW w:w="393"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200</w:t>
            </w:r>
          </w:p>
        </w:tc>
        <w:tc>
          <w:tcPr>
            <w:tcW w:w="54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80</w:t>
            </w:r>
          </w:p>
        </w:tc>
        <w:tc>
          <w:tcPr>
            <w:tcW w:w="68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8.0</w:t>
            </w:r>
          </w:p>
        </w:tc>
        <w:tc>
          <w:tcPr>
            <w:tcW w:w="68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1000</w:t>
            </w:r>
          </w:p>
        </w:tc>
        <w:tc>
          <w:tcPr>
            <w:tcW w:w="68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2.0</w:t>
            </w:r>
          </w:p>
        </w:tc>
      </w:tr>
    </w:tbl>
    <w:p>
      <w:pPr>
        <w:numPr>
          <w:ilvl w:val="0"/>
          <w:numId w:val="0"/>
        </w:numPr>
        <w:tabs>
          <w:tab w:val="left" w:pos="0"/>
        </w:tabs>
        <w:ind w:leftChars="0"/>
        <w:jc w:val="both"/>
        <w:rPr>
          <w:rFonts w:hint="eastAsia" w:ascii="Times New Roman" w:hAnsi="Times New Roman" w:eastAsia="宋体" w:cs="Times New Roman"/>
          <w:b/>
          <w:bCs/>
          <w:color w:val="auto"/>
          <w:highlight w:val="none"/>
          <w:lang w:val="en-US" w:eastAsia="zh-CN"/>
        </w:rPr>
      </w:pPr>
    </w:p>
    <w:p>
      <w:pPr>
        <w:numPr>
          <w:ilvl w:val="0"/>
          <w:numId w:val="6"/>
        </w:numPr>
        <w:tabs>
          <w:tab w:val="left" w:pos="0"/>
        </w:tabs>
        <w:ind w:left="425" w:leftChars="0" w:hanging="425" w:firstLineChars="0"/>
        <w:jc w:val="center"/>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农田灌溉用水水质基本控制项目标准值表</w:t>
      </w:r>
    </w:p>
    <w:tbl>
      <w:tblPr>
        <w:tblStyle w:val="9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1" w:type="dxa"/>
          <w:bottom w:w="0" w:type="dxa"/>
          <w:right w:w="11" w:type="dxa"/>
        </w:tblCellMar>
      </w:tblPr>
      <w:tblGrid>
        <w:gridCol w:w="1469"/>
        <w:gridCol w:w="2935"/>
        <w:gridCol w:w="1468"/>
        <w:gridCol w:w="1468"/>
        <w:gridCol w:w="14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34" w:hRule="atLeast"/>
          <w:jc w:val="center"/>
        </w:trPr>
        <w:tc>
          <w:tcPr>
            <w:tcW w:w="1469" w:type="dxa"/>
            <w:vMerge w:val="restart"/>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2935" w:type="dxa"/>
            <w:vMerge w:val="restart"/>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项目类别</w:t>
            </w:r>
          </w:p>
        </w:tc>
        <w:tc>
          <w:tcPr>
            <w:tcW w:w="4405" w:type="dxa"/>
            <w:gridSpan w:val="3"/>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作物种类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34" w:hRule="atLeast"/>
          <w:jc w:val="center"/>
        </w:trPr>
        <w:tc>
          <w:tcPr>
            <w:tcW w:w="1469" w:type="dxa"/>
            <w:vMerge w:val="continue"/>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color w:val="auto"/>
                <w:sz w:val="21"/>
                <w:szCs w:val="21"/>
                <w:highlight w:val="none"/>
              </w:rPr>
            </w:pPr>
          </w:p>
        </w:tc>
        <w:tc>
          <w:tcPr>
            <w:tcW w:w="2935" w:type="dxa"/>
            <w:vMerge w:val="continue"/>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color w:val="auto"/>
                <w:sz w:val="21"/>
                <w:szCs w:val="21"/>
                <w:highlight w:val="none"/>
              </w:rPr>
            </w:pPr>
          </w:p>
        </w:tc>
        <w:tc>
          <w:tcPr>
            <w:tcW w:w="1468" w:type="dxa"/>
            <w:noWrap w:val="0"/>
            <w:vAlign w:val="center"/>
          </w:tcPr>
          <w:p>
            <w:pPr>
              <w:pStyle w:val="1856"/>
              <w:keepNext w:val="0"/>
              <w:keepLines w:val="0"/>
              <w:suppressLineNumbers w:val="0"/>
              <w:spacing w:beforeAutospacing="0" w:afterAutospacing="0"/>
              <w:ind w:left="0" w:right="0"/>
              <w:rPr>
                <w:rFonts w:hint="eastAsia"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b w:val="0"/>
                <w:bCs/>
                <w:color w:val="auto"/>
                <w:sz w:val="21"/>
                <w:szCs w:val="21"/>
                <w:highlight w:val="none"/>
              </w:rPr>
              <w:t>水</w:t>
            </w:r>
            <w:r>
              <w:rPr>
                <w:rFonts w:hint="eastAsia" w:ascii="Times New Roman" w:hAnsi="Times New Roman" w:cs="Times New Roman"/>
                <w:b w:val="0"/>
                <w:bCs/>
                <w:color w:val="auto"/>
                <w:sz w:val="21"/>
                <w:szCs w:val="21"/>
                <w:highlight w:val="none"/>
                <w:lang w:eastAsia="zh-CN"/>
              </w:rPr>
              <w:t>田</w:t>
            </w:r>
            <w:r>
              <w:rPr>
                <w:rFonts w:hint="default" w:ascii="Times New Roman" w:hAnsi="Times New Roman" w:eastAsia="宋体" w:cs="Times New Roman"/>
                <w:b w:val="0"/>
                <w:bCs/>
                <w:color w:val="auto"/>
                <w:sz w:val="21"/>
                <w:szCs w:val="21"/>
                <w:highlight w:val="none"/>
              </w:rPr>
              <w:t>作</w:t>
            </w:r>
            <w:r>
              <w:rPr>
                <w:rFonts w:hint="eastAsia" w:ascii="Times New Roman" w:hAnsi="Times New Roman" w:cs="Times New Roman"/>
                <w:b w:val="0"/>
                <w:bCs/>
                <w:color w:val="auto"/>
                <w:sz w:val="21"/>
                <w:szCs w:val="21"/>
                <w:highlight w:val="none"/>
                <w:lang w:eastAsia="zh-CN"/>
              </w:rPr>
              <w:t>物</w:t>
            </w:r>
          </w:p>
        </w:tc>
        <w:tc>
          <w:tcPr>
            <w:tcW w:w="1468" w:type="dxa"/>
            <w:noWrap w:val="0"/>
            <w:vAlign w:val="center"/>
          </w:tcPr>
          <w:p>
            <w:pPr>
              <w:pStyle w:val="1856"/>
              <w:keepNext w:val="0"/>
              <w:keepLines w:val="0"/>
              <w:suppressLineNumbers w:val="0"/>
              <w:spacing w:beforeAutospacing="0" w:afterAutospacing="0"/>
              <w:ind w:left="0" w:right="0"/>
              <w:rPr>
                <w:rFonts w:hint="eastAsia" w:ascii="Times New Roman" w:hAnsi="Times New Roman" w:eastAsia="宋体" w:cs="Times New Roman"/>
                <w:b w:val="0"/>
                <w:bCs/>
                <w:color w:val="auto"/>
                <w:sz w:val="21"/>
                <w:szCs w:val="21"/>
                <w:highlight w:val="none"/>
                <w:shd w:val="clear" w:color="auto" w:fill="auto"/>
                <w:lang w:eastAsia="zh-CN"/>
              </w:rPr>
            </w:pPr>
            <w:r>
              <w:rPr>
                <w:rFonts w:hint="default" w:ascii="Times New Roman" w:hAnsi="Times New Roman" w:eastAsia="宋体" w:cs="Times New Roman"/>
                <w:b w:val="0"/>
                <w:bCs/>
                <w:color w:val="auto"/>
                <w:sz w:val="21"/>
                <w:szCs w:val="21"/>
                <w:highlight w:val="none"/>
                <w:shd w:val="clear" w:color="auto" w:fill="auto"/>
              </w:rPr>
              <w:t>旱</w:t>
            </w:r>
            <w:r>
              <w:rPr>
                <w:rFonts w:hint="eastAsia" w:ascii="Times New Roman" w:hAnsi="Times New Roman" w:cs="Times New Roman"/>
                <w:b w:val="0"/>
                <w:bCs/>
                <w:color w:val="auto"/>
                <w:sz w:val="21"/>
                <w:szCs w:val="21"/>
                <w:highlight w:val="none"/>
                <w:shd w:val="clear" w:color="auto" w:fill="auto"/>
                <w:lang w:eastAsia="zh-CN"/>
              </w:rPr>
              <w:t>地</w:t>
            </w:r>
            <w:r>
              <w:rPr>
                <w:rFonts w:hint="default" w:ascii="Times New Roman" w:hAnsi="Times New Roman" w:eastAsia="宋体" w:cs="Times New Roman"/>
                <w:b w:val="0"/>
                <w:bCs/>
                <w:color w:val="auto"/>
                <w:sz w:val="21"/>
                <w:szCs w:val="21"/>
                <w:highlight w:val="none"/>
                <w:shd w:val="clear" w:color="auto" w:fill="auto"/>
              </w:rPr>
              <w:t>作</w:t>
            </w:r>
            <w:r>
              <w:rPr>
                <w:rFonts w:hint="eastAsia" w:ascii="Times New Roman" w:hAnsi="Times New Roman" w:cs="Times New Roman"/>
                <w:b w:val="0"/>
                <w:bCs/>
                <w:color w:val="auto"/>
                <w:sz w:val="21"/>
                <w:szCs w:val="21"/>
                <w:highlight w:val="none"/>
                <w:shd w:val="clear" w:color="auto" w:fill="auto"/>
                <w:lang w:eastAsia="zh-CN"/>
              </w:rPr>
              <w:t>物</w:t>
            </w:r>
          </w:p>
        </w:tc>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蔬菜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34" w:hRule="atLeast"/>
          <w:jc w:val="center"/>
        </w:trPr>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2935"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化学需氧量/(mg/L) ≤</w:t>
            </w:r>
          </w:p>
        </w:tc>
        <w:tc>
          <w:tcPr>
            <w:tcW w:w="1468"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150</w:t>
            </w:r>
          </w:p>
        </w:tc>
        <w:tc>
          <w:tcPr>
            <w:tcW w:w="1468"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shd w:val="clear" w:color="auto" w:fill="auto"/>
              </w:rPr>
            </w:pPr>
            <w:r>
              <w:rPr>
                <w:rFonts w:hint="default" w:ascii="Times New Roman" w:hAnsi="Times New Roman" w:eastAsia="宋体" w:cs="Times New Roman"/>
                <w:b w:val="0"/>
                <w:bCs/>
                <w:color w:val="auto"/>
                <w:sz w:val="21"/>
                <w:szCs w:val="21"/>
                <w:highlight w:val="none"/>
                <w:shd w:val="clear" w:color="auto" w:fill="auto"/>
              </w:rPr>
              <w:t>200</w:t>
            </w:r>
          </w:p>
        </w:tc>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shd w:val="clear" w:color="FFFFFF" w:fill="D9D9D9"/>
              </w:rPr>
              <w:t>100</w:t>
            </w:r>
            <w:r>
              <w:rPr>
                <w:rFonts w:hint="default" w:ascii="Times New Roman" w:hAnsi="Times New Roman" w:eastAsia="宋体" w:cs="Times New Roman"/>
                <w:b w:val="0"/>
                <w:bCs/>
                <w:color w:val="auto"/>
                <w:sz w:val="21"/>
                <w:szCs w:val="21"/>
                <w:highlight w:val="none"/>
                <w:shd w:val="clear" w:color="FFFFFF" w:fill="D9D9D9"/>
                <w:vertAlign w:val="superscript"/>
              </w:rPr>
              <w:t>a</w:t>
            </w:r>
            <w:r>
              <w:rPr>
                <w:rFonts w:hint="default" w:ascii="Times New Roman" w:hAnsi="Times New Roman" w:eastAsia="宋体" w:cs="Times New Roman"/>
                <w:b w:val="0"/>
                <w:bCs/>
                <w:color w:val="auto"/>
                <w:sz w:val="21"/>
                <w:szCs w:val="21"/>
                <w:highlight w:val="none"/>
              </w:rPr>
              <w:t>，60</w:t>
            </w:r>
            <w:r>
              <w:rPr>
                <w:rFonts w:hint="default" w:ascii="Times New Roman" w:hAnsi="Times New Roman" w:eastAsia="宋体" w:cs="Times New Roman"/>
                <w:b w:val="0"/>
                <w:bCs/>
                <w:color w:val="auto"/>
                <w:sz w:val="21"/>
                <w:szCs w:val="21"/>
                <w:highlight w:val="none"/>
                <w:vertAlign w:val="superscript"/>
              </w:rPr>
              <w:t>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34" w:hRule="atLeast"/>
          <w:jc w:val="center"/>
        </w:trPr>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2935"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生化需氧量/(mg/L) ≤</w:t>
            </w:r>
          </w:p>
        </w:tc>
        <w:tc>
          <w:tcPr>
            <w:tcW w:w="1468"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60</w:t>
            </w:r>
          </w:p>
        </w:tc>
        <w:tc>
          <w:tcPr>
            <w:tcW w:w="1468"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shd w:val="clear" w:color="auto" w:fill="auto"/>
              </w:rPr>
            </w:pPr>
            <w:r>
              <w:rPr>
                <w:rFonts w:hint="default" w:ascii="Times New Roman" w:hAnsi="Times New Roman" w:eastAsia="宋体" w:cs="Times New Roman"/>
                <w:b w:val="0"/>
                <w:bCs/>
                <w:color w:val="auto"/>
                <w:sz w:val="21"/>
                <w:szCs w:val="21"/>
                <w:highlight w:val="none"/>
                <w:shd w:val="clear" w:color="auto" w:fill="auto"/>
              </w:rPr>
              <w:t>100</w:t>
            </w:r>
          </w:p>
        </w:tc>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shd w:val="clear" w:color="FFFFFF" w:fill="D9D9D9"/>
              </w:rPr>
              <w:t>40</w:t>
            </w:r>
            <w:r>
              <w:rPr>
                <w:rFonts w:hint="default" w:ascii="Times New Roman" w:hAnsi="Times New Roman" w:eastAsia="宋体" w:cs="Times New Roman"/>
                <w:b w:val="0"/>
                <w:bCs/>
                <w:color w:val="auto"/>
                <w:sz w:val="21"/>
                <w:szCs w:val="21"/>
                <w:highlight w:val="none"/>
                <w:shd w:val="clear" w:color="FFFFFF" w:fill="D9D9D9"/>
                <w:vertAlign w:val="superscript"/>
              </w:rPr>
              <w:t>a</w:t>
            </w:r>
            <w:r>
              <w:rPr>
                <w:rFonts w:hint="default" w:ascii="Times New Roman" w:hAnsi="Times New Roman" w:eastAsia="宋体" w:cs="Times New Roman"/>
                <w:b w:val="0"/>
                <w:bCs/>
                <w:color w:val="auto"/>
                <w:sz w:val="21"/>
                <w:szCs w:val="21"/>
                <w:highlight w:val="none"/>
              </w:rPr>
              <w:t>，15</w:t>
            </w:r>
            <w:r>
              <w:rPr>
                <w:rFonts w:hint="default" w:ascii="Times New Roman" w:hAnsi="Times New Roman" w:eastAsia="宋体" w:cs="Times New Roman"/>
                <w:b w:val="0"/>
                <w:bCs/>
                <w:color w:val="auto"/>
                <w:sz w:val="21"/>
                <w:szCs w:val="21"/>
                <w:highlight w:val="none"/>
                <w:vertAlign w:val="superscript"/>
              </w:rPr>
              <w:t>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90" w:hRule="atLeast"/>
          <w:jc w:val="center"/>
        </w:trPr>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2935"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悬浮物/(mg/L) ≤</w:t>
            </w:r>
          </w:p>
        </w:tc>
        <w:tc>
          <w:tcPr>
            <w:tcW w:w="1468"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80</w:t>
            </w:r>
          </w:p>
        </w:tc>
        <w:tc>
          <w:tcPr>
            <w:tcW w:w="1468"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shd w:val="clear" w:color="auto" w:fill="auto"/>
              </w:rPr>
            </w:pPr>
            <w:r>
              <w:rPr>
                <w:rFonts w:hint="default" w:ascii="Times New Roman" w:hAnsi="Times New Roman" w:eastAsia="宋体" w:cs="Times New Roman"/>
                <w:b w:val="0"/>
                <w:bCs/>
                <w:color w:val="auto"/>
                <w:sz w:val="21"/>
                <w:szCs w:val="21"/>
                <w:highlight w:val="none"/>
                <w:shd w:val="clear" w:color="auto" w:fill="auto"/>
              </w:rPr>
              <w:t>100</w:t>
            </w:r>
          </w:p>
        </w:tc>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shd w:val="clear" w:color="FFFFFF" w:fill="D9D9D9"/>
              </w:rPr>
              <w:t>60</w:t>
            </w:r>
            <w:r>
              <w:rPr>
                <w:rFonts w:hint="default" w:ascii="Times New Roman" w:hAnsi="Times New Roman" w:eastAsia="宋体" w:cs="Times New Roman"/>
                <w:b w:val="0"/>
                <w:bCs/>
                <w:color w:val="auto"/>
                <w:sz w:val="21"/>
                <w:szCs w:val="21"/>
                <w:highlight w:val="none"/>
                <w:shd w:val="clear" w:color="FFFFFF" w:fill="D9D9D9"/>
                <w:vertAlign w:val="superscript"/>
              </w:rPr>
              <w:t>a</w:t>
            </w:r>
            <w:r>
              <w:rPr>
                <w:rFonts w:hint="default" w:ascii="Times New Roman" w:hAnsi="Times New Roman" w:eastAsia="宋体" w:cs="Times New Roman"/>
                <w:b w:val="0"/>
                <w:bCs/>
                <w:color w:val="auto"/>
                <w:sz w:val="21"/>
                <w:szCs w:val="21"/>
                <w:highlight w:val="none"/>
              </w:rPr>
              <w:t>，15</w:t>
            </w:r>
            <w:r>
              <w:rPr>
                <w:rFonts w:hint="default" w:ascii="Times New Roman" w:hAnsi="Times New Roman" w:eastAsia="宋体" w:cs="Times New Roman"/>
                <w:b w:val="0"/>
                <w:bCs/>
                <w:color w:val="auto"/>
                <w:sz w:val="21"/>
                <w:szCs w:val="21"/>
                <w:highlight w:val="none"/>
                <w:vertAlign w:val="superscript"/>
              </w:rPr>
              <w:t>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34" w:hRule="atLeast"/>
          <w:jc w:val="center"/>
        </w:trPr>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2935"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水温/℃ ≤</w:t>
            </w:r>
          </w:p>
        </w:tc>
        <w:tc>
          <w:tcPr>
            <w:tcW w:w="4405" w:type="dxa"/>
            <w:gridSpan w:val="3"/>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shd w:val="clear" w:color="auto" w:fill="auto"/>
              </w:rPr>
            </w:pPr>
            <w:r>
              <w:rPr>
                <w:rFonts w:hint="default" w:ascii="Times New Roman" w:hAnsi="Times New Roman" w:eastAsia="宋体" w:cs="Times New Roman"/>
                <w:b w:val="0"/>
                <w:bCs/>
                <w:color w:val="auto"/>
                <w:sz w:val="21"/>
                <w:szCs w:val="21"/>
                <w:highlight w:val="none"/>
                <w:shd w:val="clear" w:color="auto" w:fill="auto"/>
              </w:rPr>
              <w:t>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34" w:hRule="atLeast"/>
          <w:jc w:val="center"/>
        </w:trPr>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2935"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pH</w:t>
            </w:r>
          </w:p>
        </w:tc>
        <w:tc>
          <w:tcPr>
            <w:tcW w:w="4405" w:type="dxa"/>
            <w:gridSpan w:val="3"/>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shd w:val="clear" w:color="auto" w:fill="auto"/>
              </w:rPr>
            </w:pPr>
            <w:r>
              <w:rPr>
                <w:rFonts w:hint="default" w:ascii="Times New Roman" w:hAnsi="Times New Roman" w:eastAsia="宋体" w:cs="Times New Roman"/>
                <w:b w:val="0"/>
                <w:bCs/>
                <w:color w:val="auto"/>
                <w:sz w:val="21"/>
                <w:szCs w:val="21"/>
                <w:highlight w:val="none"/>
                <w:shd w:val="clear" w:color="auto" w:fill="auto"/>
              </w:rPr>
              <w:t>5.5~8.5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34" w:hRule="atLeast"/>
          <w:jc w:val="center"/>
        </w:trPr>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2935"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粪大肠菌群数/(个/100mL) ≤</w:t>
            </w:r>
          </w:p>
        </w:tc>
        <w:tc>
          <w:tcPr>
            <w:tcW w:w="1468" w:type="dxa"/>
            <w:noWrap w:val="0"/>
            <w:vAlign w:val="center"/>
          </w:tcPr>
          <w:p>
            <w:pPr>
              <w:pStyle w:val="1856"/>
              <w:keepNext w:val="0"/>
              <w:keepLines w:val="0"/>
              <w:suppressLineNumbers w:val="0"/>
              <w:spacing w:beforeAutospacing="0" w:afterAutospacing="0"/>
              <w:ind w:left="0" w:right="0"/>
              <w:rPr>
                <w:rFonts w:hint="eastAsia" w:ascii="Times New Roman" w:hAnsi="Times New Roman" w:eastAsia="宋体" w:cs="Times New Roman"/>
                <w:b w:val="0"/>
                <w:bCs/>
                <w:color w:val="auto"/>
                <w:sz w:val="21"/>
                <w:szCs w:val="21"/>
                <w:highlight w:val="none"/>
                <w:shd w:val="clear" w:color="FFFFFF" w:fill="D9D9D9"/>
                <w:lang w:val="en-US" w:eastAsia="zh-CN"/>
              </w:rPr>
            </w:pPr>
            <w:r>
              <w:rPr>
                <w:rFonts w:hint="default" w:ascii="Times New Roman" w:hAnsi="Times New Roman" w:eastAsia="宋体" w:cs="Times New Roman"/>
                <w:b w:val="0"/>
                <w:bCs/>
                <w:color w:val="auto"/>
                <w:sz w:val="21"/>
                <w:szCs w:val="21"/>
                <w:highlight w:val="none"/>
                <w:shd w:val="clear" w:color="auto" w:fill="auto"/>
              </w:rPr>
              <w:t>4000</w:t>
            </w:r>
            <w:r>
              <w:rPr>
                <w:rFonts w:hint="eastAsia" w:ascii="Times New Roman" w:hAnsi="Times New Roman" w:cs="Times New Roman"/>
                <w:b w:val="0"/>
                <w:bCs/>
                <w:color w:val="auto"/>
                <w:sz w:val="21"/>
                <w:szCs w:val="21"/>
                <w:highlight w:val="none"/>
                <w:shd w:val="clear" w:color="auto" w:fill="auto"/>
                <w:lang w:val="en-US" w:eastAsia="zh-CN"/>
              </w:rPr>
              <w:t>0</w:t>
            </w:r>
          </w:p>
        </w:tc>
        <w:tc>
          <w:tcPr>
            <w:tcW w:w="1468" w:type="dxa"/>
            <w:noWrap w:val="0"/>
            <w:vAlign w:val="center"/>
          </w:tcPr>
          <w:p>
            <w:pPr>
              <w:pStyle w:val="1856"/>
              <w:keepNext w:val="0"/>
              <w:keepLines w:val="0"/>
              <w:suppressLineNumbers w:val="0"/>
              <w:spacing w:beforeAutospacing="0" w:afterAutospacing="0"/>
              <w:ind w:left="0" w:right="0"/>
              <w:rPr>
                <w:rFonts w:hint="eastAsia" w:ascii="Times New Roman" w:hAnsi="Times New Roman" w:eastAsia="宋体" w:cs="Times New Roman"/>
                <w:b w:val="0"/>
                <w:bCs/>
                <w:color w:val="auto"/>
                <w:sz w:val="21"/>
                <w:szCs w:val="21"/>
                <w:highlight w:val="none"/>
                <w:shd w:val="clear" w:color="auto" w:fill="auto"/>
                <w:lang w:val="en-US" w:eastAsia="zh-CN"/>
              </w:rPr>
            </w:pPr>
            <w:r>
              <w:rPr>
                <w:rFonts w:hint="default" w:ascii="Times New Roman" w:hAnsi="Times New Roman" w:eastAsia="宋体" w:cs="Times New Roman"/>
                <w:b w:val="0"/>
                <w:bCs/>
                <w:color w:val="auto"/>
                <w:sz w:val="21"/>
                <w:szCs w:val="21"/>
                <w:highlight w:val="none"/>
                <w:shd w:val="clear" w:color="auto" w:fill="auto"/>
              </w:rPr>
              <w:t>4000</w:t>
            </w:r>
            <w:r>
              <w:rPr>
                <w:rFonts w:hint="eastAsia" w:ascii="Times New Roman" w:hAnsi="Times New Roman" w:cs="Times New Roman"/>
                <w:b w:val="0"/>
                <w:bCs/>
                <w:color w:val="auto"/>
                <w:sz w:val="21"/>
                <w:szCs w:val="21"/>
                <w:highlight w:val="none"/>
                <w:shd w:val="clear" w:color="auto" w:fill="auto"/>
                <w:lang w:val="en-US" w:eastAsia="zh-CN"/>
              </w:rPr>
              <w:t>0</w:t>
            </w:r>
          </w:p>
        </w:tc>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shd w:val="clear" w:color="FFFFFF" w:fill="D9D9D9"/>
              </w:rPr>
            </w:pPr>
            <w:r>
              <w:rPr>
                <w:rFonts w:hint="default" w:ascii="Times New Roman" w:hAnsi="Times New Roman" w:eastAsia="宋体" w:cs="Times New Roman"/>
                <w:b w:val="0"/>
                <w:bCs/>
                <w:color w:val="auto"/>
                <w:sz w:val="21"/>
                <w:szCs w:val="21"/>
                <w:highlight w:val="none"/>
                <w:shd w:val="clear" w:color="FFFFFF" w:fill="D9D9D9"/>
              </w:rPr>
              <w:t>20</w:t>
            </w:r>
            <w:r>
              <w:rPr>
                <w:rFonts w:hint="eastAsia" w:ascii="Times New Roman" w:hAnsi="Times New Roman" w:cs="Times New Roman"/>
                <w:b w:val="0"/>
                <w:bCs/>
                <w:color w:val="auto"/>
                <w:sz w:val="21"/>
                <w:szCs w:val="21"/>
                <w:highlight w:val="none"/>
                <w:shd w:val="clear" w:color="FFFFFF" w:fill="D9D9D9"/>
                <w:lang w:val="en-US" w:eastAsia="zh-CN"/>
              </w:rPr>
              <w:t>0</w:t>
            </w:r>
            <w:r>
              <w:rPr>
                <w:rFonts w:hint="default" w:ascii="Times New Roman" w:hAnsi="Times New Roman" w:eastAsia="宋体" w:cs="Times New Roman"/>
                <w:b w:val="0"/>
                <w:bCs/>
                <w:color w:val="auto"/>
                <w:sz w:val="21"/>
                <w:szCs w:val="21"/>
                <w:highlight w:val="none"/>
                <w:shd w:val="clear" w:color="FFFFFF" w:fill="D9D9D9"/>
              </w:rPr>
              <w:t>00</w:t>
            </w:r>
            <w:r>
              <w:rPr>
                <w:rFonts w:hint="default" w:ascii="Times New Roman" w:hAnsi="Times New Roman" w:eastAsia="宋体" w:cs="Times New Roman"/>
                <w:b w:val="0"/>
                <w:bCs/>
                <w:color w:val="auto"/>
                <w:sz w:val="21"/>
                <w:szCs w:val="21"/>
                <w:highlight w:val="none"/>
                <w:shd w:val="clear" w:color="FFFFFF" w:fill="D9D9D9"/>
                <w:vertAlign w:val="superscript"/>
              </w:rPr>
              <w:t>a</w:t>
            </w:r>
            <w:r>
              <w:rPr>
                <w:rFonts w:hint="default" w:ascii="Times New Roman" w:hAnsi="Times New Roman" w:eastAsia="宋体" w:cs="Times New Roman"/>
                <w:b w:val="0"/>
                <w:bCs/>
                <w:color w:val="auto"/>
                <w:sz w:val="21"/>
                <w:szCs w:val="21"/>
                <w:highlight w:val="none"/>
                <w:shd w:val="clear" w:color="auto" w:fill="auto"/>
              </w:rPr>
              <w:t>，10</w:t>
            </w:r>
            <w:r>
              <w:rPr>
                <w:rFonts w:hint="eastAsia" w:ascii="Times New Roman" w:hAnsi="Times New Roman" w:cs="Times New Roman"/>
                <w:b w:val="0"/>
                <w:bCs/>
                <w:color w:val="auto"/>
                <w:sz w:val="21"/>
                <w:szCs w:val="21"/>
                <w:highlight w:val="none"/>
                <w:shd w:val="clear" w:color="auto" w:fill="auto"/>
                <w:lang w:val="en-US" w:eastAsia="zh-CN"/>
              </w:rPr>
              <w:t>0</w:t>
            </w:r>
            <w:r>
              <w:rPr>
                <w:rFonts w:hint="default" w:ascii="Times New Roman" w:hAnsi="Times New Roman" w:eastAsia="宋体" w:cs="Times New Roman"/>
                <w:b w:val="0"/>
                <w:bCs/>
                <w:color w:val="auto"/>
                <w:sz w:val="21"/>
                <w:szCs w:val="21"/>
                <w:highlight w:val="none"/>
                <w:shd w:val="clear" w:color="auto" w:fill="auto"/>
              </w:rPr>
              <w:t>00</w:t>
            </w:r>
            <w:r>
              <w:rPr>
                <w:rFonts w:hint="default" w:ascii="Times New Roman" w:hAnsi="Times New Roman" w:eastAsia="宋体" w:cs="Times New Roman"/>
                <w:b w:val="0"/>
                <w:bCs/>
                <w:color w:val="auto"/>
                <w:sz w:val="21"/>
                <w:szCs w:val="21"/>
                <w:highlight w:val="none"/>
                <w:shd w:val="clear" w:color="auto" w:fill="auto"/>
                <w:vertAlign w:val="superscript"/>
              </w:rPr>
              <w:t>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34" w:hRule="atLeast"/>
          <w:jc w:val="center"/>
        </w:trPr>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2935"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蛔虫卵数/(个/L) ≤</w:t>
            </w:r>
          </w:p>
        </w:tc>
        <w:tc>
          <w:tcPr>
            <w:tcW w:w="2936" w:type="dxa"/>
            <w:gridSpan w:val="2"/>
            <w:noWrap w:val="0"/>
            <w:vAlign w:val="center"/>
          </w:tcPr>
          <w:p>
            <w:pPr>
              <w:pStyle w:val="1856"/>
              <w:keepNext w:val="0"/>
              <w:keepLines w:val="0"/>
              <w:suppressLineNumbers w:val="0"/>
              <w:spacing w:beforeAutospacing="0" w:afterAutospacing="0"/>
              <w:ind w:left="0" w:right="0"/>
              <w:rPr>
                <w:rFonts w:hint="eastAsia"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shd w:val="clear" w:color="auto" w:fill="auto"/>
              </w:rPr>
              <w:t>2</w:t>
            </w:r>
            <w:r>
              <w:rPr>
                <w:rFonts w:hint="eastAsia" w:ascii="Times New Roman" w:hAnsi="Times New Roman" w:cs="Times New Roman"/>
                <w:b w:val="0"/>
                <w:bCs/>
                <w:color w:val="auto"/>
                <w:sz w:val="21"/>
                <w:szCs w:val="21"/>
                <w:highlight w:val="none"/>
                <w:shd w:val="clear" w:color="auto" w:fill="auto"/>
                <w:lang w:val="en-US" w:eastAsia="zh-CN"/>
              </w:rPr>
              <w:t>0</w:t>
            </w:r>
          </w:p>
        </w:tc>
        <w:tc>
          <w:tcPr>
            <w:tcW w:w="1469" w:type="dxa"/>
            <w:noWrap w:val="0"/>
            <w:vAlign w:val="center"/>
          </w:tcPr>
          <w:p>
            <w:pPr>
              <w:pStyle w:val="1856"/>
              <w:keepNext w:val="0"/>
              <w:keepLines w:val="0"/>
              <w:suppressLineNumbers w:val="0"/>
              <w:spacing w:beforeAutospacing="0" w:afterAutospacing="0"/>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shd w:val="clear" w:color="FFFFFF" w:fill="D9D9D9"/>
              </w:rPr>
              <w:t>2</w:t>
            </w:r>
            <w:r>
              <w:rPr>
                <w:rFonts w:hint="eastAsia" w:ascii="Times New Roman" w:hAnsi="Times New Roman" w:cs="Times New Roman"/>
                <w:b w:val="0"/>
                <w:bCs/>
                <w:color w:val="auto"/>
                <w:sz w:val="21"/>
                <w:szCs w:val="21"/>
                <w:highlight w:val="none"/>
                <w:shd w:val="clear" w:color="FFFFFF" w:fill="D9D9D9"/>
                <w:lang w:val="en-US" w:eastAsia="zh-CN"/>
              </w:rPr>
              <w:t>0</w:t>
            </w:r>
            <w:r>
              <w:rPr>
                <w:rFonts w:hint="default" w:ascii="Times New Roman" w:hAnsi="Times New Roman" w:eastAsia="宋体" w:cs="Times New Roman"/>
                <w:b w:val="0"/>
                <w:bCs/>
                <w:color w:val="auto"/>
                <w:sz w:val="21"/>
                <w:szCs w:val="21"/>
                <w:highlight w:val="none"/>
                <w:shd w:val="clear" w:color="FFFFFF" w:fill="D9D9D9"/>
                <w:vertAlign w:val="superscript"/>
              </w:rPr>
              <w:t>a</w:t>
            </w:r>
            <w:r>
              <w:rPr>
                <w:rFonts w:hint="default" w:ascii="Times New Roman" w:hAnsi="Times New Roman" w:eastAsia="宋体" w:cs="Times New Roman"/>
                <w:b w:val="0"/>
                <w:bCs/>
                <w:color w:val="auto"/>
                <w:sz w:val="21"/>
                <w:szCs w:val="21"/>
                <w:highlight w:val="none"/>
              </w:rPr>
              <w:t>，1</w:t>
            </w:r>
            <w:r>
              <w:rPr>
                <w:rFonts w:hint="eastAsia" w:ascii="Times New Roman" w:hAnsi="Times New Roman" w:cs="Times New Roman"/>
                <w:b w:val="0"/>
                <w:bCs/>
                <w:color w:val="auto"/>
                <w:sz w:val="21"/>
                <w:szCs w:val="21"/>
                <w:highlight w:val="none"/>
                <w:lang w:val="en-US" w:eastAsia="zh-CN"/>
              </w:rPr>
              <w:t>0</w:t>
            </w:r>
            <w:r>
              <w:rPr>
                <w:rFonts w:hint="default" w:ascii="Times New Roman" w:hAnsi="Times New Roman" w:eastAsia="宋体" w:cs="Times New Roman"/>
                <w:b w:val="0"/>
                <w:bCs/>
                <w:color w:val="auto"/>
                <w:sz w:val="21"/>
                <w:szCs w:val="21"/>
                <w:highlight w:val="none"/>
                <w:vertAlign w:val="superscript"/>
              </w:rPr>
              <w:t>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34" w:hRule="atLeast"/>
          <w:jc w:val="center"/>
        </w:trPr>
        <w:tc>
          <w:tcPr>
            <w:tcW w:w="8809" w:type="dxa"/>
            <w:gridSpan w:val="5"/>
            <w:noWrap w:val="0"/>
            <w:vAlign w:val="center"/>
          </w:tcPr>
          <w:p>
            <w:pPr>
              <w:pStyle w:val="1856"/>
              <w:keepNext w:val="0"/>
              <w:keepLines w:val="0"/>
              <w:suppressLineNumbers w:val="0"/>
              <w:spacing w:beforeAutospacing="0" w:afterAutospacing="0"/>
              <w:ind w:left="0" w:right="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bCs/>
                <w:color w:val="auto"/>
                <w:sz w:val="21"/>
                <w:szCs w:val="21"/>
                <w:highlight w:val="none"/>
              </w:rPr>
              <w:t>注：a、加工、烹调及去皮蔬菜；b、生食类蔬菜、瓜类和草本水果。</w:t>
            </w:r>
          </w:p>
        </w:tc>
      </w:tr>
    </w:tbl>
    <w:p>
      <w:pPr>
        <w:pStyle w:val="158"/>
        <w:ind w:left="0" w:leftChars="0" w:firstLine="0" w:firstLineChars="0"/>
        <w:rPr>
          <w:color w:val="auto"/>
          <w:highlight w:val="none"/>
        </w:rPr>
      </w:pPr>
      <w:r>
        <w:rPr>
          <w:color w:val="auto"/>
          <w:highlight w:val="none"/>
        </w:rPr>
        <w:t>（2）废气</w:t>
      </w:r>
    </w:p>
    <w:p>
      <w:pPr>
        <w:pStyle w:val="271"/>
        <w:spacing w:line="360" w:lineRule="auto"/>
        <w:ind w:firstLine="480" w:firstLineChars="200"/>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lang w:eastAsia="zh-CN"/>
        </w:rPr>
        <w:t>施工期扬尘执行《</w:t>
      </w:r>
      <w:r>
        <w:rPr>
          <w:rFonts w:hint="eastAsia"/>
          <w:color w:val="auto"/>
          <w:sz w:val="23"/>
          <w:szCs w:val="23"/>
          <w:highlight w:val="none"/>
          <w:lang w:eastAsia="zh-CN"/>
        </w:rPr>
        <w:t>四川省施工场地扬尘排放标准</w:t>
      </w:r>
      <w:r>
        <w:rPr>
          <w:rFonts w:ascii="Times New Roman" w:hAnsi="Times New Roman" w:cs="Times New Roman"/>
          <w:color w:val="auto"/>
          <w:highlight w:val="none"/>
          <w:lang w:eastAsia="zh-CN"/>
        </w:rPr>
        <w:t>》（</w:t>
      </w:r>
      <w:r>
        <w:rPr>
          <w:rFonts w:hint="eastAsia" w:ascii="Times New Roman" w:hAnsi="Times New Roman" w:cs="Times New Roman"/>
          <w:color w:val="auto"/>
          <w:highlight w:val="none"/>
          <w:lang w:eastAsia="zh-CN"/>
        </w:rPr>
        <w:t>D</w:t>
      </w:r>
      <w:r>
        <w:rPr>
          <w:rFonts w:ascii="Times New Roman" w:hAnsi="Times New Roman" w:cs="Times New Roman"/>
          <w:color w:val="auto"/>
          <w:highlight w:val="none"/>
          <w:lang w:eastAsia="zh-CN"/>
        </w:rPr>
        <w:t>B</w:t>
      </w:r>
      <w:r>
        <w:rPr>
          <w:rFonts w:hint="eastAsia" w:ascii="Times New Roman" w:hAnsi="Times New Roman" w:cs="Times New Roman"/>
          <w:color w:val="auto"/>
          <w:highlight w:val="none"/>
          <w:lang w:eastAsia="zh-CN"/>
        </w:rPr>
        <w:t>51/2682-2020</w:t>
      </w:r>
      <w:r>
        <w:rPr>
          <w:rFonts w:ascii="Times New Roman" w:hAnsi="Times New Roman" w:cs="Times New Roman"/>
          <w:color w:val="auto"/>
          <w:highlight w:val="none"/>
          <w:lang w:eastAsia="zh-CN"/>
        </w:rPr>
        <w:t>）表</w:t>
      </w:r>
      <w:r>
        <w:rPr>
          <w:rFonts w:hint="eastAsia" w:ascii="Times New Roman" w:hAnsi="Times New Roman" w:cs="Times New Roman"/>
          <w:color w:val="auto"/>
          <w:highlight w:val="none"/>
          <w:lang w:eastAsia="zh-CN"/>
        </w:rPr>
        <w:t>1</w:t>
      </w:r>
      <w:r>
        <w:rPr>
          <w:rFonts w:ascii="Times New Roman" w:hAnsi="Times New Roman" w:cs="Times New Roman"/>
          <w:color w:val="auto"/>
          <w:highlight w:val="none"/>
          <w:lang w:eastAsia="zh-CN"/>
        </w:rPr>
        <w:t>无组织排放监控浓度限值，具体见表2.</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lang w:eastAsia="zh-CN"/>
        </w:rPr>
        <w:t>-</w:t>
      </w:r>
      <w:r>
        <w:rPr>
          <w:rFonts w:hint="eastAsia" w:ascii="Times New Roman" w:cs="Times New Roman"/>
          <w:color w:val="auto"/>
          <w:highlight w:val="none"/>
          <w:lang w:val="en-US" w:eastAsia="zh-CN"/>
        </w:rPr>
        <w:t>9</w:t>
      </w:r>
    </w:p>
    <w:p>
      <w:pPr>
        <w:numPr>
          <w:ilvl w:val="0"/>
          <w:numId w:val="6"/>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 xml:space="preserve"> 施工期废气排放标准表</w:t>
      </w:r>
    </w:p>
    <w:tbl>
      <w:tblPr>
        <w:tblStyle w:val="9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0"/>
        <w:gridCol w:w="4135"/>
        <w:gridCol w:w="1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pct"/>
            <w:tcBorders>
              <w:top w:val="single" w:color="auto" w:sz="12" w:space="0"/>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污染物</w:t>
            </w:r>
          </w:p>
        </w:tc>
        <w:tc>
          <w:tcPr>
            <w:tcW w:w="3303" w:type="pct"/>
            <w:gridSpan w:val="2"/>
            <w:tcBorders>
              <w:top w:val="single" w:color="auto" w:sz="12" w:space="0"/>
              <w:left w:val="single" w:color="auto" w:sz="8" w:space="0"/>
              <w:bottom w:val="single" w:color="auto" w:sz="8"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监测点排放限值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pct"/>
            <w:vMerge w:val="restart"/>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总悬浮颗粒物（TSP）</w:t>
            </w:r>
          </w:p>
        </w:tc>
        <w:tc>
          <w:tcPr>
            <w:tcW w:w="2426"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拆除工程/土方开挖/土方回填阶段</w:t>
            </w:r>
          </w:p>
        </w:tc>
        <w:tc>
          <w:tcPr>
            <w:tcW w:w="877" w:type="pct"/>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60</w:t>
            </w:r>
            <w:r>
              <w:rPr>
                <w:rFonts w:hint="default" w:ascii="Times New Roman" w:hAnsi="Times New Roman" w:eastAsia="宋体" w:cs="Times New Roman"/>
                <w:color w:val="auto"/>
                <w:highlight w:val="none"/>
                <w:lang w:val="en-US" w:eastAsia="zh-CN"/>
              </w:rPr>
              <w:t>0mg/m</w:t>
            </w:r>
            <w:r>
              <w:rPr>
                <w:rFonts w:hint="default" w:ascii="Times New Roman" w:hAnsi="Times New Roman" w:eastAsia="宋体" w:cs="Times New Roman"/>
                <w:color w:val="auto"/>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pct"/>
            <w:vMerge w:val="continue"/>
            <w:tcBorders>
              <w:top w:val="single" w:color="auto" w:sz="8" w:space="0"/>
              <w:left w:val="nil"/>
              <w:bottom w:val="single" w:color="auto" w:sz="12"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c>
          <w:tcPr>
            <w:tcW w:w="2426" w:type="pct"/>
            <w:tcBorders>
              <w:top w:val="single" w:color="auto" w:sz="8" w:space="0"/>
              <w:left w:val="single" w:color="auto" w:sz="8" w:space="0"/>
              <w:bottom w:val="single" w:color="auto" w:sz="12"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其他工程阶段</w:t>
            </w:r>
          </w:p>
        </w:tc>
        <w:tc>
          <w:tcPr>
            <w:tcW w:w="877" w:type="pct"/>
            <w:tcBorders>
              <w:top w:val="single" w:color="auto" w:sz="8" w:space="0"/>
              <w:left w:val="single" w:color="auto" w:sz="8" w:space="0"/>
              <w:bottom w:val="single" w:color="auto" w:sz="12"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250mg/m</w:t>
            </w:r>
            <w:r>
              <w:rPr>
                <w:rFonts w:hint="default" w:ascii="Times New Roman" w:hAnsi="Times New Roman" w:eastAsia="宋体" w:cs="Times New Roman"/>
                <w:color w:val="auto"/>
                <w:highlight w:val="none"/>
                <w:vertAlign w:val="superscript"/>
                <w:lang w:val="en-US" w:eastAsia="zh-CN"/>
              </w:rPr>
              <w:t>3</w:t>
            </w:r>
          </w:p>
        </w:tc>
      </w:tr>
    </w:tbl>
    <w:p>
      <w:pPr>
        <w:adjustRightInd w:val="0"/>
        <w:snapToGrid w:val="0"/>
        <w:ind w:firstLine="480" w:firstLineChars="200"/>
        <w:jc w:val="left"/>
        <w:rPr>
          <w:rFonts w:hint="eastAsia" w:ascii="Times New Roman" w:hAnsi="Times New Roman" w:eastAsia="宋体" w:cs="Times New Roman"/>
          <w:b/>
          <w:bCs/>
          <w:color w:val="auto"/>
          <w:highlight w:val="none"/>
          <w:lang w:val="en-US" w:eastAsia="zh-CN"/>
        </w:rPr>
      </w:pPr>
      <w:r>
        <w:rPr>
          <w:rFonts w:hint="eastAsia" w:ascii="Times New Roman" w:hAnsi="Times New Roman" w:cs="Times New Roman"/>
          <w:bCs/>
          <w:color w:val="auto"/>
          <w:sz w:val="24"/>
          <w:highlight w:val="none"/>
          <w:lang w:eastAsia="zh-CN"/>
        </w:rPr>
        <w:t>运营期</w:t>
      </w:r>
      <w:r>
        <w:rPr>
          <w:rFonts w:hint="eastAsia" w:ascii="Times New Roman" w:hAnsi="Times New Roman" w:cs="Times New Roman"/>
          <w:bCs/>
          <w:color w:val="auto"/>
          <w:sz w:val="24"/>
          <w:highlight w:val="none"/>
        </w:rPr>
        <w:t>臭气浓度执行《畜禽养殖业污染物排放标准》（GB18596-2001）中表</w:t>
      </w:r>
      <w:r>
        <w:rPr>
          <w:rFonts w:hint="eastAsia" w:ascii="Times New Roman" w:hAnsi="Times New Roman" w:cs="Times New Roman"/>
          <w:bCs/>
          <w:color w:val="auto"/>
          <w:sz w:val="24"/>
          <w:highlight w:val="none"/>
          <w:lang w:val="en-US" w:eastAsia="zh-CN"/>
        </w:rPr>
        <w:t>7</w:t>
      </w:r>
      <w:r>
        <w:rPr>
          <w:rFonts w:hint="eastAsia" w:ascii="Times New Roman" w:hAnsi="Times New Roman" w:cs="Times New Roman"/>
          <w:bCs/>
          <w:color w:val="auto"/>
          <w:sz w:val="24"/>
          <w:highlight w:val="none"/>
        </w:rPr>
        <w:t>标准，标准值见表</w:t>
      </w:r>
      <w:r>
        <w:rPr>
          <w:rFonts w:hint="eastAsia" w:ascii="Times New Roman" w:hAnsi="Times New Roman" w:cs="Times New Roman"/>
          <w:bCs/>
          <w:color w:val="auto"/>
          <w:sz w:val="24"/>
          <w:highlight w:val="none"/>
          <w:lang w:val="en-US" w:eastAsia="zh-CN"/>
        </w:rPr>
        <w:t>2.5-10</w:t>
      </w:r>
      <w:r>
        <w:rPr>
          <w:rFonts w:hint="eastAsia" w:ascii="Times New Roman" w:hAnsi="Times New Roman" w:cs="Times New Roman"/>
          <w:bCs/>
          <w:color w:val="auto"/>
          <w:sz w:val="24"/>
          <w:highlight w:val="none"/>
        </w:rPr>
        <w:t>。</w:t>
      </w:r>
    </w:p>
    <w:p>
      <w:pPr>
        <w:numPr>
          <w:ilvl w:val="0"/>
          <w:numId w:val="6"/>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 xml:space="preserve"> 《畜禽养殖业污染物排放标准-集约化畜禽养殖业恶臭污染物排放标准》（GB18596-2001）</w:t>
      </w:r>
    </w:p>
    <w:tbl>
      <w:tblPr>
        <w:tblStyle w:val="91"/>
        <w:tblW w:w="8504"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2536"/>
        <w:gridCol w:w="5968"/>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536"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b/>
                <w:color w:val="auto"/>
                <w:sz w:val="21"/>
                <w:highlight w:val="none"/>
                <w:lang w:eastAsia="zh-CN"/>
              </w:rPr>
            </w:pPr>
            <w:r>
              <w:rPr>
                <w:rFonts w:hint="eastAsia" w:ascii="Times New Roman" w:hAnsi="Times New Roman"/>
                <w:b/>
                <w:color w:val="auto"/>
                <w:sz w:val="21"/>
                <w:highlight w:val="none"/>
                <w:lang w:eastAsia="zh-CN"/>
              </w:rPr>
              <w:t>控制项目</w:t>
            </w:r>
          </w:p>
        </w:tc>
        <w:tc>
          <w:tcPr>
            <w:tcW w:w="5968"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b/>
                <w:color w:val="auto"/>
                <w:sz w:val="21"/>
                <w:highlight w:val="none"/>
                <w:lang w:eastAsia="zh-CN"/>
              </w:rPr>
            </w:pPr>
            <w:r>
              <w:rPr>
                <w:rFonts w:hint="eastAsia" w:ascii="Times New Roman" w:hAnsi="Times New Roman"/>
                <w:b/>
                <w:color w:val="auto"/>
                <w:sz w:val="21"/>
                <w:highlight w:val="none"/>
                <w:lang w:eastAsia="zh-CN"/>
              </w:rPr>
              <w:t>标准值</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536"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臭气浓度（无量纲）</w:t>
            </w:r>
          </w:p>
        </w:tc>
        <w:tc>
          <w:tcPr>
            <w:tcW w:w="5968"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70</w:t>
            </w:r>
          </w:p>
        </w:tc>
      </w:tr>
    </w:tbl>
    <w:p>
      <w:pPr>
        <w:adjustRightInd w:val="0"/>
        <w:snapToGrid w:val="0"/>
        <w:ind w:firstLine="480" w:firstLineChars="200"/>
        <w:jc w:val="left"/>
        <w:rPr>
          <w:rFonts w:hint="default" w:ascii="宋体" w:hAnsi="宋体" w:eastAsia="宋体" w:cs="宋体"/>
          <w:b/>
          <w:bCs w:val="0"/>
          <w:color w:val="auto"/>
          <w:sz w:val="21"/>
          <w:szCs w:val="21"/>
          <w:highlight w:val="none"/>
          <w:lang w:val="en-US" w:eastAsia="zh-CN"/>
        </w:rPr>
      </w:pPr>
      <w:r>
        <w:rPr>
          <w:rFonts w:hint="eastAsia" w:ascii="Times New Roman" w:hAnsi="Times New Roman" w:cs="Times New Roman"/>
          <w:bCs/>
          <w:color w:val="auto"/>
          <w:sz w:val="24"/>
          <w:highlight w:val="none"/>
          <w:lang w:eastAsia="zh-CN"/>
        </w:rPr>
        <w:t>运营期</w:t>
      </w:r>
      <w:r>
        <w:rPr>
          <w:rFonts w:hint="eastAsia" w:ascii="Times New Roman" w:hAnsi="Times New Roman" w:cs="Times New Roman"/>
          <w:bCs/>
          <w:color w:val="auto"/>
          <w:sz w:val="24"/>
          <w:highlight w:val="none"/>
        </w:rPr>
        <w:t>H</w:t>
      </w:r>
      <w:r>
        <w:rPr>
          <w:rFonts w:hint="eastAsia" w:ascii="Times New Roman" w:hAnsi="Times New Roman" w:cs="Times New Roman"/>
          <w:bCs/>
          <w:color w:val="auto"/>
          <w:sz w:val="24"/>
          <w:highlight w:val="none"/>
          <w:vertAlign w:val="subscript"/>
          <w:lang w:val="en-US" w:eastAsia="zh-CN"/>
        </w:rPr>
        <w:t>2</w:t>
      </w:r>
      <w:r>
        <w:rPr>
          <w:rFonts w:hint="eastAsia" w:ascii="Times New Roman" w:hAnsi="Times New Roman" w:cs="Times New Roman"/>
          <w:bCs/>
          <w:color w:val="auto"/>
          <w:sz w:val="24"/>
          <w:highlight w:val="none"/>
        </w:rPr>
        <w:t>S、NH</w:t>
      </w:r>
      <w:r>
        <w:rPr>
          <w:rFonts w:hint="eastAsia" w:ascii="Times New Roman" w:hAnsi="Times New Roman" w:cs="Times New Roman"/>
          <w:bCs/>
          <w:color w:val="auto"/>
          <w:sz w:val="24"/>
          <w:highlight w:val="none"/>
          <w:vertAlign w:val="subscript"/>
        </w:rPr>
        <w:t xml:space="preserve">3 </w:t>
      </w:r>
      <w:r>
        <w:rPr>
          <w:rFonts w:hint="eastAsia" w:ascii="Times New Roman" w:hAnsi="Times New Roman" w:cs="Times New Roman"/>
          <w:bCs/>
          <w:color w:val="auto"/>
          <w:sz w:val="24"/>
          <w:highlight w:val="none"/>
        </w:rPr>
        <w:t>执行《恶臭污染物排放标准》（GB14554-93）二级标准</w:t>
      </w:r>
      <w:r>
        <w:rPr>
          <w:rFonts w:hint="eastAsia" w:ascii="Times New Roman" w:hAnsi="Times New Roman" w:cs="Times New Roman"/>
          <w:bCs/>
          <w:color w:val="auto"/>
          <w:sz w:val="24"/>
          <w:highlight w:val="none"/>
          <w:lang w:eastAsia="zh-CN"/>
        </w:rPr>
        <w:t>，详情见表</w:t>
      </w:r>
      <w:r>
        <w:rPr>
          <w:rFonts w:hint="eastAsia" w:ascii="Times New Roman" w:hAnsi="Times New Roman" w:cs="Times New Roman"/>
          <w:bCs/>
          <w:color w:val="auto"/>
          <w:sz w:val="24"/>
          <w:highlight w:val="none"/>
          <w:lang w:val="en-US" w:eastAsia="zh-CN"/>
        </w:rPr>
        <w:t>2.5-11</w:t>
      </w:r>
    </w:p>
    <w:p>
      <w:pPr>
        <w:numPr>
          <w:ilvl w:val="0"/>
          <w:numId w:val="6"/>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《恶臭污染物排放标准》（GB14554-93）标准限值</w:t>
      </w:r>
    </w:p>
    <w:tbl>
      <w:tblPr>
        <w:tblStyle w:val="91"/>
        <w:tblW w:w="8522"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2125"/>
        <w:gridCol w:w="3351"/>
        <w:gridCol w:w="1530"/>
        <w:gridCol w:w="1516"/>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7" w:hRule="atLeast"/>
        </w:trPr>
        <w:tc>
          <w:tcPr>
            <w:tcW w:w="2125"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污染物</w:t>
            </w:r>
          </w:p>
        </w:tc>
        <w:tc>
          <w:tcPr>
            <w:tcW w:w="335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厂界无组织排放浓度限值（mg/m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w:t>
            </w:r>
          </w:p>
        </w:tc>
        <w:tc>
          <w:tcPr>
            <w:tcW w:w="1530"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eastAsia="zh-CN"/>
              </w:rPr>
              <w:t>排放量（</w:t>
            </w:r>
            <w:r>
              <w:rPr>
                <w:rFonts w:hint="eastAsia" w:ascii="Times New Roman" w:hAnsi="Times New Roman" w:cs="Times New Roman"/>
                <w:color w:val="auto"/>
                <w:highlight w:val="none"/>
                <w:lang w:val="en-US" w:eastAsia="zh-CN"/>
              </w:rPr>
              <w:t>kg/h）</w:t>
            </w:r>
          </w:p>
        </w:tc>
        <w:tc>
          <w:tcPr>
            <w:tcW w:w="1516"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排气筒高度</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2125"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氨</w:t>
            </w:r>
          </w:p>
        </w:tc>
        <w:tc>
          <w:tcPr>
            <w:tcW w:w="335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1.5</w:t>
            </w:r>
          </w:p>
        </w:tc>
        <w:tc>
          <w:tcPr>
            <w:tcW w:w="1530"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4.9</w:t>
            </w:r>
          </w:p>
        </w:tc>
        <w:tc>
          <w:tcPr>
            <w:tcW w:w="1516"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15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2125"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硫化氢</w:t>
            </w:r>
          </w:p>
        </w:tc>
        <w:tc>
          <w:tcPr>
            <w:tcW w:w="335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0.06</w:t>
            </w:r>
          </w:p>
        </w:tc>
        <w:tc>
          <w:tcPr>
            <w:tcW w:w="1530"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0.33</w:t>
            </w:r>
          </w:p>
        </w:tc>
        <w:tc>
          <w:tcPr>
            <w:tcW w:w="1516"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p>
        </w:tc>
      </w:tr>
    </w:tbl>
    <w:p>
      <w:pPr>
        <w:adjustRightInd w:val="0"/>
        <w:snapToGrid w:val="0"/>
        <w:ind w:firstLine="480" w:firstLineChars="200"/>
        <w:jc w:val="left"/>
        <w:rPr>
          <w:rFonts w:hint="default"/>
          <w:color w:val="auto"/>
          <w:highlight w:val="none"/>
          <w:lang w:val="en-US" w:eastAsia="zh-CN"/>
        </w:rPr>
      </w:pPr>
      <w:r>
        <w:rPr>
          <w:rFonts w:hint="eastAsia" w:ascii="Times New Roman" w:hAnsi="Times New Roman" w:cs="Times New Roman"/>
          <w:bCs/>
          <w:color w:val="auto"/>
          <w:sz w:val="24"/>
          <w:highlight w:val="none"/>
          <w:lang w:eastAsia="zh-CN"/>
        </w:rPr>
        <w:t>运营期</w:t>
      </w:r>
      <w:r>
        <w:rPr>
          <w:rFonts w:hint="eastAsia" w:ascii="Times New Roman" w:hAnsi="Times New Roman" w:cs="Times New Roman"/>
          <w:bCs/>
          <w:color w:val="auto"/>
          <w:sz w:val="24"/>
          <w:highlight w:val="none"/>
        </w:rPr>
        <w:t>油烟执行《饮食业油烟排放标准》（试行）（</w:t>
      </w:r>
      <w:r>
        <w:rPr>
          <w:rFonts w:ascii="Times New Roman" w:hAnsi="Times New Roman" w:cs="Times New Roman"/>
          <w:bCs/>
          <w:color w:val="auto"/>
          <w:sz w:val="24"/>
          <w:highlight w:val="none"/>
        </w:rPr>
        <w:t>GB18483-2001</w:t>
      </w:r>
      <w:r>
        <w:rPr>
          <w:rFonts w:hint="eastAsia" w:ascii="Times New Roman" w:hAnsi="Times New Roman" w:cs="Times New Roman"/>
          <w:bCs/>
          <w:color w:val="auto"/>
          <w:sz w:val="24"/>
          <w:highlight w:val="none"/>
        </w:rPr>
        <w:t>）相应标准。</w:t>
      </w:r>
    </w:p>
    <w:p>
      <w:pPr>
        <w:numPr>
          <w:ilvl w:val="0"/>
          <w:numId w:val="6"/>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饮食业单位的油烟最高允许排放浓度和油烟净化设施最低去除效率</w:t>
      </w:r>
    </w:p>
    <w:tbl>
      <w:tblPr>
        <w:tblStyle w:val="91"/>
        <w:tblW w:w="8504"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2536"/>
        <w:gridCol w:w="5968"/>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536"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b/>
                <w:color w:val="auto"/>
                <w:sz w:val="21"/>
                <w:highlight w:val="none"/>
              </w:rPr>
            </w:pPr>
            <w:r>
              <w:rPr>
                <w:rFonts w:hint="eastAsia" w:ascii="Times New Roman" w:hAnsi="Times New Roman"/>
                <w:b/>
                <w:color w:val="auto"/>
                <w:sz w:val="21"/>
                <w:highlight w:val="none"/>
              </w:rPr>
              <w:t>规模</w:t>
            </w:r>
          </w:p>
        </w:tc>
        <w:tc>
          <w:tcPr>
            <w:tcW w:w="5968"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b/>
                <w:color w:val="auto"/>
                <w:sz w:val="21"/>
                <w:highlight w:val="none"/>
              </w:rPr>
            </w:pPr>
            <w:r>
              <w:rPr>
                <w:rFonts w:hint="eastAsia" w:ascii="Times New Roman" w:hAnsi="Times New Roman"/>
                <w:b/>
                <w:color w:val="auto"/>
                <w:sz w:val="21"/>
                <w:highlight w:val="none"/>
              </w:rPr>
              <w:t>小型</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536"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最高允许排放浓度</w:t>
            </w:r>
            <w:r>
              <w:rPr>
                <w:rFonts w:hint="default" w:ascii="Times New Roman" w:hAnsi="Times New Roman"/>
                <w:color w:val="auto"/>
                <w:sz w:val="21"/>
                <w:highlight w:val="none"/>
              </w:rPr>
              <w:t>mg/m</w:t>
            </w:r>
            <w:r>
              <w:rPr>
                <w:rFonts w:hint="default" w:ascii="Times New Roman" w:hAnsi="Times New Roman"/>
                <w:color w:val="auto"/>
                <w:sz w:val="21"/>
                <w:highlight w:val="none"/>
                <w:vertAlign w:val="superscript"/>
              </w:rPr>
              <w:t>3</w:t>
            </w:r>
          </w:p>
        </w:tc>
        <w:tc>
          <w:tcPr>
            <w:tcW w:w="5968"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2.0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536"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净化设施最低去除效率</w:t>
            </w:r>
            <w:r>
              <w:rPr>
                <w:rFonts w:hint="default" w:ascii="Times New Roman" w:hAnsi="Times New Roman"/>
                <w:color w:val="auto"/>
                <w:sz w:val="21"/>
                <w:highlight w:val="none"/>
              </w:rPr>
              <w:t>%</w:t>
            </w:r>
          </w:p>
        </w:tc>
        <w:tc>
          <w:tcPr>
            <w:tcW w:w="5968"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60</w:t>
            </w:r>
          </w:p>
        </w:tc>
      </w:tr>
    </w:tbl>
    <w:p>
      <w:pPr>
        <w:pStyle w:val="158"/>
        <w:ind w:firstLine="480"/>
        <w:rPr>
          <w:color w:val="auto"/>
          <w:highlight w:val="none"/>
        </w:rPr>
      </w:pPr>
      <w:r>
        <w:rPr>
          <w:color w:val="auto"/>
          <w:highlight w:val="none"/>
        </w:rPr>
        <w:t>（3）噪声</w:t>
      </w:r>
    </w:p>
    <w:p>
      <w:pPr>
        <w:adjustRightInd w:val="0"/>
        <w:ind w:firstLine="480"/>
        <w:rPr>
          <w:rFonts w:hint="eastAsia" w:ascii="宋体" w:hAnsi="宋体" w:eastAsia="宋体" w:cs="宋体"/>
          <w:b/>
          <w:bCs w:val="0"/>
          <w:color w:val="auto"/>
          <w:sz w:val="21"/>
          <w:szCs w:val="21"/>
          <w:highlight w:val="none"/>
          <w:lang w:val="en-US" w:eastAsia="zh-CN"/>
        </w:rPr>
      </w:pPr>
      <w:r>
        <w:rPr>
          <w:rFonts w:ascii="Times New Roman" w:hAnsi="Times New Roman" w:cs="Times New Roman"/>
          <w:color w:val="auto"/>
          <w:sz w:val="24"/>
          <w:szCs w:val="24"/>
          <w:highlight w:val="none"/>
        </w:rPr>
        <w:t>施工期执行《建筑施工场界环境噪声排放标准》（GB12523-2011）标准，营运期执行《工业企业厂界环境噪声排放标准》（GB12348-2008）中的</w:t>
      </w:r>
      <w:r>
        <w:rPr>
          <w:rFonts w:hint="eastAsia" w:ascii="Times New Roman" w:hAnsi="Times New Roman" w:cs="Times New Roman"/>
          <w:color w:val="auto"/>
          <w:sz w:val="24"/>
          <w:szCs w:val="24"/>
          <w:highlight w:val="none"/>
        </w:rPr>
        <w:t>2</w:t>
      </w:r>
      <w:r>
        <w:rPr>
          <w:rFonts w:ascii="Times New Roman" w:hAnsi="Times New Roman" w:cs="Times New Roman"/>
          <w:color w:val="auto"/>
          <w:sz w:val="24"/>
          <w:szCs w:val="24"/>
          <w:highlight w:val="none"/>
        </w:rPr>
        <w:t>类标准，具体标准值见以下两表。</w:t>
      </w:r>
    </w:p>
    <w:p>
      <w:pPr>
        <w:numPr>
          <w:ilvl w:val="0"/>
          <w:numId w:val="6"/>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建筑施工场界环境噪声排放限值（摘录）  单位：dB（A）</w:t>
      </w:r>
    </w:p>
    <w:tbl>
      <w:tblPr>
        <w:tblStyle w:val="91"/>
        <w:tblW w:w="8522"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4261"/>
        <w:gridCol w:w="426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26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昼间</w:t>
            </w:r>
          </w:p>
        </w:tc>
        <w:tc>
          <w:tcPr>
            <w:tcW w:w="426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夜间</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26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70</w:t>
            </w:r>
          </w:p>
        </w:tc>
        <w:tc>
          <w:tcPr>
            <w:tcW w:w="426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55</w:t>
            </w:r>
          </w:p>
        </w:tc>
      </w:tr>
    </w:tbl>
    <w:p>
      <w:pPr>
        <w:numPr>
          <w:ilvl w:val="0"/>
          <w:numId w:val="6"/>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工业企业厂界噪声排放标准  单位：dB（A）</w:t>
      </w:r>
    </w:p>
    <w:tbl>
      <w:tblPr>
        <w:tblStyle w:val="91"/>
        <w:tblW w:w="8316"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3012"/>
        <w:gridCol w:w="2651"/>
        <w:gridCol w:w="265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3012"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类别</w:t>
            </w:r>
          </w:p>
        </w:tc>
        <w:tc>
          <w:tcPr>
            <w:tcW w:w="265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昼间</w:t>
            </w:r>
          </w:p>
        </w:tc>
        <w:tc>
          <w:tcPr>
            <w:tcW w:w="26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夜间</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3012"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2</w:t>
            </w:r>
            <w:r>
              <w:rPr>
                <w:rFonts w:hint="default" w:ascii="Times New Roman" w:hAnsi="Times New Roman" w:cs="Times New Roman"/>
                <w:color w:val="auto"/>
                <w:highlight w:val="none"/>
              </w:rPr>
              <w:t>类标准</w:t>
            </w:r>
          </w:p>
        </w:tc>
        <w:tc>
          <w:tcPr>
            <w:tcW w:w="265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6</w:t>
            </w:r>
            <w:r>
              <w:rPr>
                <w:rFonts w:hint="eastAsia" w:ascii="Times New Roman" w:hAnsi="Times New Roman" w:cs="Times New Roman"/>
                <w:color w:val="auto"/>
                <w:highlight w:val="none"/>
              </w:rPr>
              <w:t>0</w:t>
            </w:r>
          </w:p>
        </w:tc>
        <w:tc>
          <w:tcPr>
            <w:tcW w:w="26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5</w:t>
            </w:r>
            <w:r>
              <w:rPr>
                <w:rFonts w:hint="eastAsia" w:ascii="Times New Roman" w:hAnsi="Times New Roman" w:cs="Times New Roman"/>
                <w:color w:val="auto"/>
                <w:highlight w:val="none"/>
              </w:rPr>
              <w:t>0</w:t>
            </w:r>
          </w:p>
        </w:tc>
      </w:tr>
    </w:tbl>
    <w:p>
      <w:pPr>
        <w:pStyle w:val="158"/>
        <w:ind w:firstLine="480"/>
        <w:rPr>
          <w:color w:val="auto"/>
          <w:highlight w:val="none"/>
        </w:rPr>
      </w:pPr>
      <w:r>
        <w:rPr>
          <w:color w:val="auto"/>
          <w:highlight w:val="none"/>
        </w:rPr>
        <w:t>（4）固体废物</w:t>
      </w:r>
    </w:p>
    <w:p>
      <w:pPr>
        <w:pStyle w:val="158"/>
        <w:ind w:firstLine="480"/>
        <w:rPr>
          <w:rFonts w:hint="eastAsia" w:ascii="Times New Roman" w:hAnsi="Times New Roman" w:eastAsia="宋体" w:cs="Times New Roman"/>
          <w:b/>
          <w:bCs/>
          <w:color w:val="auto"/>
          <w:highlight w:val="none"/>
          <w:lang w:val="en-US" w:eastAsia="zh-CN"/>
        </w:rPr>
      </w:pPr>
      <w:r>
        <w:rPr>
          <w:rFonts w:hint="eastAsia"/>
          <w:color w:val="auto"/>
          <w:highlight w:val="none"/>
        </w:rPr>
        <w:t>畜禽粪便执行《畜禽养殖业污染物排放标准》（GB18596-2001）表 6 中的畜禽养殖业废渣无害化环境标准，</w:t>
      </w:r>
      <w:r>
        <w:rPr>
          <w:rFonts w:ascii="Times New Roman" w:hAnsi="Times New Roman" w:cs="Times New Roman"/>
          <w:color w:val="auto"/>
          <w:sz w:val="24"/>
          <w:szCs w:val="24"/>
          <w:highlight w:val="none"/>
        </w:rPr>
        <w:t>具体标准值见以下表</w:t>
      </w:r>
      <w:r>
        <w:rPr>
          <w:rFonts w:hint="eastAsia" w:cs="Times New Roman"/>
          <w:color w:val="auto"/>
          <w:sz w:val="24"/>
          <w:szCs w:val="24"/>
          <w:highlight w:val="none"/>
          <w:lang w:eastAsia="zh-CN"/>
        </w:rPr>
        <w:t>。</w:t>
      </w:r>
    </w:p>
    <w:p>
      <w:pPr>
        <w:numPr>
          <w:ilvl w:val="0"/>
          <w:numId w:val="6"/>
        </w:numPr>
        <w:tabs>
          <w:tab w:val="left" w:pos="0"/>
        </w:tabs>
        <w:ind w:left="425" w:leftChars="0" w:hanging="425" w:firstLineChars="0"/>
        <w:jc w:val="center"/>
        <w:rPr>
          <w:rFonts w:hint="eastAsia"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《畜禽养殖业污染物排放标准- 畜禽养殖业废渣无害化标准》（GB18596-2001）</w:t>
      </w:r>
    </w:p>
    <w:tbl>
      <w:tblPr>
        <w:tblStyle w:val="91"/>
        <w:tblW w:w="8522"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4261"/>
        <w:gridCol w:w="426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26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eastAsiaTheme="minorEastAsia"/>
                <w:b/>
                <w:color w:val="auto"/>
                <w:highlight w:val="none"/>
                <w:lang w:eastAsia="zh-CN"/>
              </w:rPr>
            </w:pPr>
            <w:r>
              <w:rPr>
                <w:rFonts w:hint="eastAsia" w:ascii="Times New Roman" w:hAnsi="Times New Roman" w:cs="Times New Roman"/>
                <w:b/>
                <w:color w:val="auto"/>
                <w:highlight w:val="none"/>
                <w:lang w:eastAsia="zh-CN"/>
              </w:rPr>
              <w:t>控制目标</w:t>
            </w:r>
          </w:p>
        </w:tc>
        <w:tc>
          <w:tcPr>
            <w:tcW w:w="426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eastAsiaTheme="minorEastAsia"/>
                <w:b/>
                <w:color w:val="auto"/>
                <w:highlight w:val="none"/>
                <w:lang w:eastAsia="zh-CN"/>
              </w:rPr>
            </w:pPr>
            <w:r>
              <w:rPr>
                <w:rFonts w:hint="eastAsia" w:ascii="Times New Roman" w:hAnsi="Times New Roman" w:cs="Times New Roman"/>
                <w:b/>
                <w:color w:val="auto"/>
                <w:highlight w:val="none"/>
                <w:lang w:eastAsia="zh-CN"/>
              </w:rPr>
              <w:t>标准值</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26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粪大肠菌群数</w:t>
            </w:r>
          </w:p>
        </w:tc>
        <w:tc>
          <w:tcPr>
            <w:tcW w:w="426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≤1</w:t>
            </w:r>
            <w:r>
              <w:rPr>
                <w:rFonts w:hint="eastAsia" w:ascii="Times New Roman" w:hAnsi="Times New Roman" w:cs="Times New Roman"/>
                <w:color w:val="auto"/>
                <w:highlight w:val="none"/>
                <w:lang w:val="en-US" w:eastAsia="zh-CN"/>
              </w:rPr>
              <w:t>0</w:t>
            </w:r>
            <w:r>
              <w:rPr>
                <w:rFonts w:hint="eastAsia" w:ascii="Times New Roman" w:hAnsi="Times New Roman" w:cs="Times New Roman"/>
                <w:color w:val="auto"/>
                <w:highlight w:val="none"/>
                <w:vertAlign w:val="superscript"/>
                <w:lang w:val="en-US" w:eastAsia="zh-CN"/>
              </w:rPr>
              <w:t>5</w:t>
            </w:r>
            <w:r>
              <w:rPr>
                <w:rFonts w:hint="eastAsia" w:ascii="Times New Roman" w:hAnsi="Times New Roman" w:cs="Times New Roman"/>
                <w:color w:val="auto"/>
                <w:highlight w:val="none"/>
              </w:rPr>
              <w:t>个/公斤</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26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蛔虫卵</w:t>
            </w:r>
          </w:p>
        </w:tc>
        <w:tc>
          <w:tcPr>
            <w:tcW w:w="426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死亡率≥95%</w:t>
            </w:r>
          </w:p>
        </w:tc>
      </w:tr>
    </w:tbl>
    <w:p>
      <w:pPr>
        <w:pStyle w:val="271"/>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一般固体废物贮存、处置过程执行</w:t>
      </w:r>
      <w:r>
        <w:rPr>
          <w:rFonts w:hint="default" w:ascii="Times New Roman" w:hAnsi="Times New Roman" w:eastAsia="宋体" w:cs="Times New Roman"/>
          <w:snapToGrid w:val="0"/>
          <w:color w:val="auto"/>
          <w:kern w:val="0"/>
          <w:sz w:val="24"/>
          <w:highlight w:val="none"/>
        </w:rPr>
        <w:t>《一般工业固体废物贮存和填埋污染控制标准》（GB18599-2020）</w:t>
      </w:r>
      <w:r>
        <w:rPr>
          <w:rFonts w:hint="default" w:ascii="Times New Roman" w:hAnsi="Times New Roman" w:eastAsia="宋体" w:cs="Times New Roman"/>
          <w:color w:val="auto"/>
          <w:kern w:val="0"/>
          <w:sz w:val="24"/>
          <w:szCs w:val="24"/>
          <w:highlight w:val="none"/>
          <w:lang w:val="en-US" w:eastAsia="zh-CN" w:bidi="ar-SA"/>
        </w:rPr>
        <w:t>；危险固体废物贮存过程中执行《危险废物贮存污染控制标准》（GB18597-2001）及国家环保部【2013】第36号关于该标准的修改单相关标准。</w:t>
      </w:r>
    </w:p>
    <w:p>
      <w:pPr>
        <w:pStyle w:val="158"/>
        <w:ind w:firstLine="480"/>
        <w:rPr>
          <w:rFonts w:hint="eastAsia"/>
          <w:color w:val="auto"/>
          <w:highlight w:val="none"/>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rPr>
        <w:t>生态环境</w:t>
      </w:r>
    </w:p>
    <w:p>
      <w:pPr>
        <w:pStyle w:val="158"/>
        <w:ind w:firstLine="480"/>
        <w:rPr>
          <w:rFonts w:hint="eastAsia"/>
          <w:color w:val="auto"/>
          <w:highlight w:val="none"/>
          <w:lang w:eastAsia="zh-CN"/>
        </w:rPr>
      </w:pPr>
      <w:r>
        <w:rPr>
          <w:rFonts w:hint="eastAsia"/>
          <w:color w:val="auto"/>
          <w:highlight w:val="none"/>
        </w:rPr>
        <w:t>生态环境按《环境影响评价技术导则 生态影响》（HJ19-20</w:t>
      </w:r>
      <w:r>
        <w:rPr>
          <w:rFonts w:hint="eastAsia"/>
          <w:color w:val="auto"/>
          <w:highlight w:val="none"/>
          <w:lang w:val="en-US" w:eastAsia="zh-CN"/>
        </w:rPr>
        <w:t>22</w:t>
      </w:r>
      <w:r>
        <w:rPr>
          <w:rFonts w:hint="eastAsia"/>
          <w:color w:val="auto"/>
          <w:highlight w:val="none"/>
        </w:rPr>
        <w:t>）执行。以不破坏生态系统完整性为目标；水土流失以不增加土壤侵蚀强度为标准。</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default" w:ascii="Times New Roman" w:hAnsi="Times New Roman" w:eastAsia="宋体" w:cs="Times New Roman"/>
          <w:color w:val="auto"/>
          <w:highlight w:val="none"/>
          <w:lang w:eastAsia="zh-CN"/>
        </w:rPr>
      </w:pPr>
      <w:bookmarkStart w:id="63" w:name="_Toc4458"/>
      <w:r>
        <w:rPr>
          <w:rFonts w:hint="default" w:ascii="Times New Roman" w:hAnsi="Times New Roman" w:eastAsia="宋体" w:cs="Times New Roman"/>
          <w:color w:val="auto"/>
          <w:highlight w:val="none"/>
          <w:lang w:eastAsia="zh-CN"/>
        </w:rPr>
        <w:t>评价工作等级、评价范围和评价时段</w:t>
      </w:r>
      <w:bookmarkEnd w:id="63"/>
    </w:p>
    <w:p>
      <w:pPr>
        <w:pStyle w:val="8"/>
        <w:spacing w:before="0" w:after="0" w:line="360" w:lineRule="auto"/>
        <w:ind w:left="0" w:firstLine="0"/>
        <w:rPr>
          <w:rFonts w:cs="Times New Roman"/>
          <w:color w:val="auto"/>
          <w:highlight w:val="none"/>
        </w:rPr>
      </w:pPr>
      <w:bookmarkStart w:id="64" w:name="_Toc32270"/>
      <w:bookmarkStart w:id="65" w:name="_Toc405412753"/>
      <w:bookmarkStart w:id="66" w:name="_Toc319588823"/>
      <w:bookmarkStart w:id="67" w:name="_Toc319591134"/>
      <w:bookmarkStart w:id="68" w:name="_Toc321575577"/>
      <w:r>
        <w:rPr>
          <w:rFonts w:cs="Times New Roman"/>
          <w:color w:val="auto"/>
          <w:highlight w:val="none"/>
        </w:rPr>
        <w:t>评价工作等级</w:t>
      </w:r>
      <w:bookmarkEnd w:id="64"/>
      <w:bookmarkEnd w:id="65"/>
      <w:bookmarkEnd w:id="66"/>
      <w:bookmarkEnd w:id="67"/>
      <w:bookmarkEnd w:id="68"/>
    </w:p>
    <w:p>
      <w:pPr>
        <w:ind w:firstLine="480" w:firstLineChars="200"/>
        <w:rPr>
          <w:color w:val="auto"/>
          <w:sz w:val="24"/>
          <w:szCs w:val="24"/>
          <w:highlight w:val="none"/>
        </w:rPr>
      </w:pPr>
      <w:r>
        <w:rPr>
          <w:color w:val="auto"/>
          <w:sz w:val="24"/>
          <w:szCs w:val="24"/>
          <w:highlight w:val="none"/>
        </w:rPr>
        <w:t>1、大气环境</w:t>
      </w:r>
    </w:p>
    <w:p>
      <w:pPr>
        <w:pStyle w:val="1386"/>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根据《环境影响评价技术导则—大气环境》（HJ 2.2-2018）中推荐的大气评价工作等级划分原则，选择1-3种主要污染物，分别计算每一种污染物的最大地面浓度占标率P</w:t>
      </w:r>
      <w:r>
        <w:rPr>
          <w:rFonts w:hint="default" w:ascii="Times New Roman" w:hAnsi="Times New Roman" w:cs="Times New Roman"/>
          <w:color w:val="auto"/>
          <w:highlight w:val="none"/>
          <w:vertAlign w:val="subscript"/>
        </w:rPr>
        <w:t>i</w:t>
      </w:r>
      <w:r>
        <w:rPr>
          <w:rFonts w:hint="default" w:ascii="Times New Roman" w:hAnsi="Times New Roman" w:cs="Times New Roman"/>
          <w:color w:val="auto"/>
          <w:highlight w:val="none"/>
        </w:rPr>
        <w:t>，计算公式如下：</w:t>
      </w:r>
    </w:p>
    <w:p>
      <w:pPr>
        <w:pStyle w:val="1386"/>
        <w:ind w:firstLine="480"/>
        <w:jc w:val="center"/>
        <w:rPr>
          <w:rFonts w:hint="default" w:ascii="Times New Roman" w:hAnsi="Times New Roman" w:cs="Times New Roman"/>
          <w:color w:val="auto"/>
          <w:highlight w:val="none"/>
        </w:rPr>
      </w:pPr>
      <m:oMathPara>
        <m:oMath>
          <m:sSub>
            <m:sSubPr>
              <m:ctrlPr>
                <w:rPr>
                  <w:rFonts w:hint="default" w:ascii="Cambria Math" w:hAnsi="Cambria Math" w:cs="Times New Roman"/>
                  <w:color w:val="auto"/>
                  <w:highlight w:val="none"/>
                </w:rPr>
              </m:ctrlPr>
            </m:sSubPr>
            <m:e>
              <m:r>
                <m:rPr>
                  <m:sty m:val="p"/>
                </m:rPr>
                <w:rPr>
                  <w:rFonts w:hint="default" w:ascii="Cambria Math" w:hAnsi="Cambria Math" w:cs="Times New Roman"/>
                  <w:color w:val="auto"/>
                  <w:highlight w:val="none"/>
                </w:rPr>
                <m:t>P</m:t>
              </m:r>
              <m:ctrlPr>
                <w:rPr>
                  <w:rFonts w:hint="default" w:ascii="Cambria Math" w:hAnsi="Cambria Math" w:cs="Times New Roman"/>
                  <w:color w:val="auto"/>
                  <w:highlight w:val="none"/>
                </w:rPr>
              </m:ctrlPr>
            </m:e>
            <m:sub>
              <m:r>
                <m:rPr>
                  <m:sty m:val="p"/>
                </m:rPr>
                <w:rPr>
                  <w:rFonts w:hint="default" w:ascii="Cambria Math" w:hAnsi="Cambria Math" w:cs="Times New Roman"/>
                  <w:color w:val="auto"/>
                  <w:highlight w:val="none"/>
                </w:rPr>
                <m:t>i</m:t>
              </m:r>
              <m:ctrlPr>
                <w:rPr>
                  <w:rFonts w:hint="default" w:ascii="Cambria Math" w:hAnsi="Cambria Math" w:cs="Times New Roman"/>
                  <w:color w:val="auto"/>
                  <w:highlight w:val="none"/>
                </w:rPr>
              </m:ctrlPr>
            </m:sub>
          </m:sSub>
          <m:r>
            <m:rPr>
              <m:sty m:val="p"/>
            </m:rPr>
            <w:rPr>
              <w:rFonts w:hint="default" w:ascii="Cambria Math" w:hAnsi="Cambria Math" w:cs="Times New Roman"/>
              <w:color w:val="auto"/>
              <w:highlight w:val="none"/>
            </w:rPr>
            <m:t>=</m:t>
          </m:r>
          <m:f>
            <m:fPr>
              <m:ctrlPr>
                <w:rPr>
                  <w:rFonts w:hint="default" w:ascii="Cambria Math" w:hAnsi="Cambria Math" w:cs="Times New Roman"/>
                  <w:color w:val="auto"/>
                  <w:highlight w:val="none"/>
                </w:rPr>
              </m:ctrlPr>
            </m:fPr>
            <m:num>
              <m:sSub>
                <m:sSubPr>
                  <m:ctrlPr>
                    <w:rPr>
                      <w:rFonts w:hint="default" w:ascii="Cambria Math" w:hAnsi="Cambria Math" w:cs="Times New Roman"/>
                      <w:color w:val="auto"/>
                      <w:highlight w:val="none"/>
                    </w:rPr>
                  </m:ctrlPr>
                </m:sSubPr>
                <m:e>
                  <m:r>
                    <m:rPr>
                      <m:sty m:val="p"/>
                    </m:rPr>
                    <w:rPr>
                      <w:rFonts w:hint="default" w:ascii="Cambria Math" w:hAnsi="Cambria Math" w:cs="Times New Roman"/>
                      <w:color w:val="auto"/>
                      <w:highlight w:val="none"/>
                    </w:rPr>
                    <m:t>ρ</m:t>
                  </m:r>
                  <m:ctrlPr>
                    <w:rPr>
                      <w:rFonts w:hint="default" w:ascii="Cambria Math" w:hAnsi="Cambria Math" w:cs="Times New Roman"/>
                      <w:color w:val="auto"/>
                      <w:highlight w:val="none"/>
                    </w:rPr>
                  </m:ctrlPr>
                </m:e>
                <m:sub>
                  <m:r>
                    <m:rPr>
                      <m:sty m:val="p"/>
                    </m:rPr>
                    <w:rPr>
                      <w:rFonts w:hint="default" w:ascii="Cambria Math" w:hAnsi="Cambria Math" w:cs="Times New Roman"/>
                      <w:color w:val="auto"/>
                      <w:highlight w:val="none"/>
                    </w:rPr>
                    <m:t>i</m:t>
                  </m:r>
                  <m:ctrlPr>
                    <w:rPr>
                      <w:rFonts w:hint="default" w:ascii="Cambria Math" w:hAnsi="Cambria Math" w:cs="Times New Roman"/>
                      <w:color w:val="auto"/>
                      <w:highlight w:val="none"/>
                    </w:rPr>
                  </m:ctrlPr>
                </m:sub>
              </m:sSub>
              <m:ctrlPr>
                <w:rPr>
                  <w:rFonts w:hint="default" w:ascii="Cambria Math" w:hAnsi="Cambria Math" w:cs="Times New Roman"/>
                  <w:color w:val="auto"/>
                  <w:highlight w:val="none"/>
                </w:rPr>
              </m:ctrlPr>
            </m:num>
            <m:den>
              <m:sSub>
                <m:sSubPr>
                  <m:ctrlPr>
                    <w:rPr>
                      <w:rFonts w:hint="default" w:ascii="Cambria Math" w:hAnsi="Cambria Math" w:cs="Times New Roman"/>
                      <w:color w:val="auto"/>
                      <w:highlight w:val="none"/>
                    </w:rPr>
                  </m:ctrlPr>
                </m:sSubPr>
                <m:e>
                  <m:r>
                    <m:rPr>
                      <m:sty m:val="p"/>
                    </m:rPr>
                    <w:rPr>
                      <w:rFonts w:hint="default" w:ascii="Cambria Math" w:hAnsi="Cambria Math" w:cs="Times New Roman"/>
                      <w:color w:val="auto"/>
                      <w:highlight w:val="none"/>
                    </w:rPr>
                    <m:t>ρ</m:t>
                  </m:r>
                  <m:ctrlPr>
                    <w:rPr>
                      <w:rFonts w:hint="default" w:ascii="Cambria Math" w:hAnsi="Cambria Math" w:cs="Times New Roman"/>
                      <w:color w:val="auto"/>
                      <w:highlight w:val="none"/>
                    </w:rPr>
                  </m:ctrlPr>
                </m:e>
                <m:sub>
                  <m:r>
                    <m:rPr>
                      <m:sty m:val="p"/>
                    </m:rPr>
                    <w:rPr>
                      <w:rFonts w:hint="default" w:ascii="Cambria Math" w:hAnsi="Cambria Math" w:cs="Times New Roman"/>
                      <w:color w:val="auto"/>
                      <w:highlight w:val="none"/>
                    </w:rPr>
                    <m:t>oi</m:t>
                  </m:r>
                  <m:ctrlPr>
                    <w:rPr>
                      <w:rFonts w:hint="default" w:ascii="Cambria Math" w:hAnsi="Cambria Math" w:cs="Times New Roman"/>
                      <w:color w:val="auto"/>
                      <w:highlight w:val="none"/>
                    </w:rPr>
                  </m:ctrlPr>
                </m:sub>
              </m:sSub>
              <m:ctrlPr>
                <w:rPr>
                  <w:rFonts w:hint="default" w:ascii="Cambria Math" w:hAnsi="Cambria Math" w:cs="Times New Roman"/>
                  <w:color w:val="auto"/>
                  <w:highlight w:val="none"/>
                </w:rPr>
              </m:ctrlPr>
            </m:den>
          </m:f>
          <m:r>
            <m:rPr>
              <m:sty m:val="p"/>
            </m:rPr>
            <w:rPr>
              <w:rFonts w:hint="default" w:ascii="Cambria Math" w:hAnsi="Cambria Math" w:cs="Times New Roman"/>
              <w:color w:val="auto"/>
              <w:highlight w:val="none"/>
            </w:rPr>
            <m:t>×100%</m:t>
          </m:r>
        </m:oMath>
      </m:oMathPara>
    </w:p>
    <w:p>
      <w:pPr>
        <w:pStyle w:val="1386"/>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式中：Pi—第i个污染物的最大地面浓度占标率，%；</w:t>
      </w:r>
    </w:p>
    <w:p>
      <w:pPr>
        <w:pStyle w:val="1386"/>
        <w:ind w:firstLine="480"/>
        <w:rPr>
          <w:rFonts w:hint="default" w:ascii="Times New Roman" w:hAnsi="Times New Roman" w:cs="Times New Roman"/>
          <w:color w:val="auto"/>
          <w:highlight w:val="none"/>
        </w:rPr>
      </w:pPr>
      <m:oMath>
        <m:sSub>
          <m:sSubPr>
            <m:ctrlPr>
              <w:rPr>
                <w:rFonts w:hint="default" w:ascii="Cambria Math" w:hAnsi="Cambria Math" w:cs="Times New Roman"/>
                <w:color w:val="auto"/>
                <w:highlight w:val="none"/>
              </w:rPr>
            </m:ctrlPr>
          </m:sSubPr>
          <m:e>
            <m:r>
              <m:rPr>
                <m:sty m:val="p"/>
              </m:rPr>
              <w:rPr>
                <w:rFonts w:hint="default" w:ascii="Cambria Math" w:hAnsi="Cambria Math" w:cs="Times New Roman"/>
                <w:color w:val="auto"/>
                <w:highlight w:val="none"/>
              </w:rPr>
              <m:t>ρ</m:t>
            </m:r>
            <m:ctrlPr>
              <w:rPr>
                <w:rFonts w:hint="default" w:ascii="Cambria Math" w:hAnsi="Cambria Math" w:cs="Times New Roman"/>
                <w:color w:val="auto"/>
                <w:highlight w:val="none"/>
              </w:rPr>
            </m:ctrlPr>
          </m:e>
          <m:sub>
            <m:r>
              <m:rPr>
                <m:sty m:val="p"/>
              </m:rPr>
              <w:rPr>
                <w:rFonts w:hint="default" w:ascii="Cambria Math" w:hAnsi="Cambria Math" w:cs="Times New Roman"/>
                <w:color w:val="auto"/>
                <w:highlight w:val="none"/>
              </w:rPr>
              <m:t>i</m:t>
            </m:r>
            <m:ctrlPr>
              <w:rPr>
                <w:rFonts w:hint="default" w:ascii="Cambria Math" w:hAnsi="Cambria Math" w:cs="Times New Roman"/>
                <w:color w:val="auto"/>
                <w:highlight w:val="none"/>
              </w:rPr>
            </m:ctrlPr>
          </m:sub>
        </m:sSub>
      </m:oMath>
      <w:r>
        <w:rPr>
          <w:rFonts w:hint="default" w:ascii="Times New Roman" w:hAnsi="Times New Roman" w:cs="Times New Roman"/>
          <w:color w:val="auto"/>
          <w:highlight w:val="none"/>
        </w:rPr>
        <w:t>—采用估算模式计算出的第i个污染物的最大1h地面空气质量浓度，μg/m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w:t>
      </w:r>
    </w:p>
    <w:p>
      <w:pPr>
        <w:pStyle w:val="1386"/>
        <w:ind w:firstLine="480"/>
        <w:rPr>
          <w:rFonts w:hint="default" w:ascii="Times New Roman" w:hAnsi="Times New Roman" w:cs="Times New Roman"/>
          <w:color w:val="auto"/>
          <w:highlight w:val="none"/>
        </w:rPr>
      </w:pPr>
      <m:oMath>
        <m:sSub>
          <m:sSubPr>
            <m:ctrlPr>
              <w:rPr>
                <w:rFonts w:hint="default" w:ascii="Cambria Math" w:hAnsi="Cambria Math" w:cs="Times New Roman"/>
                <w:color w:val="auto"/>
                <w:highlight w:val="none"/>
              </w:rPr>
            </m:ctrlPr>
          </m:sSubPr>
          <m:e>
            <m:r>
              <m:rPr>
                <m:sty m:val="p"/>
              </m:rPr>
              <w:rPr>
                <w:rFonts w:hint="default" w:ascii="Cambria Math" w:hAnsi="Cambria Math" w:cs="Times New Roman"/>
                <w:color w:val="auto"/>
                <w:highlight w:val="none"/>
              </w:rPr>
              <m:t>ρ</m:t>
            </m:r>
            <m:ctrlPr>
              <w:rPr>
                <w:rFonts w:hint="default" w:ascii="Cambria Math" w:hAnsi="Cambria Math" w:cs="Times New Roman"/>
                <w:color w:val="auto"/>
                <w:highlight w:val="none"/>
              </w:rPr>
            </m:ctrlPr>
          </m:e>
          <m:sub>
            <m:r>
              <m:rPr>
                <m:sty m:val="p"/>
              </m:rPr>
              <w:rPr>
                <w:rFonts w:hint="default" w:ascii="Cambria Math" w:hAnsi="Cambria Math" w:cs="Times New Roman"/>
                <w:color w:val="auto"/>
                <w:highlight w:val="none"/>
              </w:rPr>
              <m:t>oi</m:t>
            </m:r>
            <m:ctrlPr>
              <w:rPr>
                <w:rFonts w:hint="default" w:ascii="Cambria Math" w:hAnsi="Cambria Math" w:cs="Times New Roman"/>
                <w:color w:val="auto"/>
                <w:highlight w:val="none"/>
              </w:rPr>
            </m:ctrlPr>
          </m:sub>
        </m:sSub>
      </m:oMath>
      <w:r>
        <w:rPr>
          <w:rFonts w:hint="default" w:ascii="Times New Roman" w:hAnsi="Times New Roman" w:cs="Times New Roman"/>
          <w:color w:val="auto"/>
          <w:highlight w:val="none"/>
        </w:rPr>
        <w:t>—第i个污染物的环境空气质量标准，μg/m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。一般选用GB3095中1h平均质量浓度的二级浓度限值，如项目位于一类环境空气功能区，应选择相应的一级浓度限值；对该标准中未包含的污染物，使用5.2 确定的各评价因子1h平均质量浓度限值。对仅有8h平均质量浓度限值、日平均质量浓度限值或年平均质量浓度限值的，可分别按2倍、3倍、6倍折算为1h平均质量浓度限值。</w:t>
      </w:r>
    </w:p>
    <w:p>
      <w:pPr>
        <w:pStyle w:val="1386"/>
        <w:ind w:firstLine="480"/>
        <w:rPr>
          <w:color w:val="auto"/>
          <w:highlight w:val="none"/>
        </w:rPr>
      </w:pPr>
      <w:r>
        <w:rPr>
          <w:rFonts w:hint="eastAsia"/>
          <w:color w:val="auto"/>
          <w:highlight w:val="none"/>
        </w:rPr>
        <w:t>评价工作等级按下表的分级判据进行划分，如果污染物数</w:t>
      </w:r>
      <w:r>
        <w:rPr>
          <w:color w:val="auto"/>
          <w:highlight w:val="none"/>
        </w:rPr>
        <w:t>i</w:t>
      </w:r>
      <w:r>
        <w:rPr>
          <w:rFonts w:hint="eastAsia"/>
          <w:color w:val="auto"/>
          <w:highlight w:val="none"/>
        </w:rPr>
        <w:t>大于</w:t>
      </w:r>
      <w:r>
        <w:rPr>
          <w:color w:val="auto"/>
          <w:highlight w:val="none"/>
        </w:rPr>
        <w:t>1</w:t>
      </w:r>
      <w:r>
        <w:rPr>
          <w:rFonts w:hint="eastAsia"/>
          <w:color w:val="auto"/>
          <w:highlight w:val="none"/>
        </w:rPr>
        <w:t>，取</w:t>
      </w:r>
      <w:r>
        <w:rPr>
          <w:color w:val="auto"/>
          <w:highlight w:val="none"/>
        </w:rPr>
        <w:t>P</w:t>
      </w:r>
      <w:r>
        <w:rPr>
          <w:rFonts w:hint="eastAsia"/>
          <w:color w:val="auto"/>
          <w:highlight w:val="none"/>
        </w:rPr>
        <w:t>值中最大者（</w:t>
      </w:r>
      <w:r>
        <w:rPr>
          <w:color w:val="auto"/>
          <w:highlight w:val="none"/>
        </w:rPr>
        <w:t>P</w:t>
      </w:r>
      <w:r>
        <w:rPr>
          <w:color w:val="auto"/>
          <w:highlight w:val="none"/>
          <w:vertAlign w:val="subscript"/>
        </w:rPr>
        <w:t>max</w:t>
      </w:r>
      <w:r>
        <w:rPr>
          <w:rFonts w:hint="eastAsia"/>
          <w:color w:val="auto"/>
          <w:highlight w:val="none"/>
        </w:rPr>
        <w:t>）。当同一项目有多个污染源（两个及以上）时，则按各污染源分别确定其评价等级，并取评价等级最高者作为项目的评价等级。</w:t>
      </w:r>
    </w:p>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大气环境影响评价工作等级确定</w:t>
      </w:r>
    </w:p>
    <w:tbl>
      <w:tblPr>
        <w:tblStyle w:val="91"/>
        <w:tblW w:w="8504"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2396"/>
        <w:gridCol w:w="6108"/>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96"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评价工作等级</w:t>
            </w:r>
          </w:p>
        </w:tc>
        <w:tc>
          <w:tcPr>
            <w:tcW w:w="6108"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评价工作等级判据</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96"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一级</w:t>
            </w:r>
          </w:p>
        </w:tc>
        <w:tc>
          <w:tcPr>
            <w:tcW w:w="6108"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Pmax≥</w:t>
            </w:r>
            <w:r>
              <w:rPr>
                <w:rFonts w:hint="eastAsia" w:ascii="Times New Roman" w:hAnsi="Times New Roman"/>
                <w:color w:val="auto"/>
                <w:sz w:val="21"/>
                <w:highlight w:val="none"/>
              </w:rPr>
              <w:t>10%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96"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二级</w:t>
            </w:r>
          </w:p>
        </w:tc>
        <w:tc>
          <w:tcPr>
            <w:tcW w:w="6108"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1%≤</w:t>
            </w:r>
            <w:r>
              <w:rPr>
                <w:rFonts w:hint="default" w:ascii="Times New Roman" w:hAnsi="Times New Roman"/>
                <w:color w:val="auto"/>
                <w:sz w:val="21"/>
                <w:highlight w:val="none"/>
              </w:rPr>
              <w:t>Pmax</w:t>
            </w:r>
            <w:r>
              <w:rPr>
                <w:rFonts w:hint="eastAsia" w:ascii="Times New Roman" w:hAnsi="Times New Roman"/>
                <w:color w:val="auto"/>
                <w:sz w:val="21"/>
                <w:highlight w:val="none"/>
              </w:rPr>
              <w:t>＜10%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2396"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三级</w:t>
            </w:r>
          </w:p>
        </w:tc>
        <w:tc>
          <w:tcPr>
            <w:tcW w:w="6108"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Pmax&lt;</w:t>
            </w:r>
            <w:r>
              <w:rPr>
                <w:rFonts w:hint="eastAsia" w:ascii="Times New Roman" w:hAnsi="Times New Roman"/>
                <w:color w:val="auto"/>
                <w:sz w:val="21"/>
                <w:highlight w:val="none"/>
              </w:rPr>
              <w:t>1</w:t>
            </w:r>
            <w:r>
              <w:rPr>
                <w:rFonts w:hint="default" w:ascii="Times New Roman" w:hAnsi="Times New Roman"/>
                <w:color w:val="auto"/>
                <w:sz w:val="21"/>
                <w:highlight w:val="none"/>
              </w:rPr>
              <w:t>%</w:t>
            </w:r>
          </w:p>
        </w:tc>
      </w:tr>
    </w:tbl>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bookmarkStart w:id="69" w:name="_Toc319588824"/>
      <w:bookmarkStart w:id="70" w:name="_Toc405412754"/>
      <w:bookmarkStart w:id="71" w:name="_Toc321575578"/>
      <w:bookmarkStart w:id="72" w:name="_Toc319591135"/>
      <w:r>
        <w:rPr>
          <w:rFonts w:hint="default" w:ascii="Times New Roman" w:hAnsi="Times New Roman" w:eastAsia="宋体" w:cs="Times New Roman"/>
          <w:b/>
          <w:bCs/>
          <w:color w:val="auto"/>
          <w:highlight w:val="none"/>
          <w:lang w:val="en-US" w:eastAsia="zh-CN"/>
        </w:rPr>
        <w:t>Pmax和D10%预测和计算结果一览表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641"/>
        <w:gridCol w:w="1175"/>
        <w:gridCol w:w="1891"/>
        <w:gridCol w:w="1514"/>
        <w:gridCol w:w="1123"/>
        <w:gridCol w:w="1175"/>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污染源名称</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评价因子</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评价标准(μg/m³)</w:t>
            </w:r>
          </w:p>
        </w:tc>
        <w:tc>
          <w:tcPr>
            <w:tcW w:w="8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Cmax(μg/m³)</w:t>
            </w:r>
          </w:p>
        </w:tc>
        <w:tc>
          <w:tcPr>
            <w:tcW w:w="65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Pmax(%)</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D10%(m)</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圈舍1</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0.1996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0.0998</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0.0772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0.7718</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圈舍2</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0.2265</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0.1132</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0.0876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0.8757</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圈舍3</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0.1032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0.0516</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0.0399</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0.3990</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圈舍4</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0.1982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0.0991</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0.0766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0.7665</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圈舍5</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0.1549</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0.0774</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0.0599</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0.5988</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圈舍6</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0.1528</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0.0764</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0.0591</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0.5909</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圈舍7</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0.1961</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0.0981</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0.0758</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0.7584</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color w:val="auto"/>
                <w:sz w:val="21"/>
                <w:szCs w:val="21"/>
                <w:highlight w:val="none"/>
              </w:rPr>
              <w:t>圈舍8</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0.1463</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0.0731</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0.0566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0.5657</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圈舍9</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0.0832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0.0416</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0.0322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0.3217</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圈舍10</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0.1856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0.0928</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0.0718</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0.7176</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圈舍11</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0.1366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0.0683</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0.0528</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0.5283</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隔离舍1</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0.1412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0.0706</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0.0546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0.5461</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隔离舍2</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0.1946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0.0973</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0.0752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0.7525</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干</w:t>
            </w:r>
            <w:r>
              <w:rPr>
                <w:rFonts w:hint="default" w:ascii="Times New Roman" w:hAnsi="Times New Roman" w:eastAsia="宋体" w:cs="Times New Roman"/>
                <w:b w:val="0"/>
                <w:color w:val="auto"/>
                <w:sz w:val="21"/>
                <w:szCs w:val="21"/>
                <w:highlight w:val="none"/>
                <w:lang w:eastAsia="zh-CN"/>
              </w:rPr>
              <w:t>粪</w:t>
            </w:r>
            <w:r>
              <w:rPr>
                <w:rFonts w:hint="default" w:ascii="Times New Roman" w:hAnsi="Times New Roman" w:eastAsia="宋体" w:cs="Times New Roman"/>
                <w:b w:val="0"/>
                <w:color w:val="auto"/>
                <w:sz w:val="21"/>
                <w:szCs w:val="21"/>
                <w:highlight w:val="none"/>
              </w:rPr>
              <w:t>棚</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3.1881</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1.5940</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0.1822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1.8218</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污水处理站</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0.0289</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0.0145</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0.0010</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0.0096</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lang w:val="en-US" w:eastAsia="zh-CN"/>
              </w:rPr>
              <w:t>DA001</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1.7200</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0.8600</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0.2867</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2.8667</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lang w:val="en-US" w:eastAsia="zh-CN"/>
              </w:rPr>
              <w:t>DA002</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0.2677</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0.1339</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0.0089</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0.0892</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bl>
    <w:p>
      <w:pPr>
        <w:ind w:firstLine="480" w:firstLineChars="200"/>
        <w:rPr>
          <w:rFonts w:hint="default"/>
          <w:color w:val="auto"/>
          <w:highlight w:val="none"/>
        </w:rPr>
      </w:pPr>
      <w:r>
        <w:rPr>
          <w:rFonts w:hint="eastAsia" w:ascii="Times New Roman" w:hAnsi="Times New Roman" w:eastAsia="宋体" w:cs="Times New Roman"/>
          <w:b w:val="0"/>
          <w:color w:val="auto"/>
          <w:sz w:val="24"/>
          <w:highlight w:val="none"/>
          <w:lang w:eastAsia="zh-CN"/>
        </w:rPr>
        <w:t>根据</w:t>
      </w:r>
      <w:r>
        <w:rPr>
          <w:rFonts w:hint="eastAsia" w:ascii="Times New Roman" w:hAnsi="Times New Roman" w:eastAsia="宋体" w:cs="Times New Roman"/>
          <w:b w:val="0"/>
          <w:color w:val="auto"/>
          <w:sz w:val="24"/>
          <w:highlight w:val="none"/>
          <w:lang w:val="en-US" w:eastAsia="zh-CN"/>
        </w:rPr>
        <w:t>估算结果，</w:t>
      </w:r>
      <w:r>
        <w:rPr>
          <w:rFonts w:hint="default" w:ascii="Times New Roman" w:hAnsi="Times New Roman" w:eastAsia="宋体" w:cs="Times New Roman"/>
          <w:b w:val="0"/>
          <w:color w:val="auto"/>
          <w:sz w:val="24"/>
          <w:highlight w:val="none"/>
          <w:lang w:eastAsia="zh-CN"/>
        </w:rPr>
        <w:t>本项目Pmax最大值出现为DA001排放的H</w:t>
      </w:r>
      <w:r>
        <w:rPr>
          <w:rFonts w:hint="default" w:ascii="Times New Roman" w:hAnsi="Times New Roman" w:eastAsia="宋体" w:cs="Times New Roman"/>
          <w:b w:val="0"/>
          <w:color w:val="auto"/>
          <w:sz w:val="24"/>
          <w:highlight w:val="none"/>
          <w:vertAlign w:val="subscript"/>
          <w:lang w:eastAsia="zh-CN"/>
        </w:rPr>
        <w:t>2</w:t>
      </w:r>
      <w:r>
        <w:rPr>
          <w:rFonts w:hint="default" w:ascii="Times New Roman" w:hAnsi="Times New Roman" w:eastAsia="宋体" w:cs="Times New Roman"/>
          <w:b w:val="0"/>
          <w:color w:val="auto"/>
          <w:sz w:val="24"/>
          <w:highlight w:val="none"/>
          <w:lang w:eastAsia="zh-CN"/>
        </w:rPr>
        <w:t>SPmax值为2.8667%，Cmax为0.2867μg/m³，</w:t>
      </w:r>
      <w:r>
        <w:rPr>
          <w:rFonts w:hint="eastAsia" w:ascii="Times New Roman" w:hAnsi="Times New Roman" w:eastAsia="宋体" w:cs="Times New Roman"/>
          <w:color w:val="auto"/>
          <w:sz w:val="24"/>
          <w:szCs w:val="24"/>
          <w:highlight w:val="none"/>
          <w:lang w:eastAsia="zh-CN"/>
        </w:rPr>
        <w:t>根据</w:t>
      </w:r>
      <w:r>
        <w:rPr>
          <w:rFonts w:ascii="Times New Roman" w:hAnsi="Times New Roman" w:eastAsia="宋体" w:cs="Times New Roman"/>
          <w:color w:val="auto"/>
          <w:sz w:val="24"/>
          <w:szCs w:val="24"/>
          <w:highlight w:val="none"/>
        </w:rPr>
        <w:t>《环境影响评价技术导则  大气环境》（HJ2.2-2018）等级判定依据，1.0%≤</w:t>
      </w:r>
      <w:r>
        <w:rPr>
          <w:rFonts w:ascii="Times New Roman" w:hAnsi="Times New Roman" w:eastAsia="宋体" w:cs="Times New Roman"/>
          <w:i/>
          <w:color w:val="auto"/>
          <w:sz w:val="24"/>
          <w:szCs w:val="24"/>
          <w:highlight w:val="none"/>
        </w:rPr>
        <w:t>Pi</w:t>
      </w:r>
      <w:r>
        <w:rPr>
          <w:rFonts w:ascii="Times New Roman" w:hAnsi="Times New Roman" w:eastAsia="宋体" w:cs="Times New Roman"/>
          <w:color w:val="auto"/>
          <w:sz w:val="24"/>
          <w:szCs w:val="24"/>
          <w:highlight w:val="none"/>
          <w:vertAlign w:val="subscript"/>
        </w:rPr>
        <w:t>max</w:t>
      </w:r>
      <w:r>
        <w:rPr>
          <w:rFonts w:ascii="Times New Roman" w:hAnsi="Times New Roman" w:eastAsia="宋体" w:cs="Times New Roman"/>
          <w:color w:val="auto"/>
          <w:sz w:val="24"/>
          <w:szCs w:val="24"/>
          <w:highlight w:val="none"/>
        </w:rPr>
        <w:t>＜10%，确定本项目大气环境影响评价工作等级为二级。</w:t>
      </w:r>
    </w:p>
    <w:p>
      <w:pPr>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2、地表水环境</w:t>
      </w:r>
      <w:bookmarkEnd w:id="69"/>
      <w:bookmarkEnd w:id="70"/>
      <w:bookmarkEnd w:id="71"/>
      <w:bookmarkEnd w:id="72"/>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根据建设单位提供的资料，本项目拟采用干清粪工艺，不将清水用作圈舍粪尿日常清理，大大减少了污粪产生量并实现粪尿及时清理。根据工程分析，项目运营期废水产生总量为</w:t>
      </w:r>
      <w:r>
        <w:rPr>
          <w:rFonts w:hint="eastAsia" w:ascii="Times New Roman" w:hAnsi="Times New Roman" w:eastAsia="宋体" w:cs="Times New Roman"/>
          <w:color w:val="auto"/>
          <w:sz w:val="24"/>
          <w:szCs w:val="24"/>
          <w:highlight w:val="none"/>
          <w:lang w:val="en-US" w:eastAsia="zh-CN"/>
        </w:rPr>
        <w:t>248.76</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/d，其中养殖废水产生总量为</w:t>
      </w:r>
      <w:r>
        <w:rPr>
          <w:rFonts w:hint="eastAsia" w:ascii="Times New Roman" w:hAnsi="Times New Roman" w:eastAsia="宋体" w:cs="Times New Roman"/>
          <w:color w:val="auto"/>
          <w:sz w:val="24"/>
          <w:szCs w:val="24"/>
          <w:highlight w:val="none"/>
          <w:lang w:val="en-US" w:eastAsia="zh-CN"/>
        </w:rPr>
        <w:t>237.56</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/d，生活污水产生总量为</w:t>
      </w:r>
      <w:r>
        <w:rPr>
          <w:rFonts w:hint="eastAsia" w:ascii="Times New Roman" w:hAnsi="Times New Roman" w:eastAsia="宋体" w:cs="Times New Roman"/>
          <w:color w:val="auto"/>
          <w:sz w:val="24"/>
          <w:szCs w:val="24"/>
          <w:highlight w:val="none"/>
          <w:lang w:val="en-US" w:eastAsia="zh-CN"/>
        </w:rPr>
        <w:t>11.2</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/d。</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育肥场</w:t>
      </w:r>
      <w:r>
        <w:rPr>
          <w:rFonts w:hint="eastAsia" w:ascii="Times New Roman" w:hAnsi="Times New Roman" w:eastAsia="宋体" w:cs="Times New Roman"/>
          <w:color w:val="auto"/>
          <w:sz w:val="24"/>
          <w:szCs w:val="24"/>
          <w:highlight w:val="none"/>
        </w:rPr>
        <w:t>养殖废水和生活污水经收集后，进入拟建的“</w:t>
      </w:r>
      <w:r>
        <w:rPr>
          <w:rFonts w:hint="default" w:ascii="Times New Roman" w:hAnsi="Times New Roman" w:eastAsia="宋体" w:cs="Times New Roman"/>
          <w:color w:val="auto"/>
          <w:sz w:val="24"/>
          <w:szCs w:val="24"/>
          <w:highlight w:val="none"/>
        </w:rPr>
        <w:t>固液分离+UASB厌氧+絮凝沉淀+两级A/O系统+混凝絮凝沉淀+消毒</w:t>
      </w:r>
      <w:r>
        <w:rPr>
          <w:rFonts w:hint="eastAsia" w:ascii="Times New Roman" w:hAnsi="Times New Roman" w:eastAsia="宋体" w:cs="Times New Roman"/>
          <w:color w:val="auto"/>
          <w:sz w:val="24"/>
          <w:szCs w:val="24"/>
          <w:highlight w:val="none"/>
        </w:rPr>
        <w:t>”污水处理设施处理达《农田灌溉水质标准》（</w:t>
      </w:r>
      <w:r>
        <w:rPr>
          <w:rFonts w:hint="eastAsia" w:ascii="Times New Roman" w:hAnsi="Times New Roman" w:eastAsia="宋体" w:cs="Times New Roman"/>
          <w:color w:val="auto"/>
          <w:sz w:val="24"/>
          <w:szCs w:val="24"/>
          <w:highlight w:val="none"/>
          <w:lang w:eastAsia="zh-CN"/>
        </w:rPr>
        <w:t>GB5084-2021</w:t>
      </w:r>
      <w:r>
        <w:rPr>
          <w:rFonts w:hint="eastAsia" w:ascii="Times New Roman" w:hAnsi="Times New Roman" w:eastAsia="宋体" w:cs="Times New Roman"/>
          <w:color w:val="auto"/>
          <w:sz w:val="24"/>
          <w:szCs w:val="24"/>
          <w:highlight w:val="none"/>
        </w:rPr>
        <w:t>）中</w:t>
      </w:r>
      <w:r>
        <w:rPr>
          <w:rFonts w:hint="eastAsia" w:ascii="Times New Roman" w:hAnsi="Times New Roman" w:eastAsia="宋体" w:cs="Times New Roman"/>
          <w:color w:val="auto"/>
          <w:sz w:val="24"/>
          <w:szCs w:val="24"/>
          <w:highlight w:val="none"/>
          <w:lang w:eastAsia="zh-CN"/>
        </w:rPr>
        <w:t>蔬菜</w:t>
      </w:r>
      <w:r>
        <w:rPr>
          <w:rFonts w:hint="eastAsia" w:ascii="Times New Roman" w:hAnsi="Times New Roman" w:eastAsia="宋体" w:cs="Times New Roman"/>
          <w:color w:val="auto"/>
          <w:sz w:val="24"/>
          <w:szCs w:val="24"/>
          <w:highlight w:val="none"/>
        </w:rPr>
        <w:t>标准后暂存于储存池</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场内设置1个8000m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的暂存池</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内</w:t>
      </w:r>
      <w:r>
        <w:rPr>
          <w:rFonts w:hint="eastAsia" w:ascii="Times New Roman" w:hAnsi="Times New Roman" w:eastAsia="宋体" w:cs="Times New Roman"/>
          <w:color w:val="auto"/>
          <w:sz w:val="24"/>
          <w:szCs w:val="24"/>
          <w:highlight w:val="none"/>
          <w:lang w:eastAsia="zh-CN"/>
        </w:rPr>
        <w:t>用于周围林地及农田灌溉，不外排</w:t>
      </w:r>
      <w:r>
        <w:rPr>
          <w:rFonts w:hint="eastAsia" w:ascii="Times New Roman" w:hAnsi="Times New Roman" w:eastAsia="宋体" w:cs="Times New Roman"/>
          <w:color w:val="auto"/>
          <w:sz w:val="24"/>
          <w:szCs w:val="24"/>
          <w:highlight w:val="none"/>
        </w:rPr>
        <w:t>。</w:t>
      </w:r>
    </w:p>
    <w:p>
      <w:pPr>
        <w:pStyle w:val="158"/>
        <w:ind w:firstLine="480"/>
        <w:rPr>
          <w:color w:val="auto"/>
          <w:kern w:val="0"/>
          <w:highlight w:val="none"/>
        </w:rPr>
      </w:pPr>
      <w:r>
        <w:rPr>
          <w:color w:val="auto"/>
          <w:highlight w:val="none"/>
        </w:rPr>
        <w:t>根据</w:t>
      </w:r>
      <w:r>
        <w:rPr>
          <w:rFonts w:hAnsi="黑体"/>
          <w:color w:val="auto"/>
          <w:kern w:val="0"/>
          <w:highlight w:val="none"/>
        </w:rPr>
        <w:t>《</w:t>
      </w:r>
      <w:r>
        <w:rPr>
          <w:color w:val="auto"/>
          <w:highlight w:val="none"/>
        </w:rPr>
        <w:t>环境影响评价技术导则 地表水环境</w:t>
      </w:r>
      <w:r>
        <w:rPr>
          <w:rFonts w:hAnsi="黑体"/>
          <w:color w:val="auto"/>
          <w:kern w:val="0"/>
          <w:highlight w:val="none"/>
        </w:rPr>
        <w:t>》（</w:t>
      </w:r>
      <w:r>
        <w:rPr>
          <w:color w:val="auto"/>
          <w:kern w:val="0"/>
          <w:highlight w:val="none"/>
        </w:rPr>
        <w:t>HJ2.3—2018</w:t>
      </w:r>
      <w:r>
        <w:rPr>
          <w:rFonts w:hAnsi="黑体"/>
          <w:color w:val="auto"/>
          <w:kern w:val="0"/>
          <w:highlight w:val="none"/>
        </w:rPr>
        <w:t>）表</w:t>
      </w:r>
      <w:r>
        <w:rPr>
          <w:rFonts w:hint="eastAsia" w:hAnsi="黑体"/>
          <w:color w:val="auto"/>
          <w:kern w:val="0"/>
          <w:highlight w:val="none"/>
        </w:rPr>
        <w:t>1注10，建设项目生产工艺中有废水产生，经处理后废水</w:t>
      </w:r>
      <w:r>
        <w:rPr>
          <w:rFonts w:hint="eastAsia" w:hAnsi="黑体"/>
          <w:color w:val="auto"/>
          <w:kern w:val="0"/>
          <w:highlight w:val="none"/>
          <w:lang w:eastAsia="zh-CN"/>
        </w:rPr>
        <w:t>用于</w:t>
      </w:r>
      <w:r>
        <w:rPr>
          <w:rFonts w:hint="eastAsia" w:ascii="Times New Roman" w:hAnsi="Times New Roman" w:eastAsia="宋体" w:cs="Times New Roman"/>
          <w:color w:val="auto"/>
          <w:sz w:val="24"/>
          <w:szCs w:val="24"/>
          <w:highlight w:val="none"/>
          <w:lang w:eastAsia="zh-CN"/>
        </w:rPr>
        <w:t>周围</w:t>
      </w:r>
      <w:r>
        <w:rPr>
          <w:rFonts w:hint="eastAsia" w:cs="Times New Roman"/>
          <w:color w:val="auto"/>
          <w:sz w:val="24"/>
          <w:szCs w:val="24"/>
          <w:highlight w:val="none"/>
          <w:lang w:eastAsia="zh-CN"/>
        </w:rPr>
        <w:t>林地</w:t>
      </w:r>
      <w:r>
        <w:rPr>
          <w:rFonts w:hint="eastAsia" w:ascii="Times New Roman" w:hAnsi="Times New Roman" w:eastAsia="宋体" w:cs="Times New Roman"/>
          <w:color w:val="auto"/>
          <w:sz w:val="24"/>
          <w:szCs w:val="24"/>
          <w:highlight w:val="none"/>
          <w:lang w:eastAsia="zh-CN"/>
        </w:rPr>
        <w:t>及农田灌溉</w:t>
      </w:r>
      <w:r>
        <w:rPr>
          <w:rFonts w:hint="eastAsia" w:hAnsi="黑体"/>
          <w:color w:val="auto"/>
          <w:kern w:val="0"/>
          <w:highlight w:val="none"/>
        </w:rPr>
        <w:t>，无废水排放，按三级B评价。</w:t>
      </w:r>
    </w:p>
    <w:p>
      <w:pPr>
        <w:numPr>
          <w:ilvl w:val="0"/>
          <w:numId w:val="7"/>
        </w:numPr>
        <w:tabs>
          <w:tab w:val="left" w:pos="0"/>
        </w:tabs>
        <w:ind w:left="425" w:leftChars="0" w:hanging="425" w:firstLineChars="0"/>
        <w:jc w:val="center"/>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地面水环境影响评价工作等级判定</w:t>
      </w:r>
    </w:p>
    <w:tbl>
      <w:tblPr>
        <w:tblStyle w:val="92"/>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2"/>
        <w:gridCol w:w="2843"/>
        <w:gridCol w:w="2843"/>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2" w:type="dxa"/>
            <w:vMerge w:val="restart"/>
            <w:tcBorders>
              <w:top w:val="single" w:color="auto" w:sz="12" w:space="0"/>
              <w:left w:val="nil"/>
              <w:bottom w:val="single" w:color="auto" w:sz="4" w:space="0"/>
              <w:right w:val="single" w:color="auto" w:sz="4" w:space="0"/>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lang w:val="en-US"/>
              </w:rPr>
            </w:pPr>
            <w:bookmarkStart w:id="73" w:name="_Toc405412756"/>
            <w:bookmarkStart w:id="74" w:name="_Toc321575580"/>
            <w:bookmarkStart w:id="75" w:name="_Toc319588826"/>
            <w:bookmarkStart w:id="76" w:name="_Toc319591137"/>
            <w:r>
              <w:rPr>
                <w:rFonts w:hint="eastAsia" w:ascii="Times New Roman" w:hAnsi="Times New Roman" w:eastAsia="宋体" w:cs="宋体"/>
                <w:b/>
                <w:color w:val="auto"/>
                <w:kern w:val="2"/>
                <w:sz w:val="21"/>
                <w:szCs w:val="21"/>
                <w:highlight w:val="none"/>
                <w:lang w:val="en-US" w:eastAsia="zh-CN" w:bidi="ar"/>
              </w:rPr>
              <w:t>评价等级</w:t>
            </w:r>
          </w:p>
        </w:tc>
        <w:tc>
          <w:tcPr>
            <w:tcW w:w="5686" w:type="dxa"/>
            <w:gridSpan w:val="2"/>
            <w:tcBorders>
              <w:top w:val="single" w:color="auto" w:sz="12" w:space="0"/>
              <w:left w:val="single" w:color="auto" w:sz="4" w:space="0"/>
              <w:bottom w:val="single" w:color="auto" w:sz="4" w:space="0"/>
              <w:right w:val="nil"/>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lang w:val="en-US"/>
              </w:rPr>
            </w:pPr>
            <w:r>
              <w:rPr>
                <w:rFonts w:hint="eastAsia" w:ascii="Times New Roman" w:hAnsi="Times New Roman" w:eastAsia="宋体" w:cs="宋体"/>
                <w:b/>
                <w:color w:val="auto"/>
                <w:kern w:val="2"/>
                <w:sz w:val="21"/>
                <w:szCs w:val="21"/>
                <w:highlight w:val="none"/>
                <w:lang w:val="en-US" w:eastAsia="zh-CN" w:bidi="ar"/>
              </w:rPr>
              <w:t>判定依据</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2" w:type="dxa"/>
            <w:vMerge w:val="continue"/>
            <w:tcBorders>
              <w:top w:val="single" w:color="auto" w:sz="12"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2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lang w:val="en-US"/>
              </w:rPr>
            </w:pPr>
            <w:r>
              <w:rPr>
                <w:rFonts w:hint="eastAsia" w:ascii="Times New Roman" w:hAnsi="Times New Roman" w:eastAsia="宋体" w:cs="宋体"/>
                <w:b/>
                <w:color w:val="auto"/>
                <w:kern w:val="2"/>
                <w:sz w:val="21"/>
                <w:szCs w:val="21"/>
                <w:highlight w:val="none"/>
                <w:lang w:val="en-US" w:eastAsia="zh-CN" w:bidi="ar"/>
              </w:rPr>
              <w:t>排放方式</w:t>
            </w:r>
          </w:p>
        </w:tc>
        <w:tc>
          <w:tcPr>
            <w:tcW w:w="2843" w:type="dxa"/>
            <w:tcBorders>
              <w:top w:val="single" w:color="auto" w:sz="4" w:space="0"/>
              <w:left w:val="single" w:color="auto" w:sz="4" w:space="0"/>
              <w:bottom w:val="single" w:color="auto" w:sz="4" w:space="0"/>
              <w:right w:val="nil"/>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lang w:val="en-US"/>
              </w:rPr>
            </w:pPr>
            <w:r>
              <w:rPr>
                <w:rFonts w:hint="eastAsia" w:ascii="Times New Roman" w:hAnsi="Times New Roman" w:eastAsia="宋体" w:cs="宋体"/>
                <w:b/>
                <w:color w:val="auto"/>
                <w:kern w:val="2"/>
                <w:sz w:val="21"/>
                <w:szCs w:val="21"/>
                <w:highlight w:val="none"/>
                <w:lang w:val="en-US" w:eastAsia="zh-CN" w:bidi="ar"/>
              </w:rPr>
              <w:t>废水排放量</w:t>
            </w:r>
            <w:r>
              <w:rPr>
                <w:rFonts w:hint="default" w:ascii="Times New Roman" w:hAnsi="Times New Roman" w:eastAsia="宋体" w:cs="Times New Roman"/>
                <w:b/>
                <w:color w:val="auto"/>
                <w:kern w:val="2"/>
                <w:sz w:val="21"/>
                <w:szCs w:val="21"/>
                <w:highlight w:val="none"/>
                <w:lang w:val="en-US" w:eastAsia="zh-CN" w:bidi="ar"/>
              </w:rPr>
              <w:t>Q/</w:t>
            </w:r>
            <w:r>
              <w:rPr>
                <w:rFonts w:hint="eastAsia" w:ascii="Times New Roman" w:hAnsi="Times New Roman" w:eastAsia="宋体" w:cs="宋体"/>
                <w:b/>
                <w:color w:val="auto"/>
                <w:kern w:val="2"/>
                <w:sz w:val="21"/>
                <w:szCs w:val="21"/>
                <w:highlight w:val="none"/>
                <w:lang w:val="en-US" w:eastAsia="zh-CN" w:bidi="ar"/>
              </w:rPr>
              <w:t>（</w:t>
            </w:r>
            <w:r>
              <w:rPr>
                <w:rFonts w:hint="default" w:ascii="Times New Roman" w:hAnsi="Times New Roman" w:eastAsia="宋体" w:cs="Times New Roman"/>
                <w:b/>
                <w:color w:val="auto"/>
                <w:kern w:val="2"/>
                <w:sz w:val="21"/>
                <w:szCs w:val="21"/>
                <w:highlight w:val="none"/>
                <w:lang w:val="en-US" w:eastAsia="zh-CN" w:bidi="ar"/>
              </w:rPr>
              <w:t>m</w:t>
            </w:r>
            <w:r>
              <w:rPr>
                <w:rFonts w:hint="default" w:ascii="Times New Roman" w:hAnsi="Times New Roman" w:eastAsia="宋体" w:cs="Times New Roman"/>
                <w:b/>
                <w:color w:val="auto"/>
                <w:kern w:val="2"/>
                <w:sz w:val="21"/>
                <w:szCs w:val="21"/>
                <w:highlight w:val="none"/>
                <w:vertAlign w:val="superscript"/>
                <w:lang w:val="en-US" w:eastAsia="zh-CN" w:bidi="ar"/>
              </w:rPr>
              <w:t>3</w:t>
            </w:r>
            <w:r>
              <w:rPr>
                <w:rFonts w:hint="default" w:ascii="Times New Roman" w:hAnsi="Times New Roman" w:eastAsia="宋体" w:cs="Times New Roman"/>
                <w:b/>
                <w:color w:val="auto"/>
                <w:kern w:val="2"/>
                <w:sz w:val="21"/>
                <w:szCs w:val="21"/>
                <w:highlight w:val="none"/>
                <w:lang w:val="en-US" w:eastAsia="zh-CN" w:bidi="ar"/>
              </w:rPr>
              <w:t>/d</w:t>
            </w:r>
            <w:r>
              <w:rPr>
                <w:rFonts w:hint="eastAsia" w:ascii="Times New Roman" w:hAnsi="Times New Roman" w:eastAsia="宋体" w:cs="宋体"/>
                <w:b/>
                <w:color w:val="auto"/>
                <w:kern w:val="2"/>
                <w:sz w:val="21"/>
                <w:szCs w:val="21"/>
                <w:highlight w:val="none"/>
                <w:lang w:val="en-US" w:eastAsia="zh-CN" w:bidi="ar"/>
              </w:rPr>
              <w:t>）；</w:t>
            </w:r>
          </w:p>
          <w:p>
            <w:pPr>
              <w:pStyle w:val="85"/>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cs="Times New Roman"/>
                <w:b/>
                <w:color w:val="auto"/>
                <w:sz w:val="21"/>
                <w:szCs w:val="21"/>
                <w:highlight w:val="none"/>
                <w:lang w:val="en-US"/>
              </w:rPr>
            </w:pPr>
            <w:r>
              <w:rPr>
                <w:rFonts w:hint="eastAsia" w:ascii="Times New Roman" w:hAnsi="Times New Roman" w:eastAsia="宋体" w:cs="宋体"/>
                <w:b/>
                <w:color w:val="auto"/>
                <w:kern w:val="2"/>
                <w:sz w:val="21"/>
                <w:szCs w:val="21"/>
                <w:highlight w:val="none"/>
                <w:lang w:val="en-US" w:eastAsia="zh-CN" w:bidi="ar"/>
              </w:rPr>
              <w:t>水污染物当量数</w:t>
            </w:r>
            <w:r>
              <w:rPr>
                <w:rFonts w:hint="default" w:ascii="Times New Roman" w:hAnsi="Times New Roman" w:eastAsia="宋体" w:cs="Times New Roman"/>
                <w:b/>
                <w:color w:val="auto"/>
                <w:kern w:val="2"/>
                <w:sz w:val="21"/>
                <w:szCs w:val="21"/>
                <w:highlight w:val="none"/>
                <w:lang w:val="en-US" w:eastAsia="zh-CN" w:bidi="ar"/>
              </w:rPr>
              <w:t>W/</w:t>
            </w:r>
            <w:r>
              <w:rPr>
                <w:rFonts w:hint="eastAsia" w:ascii="Times New Roman" w:hAnsi="Times New Roman" w:eastAsia="宋体" w:cs="宋体"/>
                <w:b/>
                <w:color w:val="auto"/>
                <w:kern w:val="2"/>
                <w:sz w:val="21"/>
                <w:szCs w:val="21"/>
                <w:highlight w:val="none"/>
                <w:lang w:val="en-US" w:eastAsia="zh-CN" w:bidi="ar"/>
              </w:rPr>
              <w:t>（无量纲）</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2"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eastAsia" w:ascii="Times New Roman" w:hAnsi="Times New Roman" w:eastAsia="宋体" w:cs="宋体"/>
                <w:color w:val="auto"/>
                <w:kern w:val="2"/>
                <w:sz w:val="21"/>
                <w:szCs w:val="21"/>
                <w:highlight w:val="none"/>
                <w:lang w:val="en-US" w:eastAsia="zh-CN" w:bidi="ar"/>
              </w:rPr>
              <w:t>一级</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eastAsia" w:ascii="Times New Roman" w:hAnsi="Times New Roman" w:eastAsia="宋体" w:cs="宋体"/>
                <w:color w:val="auto"/>
                <w:kern w:val="2"/>
                <w:sz w:val="21"/>
                <w:szCs w:val="21"/>
                <w:highlight w:val="none"/>
                <w:lang w:val="en-US" w:eastAsia="zh-CN" w:bidi="ar"/>
              </w:rPr>
              <w:t>直接排放</w:t>
            </w:r>
          </w:p>
        </w:tc>
        <w:tc>
          <w:tcPr>
            <w:tcW w:w="2843" w:type="dxa"/>
            <w:tcBorders>
              <w:top w:val="single" w:color="auto" w:sz="4" w:space="0"/>
              <w:left w:val="single" w:color="auto" w:sz="4" w:space="0"/>
              <w:bottom w:val="single" w:color="auto" w:sz="4" w:space="0"/>
              <w:right w:val="nil"/>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kern w:val="2"/>
                <w:sz w:val="21"/>
                <w:szCs w:val="21"/>
                <w:highlight w:val="none"/>
                <w:lang w:val="en-US" w:eastAsia="zh-CN" w:bidi="ar"/>
              </w:rPr>
              <w:t>Q≥20000</w:t>
            </w:r>
            <w:r>
              <w:rPr>
                <w:rFonts w:hint="eastAsia" w:ascii="Times New Roman" w:hAnsi="Times New Roman" w:eastAsia="宋体" w:cs="宋体"/>
                <w:color w:val="auto"/>
                <w:kern w:val="2"/>
                <w:sz w:val="21"/>
                <w:szCs w:val="21"/>
                <w:highlight w:val="none"/>
                <w:lang w:val="en-US" w:eastAsia="zh-CN" w:bidi="ar"/>
              </w:rPr>
              <w:t>或</w:t>
            </w:r>
            <w:r>
              <w:rPr>
                <w:rFonts w:hint="default" w:ascii="Times New Roman" w:hAnsi="Times New Roman" w:eastAsia="宋体" w:cs="Times New Roman"/>
                <w:color w:val="auto"/>
                <w:kern w:val="2"/>
                <w:sz w:val="21"/>
                <w:szCs w:val="21"/>
                <w:highlight w:val="none"/>
                <w:lang w:val="en-US" w:eastAsia="zh-CN" w:bidi="ar"/>
              </w:rPr>
              <w:t>W≥60000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2"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eastAsia" w:ascii="Times New Roman" w:hAnsi="Times New Roman" w:eastAsia="宋体" w:cs="宋体"/>
                <w:color w:val="auto"/>
                <w:kern w:val="2"/>
                <w:sz w:val="21"/>
                <w:szCs w:val="21"/>
                <w:highlight w:val="none"/>
                <w:lang w:val="en-US" w:eastAsia="zh-CN" w:bidi="ar"/>
              </w:rPr>
              <w:t>二级</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eastAsia" w:ascii="Times New Roman" w:hAnsi="Times New Roman" w:eastAsia="宋体" w:cs="宋体"/>
                <w:color w:val="auto"/>
                <w:kern w:val="2"/>
                <w:sz w:val="21"/>
                <w:szCs w:val="21"/>
                <w:highlight w:val="none"/>
                <w:lang w:val="en-US" w:eastAsia="zh-CN" w:bidi="ar"/>
              </w:rPr>
              <w:t>直接排放</w:t>
            </w:r>
          </w:p>
        </w:tc>
        <w:tc>
          <w:tcPr>
            <w:tcW w:w="2843" w:type="dxa"/>
            <w:tcBorders>
              <w:top w:val="single" w:color="auto" w:sz="4" w:space="0"/>
              <w:left w:val="single" w:color="auto" w:sz="4" w:space="0"/>
              <w:bottom w:val="single" w:color="auto" w:sz="4" w:space="0"/>
              <w:right w:val="nil"/>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eastAsia" w:ascii="Times New Roman" w:hAnsi="Times New Roman" w:eastAsia="宋体" w:cs="宋体"/>
                <w:color w:val="auto"/>
                <w:kern w:val="2"/>
                <w:sz w:val="21"/>
                <w:szCs w:val="21"/>
                <w:highlight w:val="none"/>
                <w:lang w:val="en-US" w:eastAsia="zh-CN" w:bidi="ar"/>
              </w:rPr>
              <w:t>其他</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42"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eastAsia" w:ascii="Times New Roman" w:hAnsi="Times New Roman" w:eastAsia="宋体" w:cs="宋体"/>
                <w:color w:val="auto"/>
                <w:kern w:val="2"/>
                <w:sz w:val="21"/>
                <w:szCs w:val="21"/>
                <w:highlight w:val="none"/>
                <w:lang w:val="en-US" w:eastAsia="zh-CN" w:bidi="ar"/>
              </w:rPr>
              <w:t>三级</w:t>
            </w:r>
            <w:r>
              <w:rPr>
                <w:rFonts w:hint="default" w:ascii="Times New Roman" w:hAnsi="Times New Roman" w:eastAsia="宋体" w:cs="Times New Roman"/>
                <w:color w:val="auto"/>
                <w:kern w:val="2"/>
                <w:sz w:val="21"/>
                <w:szCs w:val="21"/>
                <w:highlight w:val="none"/>
                <w:lang w:val="en-US" w:eastAsia="zh-CN" w:bidi="ar"/>
              </w:rPr>
              <w:t>A</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eastAsia" w:ascii="Times New Roman" w:hAnsi="Times New Roman" w:eastAsia="宋体" w:cs="宋体"/>
                <w:color w:val="auto"/>
                <w:kern w:val="2"/>
                <w:sz w:val="21"/>
                <w:szCs w:val="21"/>
                <w:highlight w:val="none"/>
                <w:lang w:val="en-US" w:eastAsia="zh-CN" w:bidi="ar"/>
              </w:rPr>
              <w:t>直接排放</w:t>
            </w:r>
          </w:p>
        </w:tc>
        <w:tc>
          <w:tcPr>
            <w:tcW w:w="2843" w:type="dxa"/>
            <w:tcBorders>
              <w:top w:val="single" w:color="auto" w:sz="4" w:space="0"/>
              <w:left w:val="single" w:color="auto" w:sz="4" w:space="0"/>
              <w:bottom w:val="single" w:color="auto" w:sz="4" w:space="0"/>
              <w:right w:val="nil"/>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kern w:val="2"/>
                <w:sz w:val="21"/>
                <w:szCs w:val="21"/>
                <w:highlight w:val="none"/>
                <w:lang w:val="en-US" w:eastAsia="zh-CN" w:bidi="ar"/>
              </w:rPr>
              <w:t>Q&lt;200</w:t>
            </w:r>
            <w:r>
              <w:rPr>
                <w:rFonts w:hint="eastAsia" w:ascii="Times New Roman" w:hAnsi="Times New Roman" w:eastAsia="宋体" w:cs="宋体"/>
                <w:color w:val="auto"/>
                <w:kern w:val="2"/>
                <w:sz w:val="21"/>
                <w:szCs w:val="21"/>
                <w:highlight w:val="none"/>
                <w:lang w:val="en-US" w:eastAsia="zh-CN" w:bidi="ar"/>
              </w:rPr>
              <w:t>且</w:t>
            </w:r>
            <w:r>
              <w:rPr>
                <w:rFonts w:hint="default" w:ascii="Times New Roman" w:hAnsi="Times New Roman" w:eastAsia="宋体" w:cs="Times New Roman"/>
                <w:color w:val="auto"/>
                <w:kern w:val="2"/>
                <w:sz w:val="21"/>
                <w:szCs w:val="21"/>
                <w:highlight w:val="none"/>
                <w:lang w:val="en-US" w:eastAsia="zh-CN" w:bidi="ar"/>
              </w:rPr>
              <w:t>W&lt;6000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2"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eastAsia" w:ascii="Times New Roman" w:hAnsi="Times New Roman" w:eastAsia="宋体" w:cs="宋体"/>
                <w:color w:val="auto"/>
                <w:kern w:val="2"/>
                <w:sz w:val="21"/>
                <w:szCs w:val="21"/>
                <w:highlight w:val="none"/>
                <w:lang w:val="en-US" w:eastAsia="zh-CN" w:bidi="ar"/>
              </w:rPr>
              <w:t>三级</w:t>
            </w:r>
            <w:r>
              <w:rPr>
                <w:rFonts w:hint="default" w:ascii="Times New Roman" w:hAnsi="Times New Roman" w:eastAsia="宋体" w:cs="Times New Roman"/>
                <w:color w:val="auto"/>
                <w:kern w:val="2"/>
                <w:sz w:val="21"/>
                <w:szCs w:val="21"/>
                <w:highlight w:val="none"/>
                <w:lang w:val="en-US" w:eastAsia="zh-CN" w:bidi="ar"/>
              </w:rPr>
              <w:t>B</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eastAsia" w:ascii="Times New Roman" w:hAnsi="Times New Roman" w:eastAsia="宋体" w:cs="宋体"/>
                <w:color w:val="auto"/>
                <w:kern w:val="2"/>
                <w:sz w:val="21"/>
                <w:szCs w:val="21"/>
                <w:highlight w:val="none"/>
                <w:lang w:val="en-US" w:eastAsia="zh-CN" w:bidi="ar"/>
              </w:rPr>
              <w:t>间接排放</w:t>
            </w:r>
          </w:p>
        </w:tc>
        <w:tc>
          <w:tcPr>
            <w:tcW w:w="2843" w:type="dxa"/>
            <w:tcBorders>
              <w:top w:val="single" w:color="auto" w:sz="4" w:space="0"/>
              <w:left w:val="single" w:color="auto" w:sz="4" w:space="0"/>
              <w:bottom w:val="single" w:color="auto" w:sz="4" w:space="0"/>
              <w:right w:val="nil"/>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kern w:val="2"/>
                <w:sz w:val="21"/>
                <w:szCs w:val="21"/>
                <w:highlight w:val="none"/>
                <w:lang w:val="en-US" w:eastAsia="zh-CN" w:bidi="ar"/>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gridSpan w:val="3"/>
            <w:tcBorders>
              <w:top w:val="single" w:color="auto" w:sz="4" w:space="0"/>
              <w:left w:val="nil"/>
              <w:bottom w:val="single" w:color="auto" w:sz="12" w:space="0"/>
              <w:right w:val="nil"/>
            </w:tcBorders>
            <w:noWrap w:val="0"/>
            <w:vAlign w:val="center"/>
          </w:tcPr>
          <w:p>
            <w:pPr>
              <w:keepNext w:val="0"/>
              <w:keepLines w:val="0"/>
              <w:widowControl w:val="0"/>
              <w:suppressLineNumbers w:val="0"/>
              <w:tabs>
                <w:tab w:val="left" w:pos="3696"/>
              </w:tabs>
              <w:adjustRightInd w:val="0"/>
              <w:snapToGrid w:val="0"/>
              <w:spacing w:before="0" w:beforeAutospacing="0" w:after="0" w:afterAutospacing="0"/>
              <w:ind w:left="0" w:right="0"/>
              <w:jc w:val="left"/>
              <w:rPr>
                <w:rFonts w:hint="default" w:ascii="Times New Roman" w:hAnsi="Times New Roman" w:cs="Times New Roman"/>
                <w:color w:val="auto"/>
                <w:sz w:val="18"/>
                <w:szCs w:val="18"/>
                <w:highlight w:val="none"/>
                <w:lang w:val="en-US"/>
              </w:rPr>
            </w:pPr>
            <w:r>
              <w:rPr>
                <w:rFonts w:hint="eastAsia" w:ascii="Times New Roman" w:hAnsi="Times New Roman" w:eastAsia="宋体" w:cs="宋体"/>
                <w:b/>
                <w:color w:val="auto"/>
                <w:kern w:val="2"/>
                <w:sz w:val="18"/>
                <w:szCs w:val="18"/>
                <w:highlight w:val="none"/>
                <w:lang w:val="en-US" w:eastAsia="zh-CN" w:bidi="ar"/>
              </w:rPr>
              <w:t>注</w:t>
            </w:r>
            <w:r>
              <w:rPr>
                <w:rFonts w:hint="default" w:ascii="Times New Roman" w:hAnsi="Times New Roman" w:eastAsia="宋体" w:cs="Times New Roman"/>
                <w:b/>
                <w:color w:val="auto"/>
                <w:kern w:val="2"/>
                <w:sz w:val="18"/>
                <w:szCs w:val="18"/>
                <w:highlight w:val="none"/>
                <w:lang w:val="en-US" w:eastAsia="zh-CN" w:bidi="ar"/>
              </w:rPr>
              <w:t>1</w:t>
            </w:r>
            <w:r>
              <w:rPr>
                <w:rFonts w:hint="eastAsia" w:ascii="Times New Roman" w:hAnsi="Times New Roman" w:eastAsia="宋体" w:cs="宋体"/>
                <w:b/>
                <w:color w:val="auto"/>
                <w:kern w:val="2"/>
                <w:sz w:val="18"/>
                <w:szCs w:val="18"/>
                <w:highlight w:val="none"/>
                <w:lang w:val="en-US" w:eastAsia="zh-CN" w:bidi="ar"/>
              </w:rPr>
              <w:t>：</w:t>
            </w:r>
            <w:r>
              <w:rPr>
                <w:rFonts w:hint="eastAsia" w:ascii="Times New Roman" w:hAnsi="Times New Roman" w:eastAsia="宋体" w:cs="宋体"/>
                <w:color w:val="auto"/>
                <w:kern w:val="2"/>
                <w:sz w:val="18"/>
                <w:szCs w:val="18"/>
                <w:highlight w:val="none"/>
                <w:lang w:val="en-US" w:eastAsia="zh-CN" w:bidi="ar"/>
              </w:rPr>
              <w:t>水污染物当量数等于该污染物的年排放量除以该污染物的污染当量值</w:t>
            </w:r>
            <w:r>
              <w:rPr>
                <w:rFonts w:hint="default" w:ascii="Times New Roman" w:hAnsi="Times New Roman" w:eastAsia="宋体" w:cs="Times New Roman"/>
                <w:color w:val="auto"/>
                <w:kern w:val="2"/>
                <w:sz w:val="18"/>
                <w:szCs w:val="18"/>
                <w:highlight w:val="none"/>
                <w:lang w:val="en-US" w:eastAsia="zh-CN" w:bidi="ar"/>
              </w:rPr>
              <w:t>(</w:t>
            </w:r>
            <w:r>
              <w:rPr>
                <w:rFonts w:hint="eastAsia" w:ascii="Times New Roman" w:hAnsi="Times New Roman" w:eastAsia="宋体" w:cs="宋体"/>
                <w:color w:val="auto"/>
                <w:kern w:val="2"/>
                <w:sz w:val="18"/>
                <w:szCs w:val="18"/>
                <w:highlight w:val="none"/>
                <w:lang w:val="en-US" w:eastAsia="zh-CN" w:bidi="ar"/>
              </w:rPr>
              <w:t>见附录</w:t>
            </w:r>
            <w:r>
              <w:rPr>
                <w:rFonts w:hint="default" w:ascii="Times New Roman" w:hAnsi="Times New Roman" w:eastAsia="宋体" w:cs="Times New Roman"/>
                <w:color w:val="auto"/>
                <w:kern w:val="2"/>
                <w:sz w:val="18"/>
                <w:szCs w:val="18"/>
                <w:highlight w:val="none"/>
                <w:lang w:val="en-US" w:eastAsia="zh-CN" w:bidi="ar"/>
              </w:rPr>
              <w:t>A</w:t>
            </w:r>
            <w:r>
              <w:rPr>
                <w:rFonts w:hint="eastAsia" w:ascii="Times New Roman" w:hAnsi="Times New Roman" w:eastAsia="宋体" w:cs="宋体"/>
                <w:color w:val="auto"/>
                <w:kern w:val="2"/>
                <w:sz w:val="18"/>
                <w:szCs w:val="18"/>
                <w:highlight w:val="none"/>
                <w:lang w:val="en-US" w:eastAsia="zh-CN" w:bidi="ar"/>
              </w:rPr>
              <w:t>），计算排放污染物的污染物当量数，应区分第一类水污染物和其他类水污染物，统计第一类污染物当量数总和，然后与其他类污染物按照污染物当量数从大到小排序，取最大当量数作为建设项目评价等级确定的依据。</w:t>
            </w:r>
          </w:p>
          <w:p>
            <w:pPr>
              <w:keepNext w:val="0"/>
              <w:keepLines w:val="0"/>
              <w:widowControl w:val="0"/>
              <w:suppressLineNumbers w:val="0"/>
              <w:tabs>
                <w:tab w:val="left" w:pos="3696"/>
              </w:tabs>
              <w:adjustRightInd w:val="0"/>
              <w:snapToGrid w:val="0"/>
              <w:spacing w:before="0" w:beforeAutospacing="0" w:after="0" w:afterAutospacing="0"/>
              <w:ind w:left="0" w:right="0"/>
              <w:jc w:val="left"/>
              <w:rPr>
                <w:rFonts w:hint="default" w:ascii="Times New Roman" w:hAnsi="Times New Roman" w:cs="Times New Roman"/>
                <w:color w:val="auto"/>
                <w:sz w:val="18"/>
                <w:szCs w:val="18"/>
                <w:highlight w:val="none"/>
                <w:lang w:val="en-US"/>
              </w:rPr>
            </w:pPr>
            <w:r>
              <w:rPr>
                <w:rFonts w:hint="eastAsia" w:ascii="Times New Roman" w:hAnsi="Times New Roman" w:eastAsia="宋体" w:cs="宋体"/>
                <w:b/>
                <w:color w:val="auto"/>
                <w:kern w:val="2"/>
                <w:sz w:val="18"/>
                <w:szCs w:val="18"/>
                <w:highlight w:val="none"/>
                <w:lang w:val="en-US" w:eastAsia="zh-CN" w:bidi="ar"/>
              </w:rPr>
              <w:t>注</w:t>
            </w:r>
            <w:r>
              <w:rPr>
                <w:rFonts w:hint="default" w:ascii="Times New Roman" w:hAnsi="Times New Roman" w:eastAsia="宋体" w:cs="Times New Roman"/>
                <w:b/>
                <w:color w:val="auto"/>
                <w:kern w:val="2"/>
                <w:sz w:val="18"/>
                <w:szCs w:val="18"/>
                <w:highlight w:val="none"/>
                <w:lang w:val="en-US" w:eastAsia="zh-CN" w:bidi="ar"/>
              </w:rPr>
              <w:t>2</w:t>
            </w:r>
            <w:r>
              <w:rPr>
                <w:rFonts w:hint="eastAsia" w:ascii="Times New Roman" w:hAnsi="Times New Roman" w:eastAsia="宋体" w:cs="宋体"/>
                <w:b/>
                <w:color w:val="auto"/>
                <w:kern w:val="2"/>
                <w:sz w:val="18"/>
                <w:szCs w:val="18"/>
                <w:highlight w:val="none"/>
                <w:lang w:val="en-US" w:eastAsia="zh-CN" w:bidi="ar"/>
              </w:rPr>
              <w:t>：</w:t>
            </w:r>
            <w:r>
              <w:rPr>
                <w:rFonts w:hint="eastAsia" w:ascii="Times New Roman" w:hAnsi="Times New Roman" w:eastAsia="宋体" w:cs="宋体"/>
                <w:color w:val="auto"/>
                <w:kern w:val="2"/>
                <w:sz w:val="18"/>
                <w:szCs w:val="18"/>
                <w:highlight w:val="none"/>
                <w:lang w:val="en-US" w:eastAsia="zh-CN" w:bidi="ar"/>
              </w:rPr>
              <w:t>废水排放量按行业排放标准中规定的废水种类统计，没有相关行业排放标准要求的通过工程分析合理确定，应统计含热量大的冷却水的排放量，可不统计间接冷却水、循环水以及其他含污染物极少的清净下水的排放量。</w:t>
            </w:r>
          </w:p>
          <w:p>
            <w:pPr>
              <w:keepNext w:val="0"/>
              <w:keepLines w:val="0"/>
              <w:widowControl w:val="0"/>
              <w:suppressLineNumbers w:val="0"/>
              <w:tabs>
                <w:tab w:val="left" w:pos="3696"/>
              </w:tabs>
              <w:adjustRightInd w:val="0"/>
              <w:snapToGrid w:val="0"/>
              <w:spacing w:before="0" w:beforeAutospacing="0" w:after="0" w:afterAutospacing="0"/>
              <w:ind w:left="0" w:right="0"/>
              <w:jc w:val="left"/>
              <w:rPr>
                <w:rFonts w:hint="default" w:ascii="Times New Roman" w:hAnsi="Times New Roman" w:cs="Times New Roman"/>
                <w:color w:val="auto"/>
                <w:sz w:val="18"/>
                <w:szCs w:val="18"/>
                <w:highlight w:val="none"/>
                <w:lang w:val="en-US"/>
              </w:rPr>
            </w:pPr>
            <w:r>
              <w:rPr>
                <w:rFonts w:hint="eastAsia" w:ascii="Times New Roman" w:hAnsi="Times New Roman" w:eastAsia="宋体" w:cs="宋体"/>
                <w:b/>
                <w:color w:val="auto"/>
                <w:kern w:val="2"/>
                <w:sz w:val="18"/>
                <w:szCs w:val="18"/>
                <w:highlight w:val="none"/>
                <w:lang w:val="en-US" w:eastAsia="zh-CN" w:bidi="ar"/>
              </w:rPr>
              <w:t>注</w:t>
            </w:r>
            <w:r>
              <w:rPr>
                <w:rFonts w:hint="default" w:ascii="Times New Roman" w:hAnsi="Times New Roman" w:eastAsia="宋体" w:cs="Times New Roman"/>
                <w:b/>
                <w:color w:val="auto"/>
                <w:kern w:val="2"/>
                <w:sz w:val="18"/>
                <w:szCs w:val="18"/>
                <w:highlight w:val="none"/>
                <w:lang w:val="en-US" w:eastAsia="zh-CN" w:bidi="ar"/>
              </w:rPr>
              <w:t>3</w:t>
            </w:r>
            <w:r>
              <w:rPr>
                <w:rFonts w:hint="eastAsia" w:ascii="Times New Roman" w:hAnsi="Times New Roman" w:eastAsia="宋体" w:cs="宋体"/>
                <w:b/>
                <w:color w:val="auto"/>
                <w:kern w:val="2"/>
                <w:sz w:val="18"/>
                <w:szCs w:val="18"/>
                <w:highlight w:val="none"/>
                <w:lang w:val="en-US" w:eastAsia="zh-CN" w:bidi="ar"/>
              </w:rPr>
              <w:t>：</w:t>
            </w:r>
            <w:r>
              <w:rPr>
                <w:rFonts w:hint="eastAsia" w:ascii="Times New Roman" w:hAnsi="Times New Roman" w:eastAsia="宋体" w:cs="宋体"/>
                <w:color w:val="auto"/>
                <w:kern w:val="2"/>
                <w:sz w:val="18"/>
                <w:szCs w:val="18"/>
                <w:highlight w:val="none"/>
                <w:lang w:val="en-US" w:eastAsia="zh-CN" w:bidi="ar"/>
              </w:rPr>
              <w:t>厂区存在堆积物（露天堆放的原料、燃料、废渣等以及垃圾堆放场）、降尘污染的，应将初期雨污水纳入废水排放量，相应的主要污染物纳入水污染当量计算。</w:t>
            </w:r>
          </w:p>
          <w:p>
            <w:pPr>
              <w:keepNext w:val="0"/>
              <w:keepLines w:val="0"/>
              <w:widowControl w:val="0"/>
              <w:suppressLineNumbers w:val="0"/>
              <w:tabs>
                <w:tab w:val="left" w:pos="3696"/>
              </w:tabs>
              <w:adjustRightInd w:val="0"/>
              <w:snapToGrid w:val="0"/>
              <w:spacing w:before="0" w:beforeAutospacing="0" w:after="0" w:afterAutospacing="0"/>
              <w:ind w:left="0" w:right="0"/>
              <w:jc w:val="left"/>
              <w:rPr>
                <w:rFonts w:hint="default" w:ascii="Times New Roman" w:hAnsi="Times New Roman" w:cs="Times New Roman"/>
                <w:color w:val="auto"/>
                <w:sz w:val="18"/>
                <w:szCs w:val="18"/>
                <w:highlight w:val="none"/>
                <w:lang w:val="en-US"/>
              </w:rPr>
            </w:pPr>
            <w:r>
              <w:rPr>
                <w:rFonts w:hint="eastAsia" w:ascii="Times New Roman" w:hAnsi="Times New Roman" w:eastAsia="宋体" w:cs="宋体"/>
                <w:b/>
                <w:color w:val="auto"/>
                <w:kern w:val="2"/>
                <w:sz w:val="18"/>
                <w:szCs w:val="18"/>
                <w:highlight w:val="none"/>
                <w:lang w:val="en-US" w:eastAsia="zh-CN" w:bidi="ar"/>
              </w:rPr>
              <w:t>注</w:t>
            </w:r>
            <w:r>
              <w:rPr>
                <w:rFonts w:hint="default" w:ascii="Times New Roman" w:hAnsi="Times New Roman" w:eastAsia="宋体" w:cs="Times New Roman"/>
                <w:b/>
                <w:color w:val="auto"/>
                <w:kern w:val="2"/>
                <w:sz w:val="18"/>
                <w:szCs w:val="18"/>
                <w:highlight w:val="none"/>
                <w:lang w:val="en-US" w:eastAsia="zh-CN" w:bidi="ar"/>
              </w:rPr>
              <w:t>4</w:t>
            </w:r>
            <w:r>
              <w:rPr>
                <w:rFonts w:hint="eastAsia" w:ascii="Times New Roman" w:hAnsi="Times New Roman" w:eastAsia="宋体" w:cs="宋体"/>
                <w:b/>
                <w:color w:val="auto"/>
                <w:kern w:val="2"/>
                <w:sz w:val="18"/>
                <w:szCs w:val="18"/>
                <w:highlight w:val="none"/>
                <w:lang w:val="en-US" w:eastAsia="zh-CN" w:bidi="ar"/>
              </w:rPr>
              <w:t>：</w:t>
            </w:r>
            <w:r>
              <w:rPr>
                <w:rFonts w:hint="eastAsia" w:ascii="Times New Roman" w:hAnsi="Times New Roman" w:eastAsia="宋体" w:cs="宋体"/>
                <w:color w:val="auto"/>
                <w:kern w:val="2"/>
                <w:sz w:val="18"/>
                <w:szCs w:val="18"/>
                <w:highlight w:val="none"/>
                <w:lang w:val="en-US" w:eastAsia="zh-CN" w:bidi="ar"/>
              </w:rPr>
              <w:t>建设项目直接排放第一类污染物的，其评价等级为一级；建设项目直接排放的污染物为受纳水体超标因子的，评价等级不低于二级。</w:t>
            </w:r>
          </w:p>
          <w:p>
            <w:pPr>
              <w:keepNext w:val="0"/>
              <w:keepLines w:val="0"/>
              <w:widowControl w:val="0"/>
              <w:suppressLineNumbers w:val="0"/>
              <w:tabs>
                <w:tab w:val="left" w:pos="3696"/>
              </w:tabs>
              <w:adjustRightInd w:val="0"/>
              <w:snapToGrid w:val="0"/>
              <w:spacing w:before="0" w:beforeAutospacing="0" w:after="0" w:afterAutospacing="0"/>
              <w:ind w:left="0" w:right="0"/>
              <w:jc w:val="left"/>
              <w:rPr>
                <w:rFonts w:hint="default" w:ascii="Times New Roman" w:hAnsi="Times New Roman" w:cs="Times New Roman"/>
                <w:color w:val="auto"/>
                <w:sz w:val="18"/>
                <w:szCs w:val="18"/>
                <w:highlight w:val="none"/>
                <w:lang w:val="en-US"/>
              </w:rPr>
            </w:pPr>
            <w:r>
              <w:rPr>
                <w:rFonts w:hint="eastAsia" w:ascii="Times New Roman" w:hAnsi="Times New Roman" w:eastAsia="宋体" w:cs="宋体"/>
                <w:b/>
                <w:color w:val="auto"/>
                <w:kern w:val="2"/>
                <w:sz w:val="18"/>
                <w:szCs w:val="18"/>
                <w:highlight w:val="none"/>
                <w:lang w:val="en-US" w:eastAsia="zh-CN" w:bidi="ar"/>
              </w:rPr>
              <w:t>注</w:t>
            </w:r>
            <w:r>
              <w:rPr>
                <w:rFonts w:hint="default" w:ascii="Times New Roman" w:hAnsi="Times New Roman" w:eastAsia="宋体" w:cs="Times New Roman"/>
                <w:b/>
                <w:color w:val="auto"/>
                <w:kern w:val="2"/>
                <w:sz w:val="18"/>
                <w:szCs w:val="18"/>
                <w:highlight w:val="none"/>
                <w:lang w:val="en-US" w:eastAsia="zh-CN" w:bidi="ar"/>
              </w:rPr>
              <w:t>5</w:t>
            </w:r>
            <w:r>
              <w:rPr>
                <w:rFonts w:hint="eastAsia" w:ascii="Times New Roman" w:hAnsi="Times New Roman" w:eastAsia="宋体" w:cs="宋体"/>
                <w:b/>
                <w:color w:val="auto"/>
                <w:kern w:val="2"/>
                <w:sz w:val="18"/>
                <w:szCs w:val="18"/>
                <w:highlight w:val="none"/>
                <w:lang w:val="en-US" w:eastAsia="zh-CN" w:bidi="ar"/>
              </w:rPr>
              <w:t>：</w:t>
            </w:r>
            <w:r>
              <w:rPr>
                <w:rFonts w:hint="eastAsia" w:ascii="Times New Roman" w:hAnsi="Times New Roman" w:eastAsia="宋体" w:cs="宋体"/>
                <w:color w:val="auto"/>
                <w:kern w:val="2"/>
                <w:sz w:val="18"/>
                <w:szCs w:val="18"/>
                <w:highlight w:val="none"/>
                <w:lang w:val="en-US" w:eastAsia="zh-CN" w:bidi="ar"/>
              </w:rPr>
              <w:t>直接排放受纳水体影响范围涉及饮用水水源保护区、饮用水取水口、重点保护与珍稀水生生物的栖息地、重要水生生物的自然产卵场等保护目标时，评价等级不低于二级。</w:t>
            </w:r>
          </w:p>
          <w:p>
            <w:pPr>
              <w:keepNext w:val="0"/>
              <w:keepLines w:val="0"/>
              <w:widowControl w:val="0"/>
              <w:suppressLineNumbers w:val="0"/>
              <w:tabs>
                <w:tab w:val="left" w:pos="3696"/>
              </w:tabs>
              <w:adjustRightInd w:val="0"/>
              <w:snapToGrid w:val="0"/>
              <w:spacing w:before="0" w:beforeAutospacing="0" w:after="0" w:afterAutospacing="0"/>
              <w:ind w:left="0" w:right="0"/>
              <w:jc w:val="left"/>
              <w:rPr>
                <w:rFonts w:hint="default" w:ascii="Times New Roman" w:hAnsi="Times New Roman" w:cs="Times New Roman"/>
                <w:color w:val="auto"/>
                <w:sz w:val="18"/>
                <w:szCs w:val="18"/>
                <w:highlight w:val="none"/>
                <w:lang w:val="en-US"/>
              </w:rPr>
            </w:pPr>
            <w:r>
              <w:rPr>
                <w:rFonts w:hint="eastAsia" w:ascii="Times New Roman" w:hAnsi="Times New Roman" w:eastAsia="宋体" w:cs="宋体"/>
                <w:b/>
                <w:color w:val="auto"/>
                <w:kern w:val="2"/>
                <w:sz w:val="18"/>
                <w:szCs w:val="18"/>
                <w:highlight w:val="none"/>
                <w:lang w:val="en-US" w:eastAsia="zh-CN" w:bidi="ar"/>
              </w:rPr>
              <w:t>注</w:t>
            </w:r>
            <w:r>
              <w:rPr>
                <w:rFonts w:hint="default" w:ascii="Times New Roman" w:hAnsi="Times New Roman" w:eastAsia="宋体" w:cs="Times New Roman"/>
                <w:b/>
                <w:color w:val="auto"/>
                <w:kern w:val="2"/>
                <w:sz w:val="18"/>
                <w:szCs w:val="18"/>
                <w:highlight w:val="none"/>
                <w:lang w:val="en-US" w:eastAsia="zh-CN" w:bidi="ar"/>
              </w:rPr>
              <w:t>6</w:t>
            </w:r>
            <w:r>
              <w:rPr>
                <w:rFonts w:hint="eastAsia" w:ascii="Times New Roman" w:hAnsi="Times New Roman" w:eastAsia="宋体" w:cs="宋体"/>
                <w:b/>
                <w:color w:val="auto"/>
                <w:kern w:val="2"/>
                <w:sz w:val="18"/>
                <w:szCs w:val="18"/>
                <w:highlight w:val="none"/>
                <w:lang w:val="en-US" w:eastAsia="zh-CN" w:bidi="ar"/>
              </w:rPr>
              <w:t>：</w:t>
            </w:r>
            <w:r>
              <w:rPr>
                <w:rFonts w:hint="eastAsia" w:ascii="Times New Roman" w:hAnsi="Times New Roman" w:eastAsia="宋体" w:cs="宋体"/>
                <w:color w:val="auto"/>
                <w:kern w:val="2"/>
                <w:sz w:val="18"/>
                <w:szCs w:val="18"/>
                <w:highlight w:val="none"/>
                <w:lang w:val="en-US" w:eastAsia="zh-CN" w:bidi="ar"/>
              </w:rPr>
              <w:t>建设项目向河流、湖库排放温排水引起受纳水体水温变化超过水环境质量标准要求，且评价范围有水温敏感目标时，评价等级为一级。</w:t>
            </w:r>
          </w:p>
          <w:p>
            <w:pPr>
              <w:keepNext w:val="0"/>
              <w:keepLines w:val="0"/>
              <w:widowControl w:val="0"/>
              <w:suppressLineNumbers w:val="0"/>
              <w:tabs>
                <w:tab w:val="left" w:pos="3696"/>
              </w:tabs>
              <w:adjustRightInd w:val="0"/>
              <w:snapToGrid w:val="0"/>
              <w:spacing w:before="0" w:beforeAutospacing="0" w:after="0" w:afterAutospacing="0"/>
              <w:ind w:left="0" w:right="0"/>
              <w:jc w:val="left"/>
              <w:rPr>
                <w:rFonts w:hint="default" w:ascii="Times New Roman" w:hAnsi="Times New Roman" w:cs="Times New Roman"/>
                <w:color w:val="auto"/>
                <w:sz w:val="18"/>
                <w:szCs w:val="18"/>
                <w:highlight w:val="none"/>
                <w:lang w:val="en-US"/>
              </w:rPr>
            </w:pPr>
            <w:r>
              <w:rPr>
                <w:rFonts w:hint="eastAsia" w:ascii="Times New Roman" w:hAnsi="Times New Roman" w:eastAsia="宋体" w:cs="宋体"/>
                <w:b/>
                <w:color w:val="auto"/>
                <w:kern w:val="2"/>
                <w:sz w:val="18"/>
                <w:szCs w:val="18"/>
                <w:highlight w:val="none"/>
                <w:lang w:val="en-US" w:eastAsia="zh-CN" w:bidi="ar"/>
              </w:rPr>
              <w:t>注</w:t>
            </w:r>
            <w:r>
              <w:rPr>
                <w:rFonts w:hint="default" w:ascii="Times New Roman" w:hAnsi="Times New Roman" w:eastAsia="宋体" w:cs="Times New Roman"/>
                <w:b/>
                <w:color w:val="auto"/>
                <w:kern w:val="2"/>
                <w:sz w:val="18"/>
                <w:szCs w:val="18"/>
                <w:highlight w:val="none"/>
                <w:lang w:val="en-US" w:eastAsia="zh-CN" w:bidi="ar"/>
              </w:rPr>
              <w:t>7</w:t>
            </w:r>
            <w:r>
              <w:rPr>
                <w:rFonts w:hint="eastAsia" w:ascii="Times New Roman" w:hAnsi="Times New Roman" w:eastAsia="宋体" w:cs="宋体"/>
                <w:b/>
                <w:color w:val="auto"/>
                <w:kern w:val="2"/>
                <w:sz w:val="18"/>
                <w:szCs w:val="18"/>
                <w:highlight w:val="none"/>
                <w:lang w:val="en-US" w:eastAsia="zh-CN" w:bidi="ar"/>
              </w:rPr>
              <w:t>：</w:t>
            </w:r>
            <w:r>
              <w:rPr>
                <w:rFonts w:hint="eastAsia" w:ascii="Times New Roman" w:hAnsi="Times New Roman" w:eastAsia="宋体" w:cs="宋体"/>
                <w:color w:val="auto"/>
                <w:kern w:val="2"/>
                <w:sz w:val="18"/>
                <w:szCs w:val="18"/>
                <w:highlight w:val="none"/>
                <w:lang w:val="en-US" w:eastAsia="zh-CN" w:bidi="ar"/>
              </w:rPr>
              <w:t>建设项目利用海水作为调节温度介质，排水量</w:t>
            </w:r>
            <w:r>
              <w:rPr>
                <w:rFonts w:hint="default" w:ascii="Times New Roman" w:hAnsi="Times New Roman" w:eastAsia="宋体" w:cs="Times New Roman"/>
                <w:color w:val="auto"/>
                <w:kern w:val="2"/>
                <w:sz w:val="18"/>
                <w:szCs w:val="18"/>
                <w:highlight w:val="none"/>
                <w:lang w:val="en-US" w:eastAsia="zh-CN" w:bidi="ar"/>
              </w:rPr>
              <w:t>≥500</w:t>
            </w:r>
            <w:r>
              <w:rPr>
                <w:rFonts w:hint="eastAsia" w:ascii="Times New Roman" w:hAnsi="Times New Roman" w:eastAsia="宋体" w:cs="宋体"/>
                <w:color w:val="auto"/>
                <w:kern w:val="2"/>
                <w:sz w:val="18"/>
                <w:szCs w:val="18"/>
                <w:highlight w:val="none"/>
                <w:lang w:val="en-US" w:eastAsia="zh-CN" w:bidi="ar"/>
              </w:rPr>
              <w:t>万</w:t>
            </w:r>
            <w:r>
              <w:rPr>
                <w:rFonts w:hint="default" w:ascii="Times New Roman" w:hAnsi="Times New Roman" w:eastAsia="宋体" w:cs="Times New Roman"/>
                <w:color w:val="auto"/>
                <w:kern w:val="2"/>
                <w:sz w:val="18"/>
                <w:szCs w:val="18"/>
                <w:highlight w:val="none"/>
                <w:lang w:val="en-US" w:eastAsia="zh-CN" w:bidi="ar"/>
              </w:rPr>
              <w:t>m</w:t>
            </w:r>
            <w:r>
              <w:rPr>
                <w:rFonts w:hint="default" w:ascii="Times New Roman" w:hAnsi="Times New Roman" w:eastAsia="宋体" w:cs="Times New Roman"/>
                <w:color w:val="auto"/>
                <w:kern w:val="2"/>
                <w:sz w:val="18"/>
                <w:szCs w:val="18"/>
                <w:highlight w:val="none"/>
                <w:vertAlign w:val="superscript"/>
                <w:lang w:val="en-US" w:eastAsia="zh-CN" w:bidi="ar"/>
              </w:rPr>
              <w:t>3</w:t>
            </w:r>
            <w:r>
              <w:rPr>
                <w:rFonts w:hint="default" w:ascii="Times New Roman" w:hAnsi="Times New Roman" w:eastAsia="宋体" w:cs="Times New Roman"/>
                <w:color w:val="auto"/>
                <w:kern w:val="2"/>
                <w:sz w:val="18"/>
                <w:szCs w:val="18"/>
                <w:highlight w:val="none"/>
                <w:lang w:val="en-US" w:eastAsia="zh-CN" w:bidi="ar"/>
              </w:rPr>
              <w:t>/d</w:t>
            </w:r>
            <w:r>
              <w:rPr>
                <w:rFonts w:hint="eastAsia" w:ascii="Times New Roman" w:hAnsi="Times New Roman" w:eastAsia="宋体" w:cs="宋体"/>
                <w:color w:val="auto"/>
                <w:kern w:val="2"/>
                <w:sz w:val="18"/>
                <w:szCs w:val="18"/>
                <w:highlight w:val="none"/>
                <w:lang w:val="en-US" w:eastAsia="zh-CN" w:bidi="ar"/>
              </w:rPr>
              <w:t>，评价等级为一级；排水量</w:t>
            </w:r>
            <w:r>
              <w:rPr>
                <w:rFonts w:hint="default" w:ascii="Times New Roman" w:hAnsi="Times New Roman" w:eastAsia="宋体" w:cs="Times New Roman"/>
                <w:color w:val="auto"/>
                <w:kern w:val="2"/>
                <w:sz w:val="18"/>
                <w:szCs w:val="18"/>
                <w:highlight w:val="none"/>
                <w:lang w:val="en-US" w:eastAsia="zh-CN" w:bidi="ar"/>
              </w:rPr>
              <w:t>&lt;500</w:t>
            </w:r>
            <w:r>
              <w:rPr>
                <w:rFonts w:hint="eastAsia" w:ascii="Times New Roman" w:hAnsi="Times New Roman" w:eastAsia="宋体" w:cs="宋体"/>
                <w:color w:val="auto"/>
                <w:kern w:val="2"/>
                <w:sz w:val="18"/>
                <w:szCs w:val="18"/>
                <w:highlight w:val="none"/>
                <w:lang w:val="en-US" w:eastAsia="zh-CN" w:bidi="ar"/>
              </w:rPr>
              <w:t>万</w:t>
            </w:r>
            <w:r>
              <w:rPr>
                <w:rFonts w:hint="default" w:ascii="Times New Roman" w:hAnsi="Times New Roman" w:eastAsia="宋体" w:cs="Times New Roman"/>
                <w:color w:val="auto"/>
                <w:kern w:val="2"/>
                <w:sz w:val="18"/>
                <w:szCs w:val="18"/>
                <w:highlight w:val="none"/>
                <w:lang w:val="en-US" w:eastAsia="zh-CN" w:bidi="ar"/>
              </w:rPr>
              <w:t>m</w:t>
            </w:r>
            <w:r>
              <w:rPr>
                <w:rFonts w:hint="default" w:ascii="Times New Roman" w:hAnsi="Times New Roman" w:eastAsia="宋体" w:cs="Times New Roman"/>
                <w:color w:val="auto"/>
                <w:kern w:val="2"/>
                <w:sz w:val="18"/>
                <w:szCs w:val="18"/>
                <w:highlight w:val="none"/>
                <w:vertAlign w:val="superscript"/>
                <w:lang w:val="en-US" w:eastAsia="zh-CN" w:bidi="ar"/>
              </w:rPr>
              <w:t>3</w:t>
            </w:r>
            <w:r>
              <w:rPr>
                <w:rFonts w:hint="default" w:ascii="Times New Roman" w:hAnsi="Times New Roman" w:eastAsia="宋体" w:cs="Times New Roman"/>
                <w:color w:val="auto"/>
                <w:kern w:val="2"/>
                <w:sz w:val="18"/>
                <w:szCs w:val="18"/>
                <w:highlight w:val="none"/>
                <w:lang w:val="en-US" w:eastAsia="zh-CN" w:bidi="ar"/>
              </w:rPr>
              <w:t>/d</w:t>
            </w:r>
            <w:r>
              <w:rPr>
                <w:rFonts w:hint="eastAsia" w:ascii="Times New Roman" w:hAnsi="Times New Roman" w:eastAsia="宋体" w:cs="宋体"/>
                <w:color w:val="auto"/>
                <w:kern w:val="2"/>
                <w:sz w:val="18"/>
                <w:szCs w:val="18"/>
                <w:highlight w:val="none"/>
                <w:lang w:val="en-US" w:eastAsia="zh-CN" w:bidi="ar"/>
              </w:rPr>
              <w:t>，评价等级为二级。</w:t>
            </w:r>
          </w:p>
          <w:p>
            <w:pPr>
              <w:keepNext w:val="0"/>
              <w:keepLines w:val="0"/>
              <w:widowControl w:val="0"/>
              <w:suppressLineNumbers w:val="0"/>
              <w:tabs>
                <w:tab w:val="left" w:pos="3696"/>
              </w:tabs>
              <w:adjustRightInd w:val="0"/>
              <w:snapToGrid w:val="0"/>
              <w:spacing w:before="0" w:beforeAutospacing="0" w:after="0" w:afterAutospacing="0"/>
              <w:ind w:left="0" w:right="0"/>
              <w:jc w:val="left"/>
              <w:rPr>
                <w:rFonts w:hint="default" w:ascii="Times New Roman" w:hAnsi="Times New Roman" w:cs="Times New Roman"/>
                <w:color w:val="auto"/>
                <w:sz w:val="18"/>
                <w:szCs w:val="18"/>
                <w:highlight w:val="none"/>
                <w:lang w:val="en-US"/>
              </w:rPr>
            </w:pPr>
            <w:r>
              <w:rPr>
                <w:rFonts w:hint="eastAsia" w:ascii="Times New Roman" w:hAnsi="Times New Roman" w:eastAsia="宋体" w:cs="宋体"/>
                <w:b/>
                <w:color w:val="auto"/>
                <w:kern w:val="2"/>
                <w:sz w:val="18"/>
                <w:szCs w:val="18"/>
                <w:highlight w:val="none"/>
                <w:lang w:val="en-US" w:eastAsia="zh-CN" w:bidi="ar"/>
              </w:rPr>
              <w:t>注</w:t>
            </w:r>
            <w:r>
              <w:rPr>
                <w:rFonts w:hint="default" w:ascii="Times New Roman" w:hAnsi="Times New Roman" w:eastAsia="宋体" w:cs="Times New Roman"/>
                <w:b/>
                <w:color w:val="auto"/>
                <w:kern w:val="2"/>
                <w:sz w:val="18"/>
                <w:szCs w:val="18"/>
                <w:highlight w:val="none"/>
                <w:lang w:val="en-US" w:eastAsia="zh-CN" w:bidi="ar"/>
              </w:rPr>
              <w:t>8</w:t>
            </w:r>
            <w:r>
              <w:rPr>
                <w:rFonts w:hint="eastAsia" w:ascii="Times New Roman" w:hAnsi="Times New Roman" w:eastAsia="宋体" w:cs="宋体"/>
                <w:b/>
                <w:color w:val="auto"/>
                <w:kern w:val="2"/>
                <w:sz w:val="18"/>
                <w:szCs w:val="18"/>
                <w:highlight w:val="none"/>
                <w:lang w:val="en-US" w:eastAsia="zh-CN" w:bidi="ar"/>
              </w:rPr>
              <w:t>：</w:t>
            </w:r>
            <w:r>
              <w:rPr>
                <w:rFonts w:hint="eastAsia" w:ascii="Times New Roman" w:hAnsi="Times New Roman" w:eastAsia="宋体" w:cs="宋体"/>
                <w:color w:val="auto"/>
                <w:kern w:val="2"/>
                <w:sz w:val="18"/>
                <w:szCs w:val="18"/>
                <w:highlight w:val="none"/>
                <w:lang w:val="en-US" w:eastAsia="zh-CN" w:bidi="ar"/>
              </w:rPr>
              <w:t>仅涉及清净下水排放的，如其排放水质满足受纳水体水环境质量标准要求的，评价等级为三级</w:t>
            </w:r>
            <w:r>
              <w:rPr>
                <w:rFonts w:hint="default" w:ascii="Times New Roman" w:hAnsi="Times New Roman" w:eastAsia="宋体" w:cs="Times New Roman"/>
                <w:color w:val="auto"/>
                <w:kern w:val="2"/>
                <w:sz w:val="18"/>
                <w:szCs w:val="18"/>
                <w:highlight w:val="none"/>
                <w:lang w:val="en-US" w:eastAsia="zh-CN" w:bidi="ar"/>
              </w:rPr>
              <w:t>A</w:t>
            </w:r>
            <w:r>
              <w:rPr>
                <w:rFonts w:hint="eastAsia" w:ascii="Times New Roman" w:hAnsi="Times New Roman" w:eastAsia="宋体" w:cs="宋体"/>
                <w:color w:val="auto"/>
                <w:kern w:val="2"/>
                <w:sz w:val="18"/>
                <w:szCs w:val="18"/>
                <w:highlight w:val="none"/>
                <w:lang w:val="en-US" w:eastAsia="zh-CN" w:bidi="ar"/>
              </w:rPr>
              <w:t>。</w:t>
            </w:r>
          </w:p>
          <w:p>
            <w:pPr>
              <w:keepNext w:val="0"/>
              <w:keepLines w:val="0"/>
              <w:widowControl w:val="0"/>
              <w:suppressLineNumbers w:val="0"/>
              <w:tabs>
                <w:tab w:val="left" w:pos="3696"/>
              </w:tabs>
              <w:adjustRightInd w:val="0"/>
              <w:snapToGrid w:val="0"/>
              <w:spacing w:before="0" w:beforeAutospacing="0" w:after="0" w:afterAutospacing="0"/>
              <w:ind w:left="0" w:right="0"/>
              <w:jc w:val="left"/>
              <w:rPr>
                <w:rFonts w:hint="default" w:ascii="Times New Roman" w:hAnsi="Times New Roman" w:cs="Times New Roman"/>
                <w:color w:val="auto"/>
                <w:sz w:val="18"/>
                <w:szCs w:val="18"/>
                <w:highlight w:val="none"/>
                <w:lang w:val="en-US"/>
              </w:rPr>
            </w:pPr>
            <w:r>
              <w:rPr>
                <w:rFonts w:hint="eastAsia" w:ascii="Times New Roman" w:hAnsi="Times New Roman" w:eastAsia="宋体" w:cs="宋体"/>
                <w:b/>
                <w:color w:val="auto"/>
                <w:kern w:val="2"/>
                <w:sz w:val="18"/>
                <w:szCs w:val="18"/>
                <w:highlight w:val="none"/>
                <w:lang w:val="en-US" w:eastAsia="zh-CN" w:bidi="ar"/>
              </w:rPr>
              <w:t>注</w:t>
            </w:r>
            <w:r>
              <w:rPr>
                <w:rFonts w:hint="default" w:ascii="Times New Roman" w:hAnsi="Times New Roman" w:eastAsia="宋体" w:cs="Times New Roman"/>
                <w:b/>
                <w:color w:val="auto"/>
                <w:kern w:val="2"/>
                <w:sz w:val="18"/>
                <w:szCs w:val="18"/>
                <w:highlight w:val="none"/>
                <w:lang w:val="en-US" w:eastAsia="zh-CN" w:bidi="ar"/>
              </w:rPr>
              <w:t>9</w:t>
            </w:r>
            <w:r>
              <w:rPr>
                <w:rFonts w:hint="eastAsia" w:ascii="Times New Roman" w:hAnsi="Times New Roman" w:eastAsia="宋体" w:cs="宋体"/>
                <w:b/>
                <w:color w:val="auto"/>
                <w:kern w:val="2"/>
                <w:sz w:val="18"/>
                <w:szCs w:val="18"/>
                <w:highlight w:val="none"/>
                <w:lang w:val="en-US" w:eastAsia="zh-CN" w:bidi="ar"/>
              </w:rPr>
              <w:t>：</w:t>
            </w:r>
            <w:r>
              <w:rPr>
                <w:rFonts w:hint="eastAsia" w:ascii="Times New Roman" w:hAnsi="Times New Roman" w:eastAsia="宋体" w:cs="宋体"/>
                <w:color w:val="auto"/>
                <w:kern w:val="2"/>
                <w:sz w:val="18"/>
                <w:szCs w:val="18"/>
                <w:highlight w:val="none"/>
                <w:lang w:val="en-US" w:eastAsia="zh-CN" w:bidi="ar"/>
              </w:rPr>
              <w:t>依托现有排放口，且对外环境未新增排放污染物的直接排放建设项目，评价等级参照间接排放，定为三级</w:t>
            </w:r>
            <w:r>
              <w:rPr>
                <w:rFonts w:hint="default" w:ascii="Times New Roman" w:hAnsi="Times New Roman" w:eastAsia="宋体" w:cs="Times New Roman"/>
                <w:color w:val="auto"/>
                <w:kern w:val="2"/>
                <w:sz w:val="18"/>
                <w:szCs w:val="18"/>
                <w:highlight w:val="none"/>
                <w:lang w:val="en-US" w:eastAsia="zh-CN" w:bidi="ar"/>
              </w:rPr>
              <w:t>B.</w:t>
            </w:r>
          </w:p>
          <w:p>
            <w:pPr>
              <w:keepNext w:val="0"/>
              <w:keepLines w:val="0"/>
              <w:widowControl w:val="0"/>
              <w:suppressLineNumbers w:val="0"/>
              <w:tabs>
                <w:tab w:val="left" w:pos="3696"/>
              </w:tabs>
              <w:adjustRightInd w:val="0"/>
              <w:snapToGrid w:val="0"/>
              <w:spacing w:before="0" w:beforeAutospacing="0" w:after="0" w:afterAutospacing="0"/>
              <w:ind w:left="0" w:right="0"/>
              <w:jc w:val="left"/>
              <w:rPr>
                <w:rFonts w:hint="default" w:ascii="Times New Roman" w:hAnsi="Times New Roman" w:cs="Times New Roman"/>
                <w:color w:val="auto"/>
                <w:szCs w:val="21"/>
                <w:highlight w:val="none"/>
                <w:lang w:val="en-US"/>
              </w:rPr>
            </w:pPr>
            <w:r>
              <w:rPr>
                <w:rFonts w:hint="eastAsia" w:ascii="Times New Roman" w:hAnsi="Times New Roman" w:eastAsia="宋体" w:cs="宋体"/>
                <w:b/>
                <w:color w:val="auto"/>
                <w:kern w:val="2"/>
                <w:sz w:val="18"/>
                <w:szCs w:val="18"/>
                <w:highlight w:val="none"/>
                <w:lang w:val="en-US" w:eastAsia="zh-CN" w:bidi="ar"/>
              </w:rPr>
              <w:t>注</w:t>
            </w:r>
            <w:r>
              <w:rPr>
                <w:rFonts w:hint="default" w:ascii="Times New Roman" w:hAnsi="Times New Roman" w:eastAsia="宋体" w:cs="Times New Roman"/>
                <w:b/>
                <w:color w:val="auto"/>
                <w:kern w:val="2"/>
                <w:sz w:val="18"/>
                <w:szCs w:val="18"/>
                <w:highlight w:val="none"/>
                <w:lang w:val="en-US" w:eastAsia="zh-CN" w:bidi="ar"/>
              </w:rPr>
              <w:t>10</w:t>
            </w:r>
            <w:r>
              <w:rPr>
                <w:rFonts w:hint="eastAsia" w:ascii="Times New Roman" w:hAnsi="Times New Roman" w:eastAsia="宋体" w:cs="宋体"/>
                <w:b/>
                <w:color w:val="auto"/>
                <w:kern w:val="2"/>
                <w:sz w:val="18"/>
                <w:szCs w:val="18"/>
                <w:highlight w:val="none"/>
                <w:lang w:val="en-US" w:eastAsia="zh-CN" w:bidi="ar"/>
              </w:rPr>
              <w:t>：</w:t>
            </w:r>
            <w:r>
              <w:rPr>
                <w:rFonts w:hint="eastAsia" w:ascii="Times New Roman" w:hAnsi="Times New Roman" w:eastAsia="宋体" w:cs="宋体"/>
                <w:color w:val="auto"/>
                <w:kern w:val="2"/>
                <w:sz w:val="18"/>
                <w:szCs w:val="18"/>
                <w:highlight w:val="none"/>
                <w:lang w:val="en-US" w:eastAsia="zh-CN" w:bidi="ar"/>
              </w:rPr>
              <w:t>建设项目生产工艺中有废水产生，但作为回水利用，不排放到外环境的，按三级</w:t>
            </w:r>
            <w:r>
              <w:rPr>
                <w:rFonts w:hint="default" w:ascii="Times New Roman" w:hAnsi="Times New Roman" w:eastAsia="宋体" w:cs="Times New Roman"/>
                <w:color w:val="auto"/>
                <w:kern w:val="2"/>
                <w:sz w:val="18"/>
                <w:szCs w:val="18"/>
                <w:highlight w:val="none"/>
                <w:lang w:val="en-US" w:eastAsia="zh-CN" w:bidi="ar"/>
              </w:rPr>
              <w:t>B</w:t>
            </w:r>
            <w:r>
              <w:rPr>
                <w:rFonts w:hint="eastAsia" w:ascii="Times New Roman" w:hAnsi="Times New Roman" w:eastAsia="宋体" w:cs="宋体"/>
                <w:color w:val="auto"/>
                <w:kern w:val="2"/>
                <w:sz w:val="18"/>
                <w:szCs w:val="18"/>
                <w:highlight w:val="none"/>
                <w:lang w:val="en-US" w:eastAsia="zh-CN" w:bidi="ar"/>
              </w:rPr>
              <w:t>评价。</w:t>
            </w:r>
          </w:p>
        </w:tc>
      </w:tr>
    </w:tbl>
    <w:p>
      <w:pPr>
        <w:ind w:firstLine="480" w:firstLineChars="200"/>
        <w:rPr>
          <w:color w:val="auto"/>
          <w:sz w:val="24"/>
          <w:szCs w:val="24"/>
          <w:highlight w:val="none"/>
        </w:rPr>
      </w:pPr>
      <w:r>
        <w:rPr>
          <w:color w:val="auto"/>
          <w:sz w:val="24"/>
          <w:szCs w:val="24"/>
          <w:highlight w:val="none"/>
        </w:rPr>
        <w:t>3、地下水环境</w:t>
      </w:r>
      <w:bookmarkEnd w:id="73"/>
    </w:p>
    <w:p>
      <w:pPr>
        <w:pStyle w:val="158"/>
        <w:ind w:firstLine="480"/>
        <w:rPr>
          <w:rFonts w:ascii="Times New Roman" w:hAnsi="Times New Roman" w:eastAsia="宋体" w:cs="Times New Roman"/>
          <w:bCs/>
          <w:color w:val="auto"/>
          <w:sz w:val="24"/>
          <w:highlight w:val="none"/>
        </w:rPr>
      </w:pPr>
      <w:r>
        <w:rPr>
          <w:rFonts w:ascii="Times New Roman" w:hAnsi="Times New Roman" w:eastAsia="宋体" w:cs="Times New Roman"/>
          <w:bCs/>
          <w:color w:val="auto"/>
          <w:sz w:val="24"/>
          <w:highlight w:val="none"/>
        </w:rPr>
        <w:t>本项目</w:t>
      </w:r>
      <w:r>
        <w:rPr>
          <w:rFonts w:hint="eastAsia" w:ascii="Times New Roman" w:hAnsi="Times New Roman" w:eastAsia="宋体" w:cs="Times New Roman"/>
          <w:bCs/>
          <w:color w:val="auto"/>
          <w:sz w:val="24"/>
          <w:highlight w:val="none"/>
        </w:rPr>
        <w:t>主要建设</w:t>
      </w:r>
      <w:r>
        <w:rPr>
          <w:rFonts w:hint="eastAsia" w:ascii="Times New Roman" w:hAnsi="Times New Roman" w:eastAsia="宋体" w:cs="Times New Roman"/>
          <w:bCs/>
          <w:color w:val="auto"/>
          <w:sz w:val="24"/>
          <w:highlight w:val="none"/>
          <w:lang w:eastAsia="zh-CN"/>
        </w:rPr>
        <w:t>存</w:t>
      </w:r>
      <w:r>
        <w:rPr>
          <w:rFonts w:hint="eastAsia" w:ascii="Times New Roman" w:hAnsi="Times New Roman" w:eastAsia="宋体" w:cs="Times New Roman"/>
          <w:bCs/>
          <w:color w:val="auto"/>
          <w:sz w:val="24"/>
          <w:highlight w:val="none"/>
        </w:rPr>
        <w:t>栏量12</w:t>
      </w:r>
      <w:r>
        <w:rPr>
          <w:rFonts w:hint="eastAsia" w:ascii="Times New Roman" w:hAnsi="Times New Roman" w:eastAsia="宋体" w:cs="Times New Roman"/>
          <w:bCs/>
          <w:color w:val="auto"/>
          <w:sz w:val="24"/>
          <w:highlight w:val="none"/>
          <w:lang w:val="en-US" w:eastAsia="zh-CN"/>
        </w:rPr>
        <w:t>500</w:t>
      </w:r>
      <w:r>
        <w:rPr>
          <w:rFonts w:hint="eastAsia" w:ascii="Times New Roman" w:hAnsi="Times New Roman" w:eastAsia="宋体" w:cs="Times New Roman"/>
          <w:bCs/>
          <w:color w:val="auto"/>
          <w:sz w:val="24"/>
          <w:highlight w:val="none"/>
        </w:rPr>
        <w:t>头肉牛育肥场一个</w:t>
      </w:r>
      <w:r>
        <w:rPr>
          <w:rFonts w:ascii="Times New Roman" w:hAnsi="Times New Roman" w:eastAsia="宋体" w:cs="Times New Roman"/>
          <w:bCs/>
          <w:color w:val="auto"/>
          <w:sz w:val="24"/>
          <w:highlight w:val="none"/>
        </w:rPr>
        <w:t>，根据《环境影响评价技术导则-地下水环境》（HJ610-2016）附录A，</w:t>
      </w:r>
      <w:r>
        <w:rPr>
          <w:rFonts w:hint="eastAsia" w:ascii="Times New Roman" w:hAnsi="Times New Roman" w:eastAsia="宋体" w:cs="Times New Roman"/>
          <w:color w:val="auto"/>
          <w:kern w:val="0"/>
          <w:sz w:val="24"/>
          <w:szCs w:val="24"/>
          <w:highlight w:val="none"/>
        </w:rPr>
        <w:t>判定本项目归类为</w:t>
      </w:r>
      <w:r>
        <w:rPr>
          <w:rFonts w:ascii="Times New Roman" w:hAnsi="Times New Roman" w:eastAsia="宋体" w:cs="Times New Roman"/>
          <w:bCs/>
          <w:color w:val="auto"/>
          <w:sz w:val="24"/>
          <w:szCs w:val="24"/>
          <w:highlight w:val="none"/>
        </w:rPr>
        <w:t>B 农、林、牧、渔、海洋业 14、畜禽养殖场、养殖小区；年出栏生猪5000头（其他畜禽种类折合猪的养殖规模）及以上；</w:t>
      </w:r>
      <w:r>
        <w:rPr>
          <w:rFonts w:hint="eastAsia" w:ascii="Times New Roman" w:hAnsi="Times New Roman" w:eastAsia="宋体" w:cs="Times New Roman"/>
          <w:bCs/>
          <w:color w:val="auto"/>
          <w:sz w:val="24"/>
          <w:highlight w:val="none"/>
        </w:rPr>
        <w:t>项目属地下水环境影响评价Ⅲ类项目。</w:t>
      </w:r>
    </w:p>
    <w:p>
      <w:pPr>
        <w:pStyle w:val="158"/>
        <w:ind w:firstLine="480"/>
        <w:rPr>
          <w:color w:val="auto"/>
          <w:highlight w:val="none"/>
        </w:rPr>
      </w:pPr>
      <w:r>
        <w:rPr>
          <w:color w:val="auto"/>
          <w:highlight w:val="none"/>
        </w:rPr>
        <w:t>地下水环境影响评级等级的划分应依据建设项目行业分类和地下水环境敏感程度分级进行判定，具体见以下两表：</w:t>
      </w:r>
    </w:p>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地下水环境敏感程度分级表</w:t>
      </w:r>
    </w:p>
    <w:tbl>
      <w:tblPr>
        <w:tblStyle w:val="91"/>
        <w:tblW w:w="8522"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449"/>
        <w:gridCol w:w="707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分级</w:t>
            </w:r>
          </w:p>
        </w:tc>
        <w:tc>
          <w:tcPr>
            <w:tcW w:w="707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项目场地的地下水环境敏感特征</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敏感</w:t>
            </w:r>
          </w:p>
        </w:tc>
        <w:tc>
          <w:tcPr>
            <w:tcW w:w="7073" w:type="dxa"/>
            <w:tcBorders>
              <w:tl2br w:val="nil"/>
              <w:tr2bl w:val="nil"/>
            </w:tcBorders>
            <w:vAlign w:val="center"/>
          </w:tcPr>
          <w:p>
            <w:pPr>
              <w:pStyle w:val="158"/>
              <w:keepNext w:val="0"/>
              <w:keepLines w:val="0"/>
              <w:suppressLineNumbers w:val="0"/>
              <w:spacing w:before="0" w:beforeAutospacing="0" w:after="0" w:afterAutospacing="0" w:line="240" w:lineRule="auto"/>
              <w:ind w:left="0" w:right="0" w:firstLine="0" w:firstLineChars="0"/>
              <w:rPr>
                <w:rFonts w:hint="default"/>
                <w:color w:val="auto"/>
                <w:sz w:val="21"/>
                <w:szCs w:val="21"/>
                <w:highlight w:val="none"/>
              </w:rPr>
            </w:pPr>
            <w:r>
              <w:rPr>
                <w:rFonts w:hint="default"/>
                <w:color w:val="auto"/>
                <w:sz w:val="21"/>
                <w:szCs w:val="21"/>
                <w:highlight w:val="none"/>
              </w:rPr>
              <w:t>集中式饮用水源地（包括已建成的在用、备用、应急水源地，在建和规划的水源地）准保护区；除集中式饮用水源地以外的国家或地方政府设定的与地下水环境相关的其它保护区，如热水、矿泉水、温泉等特殊地下水资源保护区。</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较敏感</w:t>
            </w:r>
          </w:p>
        </w:tc>
        <w:tc>
          <w:tcPr>
            <w:tcW w:w="7073" w:type="dxa"/>
            <w:tcBorders>
              <w:tl2br w:val="nil"/>
              <w:tr2bl w:val="nil"/>
            </w:tcBorders>
            <w:vAlign w:val="center"/>
          </w:tcPr>
          <w:p>
            <w:pPr>
              <w:pStyle w:val="158"/>
              <w:keepNext w:val="0"/>
              <w:keepLines w:val="0"/>
              <w:suppressLineNumbers w:val="0"/>
              <w:spacing w:before="0" w:beforeAutospacing="0" w:after="0" w:afterAutospacing="0" w:line="240" w:lineRule="auto"/>
              <w:ind w:left="0" w:right="0" w:firstLine="0" w:firstLineChars="0"/>
              <w:rPr>
                <w:rFonts w:hint="default"/>
                <w:color w:val="auto"/>
                <w:sz w:val="21"/>
                <w:szCs w:val="21"/>
                <w:highlight w:val="none"/>
              </w:rPr>
            </w:pPr>
            <w:r>
              <w:rPr>
                <w:rFonts w:hint="default"/>
                <w:color w:val="auto"/>
                <w:sz w:val="21"/>
                <w:szCs w:val="21"/>
                <w:highlight w:val="none"/>
              </w:rPr>
              <w:t>集中式饮用水源地（包括已建成的在用、备用、应急水源地，在建和规划的水源地）准保护区以外的补给径流区；特殊地下水资源（如矿泉水、温泉等）保护区以外的分布区以及分散居民饮用水源等其它未列入上述敏感分级的环境敏感区</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不敏感（√）</w:t>
            </w:r>
          </w:p>
        </w:tc>
        <w:tc>
          <w:tcPr>
            <w:tcW w:w="707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上述地区之外的其它地区</w:t>
            </w:r>
          </w:p>
        </w:tc>
      </w:tr>
    </w:tbl>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本</w:t>
      </w:r>
      <w:r>
        <w:rPr>
          <w:rFonts w:hint="default" w:ascii="Times New Roman" w:hAnsi="Times New Roman" w:eastAsia="宋体" w:cs="Times New Roman"/>
          <w:b/>
          <w:bCs/>
          <w:color w:val="auto"/>
          <w:highlight w:val="none"/>
          <w:lang w:val="en-US" w:eastAsia="zh-CN"/>
        </w:rPr>
        <w:t>项目评价工作等级分级表</w:t>
      </w:r>
    </w:p>
    <w:tbl>
      <w:tblPr>
        <w:tblStyle w:val="91"/>
        <w:tblW w:w="89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52"/>
        <w:gridCol w:w="2588"/>
        <w:gridCol w:w="38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2552" w:type="dxa"/>
            <w:tcBorders>
              <w:top w:val="single" w:color="000000" w:sz="12" w:space="0"/>
              <w:left w:val="nil"/>
              <w:tl2br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right"/>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项目类别</w:t>
            </w:r>
          </w:p>
          <w:p>
            <w:pPr>
              <w:keepNext w:val="0"/>
              <w:keepLines w:val="0"/>
              <w:widowControl/>
              <w:suppressLineNumbers w:val="0"/>
              <w:adjustRightInd w:val="0"/>
              <w:snapToGrid w:val="0"/>
              <w:spacing w:before="0" w:beforeAutospacing="0" w:after="0" w:afterAutospacing="0"/>
              <w:ind w:left="0" w:right="0"/>
              <w:jc w:val="left"/>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环境敏感程度</w:t>
            </w:r>
          </w:p>
        </w:tc>
        <w:tc>
          <w:tcPr>
            <w:tcW w:w="2588" w:type="dxa"/>
            <w:tcBorders>
              <w:top w:val="single" w:color="000000" w:sz="12" w:space="0"/>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eastAsia" w:ascii="Times New Roman" w:hAnsi="Times New Roman" w:eastAsia="宋体" w:cs="Times New Roman"/>
                <w:b/>
                <w:color w:val="auto"/>
                <w:kern w:val="0"/>
                <w:szCs w:val="21"/>
                <w:highlight w:val="none"/>
              </w:rPr>
              <w:t>Ⅲ</w:t>
            </w:r>
            <w:r>
              <w:rPr>
                <w:rFonts w:hint="default" w:ascii="Times New Roman" w:hAnsi="Times New Roman" w:eastAsia="宋体" w:cs="Times New Roman"/>
                <w:b/>
                <w:color w:val="auto"/>
                <w:kern w:val="0"/>
                <w:szCs w:val="21"/>
                <w:highlight w:val="none"/>
              </w:rPr>
              <w:t>类项目</w:t>
            </w:r>
          </w:p>
        </w:tc>
        <w:tc>
          <w:tcPr>
            <w:tcW w:w="3806" w:type="dxa"/>
            <w:tcBorders>
              <w:top w:val="single" w:color="000000" w:sz="12" w:space="0"/>
              <w:righ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本项目评价等级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 w:hRule="atLeast"/>
          <w:jc w:val="center"/>
        </w:trPr>
        <w:tc>
          <w:tcPr>
            <w:tcW w:w="2552" w:type="dxa"/>
            <w:tcBorders>
              <w:lef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敏感</w:t>
            </w:r>
          </w:p>
        </w:tc>
        <w:tc>
          <w:tcPr>
            <w:tcW w:w="2588"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二</w:t>
            </w:r>
          </w:p>
        </w:tc>
        <w:tc>
          <w:tcPr>
            <w:tcW w:w="3806" w:type="dxa"/>
            <w:vMerge w:val="restart"/>
            <w:tcBorders>
              <w:righ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本项目属</w:t>
            </w:r>
            <w:r>
              <w:rPr>
                <w:rFonts w:hint="eastAsia" w:ascii="Times New Roman" w:hAnsi="Times New Roman" w:eastAsia="宋体" w:cs="Times New Roman"/>
                <w:color w:val="auto"/>
                <w:kern w:val="0"/>
                <w:szCs w:val="21"/>
                <w:highlight w:val="none"/>
              </w:rPr>
              <w:t>Ⅲ</w:t>
            </w:r>
            <w:r>
              <w:rPr>
                <w:rFonts w:hint="default" w:ascii="Times New Roman" w:hAnsi="Times New Roman" w:eastAsia="宋体" w:cs="Times New Roman"/>
                <w:color w:val="auto"/>
                <w:kern w:val="0"/>
                <w:szCs w:val="21"/>
                <w:highlight w:val="none"/>
              </w:rPr>
              <w:t>类项目，其地下水环境敏感程度为“</w:t>
            </w:r>
            <w:r>
              <w:rPr>
                <w:rFonts w:hint="eastAsia" w:ascii="Times New Roman" w:hAnsi="Times New Roman" w:eastAsia="宋体" w:cs="Times New Roman"/>
                <w:color w:val="auto"/>
                <w:kern w:val="0"/>
                <w:szCs w:val="21"/>
                <w:highlight w:val="none"/>
              </w:rPr>
              <w:t>不</w:t>
            </w:r>
            <w:r>
              <w:rPr>
                <w:rFonts w:hint="default" w:ascii="Times New Roman" w:hAnsi="Times New Roman" w:eastAsia="宋体" w:cs="Times New Roman"/>
                <w:color w:val="auto"/>
                <w:kern w:val="0"/>
                <w:szCs w:val="21"/>
                <w:highlight w:val="none"/>
              </w:rPr>
              <w:t>敏感”，根据评价工作等级分级表判定为“三”级评价。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jc w:val="center"/>
        </w:trPr>
        <w:tc>
          <w:tcPr>
            <w:tcW w:w="2552" w:type="dxa"/>
            <w:tcBorders>
              <w:lef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shd w:val="pct10" w:color="auto" w:fill="FFFFFF"/>
              </w:rPr>
            </w:pPr>
            <w:r>
              <w:rPr>
                <w:rFonts w:hint="default" w:ascii="Times New Roman" w:hAnsi="Times New Roman" w:eastAsia="宋体" w:cs="Times New Roman"/>
                <w:color w:val="auto"/>
                <w:kern w:val="0"/>
                <w:szCs w:val="21"/>
                <w:highlight w:val="none"/>
              </w:rPr>
              <w:t>较敏感</w:t>
            </w:r>
          </w:p>
        </w:tc>
        <w:tc>
          <w:tcPr>
            <w:tcW w:w="2588"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三</w:t>
            </w:r>
          </w:p>
        </w:tc>
        <w:tc>
          <w:tcPr>
            <w:tcW w:w="3806" w:type="dxa"/>
            <w:vMerge w:val="continue"/>
            <w:tcBorders>
              <w:righ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shd w:val="pct10"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2552" w:type="dxa"/>
            <w:tcBorders>
              <w:left w:val="nil"/>
              <w:bottom w:val="single" w:color="000000" w:sz="12" w:space="0"/>
            </w:tcBorders>
            <w:shd w:val="clear" w:color="auto" w:fill="auto"/>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不敏感（√）</w:t>
            </w:r>
          </w:p>
        </w:tc>
        <w:tc>
          <w:tcPr>
            <w:tcW w:w="2588" w:type="dxa"/>
            <w:tcBorders>
              <w:bottom w:val="single" w:color="000000" w:sz="12" w:space="0"/>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三（√）</w:t>
            </w:r>
          </w:p>
        </w:tc>
        <w:tc>
          <w:tcPr>
            <w:tcW w:w="3806" w:type="dxa"/>
            <w:vMerge w:val="continue"/>
            <w:tcBorders>
              <w:bottom w:val="single" w:color="000000" w:sz="12" w:space="0"/>
              <w:righ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p>
        </w:tc>
      </w:tr>
    </w:tbl>
    <w:p>
      <w:pPr>
        <w:widowControl/>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地下水评价范围内地下水未得以集中开发和利用，没有集中式地下水饮用水源及水源保护区，且无与地下水相关的水源保护区和其他资源保护区，居民已实现集中供水，现有水井仅用作灌溉、洗衣等或废弃，不作为居民的分散供水水源。根据《全国地下水功能区划分技术大纲》的要求和实地调查评价区地下水环境状况，本项目评价区地下水功能为维持评价区的生态功能效应。</w:t>
      </w:r>
    </w:p>
    <w:p>
      <w:pPr>
        <w:widowControl/>
        <w:spacing w:line="360" w:lineRule="auto"/>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sz w:val="24"/>
          <w:szCs w:val="24"/>
          <w:highlight w:val="none"/>
        </w:rPr>
        <w:t>根据《环境影响评价技术</w:t>
      </w:r>
      <w:r>
        <w:rPr>
          <w:rFonts w:ascii="Times New Roman" w:hAnsi="Times New Roman" w:eastAsia="宋体" w:cs="Times New Roman"/>
          <w:color w:val="auto"/>
          <w:kern w:val="0"/>
          <w:sz w:val="24"/>
          <w:szCs w:val="24"/>
          <w:highlight w:val="none"/>
        </w:rPr>
        <w:t>导则-地下水环境》（HJ610-2016），本项目属</w:t>
      </w:r>
      <w:r>
        <w:rPr>
          <w:rFonts w:hint="eastAsia" w:ascii="Times New Roman" w:hAnsi="Times New Roman" w:eastAsia="宋体" w:cs="Times New Roman"/>
          <w:color w:val="auto"/>
          <w:kern w:val="0"/>
          <w:sz w:val="24"/>
          <w:szCs w:val="24"/>
          <w:highlight w:val="none"/>
        </w:rPr>
        <w:t>Ⅲ</w:t>
      </w:r>
      <w:r>
        <w:rPr>
          <w:rFonts w:ascii="Times New Roman" w:hAnsi="Times New Roman" w:eastAsia="宋体" w:cs="Times New Roman"/>
          <w:color w:val="auto"/>
          <w:kern w:val="0"/>
          <w:sz w:val="24"/>
          <w:szCs w:val="24"/>
          <w:highlight w:val="none"/>
        </w:rPr>
        <w:t>类项目，地下水环境敏感程度为“</w:t>
      </w:r>
      <w:r>
        <w:rPr>
          <w:rFonts w:hint="eastAsia" w:ascii="Times New Roman" w:hAnsi="Times New Roman" w:eastAsia="宋体" w:cs="Times New Roman"/>
          <w:color w:val="auto"/>
          <w:kern w:val="0"/>
          <w:sz w:val="24"/>
          <w:szCs w:val="24"/>
          <w:highlight w:val="none"/>
        </w:rPr>
        <w:t>不</w:t>
      </w:r>
      <w:r>
        <w:rPr>
          <w:rFonts w:ascii="Times New Roman" w:hAnsi="Times New Roman" w:eastAsia="宋体" w:cs="Times New Roman"/>
          <w:color w:val="auto"/>
          <w:kern w:val="0"/>
          <w:sz w:val="24"/>
          <w:szCs w:val="24"/>
          <w:highlight w:val="none"/>
        </w:rPr>
        <w:t>敏感”，根据（HJ610-2016）判定依据，本项目地下水环境影响评价工作等级判定为“三”级。</w:t>
      </w:r>
    </w:p>
    <w:p>
      <w:pPr>
        <w:ind w:firstLine="480" w:firstLineChars="200"/>
        <w:rPr>
          <w:color w:val="auto"/>
          <w:sz w:val="24"/>
          <w:szCs w:val="24"/>
          <w:highlight w:val="none"/>
        </w:rPr>
      </w:pPr>
      <w:bookmarkStart w:id="77" w:name="_Toc319591136"/>
      <w:bookmarkStart w:id="78" w:name="_Toc319588825"/>
      <w:bookmarkStart w:id="79" w:name="_Toc405412755"/>
      <w:bookmarkStart w:id="80" w:name="_Toc321575579"/>
      <w:r>
        <w:rPr>
          <w:color w:val="auto"/>
          <w:sz w:val="24"/>
          <w:szCs w:val="24"/>
          <w:highlight w:val="none"/>
        </w:rPr>
        <w:t>4、</w:t>
      </w:r>
      <w:bookmarkEnd w:id="77"/>
      <w:bookmarkEnd w:id="78"/>
      <w:bookmarkEnd w:id="79"/>
      <w:bookmarkEnd w:id="80"/>
      <w:r>
        <w:rPr>
          <w:rFonts w:hint="eastAsia"/>
          <w:color w:val="auto"/>
          <w:sz w:val="24"/>
          <w:szCs w:val="24"/>
          <w:highlight w:val="none"/>
        </w:rPr>
        <w:t>声环境</w:t>
      </w:r>
    </w:p>
    <w:p>
      <w:pPr>
        <w:pStyle w:val="158"/>
        <w:ind w:firstLine="480"/>
        <w:rPr>
          <w:rFonts w:hint="eastAsia"/>
          <w:color w:val="auto"/>
          <w:highlight w:val="none"/>
        </w:rPr>
      </w:pPr>
      <w:r>
        <w:rPr>
          <w:rFonts w:hint="eastAsia"/>
          <w:color w:val="auto"/>
          <w:highlight w:val="none"/>
        </w:rPr>
        <w:t>声环境评价工作等级划分的基本原则见</w:t>
      </w:r>
      <w:r>
        <w:rPr>
          <w:rFonts w:hint="eastAsia"/>
          <w:color w:val="auto"/>
          <w:highlight w:val="none"/>
          <w:lang w:eastAsia="zh-CN"/>
        </w:rPr>
        <w:t>下表</w:t>
      </w:r>
      <w:r>
        <w:rPr>
          <w:rFonts w:hint="eastAsia"/>
          <w:color w:val="auto"/>
          <w:highlight w:val="none"/>
        </w:rPr>
        <w:t>：</w:t>
      </w:r>
    </w:p>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声环境评价工作等级划分基本原则</w:t>
      </w:r>
    </w:p>
    <w:tbl>
      <w:tblPr>
        <w:tblStyle w:val="91"/>
        <w:tblW w:w="8522"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449"/>
        <w:gridCol w:w="707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eastAsia" w:ascii="Times New Roman" w:hAnsi="Times New Roman" w:cs="Times New Roman"/>
                <w:b/>
                <w:color w:val="auto"/>
                <w:highlight w:val="none"/>
                <w:lang w:eastAsia="zh-CN"/>
              </w:rPr>
              <w:t>等级</w:t>
            </w:r>
            <w:r>
              <w:rPr>
                <w:rFonts w:hint="default" w:ascii="Times New Roman" w:hAnsi="Times New Roman" w:cs="Times New Roman"/>
                <w:b/>
                <w:color w:val="auto"/>
                <w:highlight w:val="none"/>
              </w:rPr>
              <w:t>分级</w:t>
            </w:r>
          </w:p>
        </w:tc>
        <w:tc>
          <w:tcPr>
            <w:tcW w:w="707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eastAsiaTheme="minorEastAsia"/>
                <w:b/>
                <w:color w:val="auto"/>
                <w:highlight w:val="none"/>
                <w:lang w:eastAsia="zh-CN"/>
              </w:rPr>
            </w:pPr>
            <w:r>
              <w:rPr>
                <w:rFonts w:hint="eastAsia" w:ascii="Times New Roman" w:hAnsi="Times New Roman" w:cs="Times New Roman"/>
                <w:b/>
                <w:color w:val="auto"/>
                <w:highlight w:val="none"/>
                <w:lang w:eastAsia="zh-CN"/>
              </w:rPr>
              <w:t>等级划分基本原则</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一级</w:t>
            </w:r>
          </w:p>
        </w:tc>
        <w:tc>
          <w:tcPr>
            <w:tcW w:w="7073" w:type="dxa"/>
            <w:tcBorders>
              <w:tl2br w:val="nil"/>
              <w:tr2bl w:val="nil"/>
            </w:tcBorders>
            <w:vAlign w:val="center"/>
          </w:tcPr>
          <w:p>
            <w:pPr>
              <w:pStyle w:val="158"/>
              <w:keepNext w:val="0"/>
              <w:keepLines w:val="0"/>
              <w:suppressLineNumbers w:val="0"/>
              <w:spacing w:before="0" w:beforeAutospacing="0" w:after="0" w:afterAutospacing="0" w:line="240" w:lineRule="auto"/>
              <w:ind w:left="0" w:right="0" w:firstLine="0" w:firstLineChars="0"/>
              <w:rPr>
                <w:rFonts w:hint="eastAsia" w:eastAsia="宋体"/>
                <w:color w:val="auto"/>
                <w:sz w:val="21"/>
                <w:szCs w:val="21"/>
                <w:highlight w:val="none"/>
                <w:lang w:eastAsia="zh-CN"/>
              </w:rPr>
            </w:pPr>
            <w:r>
              <w:rPr>
                <w:rFonts w:hint="default" w:ascii="Times New Roman" w:hAnsi="Times New Roman" w:eastAsia="宋体" w:cs="Times New Roman"/>
                <w:color w:val="auto"/>
                <w:sz w:val="21"/>
                <w:szCs w:val="21"/>
                <w:highlight w:val="none"/>
              </w:rPr>
              <w:t>评价范围内有适用于GB3096规定的0类声环境功能区域，以及对噪声有特别限制要求的保护区等敏感目标，或建设项目建设前后评价范围内敏感目标噪声级增高量达5dB(A)以上（不含5dB(A)），或受影响人口数量显著增多时</w:t>
            </w:r>
            <w:r>
              <w:rPr>
                <w:rFonts w:hint="eastAsia" w:ascii="Times New Roman" w:hAnsi="Times New Roman" w:cs="Times New Roman"/>
                <w:color w:val="auto"/>
                <w:sz w:val="21"/>
                <w:szCs w:val="21"/>
                <w:highlight w:val="none"/>
                <w:lang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二级</w:t>
            </w:r>
          </w:p>
        </w:tc>
        <w:tc>
          <w:tcPr>
            <w:tcW w:w="7073" w:type="dxa"/>
            <w:tcBorders>
              <w:tl2br w:val="nil"/>
              <w:tr2bl w:val="nil"/>
            </w:tcBorders>
            <w:vAlign w:val="center"/>
          </w:tcPr>
          <w:p>
            <w:pPr>
              <w:pStyle w:val="158"/>
              <w:keepNext w:val="0"/>
              <w:keepLines w:val="0"/>
              <w:suppressLineNumbers w:val="0"/>
              <w:spacing w:before="0" w:beforeAutospacing="0" w:after="0" w:afterAutospacing="0" w:line="240" w:lineRule="auto"/>
              <w:ind w:left="0" w:right="0" w:firstLine="0" w:firstLineChars="0"/>
              <w:rPr>
                <w:rFonts w:hint="eastAsia" w:eastAsia="宋体"/>
                <w:color w:val="auto"/>
                <w:sz w:val="21"/>
                <w:szCs w:val="21"/>
                <w:highlight w:val="none"/>
                <w:lang w:eastAsia="zh-CN"/>
              </w:rPr>
            </w:pPr>
            <w:r>
              <w:rPr>
                <w:rFonts w:hint="eastAsia"/>
                <w:color w:val="auto"/>
                <w:sz w:val="21"/>
                <w:szCs w:val="21"/>
                <w:highlight w:val="none"/>
              </w:rPr>
              <w:t>建设项目所处的声环境功能区为GB3096规定的1类、2类地区，或建设项目建设前后评价范围内敏感目标噪声级增高量达3dB(A)-5dB(A)(含5 dB(A))，或受噪声影响人口数量增加较多时</w:t>
            </w:r>
            <w:r>
              <w:rPr>
                <w:rFonts w:hint="eastAsia"/>
                <w:color w:val="auto"/>
                <w:sz w:val="21"/>
                <w:szCs w:val="21"/>
                <w:highlight w:val="none"/>
                <w:lang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三级</w:t>
            </w:r>
          </w:p>
        </w:tc>
        <w:tc>
          <w:tcPr>
            <w:tcW w:w="707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both"/>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rPr>
              <w:t>建设项目所处的声环境功能区为GB3096规定的3类、4类地区，或建设项目建设前后评价范围内敏感目标噪声级增高量达3dB(A)以下（不含3dB(A)），且受影响人口数量变化不大时</w:t>
            </w:r>
            <w:r>
              <w:rPr>
                <w:rFonts w:hint="eastAsia" w:ascii="Times New Roman" w:hAnsi="Times New Roman" w:cs="Times New Roman"/>
                <w:color w:val="auto"/>
                <w:highlight w:val="none"/>
                <w:lang w:eastAsia="zh-CN"/>
              </w:rPr>
              <w:t>。</w:t>
            </w:r>
          </w:p>
        </w:tc>
      </w:tr>
    </w:tbl>
    <w:p>
      <w:pPr>
        <w:pStyle w:val="158"/>
        <w:ind w:firstLine="480"/>
        <w:rPr>
          <w:rFonts w:hint="eastAsia"/>
          <w:color w:val="auto"/>
          <w:highlight w:val="none"/>
        </w:rPr>
      </w:pPr>
      <w:r>
        <w:rPr>
          <w:rFonts w:hint="eastAsia"/>
          <w:color w:val="auto"/>
          <w:highlight w:val="none"/>
        </w:rPr>
        <w:t>根据</w:t>
      </w:r>
      <w:r>
        <w:rPr>
          <w:rFonts w:hint="eastAsia"/>
          <w:color w:val="auto"/>
          <w:highlight w:val="none"/>
          <w:lang w:eastAsia="zh-CN"/>
        </w:rPr>
        <w:t>《环境影响评价技术导则  声环境》（HJ2.4-2021）</w:t>
      </w:r>
      <w:r>
        <w:rPr>
          <w:rFonts w:hint="eastAsia"/>
          <w:color w:val="auto"/>
          <w:highlight w:val="none"/>
        </w:rPr>
        <w:t>的规定，结合项目特点，本项目声环境影响评价工作等级判定见</w:t>
      </w:r>
      <w:r>
        <w:rPr>
          <w:rFonts w:hint="eastAsia"/>
          <w:color w:val="auto"/>
          <w:highlight w:val="none"/>
          <w:lang w:eastAsia="zh-CN"/>
        </w:rPr>
        <w:t>下</w:t>
      </w:r>
      <w:r>
        <w:rPr>
          <w:rFonts w:hint="eastAsia"/>
          <w:color w:val="auto"/>
          <w:highlight w:val="none"/>
        </w:rPr>
        <w:t>表。</w:t>
      </w:r>
    </w:p>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声环境影响评价工作等级判定表</w:t>
      </w:r>
    </w:p>
    <w:tbl>
      <w:tblPr>
        <w:tblStyle w:val="9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03"/>
        <w:gridCol w:w="1916"/>
        <w:gridCol w:w="3389"/>
        <w:gridCol w:w="19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3" w:type="dxa"/>
            <w:noWrap w:val="0"/>
            <w:vAlign w:val="center"/>
          </w:tcPr>
          <w:p>
            <w:pPr>
              <w:pStyle w:val="1856"/>
              <w:keepNext w:val="0"/>
              <w:keepLines w:val="0"/>
              <w:suppressLineNumbers w:val="0"/>
              <w:spacing w:beforeAutospacing="0" w:afterAutospacing="0"/>
              <w:ind w:left="0" w:right="0"/>
              <w:rPr>
                <w:rFonts w:hint="default"/>
                <w:color w:val="auto"/>
                <w:sz w:val="21"/>
                <w:szCs w:val="21"/>
                <w:highlight w:val="none"/>
              </w:rPr>
            </w:pPr>
            <w:r>
              <w:rPr>
                <w:rFonts w:hint="default"/>
                <w:color w:val="auto"/>
                <w:sz w:val="21"/>
                <w:szCs w:val="21"/>
                <w:highlight w:val="none"/>
              </w:rPr>
              <w:t>项目</w:t>
            </w:r>
          </w:p>
        </w:tc>
        <w:tc>
          <w:tcPr>
            <w:tcW w:w="1916" w:type="dxa"/>
            <w:noWrap w:val="0"/>
            <w:vAlign w:val="center"/>
          </w:tcPr>
          <w:p>
            <w:pPr>
              <w:pStyle w:val="1856"/>
              <w:keepNext w:val="0"/>
              <w:keepLines w:val="0"/>
              <w:suppressLineNumbers w:val="0"/>
              <w:spacing w:beforeAutospacing="0" w:afterAutospacing="0"/>
              <w:ind w:left="0" w:right="0"/>
              <w:rPr>
                <w:rFonts w:hint="default"/>
                <w:color w:val="auto"/>
                <w:sz w:val="21"/>
                <w:szCs w:val="21"/>
                <w:highlight w:val="none"/>
              </w:rPr>
            </w:pPr>
            <w:r>
              <w:rPr>
                <w:rFonts w:hint="default"/>
                <w:color w:val="auto"/>
                <w:sz w:val="21"/>
                <w:szCs w:val="21"/>
                <w:highlight w:val="none"/>
              </w:rPr>
              <w:t>声环境功能区</w:t>
            </w:r>
          </w:p>
        </w:tc>
        <w:tc>
          <w:tcPr>
            <w:tcW w:w="3389" w:type="dxa"/>
            <w:noWrap w:val="0"/>
            <w:vAlign w:val="center"/>
          </w:tcPr>
          <w:p>
            <w:pPr>
              <w:pStyle w:val="1856"/>
              <w:keepNext w:val="0"/>
              <w:keepLines w:val="0"/>
              <w:suppressLineNumbers w:val="0"/>
              <w:spacing w:beforeAutospacing="0" w:afterAutospacing="0"/>
              <w:ind w:left="0" w:right="0"/>
              <w:rPr>
                <w:rFonts w:hint="default"/>
                <w:color w:val="auto"/>
                <w:sz w:val="21"/>
                <w:szCs w:val="21"/>
                <w:highlight w:val="none"/>
              </w:rPr>
            </w:pPr>
            <w:r>
              <w:rPr>
                <w:rFonts w:hint="default"/>
                <w:color w:val="auto"/>
                <w:sz w:val="21"/>
                <w:szCs w:val="21"/>
                <w:highlight w:val="none"/>
              </w:rPr>
              <w:t>项目建设前后噪声级的变化程度</w:t>
            </w:r>
          </w:p>
        </w:tc>
        <w:tc>
          <w:tcPr>
            <w:tcW w:w="1995" w:type="dxa"/>
            <w:noWrap w:val="0"/>
            <w:vAlign w:val="center"/>
          </w:tcPr>
          <w:p>
            <w:pPr>
              <w:pStyle w:val="1856"/>
              <w:keepNext w:val="0"/>
              <w:keepLines w:val="0"/>
              <w:suppressLineNumbers w:val="0"/>
              <w:spacing w:beforeAutospacing="0" w:afterAutospacing="0"/>
              <w:ind w:left="0" w:right="0"/>
              <w:rPr>
                <w:rFonts w:hint="default"/>
                <w:color w:val="auto"/>
                <w:sz w:val="21"/>
                <w:szCs w:val="21"/>
                <w:highlight w:val="none"/>
              </w:rPr>
            </w:pPr>
            <w:r>
              <w:rPr>
                <w:rFonts w:hint="default"/>
                <w:color w:val="auto"/>
                <w:sz w:val="21"/>
                <w:szCs w:val="21"/>
                <w:highlight w:val="none"/>
              </w:rPr>
              <w:t>受噪声影响范围内的人口数量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3" w:type="dxa"/>
            <w:noWrap w:val="0"/>
            <w:vAlign w:val="center"/>
          </w:tcPr>
          <w:p>
            <w:pPr>
              <w:pStyle w:val="1856"/>
              <w:keepNext w:val="0"/>
              <w:keepLines w:val="0"/>
              <w:suppressLineNumbers w:val="0"/>
              <w:spacing w:beforeAutospacing="0" w:afterAutospacing="0"/>
              <w:ind w:left="0" w:right="0"/>
              <w:rPr>
                <w:rFonts w:hint="default"/>
                <w:color w:val="auto"/>
                <w:sz w:val="21"/>
                <w:szCs w:val="21"/>
                <w:highlight w:val="none"/>
              </w:rPr>
            </w:pPr>
            <w:r>
              <w:rPr>
                <w:rFonts w:hint="default"/>
                <w:color w:val="auto"/>
                <w:sz w:val="21"/>
                <w:szCs w:val="21"/>
                <w:highlight w:val="none"/>
              </w:rPr>
              <w:t>评价标准判据</w:t>
            </w:r>
          </w:p>
        </w:tc>
        <w:tc>
          <w:tcPr>
            <w:tcW w:w="1916" w:type="dxa"/>
            <w:noWrap w:val="0"/>
            <w:vAlign w:val="center"/>
          </w:tcPr>
          <w:p>
            <w:pPr>
              <w:pStyle w:val="1856"/>
              <w:keepNext w:val="0"/>
              <w:keepLines w:val="0"/>
              <w:suppressLineNumbers w:val="0"/>
              <w:spacing w:beforeAutospacing="0" w:afterAutospacing="0"/>
              <w:ind w:left="0" w:right="0"/>
              <w:rPr>
                <w:rFonts w:hint="default"/>
                <w:b w:val="0"/>
                <w:bCs/>
                <w:color w:val="auto"/>
                <w:sz w:val="21"/>
                <w:szCs w:val="21"/>
                <w:highlight w:val="none"/>
              </w:rPr>
            </w:pPr>
            <w:r>
              <w:rPr>
                <w:rFonts w:hint="default"/>
                <w:b w:val="0"/>
                <w:bCs/>
                <w:color w:val="auto"/>
                <w:sz w:val="21"/>
                <w:szCs w:val="21"/>
                <w:highlight w:val="none"/>
              </w:rPr>
              <w:t>2类</w:t>
            </w:r>
          </w:p>
        </w:tc>
        <w:tc>
          <w:tcPr>
            <w:tcW w:w="3389" w:type="dxa"/>
            <w:noWrap w:val="0"/>
            <w:vAlign w:val="center"/>
          </w:tcPr>
          <w:p>
            <w:pPr>
              <w:pStyle w:val="1856"/>
              <w:keepNext w:val="0"/>
              <w:keepLines w:val="0"/>
              <w:suppressLineNumbers w:val="0"/>
              <w:spacing w:beforeAutospacing="0" w:afterAutospacing="0"/>
              <w:ind w:left="0" w:right="0"/>
              <w:rPr>
                <w:rFonts w:hint="default"/>
                <w:b w:val="0"/>
                <w:bCs/>
                <w:color w:val="auto"/>
                <w:sz w:val="21"/>
                <w:szCs w:val="21"/>
                <w:highlight w:val="none"/>
              </w:rPr>
            </w:pPr>
            <w:r>
              <w:rPr>
                <w:rFonts w:hint="default"/>
                <w:b w:val="0"/>
                <w:bCs/>
                <w:color w:val="auto"/>
                <w:sz w:val="21"/>
                <w:szCs w:val="21"/>
                <w:highlight w:val="none"/>
              </w:rPr>
              <w:t>噪声级增高量在3dB（A）以下</w:t>
            </w:r>
          </w:p>
        </w:tc>
        <w:tc>
          <w:tcPr>
            <w:tcW w:w="1995" w:type="dxa"/>
            <w:noWrap w:val="0"/>
            <w:vAlign w:val="center"/>
          </w:tcPr>
          <w:p>
            <w:pPr>
              <w:pStyle w:val="1856"/>
              <w:keepNext w:val="0"/>
              <w:keepLines w:val="0"/>
              <w:suppressLineNumbers w:val="0"/>
              <w:spacing w:beforeAutospacing="0" w:afterAutospacing="0"/>
              <w:ind w:left="0" w:right="0"/>
              <w:rPr>
                <w:rFonts w:hint="default"/>
                <w:b w:val="0"/>
                <w:bCs/>
                <w:color w:val="auto"/>
                <w:sz w:val="21"/>
                <w:szCs w:val="21"/>
                <w:highlight w:val="none"/>
              </w:rPr>
            </w:pPr>
            <w:r>
              <w:rPr>
                <w:rFonts w:hint="default"/>
                <w:b w:val="0"/>
                <w:bCs/>
                <w:color w:val="auto"/>
                <w:sz w:val="21"/>
                <w:szCs w:val="21"/>
                <w:highlight w:val="none"/>
              </w:rPr>
              <w:t>变化不大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3" w:type="dxa"/>
            <w:noWrap w:val="0"/>
            <w:vAlign w:val="center"/>
          </w:tcPr>
          <w:p>
            <w:pPr>
              <w:pStyle w:val="1856"/>
              <w:keepNext w:val="0"/>
              <w:keepLines w:val="0"/>
              <w:suppressLineNumbers w:val="0"/>
              <w:spacing w:beforeAutospacing="0" w:afterAutospacing="0"/>
              <w:ind w:left="0" w:right="0"/>
              <w:rPr>
                <w:rFonts w:hint="default"/>
                <w:color w:val="auto"/>
                <w:sz w:val="21"/>
                <w:szCs w:val="21"/>
                <w:highlight w:val="none"/>
              </w:rPr>
            </w:pPr>
            <w:r>
              <w:rPr>
                <w:rFonts w:hint="default"/>
                <w:color w:val="auto"/>
                <w:sz w:val="21"/>
                <w:szCs w:val="21"/>
                <w:highlight w:val="none"/>
              </w:rPr>
              <w:t>实际情况</w:t>
            </w:r>
          </w:p>
        </w:tc>
        <w:tc>
          <w:tcPr>
            <w:tcW w:w="1916" w:type="dxa"/>
            <w:noWrap w:val="0"/>
            <w:vAlign w:val="center"/>
          </w:tcPr>
          <w:p>
            <w:pPr>
              <w:pStyle w:val="1856"/>
              <w:keepNext w:val="0"/>
              <w:keepLines w:val="0"/>
              <w:suppressLineNumbers w:val="0"/>
              <w:spacing w:beforeAutospacing="0" w:afterAutospacing="0"/>
              <w:ind w:left="0" w:right="0"/>
              <w:rPr>
                <w:rFonts w:hint="default"/>
                <w:b w:val="0"/>
                <w:bCs/>
                <w:color w:val="auto"/>
                <w:sz w:val="21"/>
                <w:szCs w:val="21"/>
                <w:highlight w:val="none"/>
              </w:rPr>
            </w:pPr>
            <w:r>
              <w:rPr>
                <w:rFonts w:hint="default"/>
                <w:b w:val="0"/>
                <w:bCs/>
                <w:color w:val="auto"/>
                <w:sz w:val="21"/>
                <w:szCs w:val="21"/>
                <w:highlight w:val="none"/>
              </w:rPr>
              <w:t>2类</w:t>
            </w:r>
          </w:p>
        </w:tc>
        <w:tc>
          <w:tcPr>
            <w:tcW w:w="3389" w:type="dxa"/>
            <w:noWrap w:val="0"/>
            <w:vAlign w:val="center"/>
          </w:tcPr>
          <w:p>
            <w:pPr>
              <w:pStyle w:val="1856"/>
              <w:keepNext w:val="0"/>
              <w:keepLines w:val="0"/>
              <w:suppressLineNumbers w:val="0"/>
              <w:spacing w:beforeAutospacing="0" w:afterAutospacing="0"/>
              <w:ind w:left="0" w:right="0"/>
              <w:rPr>
                <w:rFonts w:hint="default"/>
                <w:b w:val="0"/>
                <w:bCs/>
                <w:color w:val="auto"/>
                <w:sz w:val="21"/>
                <w:szCs w:val="21"/>
                <w:highlight w:val="none"/>
              </w:rPr>
            </w:pPr>
            <w:r>
              <w:rPr>
                <w:rFonts w:hint="default"/>
                <w:b w:val="0"/>
                <w:bCs/>
                <w:color w:val="auto"/>
                <w:sz w:val="21"/>
                <w:szCs w:val="21"/>
                <w:highlight w:val="none"/>
              </w:rPr>
              <w:t>噪声级增高量在3dB（A）以下</w:t>
            </w:r>
          </w:p>
        </w:tc>
        <w:tc>
          <w:tcPr>
            <w:tcW w:w="1995" w:type="dxa"/>
            <w:noWrap w:val="0"/>
            <w:vAlign w:val="center"/>
          </w:tcPr>
          <w:p>
            <w:pPr>
              <w:pStyle w:val="1856"/>
              <w:keepNext w:val="0"/>
              <w:keepLines w:val="0"/>
              <w:suppressLineNumbers w:val="0"/>
              <w:spacing w:beforeAutospacing="0" w:afterAutospacing="0"/>
              <w:ind w:left="0" w:right="0"/>
              <w:rPr>
                <w:rFonts w:hint="default"/>
                <w:b w:val="0"/>
                <w:bCs/>
                <w:color w:val="auto"/>
                <w:sz w:val="21"/>
                <w:szCs w:val="21"/>
                <w:highlight w:val="none"/>
              </w:rPr>
            </w:pPr>
            <w:r>
              <w:rPr>
                <w:rFonts w:hint="default"/>
                <w:b w:val="0"/>
                <w:bCs/>
                <w:color w:val="auto"/>
                <w:sz w:val="21"/>
                <w:szCs w:val="21"/>
                <w:highlight w:val="none"/>
              </w:rPr>
              <w:t>变化不大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3" w:type="dxa"/>
            <w:noWrap w:val="0"/>
            <w:vAlign w:val="center"/>
          </w:tcPr>
          <w:p>
            <w:pPr>
              <w:pStyle w:val="1856"/>
              <w:keepNext w:val="0"/>
              <w:keepLines w:val="0"/>
              <w:suppressLineNumbers w:val="0"/>
              <w:spacing w:beforeAutospacing="0" w:afterAutospacing="0"/>
              <w:ind w:left="0" w:right="0"/>
              <w:rPr>
                <w:rFonts w:hint="default"/>
                <w:color w:val="auto"/>
                <w:sz w:val="21"/>
                <w:szCs w:val="21"/>
                <w:highlight w:val="none"/>
              </w:rPr>
            </w:pPr>
            <w:r>
              <w:rPr>
                <w:rFonts w:hint="default"/>
                <w:color w:val="auto"/>
                <w:sz w:val="21"/>
                <w:szCs w:val="21"/>
                <w:highlight w:val="none"/>
              </w:rPr>
              <w:t>评价等级判定</w:t>
            </w:r>
          </w:p>
        </w:tc>
        <w:tc>
          <w:tcPr>
            <w:tcW w:w="7300" w:type="dxa"/>
            <w:gridSpan w:val="3"/>
            <w:noWrap w:val="0"/>
            <w:vAlign w:val="center"/>
          </w:tcPr>
          <w:p>
            <w:pPr>
              <w:pStyle w:val="1856"/>
              <w:keepNext w:val="0"/>
              <w:keepLines w:val="0"/>
              <w:suppressLineNumbers w:val="0"/>
              <w:spacing w:beforeAutospacing="0" w:afterAutospacing="0"/>
              <w:ind w:left="0" w:right="0"/>
              <w:rPr>
                <w:rFonts w:hint="default"/>
                <w:b w:val="0"/>
                <w:bCs/>
                <w:color w:val="auto"/>
                <w:sz w:val="21"/>
                <w:szCs w:val="21"/>
                <w:highlight w:val="none"/>
              </w:rPr>
            </w:pPr>
            <w:r>
              <w:rPr>
                <w:rFonts w:hint="default"/>
                <w:b w:val="0"/>
                <w:bCs/>
                <w:color w:val="auto"/>
                <w:sz w:val="21"/>
                <w:szCs w:val="21"/>
                <w:highlight w:val="none"/>
              </w:rPr>
              <w:t>声环境影响评价工作等级判定结果：二级评价</w:t>
            </w:r>
          </w:p>
        </w:tc>
      </w:tr>
    </w:tbl>
    <w:p>
      <w:pPr>
        <w:pStyle w:val="158"/>
        <w:ind w:firstLine="480"/>
        <w:rPr>
          <w:color w:val="auto"/>
          <w:highlight w:val="none"/>
        </w:rPr>
      </w:pPr>
      <w:r>
        <w:rPr>
          <w:color w:val="auto"/>
          <w:highlight w:val="none"/>
        </w:rPr>
        <w:t>本项目所在区域为</w:t>
      </w:r>
      <w:r>
        <w:rPr>
          <w:rFonts w:hint="eastAsia"/>
          <w:color w:val="auto"/>
          <w:highlight w:val="none"/>
        </w:rPr>
        <w:t>农村</w:t>
      </w:r>
      <w:r>
        <w:rPr>
          <w:color w:val="auto"/>
          <w:highlight w:val="none"/>
        </w:rPr>
        <w:t>环境，其声环境功能区划为《声环境质量标准》（GB3096-2008）中</w:t>
      </w:r>
      <w:r>
        <w:rPr>
          <w:rFonts w:hint="eastAsia"/>
          <w:color w:val="auto"/>
          <w:highlight w:val="none"/>
        </w:rPr>
        <w:t>2</w:t>
      </w:r>
      <w:r>
        <w:rPr>
          <w:color w:val="auto"/>
          <w:highlight w:val="none"/>
        </w:rPr>
        <w:t>类区</w:t>
      </w:r>
      <w:r>
        <w:rPr>
          <w:rFonts w:hint="eastAsia"/>
          <w:color w:val="auto"/>
          <w:highlight w:val="none"/>
          <w:lang w:eastAsia="zh-CN"/>
        </w:rPr>
        <w:t>，</w:t>
      </w:r>
      <w:r>
        <w:rPr>
          <w:color w:val="auto"/>
          <w:highlight w:val="none"/>
        </w:rPr>
        <w:t>项目建设前后评价范围内敏感目标噪声级增高量在3dB(A)以下（不含3dB(A)），且受影响人口数量变化不大。因此，根据《环境影响评价技术导则 声环境》</w:t>
      </w:r>
      <w:r>
        <w:rPr>
          <w:rFonts w:hint="eastAsia"/>
          <w:color w:val="auto"/>
          <w:highlight w:val="none"/>
          <w:lang w:eastAsia="zh-CN"/>
        </w:rPr>
        <w:t>（HJ2.4-2021）</w:t>
      </w:r>
      <w:r>
        <w:rPr>
          <w:color w:val="auto"/>
          <w:highlight w:val="none"/>
        </w:rPr>
        <w:t>中关于噪声环境影响评价工作等级划分的基本原则，以及结合本项目的实际情况，本项目声环境影响评价工作确定为</w:t>
      </w:r>
      <w:r>
        <w:rPr>
          <w:rFonts w:hint="eastAsia"/>
          <w:color w:val="auto"/>
          <w:highlight w:val="none"/>
        </w:rPr>
        <w:t>二</w:t>
      </w:r>
      <w:r>
        <w:rPr>
          <w:color w:val="auto"/>
          <w:highlight w:val="none"/>
        </w:rPr>
        <w:t>级评价。</w:t>
      </w:r>
    </w:p>
    <w:bookmarkEnd w:id="74"/>
    <w:bookmarkEnd w:id="75"/>
    <w:bookmarkEnd w:id="76"/>
    <w:p>
      <w:pPr>
        <w:ind w:firstLine="480" w:firstLineChars="200"/>
        <w:rPr>
          <w:color w:val="auto"/>
          <w:sz w:val="24"/>
          <w:szCs w:val="24"/>
          <w:highlight w:val="none"/>
        </w:rPr>
      </w:pPr>
      <w:r>
        <w:rPr>
          <w:rFonts w:hint="eastAsia"/>
          <w:color w:val="auto"/>
          <w:sz w:val="24"/>
          <w:szCs w:val="24"/>
          <w:highlight w:val="none"/>
        </w:rPr>
        <w:t>5</w:t>
      </w:r>
      <w:r>
        <w:rPr>
          <w:color w:val="auto"/>
          <w:sz w:val="24"/>
          <w:szCs w:val="24"/>
          <w:highlight w:val="none"/>
        </w:rPr>
        <w:t>、</w:t>
      </w:r>
      <w:r>
        <w:rPr>
          <w:rFonts w:hint="eastAsia"/>
          <w:color w:val="auto"/>
          <w:sz w:val="24"/>
          <w:szCs w:val="24"/>
          <w:highlight w:val="none"/>
        </w:rPr>
        <w:t>生态</w:t>
      </w:r>
      <w:r>
        <w:rPr>
          <w:color w:val="auto"/>
          <w:sz w:val="24"/>
          <w:szCs w:val="24"/>
          <w:highlight w:val="none"/>
        </w:rPr>
        <w:t>环境</w:t>
      </w:r>
    </w:p>
    <w:p>
      <w:pPr>
        <w:pStyle w:val="158"/>
        <w:ind w:firstLine="480"/>
        <w:rPr>
          <w:color w:val="auto"/>
          <w:highlight w:val="none"/>
        </w:rPr>
      </w:pPr>
      <w:r>
        <w:rPr>
          <w:color w:val="auto"/>
          <w:highlight w:val="none"/>
        </w:rPr>
        <w:t>本项目所在区域为</w:t>
      </w:r>
      <w:r>
        <w:rPr>
          <w:rFonts w:hint="eastAsia"/>
          <w:color w:val="auto"/>
          <w:highlight w:val="none"/>
        </w:rPr>
        <w:t>农村</w:t>
      </w:r>
      <w:r>
        <w:rPr>
          <w:color w:val="auto"/>
          <w:highlight w:val="none"/>
        </w:rPr>
        <w:t>环境，为一般区域</w:t>
      </w:r>
      <w:r>
        <w:rPr>
          <w:rFonts w:hint="eastAsia"/>
          <w:color w:val="auto"/>
          <w:highlight w:val="none"/>
        </w:rPr>
        <w:t>，</w:t>
      </w:r>
      <w:r>
        <w:rPr>
          <w:bCs/>
          <w:color w:val="auto"/>
          <w:highlight w:val="none"/>
        </w:rPr>
        <w:t>本项目占地</w:t>
      </w:r>
      <w:r>
        <w:rPr>
          <w:rFonts w:hint="eastAsia"/>
          <w:bCs/>
          <w:color w:val="auto"/>
          <w:highlight w:val="none"/>
          <w:lang w:val="en-US" w:eastAsia="zh-CN"/>
        </w:rPr>
        <w:t>512.52</w:t>
      </w:r>
      <w:r>
        <w:rPr>
          <w:rFonts w:hint="eastAsia"/>
          <w:bCs/>
          <w:color w:val="auto"/>
          <w:highlight w:val="none"/>
        </w:rPr>
        <w:t>亩（</w:t>
      </w:r>
      <w:r>
        <w:rPr>
          <w:rFonts w:hint="eastAsia"/>
          <w:bCs/>
          <w:color w:val="auto"/>
          <w:highlight w:val="none"/>
          <w:lang w:val="en-US" w:eastAsia="zh-CN"/>
        </w:rPr>
        <w:t>0.342</w:t>
      </w:r>
      <w:r>
        <w:rPr>
          <w:rFonts w:hint="eastAsia"/>
          <w:bCs/>
          <w:color w:val="auto"/>
          <w:highlight w:val="none"/>
        </w:rPr>
        <w:t>km</w:t>
      </w:r>
      <w:r>
        <w:rPr>
          <w:rFonts w:hint="eastAsia"/>
          <w:bCs/>
          <w:color w:val="auto"/>
          <w:highlight w:val="none"/>
          <w:vertAlign w:val="superscript"/>
        </w:rPr>
        <w:t>2</w:t>
      </w:r>
      <w:r>
        <w:rPr>
          <w:rFonts w:hint="eastAsia"/>
          <w:bCs/>
          <w:color w:val="auto"/>
          <w:highlight w:val="none"/>
        </w:rPr>
        <w:t>），根据《环境影响评价技术导则  生态影响》（</w:t>
      </w:r>
      <w:r>
        <w:rPr>
          <w:rFonts w:hint="eastAsia"/>
          <w:bCs/>
          <w:color w:val="auto"/>
          <w:highlight w:val="none"/>
          <w:lang w:eastAsia="zh-CN"/>
        </w:rPr>
        <w:t>HJ1.9-2022</w:t>
      </w:r>
      <w:r>
        <w:rPr>
          <w:rFonts w:hint="eastAsia"/>
          <w:bCs/>
          <w:color w:val="auto"/>
          <w:highlight w:val="none"/>
        </w:rPr>
        <w:t>），</w:t>
      </w:r>
      <w:r>
        <w:rPr>
          <w:color w:val="auto"/>
          <w:highlight w:val="none"/>
        </w:rPr>
        <w:t>本项目</w:t>
      </w:r>
      <w:r>
        <w:rPr>
          <w:rFonts w:hint="eastAsia"/>
          <w:color w:val="auto"/>
          <w:highlight w:val="none"/>
        </w:rPr>
        <w:t>生态</w:t>
      </w:r>
      <w:r>
        <w:rPr>
          <w:color w:val="auto"/>
          <w:highlight w:val="none"/>
        </w:rPr>
        <w:t>环境影响评价工作确定为</w:t>
      </w:r>
      <w:r>
        <w:rPr>
          <w:rFonts w:hint="eastAsia"/>
          <w:color w:val="auto"/>
          <w:highlight w:val="none"/>
        </w:rPr>
        <w:t>三</w:t>
      </w:r>
      <w:r>
        <w:rPr>
          <w:color w:val="auto"/>
          <w:highlight w:val="none"/>
        </w:rPr>
        <w:t>级评价。</w:t>
      </w:r>
    </w:p>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生态影响评价工作等级划分表</w:t>
      </w:r>
    </w:p>
    <w:tbl>
      <w:tblPr>
        <w:tblStyle w:val="91"/>
        <w:tblW w:w="8522"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449"/>
        <w:gridCol w:w="707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eastAsia" w:ascii="Times New Roman" w:hAnsi="Times New Roman" w:cs="Times New Roman"/>
                <w:b/>
                <w:color w:val="auto"/>
                <w:highlight w:val="none"/>
                <w:lang w:eastAsia="zh-CN"/>
              </w:rPr>
              <w:t>等级</w:t>
            </w:r>
            <w:r>
              <w:rPr>
                <w:rFonts w:hint="default" w:ascii="Times New Roman" w:hAnsi="Times New Roman" w:cs="Times New Roman"/>
                <w:b/>
                <w:color w:val="auto"/>
                <w:highlight w:val="none"/>
              </w:rPr>
              <w:t>分级</w:t>
            </w:r>
          </w:p>
        </w:tc>
        <w:tc>
          <w:tcPr>
            <w:tcW w:w="707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eastAsiaTheme="minorEastAsia"/>
                <w:b/>
                <w:color w:val="auto"/>
                <w:highlight w:val="none"/>
                <w:lang w:eastAsia="zh-CN"/>
              </w:rPr>
            </w:pPr>
            <w:r>
              <w:rPr>
                <w:rFonts w:hint="eastAsia" w:ascii="Times New Roman" w:hAnsi="Times New Roman" w:cs="Times New Roman"/>
                <w:b/>
                <w:color w:val="auto"/>
                <w:highlight w:val="none"/>
                <w:lang w:eastAsia="zh-CN"/>
              </w:rPr>
              <w:t>等级划分基本原则</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一级</w:t>
            </w:r>
          </w:p>
        </w:tc>
        <w:tc>
          <w:tcPr>
            <w:tcW w:w="7073" w:type="dxa"/>
            <w:tcBorders>
              <w:tl2br w:val="nil"/>
              <w:tr2bl w:val="nil"/>
            </w:tcBorders>
            <w:vAlign w:val="center"/>
          </w:tcPr>
          <w:p>
            <w:pPr>
              <w:pStyle w:val="158"/>
              <w:keepNext w:val="0"/>
              <w:keepLines w:val="0"/>
              <w:suppressLineNumbers w:val="0"/>
              <w:spacing w:before="0" w:beforeAutospacing="0" w:after="0" w:afterAutospacing="0" w:line="240" w:lineRule="auto"/>
              <w:ind w:left="0" w:right="0" w:firstLine="0" w:firstLineChars="0"/>
              <w:rPr>
                <w:rFonts w:hint="eastAsia"/>
                <w:color w:val="auto"/>
                <w:spacing w:val="-3"/>
                <w:sz w:val="21"/>
                <w:highlight w:val="none"/>
                <w:lang w:eastAsia="zh-CN"/>
              </w:rPr>
            </w:pPr>
            <w:r>
              <w:rPr>
                <w:rFonts w:hint="eastAsia"/>
                <w:color w:val="auto"/>
                <w:spacing w:val="-3"/>
                <w:sz w:val="21"/>
                <w:highlight w:val="none"/>
                <w:lang w:val="en-US" w:eastAsia="zh-CN"/>
              </w:rPr>
              <w:t>a）</w:t>
            </w:r>
            <w:r>
              <w:rPr>
                <w:rFonts w:hint="default"/>
                <w:color w:val="auto"/>
                <w:spacing w:val="-3"/>
                <w:sz w:val="21"/>
                <w:highlight w:val="none"/>
              </w:rPr>
              <w:t>涉及国家公园、自然保护区、世界自然遗产、重要生境时，评价等级为一级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二级</w:t>
            </w:r>
          </w:p>
        </w:tc>
        <w:tc>
          <w:tcPr>
            <w:tcW w:w="7073" w:type="dxa"/>
            <w:tcBorders>
              <w:tl2br w:val="nil"/>
              <w:tr2bl w:val="nil"/>
            </w:tcBorders>
            <w:vAlign w:val="center"/>
          </w:tcPr>
          <w:p>
            <w:pPr>
              <w:pStyle w:val="2481"/>
              <w:keepNext w:val="0"/>
              <w:keepLines w:val="0"/>
              <w:numPr>
                <w:ilvl w:val="0"/>
                <w:numId w:val="0"/>
              </w:numPr>
              <w:suppressLineNumbers w:val="0"/>
              <w:tabs>
                <w:tab w:val="left" w:pos="1120"/>
              </w:tabs>
              <w:spacing w:before="43" w:beforeAutospacing="0" w:after="0" w:afterAutospacing="0" w:line="240" w:lineRule="auto"/>
              <w:ind w:left="0" w:right="0" w:rightChars="0"/>
              <w:jc w:val="left"/>
              <w:rPr>
                <w:rFonts w:hint="default"/>
                <w:color w:val="auto"/>
                <w:sz w:val="21"/>
                <w:highlight w:val="none"/>
              </w:rPr>
            </w:pPr>
            <w:r>
              <w:rPr>
                <w:rFonts w:hint="eastAsia"/>
                <w:color w:val="auto"/>
                <w:spacing w:val="-3"/>
                <w:sz w:val="21"/>
                <w:highlight w:val="none"/>
                <w:lang w:val="en-US" w:eastAsia="zh-CN"/>
              </w:rPr>
              <w:t>b</w:t>
            </w:r>
            <w:r>
              <w:rPr>
                <w:rFonts w:hint="eastAsia"/>
                <w:color w:val="auto"/>
                <w:spacing w:val="-3"/>
                <w:sz w:val="21"/>
                <w:highlight w:val="none"/>
                <w:lang w:eastAsia="zh-CN"/>
              </w:rPr>
              <w:t>）</w:t>
            </w:r>
            <w:r>
              <w:rPr>
                <w:rFonts w:hint="default"/>
                <w:color w:val="auto"/>
                <w:spacing w:val="-3"/>
                <w:sz w:val="21"/>
                <w:highlight w:val="none"/>
              </w:rPr>
              <w:t>涉及自然公园时，评价等级为二级；</w:t>
            </w:r>
          </w:p>
          <w:p>
            <w:pPr>
              <w:pStyle w:val="2481"/>
              <w:keepNext w:val="0"/>
              <w:keepLines w:val="0"/>
              <w:numPr>
                <w:ilvl w:val="0"/>
                <w:numId w:val="0"/>
              </w:numPr>
              <w:suppressLineNumbers w:val="0"/>
              <w:tabs>
                <w:tab w:val="left" w:pos="1108"/>
              </w:tabs>
              <w:spacing w:before="43" w:beforeAutospacing="0" w:after="0" w:afterAutospacing="0" w:line="240" w:lineRule="auto"/>
              <w:ind w:left="0" w:right="0" w:rightChars="0"/>
              <w:jc w:val="left"/>
              <w:rPr>
                <w:rFonts w:hint="default"/>
                <w:color w:val="auto"/>
                <w:sz w:val="21"/>
                <w:highlight w:val="none"/>
              </w:rPr>
            </w:pPr>
            <w:r>
              <w:rPr>
                <w:rFonts w:hint="eastAsia"/>
                <w:color w:val="auto"/>
                <w:spacing w:val="-3"/>
                <w:sz w:val="21"/>
                <w:highlight w:val="none"/>
                <w:lang w:val="en-US" w:eastAsia="zh-CN"/>
              </w:rPr>
              <w:t>C）</w:t>
            </w:r>
            <w:r>
              <w:rPr>
                <w:rFonts w:hint="default"/>
                <w:color w:val="auto"/>
                <w:spacing w:val="-3"/>
                <w:sz w:val="21"/>
                <w:highlight w:val="none"/>
              </w:rPr>
              <w:t>涉及生态保护红线时，评价等级不低于二级；</w:t>
            </w:r>
          </w:p>
          <w:p>
            <w:pPr>
              <w:pStyle w:val="2481"/>
              <w:keepNext w:val="0"/>
              <w:keepLines w:val="0"/>
              <w:numPr>
                <w:ilvl w:val="0"/>
                <w:numId w:val="0"/>
              </w:numPr>
              <w:suppressLineNumbers w:val="0"/>
              <w:tabs>
                <w:tab w:val="left" w:pos="1120"/>
              </w:tabs>
              <w:spacing w:before="43" w:beforeAutospacing="0" w:after="0" w:afterAutospacing="0" w:line="278" w:lineRule="auto"/>
              <w:ind w:left="0" w:right="248" w:rightChars="0"/>
              <w:jc w:val="left"/>
              <w:rPr>
                <w:rFonts w:hint="default"/>
                <w:color w:val="auto"/>
                <w:sz w:val="21"/>
                <w:highlight w:val="none"/>
              </w:rPr>
            </w:pPr>
            <w:r>
              <w:rPr>
                <w:rFonts w:hint="eastAsia"/>
                <w:color w:val="auto"/>
                <w:spacing w:val="-10"/>
                <w:sz w:val="21"/>
                <w:highlight w:val="none"/>
                <w:lang w:val="en-US" w:eastAsia="zh-CN"/>
              </w:rPr>
              <w:t>d）</w:t>
            </w:r>
            <w:r>
              <w:rPr>
                <w:rFonts w:hint="default"/>
                <w:color w:val="auto"/>
                <w:spacing w:val="-10"/>
                <w:sz w:val="21"/>
                <w:highlight w:val="none"/>
              </w:rPr>
              <w:t xml:space="preserve">根据 </w:t>
            </w:r>
            <w:r>
              <w:rPr>
                <w:rFonts w:hint="default" w:ascii="Times New Roman" w:eastAsia="Times New Roman"/>
                <w:color w:val="auto"/>
                <w:sz w:val="21"/>
                <w:highlight w:val="none"/>
              </w:rPr>
              <w:t>HJ</w:t>
            </w:r>
            <w:r>
              <w:rPr>
                <w:rFonts w:hint="default" w:ascii="Times New Roman" w:eastAsia="Times New Roman"/>
                <w:color w:val="auto"/>
                <w:spacing w:val="19"/>
                <w:sz w:val="21"/>
                <w:highlight w:val="none"/>
              </w:rPr>
              <w:t xml:space="preserve"> </w:t>
            </w:r>
            <w:r>
              <w:rPr>
                <w:rFonts w:hint="default" w:ascii="Times New Roman" w:eastAsia="Times New Roman"/>
                <w:color w:val="auto"/>
                <w:sz w:val="21"/>
                <w:highlight w:val="none"/>
              </w:rPr>
              <w:t>2.3</w:t>
            </w:r>
            <w:r>
              <w:rPr>
                <w:rFonts w:hint="default" w:ascii="Times New Roman" w:eastAsia="Times New Roman"/>
                <w:color w:val="auto"/>
                <w:spacing w:val="30"/>
                <w:sz w:val="21"/>
                <w:highlight w:val="none"/>
              </w:rPr>
              <w:t xml:space="preserve"> </w:t>
            </w:r>
            <w:r>
              <w:rPr>
                <w:rFonts w:hint="default"/>
                <w:color w:val="auto"/>
                <w:spacing w:val="-3"/>
                <w:sz w:val="21"/>
                <w:highlight w:val="none"/>
              </w:rPr>
              <w:t>判断属于水文要素影响型且地表水评价等级不低于二级的建设项目，生态影响评价等级不低于二级；</w:t>
            </w:r>
          </w:p>
          <w:p>
            <w:pPr>
              <w:pStyle w:val="2481"/>
              <w:keepNext w:val="0"/>
              <w:keepLines w:val="0"/>
              <w:numPr>
                <w:ilvl w:val="0"/>
                <w:numId w:val="0"/>
              </w:numPr>
              <w:suppressLineNumbers w:val="0"/>
              <w:tabs>
                <w:tab w:val="left" w:pos="1108"/>
              </w:tabs>
              <w:spacing w:before="0" w:beforeAutospacing="0" w:after="0" w:afterAutospacing="0" w:line="278" w:lineRule="auto"/>
              <w:ind w:left="0" w:right="247" w:rightChars="0"/>
              <w:jc w:val="left"/>
              <w:rPr>
                <w:rFonts w:hint="default"/>
                <w:color w:val="auto"/>
                <w:sz w:val="21"/>
                <w:highlight w:val="none"/>
              </w:rPr>
            </w:pPr>
            <w:r>
              <w:rPr>
                <w:rFonts w:hint="eastAsia"/>
                <w:color w:val="auto"/>
                <w:spacing w:val="-18"/>
                <w:sz w:val="21"/>
                <w:highlight w:val="none"/>
                <w:lang w:val="en-US" w:eastAsia="zh-CN"/>
              </w:rPr>
              <w:t>e）</w:t>
            </w:r>
            <w:r>
              <w:rPr>
                <w:rFonts w:hint="default"/>
                <w:color w:val="auto"/>
                <w:spacing w:val="-18"/>
                <w:sz w:val="21"/>
                <w:highlight w:val="none"/>
              </w:rPr>
              <w:t xml:space="preserve">根据 </w:t>
            </w:r>
            <w:r>
              <w:rPr>
                <w:rFonts w:hint="default" w:ascii="Times New Roman" w:eastAsia="Times New Roman"/>
                <w:color w:val="auto"/>
                <w:sz w:val="21"/>
                <w:highlight w:val="none"/>
              </w:rPr>
              <w:t>HJ</w:t>
            </w:r>
            <w:r>
              <w:rPr>
                <w:rFonts w:hint="default" w:ascii="Times New Roman" w:eastAsia="Times New Roman"/>
                <w:color w:val="auto"/>
                <w:spacing w:val="50"/>
                <w:sz w:val="21"/>
                <w:highlight w:val="none"/>
              </w:rPr>
              <w:t xml:space="preserve"> </w:t>
            </w:r>
            <w:r>
              <w:rPr>
                <w:rFonts w:hint="default" w:ascii="Times New Roman" w:eastAsia="Times New Roman"/>
                <w:color w:val="auto"/>
                <w:sz w:val="21"/>
                <w:highlight w:val="none"/>
              </w:rPr>
              <w:t>610</w:t>
            </w:r>
            <w:r>
              <w:rPr>
                <w:rFonts w:hint="default"/>
                <w:color w:val="auto"/>
                <w:sz w:val="21"/>
                <w:highlight w:val="none"/>
              </w:rPr>
              <w:t>、</w:t>
            </w:r>
            <w:r>
              <w:rPr>
                <w:rFonts w:hint="default" w:ascii="Times New Roman" w:eastAsia="Times New Roman"/>
                <w:color w:val="auto"/>
                <w:sz w:val="21"/>
                <w:highlight w:val="none"/>
              </w:rPr>
              <w:t>HJ</w:t>
            </w:r>
            <w:r>
              <w:rPr>
                <w:rFonts w:hint="default" w:ascii="Times New Roman" w:eastAsia="Times New Roman"/>
                <w:color w:val="auto"/>
                <w:spacing w:val="51"/>
                <w:sz w:val="21"/>
                <w:highlight w:val="none"/>
              </w:rPr>
              <w:t xml:space="preserve"> </w:t>
            </w:r>
            <w:r>
              <w:rPr>
                <w:rFonts w:hint="default" w:ascii="Times New Roman" w:eastAsia="Times New Roman"/>
                <w:color w:val="auto"/>
                <w:sz w:val="21"/>
                <w:highlight w:val="none"/>
              </w:rPr>
              <w:t>964</w:t>
            </w:r>
            <w:r>
              <w:rPr>
                <w:rFonts w:hint="default" w:ascii="Times New Roman" w:eastAsia="Times New Roman"/>
                <w:color w:val="auto"/>
                <w:spacing w:val="4"/>
                <w:sz w:val="21"/>
                <w:highlight w:val="none"/>
              </w:rPr>
              <w:t xml:space="preserve"> </w:t>
            </w:r>
            <w:r>
              <w:rPr>
                <w:rFonts w:hint="default"/>
                <w:color w:val="auto"/>
                <w:spacing w:val="-3"/>
                <w:sz w:val="21"/>
                <w:highlight w:val="none"/>
              </w:rPr>
              <w:t>判断地下水水位或土壤影响范围内分布有天然林、公益林、湿地等生态保护目标的建设项目，生态影响评价等级不低于二级；</w:t>
            </w:r>
          </w:p>
          <w:p>
            <w:pPr>
              <w:pStyle w:val="2481"/>
              <w:keepNext w:val="0"/>
              <w:keepLines w:val="0"/>
              <w:numPr>
                <w:ilvl w:val="0"/>
                <w:numId w:val="0"/>
              </w:numPr>
              <w:suppressLineNumbers w:val="0"/>
              <w:tabs>
                <w:tab w:val="left" w:pos="1079"/>
              </w:tabs>
              <w:spacing w:before="0" w:beforeAutospacing="0" w:after="0" w:afterAutospacing="0" w:line="278" w:lineRule="auto"/>
              <w:ind w:left="0" w:right="247" w:rightChars="0"/>
              <w:jc w:val="left"/>
              <w:rPr>
                <w:rFonts w:hint="eastAsia"/>
                <w:color w:val="auto"/>
                <w:spacing w:val="-3"/>
                <w:sz w:val="21"/>
                <w:highlight w:val="none"/>
                <w:lang w:eastAsia="zh-CN"/>
              </w:rPr>
            </w:pPr>
            <w:r>
              <w:rPr>
                <w:rFonts w:hint="eastAsia"/>
                <w:color w:val="auto"/>
                <w:spacing w:val="-3"/>
                <w:w w:val="100"/>
                <w:sz w:val="21"/>
                <w:highlight w:val="none"/>
                <w:lang w:val="en-US" w:eastAsia="zh-CN"/>
              </w:rPr>
              <w:t>f</w:t>
            </w:r>
            <w:r>
              <w:rPr>
                <w:rFonts w:hint="eastAsia"/>
                <w:color w:val="auto"/>
                <w:spacing w:val="-3"/>
                <w:w w:val="100"/>
                <w:sz w:val="21"/>
                <w:highlight w:val="none"/>
                <w:lang w:eastAsia="zh-CN"/>
              </w:rPr>
              <w:t>）</w:t>
            </w:r>
            <w:r>
              <w:rPr>
                <w:rFonts w:hint="default"/>
                <w:color w:val="auto"/>
                <w:spacing w:val="-3"/>
                <w:w w:val="100"/>
                <w:sz w:val="21"/>
                <w:highlight w:val="none"/>
              </w:rPr>
              <w:t>当工程占地规模大于</w:t>
            </w:r>
            <w:r>
              <w:rPr>
                <w:rFonts w:hint="default"/>
                <w:color w:val="auto"/>
                <w:spacing w:val="-52"/>
                <w:sz w:val="21"/>
                <w:highlight w:val="none"/>
              </w:rPr>
              <w:t xml:space="preserve"> </w:t>
            </w:r>
            <w:r>
              <w:rPr>
                <w:rFonts w:hint="default" w:ascii="Times New Roman" w:eastAsia="Times New Roman"/>
                <w:color w:val="auto"/>
                <w:spacing w:val="-3"/>
                <w:w w:val="100"/>
                <w:sz w:val="21"/>
                <w:highlight w:val="none"/>
              </w:rPr>
              <w:t>2</w:t>
            </w:r>
            <w:r>
              <w:rPr>
                <w:rFonts w:hint="default" w:ascii="Times New Roman" w:eastAsia="Times New Roman"/>
                <w:color w:val="auto"/>
                <w:w w:val="100"/>
                <w:sz w:val="21"/>
                <w:highlight w:val="none"/>
              </w:rPr>
              <w:t>0k</w:t>
            </w:r>
            <w:r>
              <w:rPr>
                <w:rFonts w:hint="default" w:ascii="Times New Roman" w:eastAsia="Times New Roman"/>
                <w:color w:val="auto"/>
                <w:spacing w:val="-4"/>
                <w:w w:val="100"/>
                <w:sz w:val="21"/>
                <w:highlight w:val="none"/>
              </w:rPr>
              <w:t>m</w:t>
            </w:r>
            <w:r>
              <w:rPr>
                <w:rFonts w:hint="default" w:ascii="Times New Roman" w:eastAsia="Times New Roman"/>
                <w:color w:val="auto"/>
                <w:w w:val="97"/>
                <w:sz w:val="21"/>
                <w:highlight w:val="none"/>
                <w:vertAlign w:val="superscript"/>
              </w:rPr>
              <w:t>2</w:t>
            </w:r>
            <w:r>
              <w:rPr>
                <w:rFonts w:hint="default" w:ascii="Times New Roman" w:eastAsia="Times New Roman"/>
                <w:color w:val="auto"/>
                <w:spacing w:val="-17"/>
                <w:sz w:val="21"/>
                <w:highlight w:val="none"/>
                <w:vertAlign w:val="baseline"/>
              </w:rPr>
              <w:t xml:space="preserve"> </w:t>
            </w:r>
            <w:r>
              <w:rPr>
                <w:rFonts w:hint="default"/>
                <w:color w:val="auto"/>
                <w:spacing w:val="-3"/>
                <w:w w:val="100"/>
                <w:sz w:val="21"/>
                <w:highlight w:val="none"/>
                <w:vertAlign w:val="baseline"/>
              </w:rPr>
              <w:t>时（包括永久和临时占用陆域和水域</w:t>
            </w:r>
            <w:r>
              <w:rPr>
                <w:rFonts w:hint="default"/>
                <w:color w:val="auto"/>
                <w:spacing w:val="-108"/>
                <w:w w:val="100"/>
                <w:sz w:val="21"/>
                <w:highlight w:val="none"/>
                <w:vertAlign w:val="baseline"/>
              </w:rPr>
              <w:t>）</w:t>
            </w:r>
            <w:r>
              <w:rPr>
                <w:rFonts w:hint="default"/>
                <w:color w:val="auto"/>
                <w:spacing w:val="-3"/>
                <w:w w:val="100"/>
                <w:sz w:val="21"/>
                <w:highlight w:val="none"/>
                <w:vertAlign w:val="baseline"/>
              </w:rPr>
              <w:t>，评价等级不低于二级；改</w:t>
            </w:r>
            <w:r>
              <w:rPr>
                <w:rFonts w:hint="default"/>
                <w:color w:val="auto"/>
                <w:spacing w:val="-3"/>
                <w:sz w:val="21"/>
                <w:highlight w:val="none"/>
                <w:vertAlign w:val="baseline"/>
              </w:rPr>
              <w:t>扩建项目的占地范围以新增占地</w:t>
            </w:r>
            <w:r>
              <w:rPr>
                <w:rFonts w:hint="default"/>
                <w:color w:val="auto"/>
                <w:sz w:val="21"/>
                <w:highlight w:val="none"/>
                <w:vertAlign w:val="baseline"/>
              </w:rPr>
              <w:t>（</w:t>
            </w:r>
            <w:r>
              <w:rPr>
                <w:rFonts w:hint="default"/>
                <w:color w:val="auto"/>
                <w:spacing w:val="-3"/>
                <w:sz w:val="21"/>
                <w:highlight w:val="none"/>
                <w:vertAlign w:val="baseline"/>
              </w:rPr>
              <w:t>包括陆域和水域</w:t>
            </w:r>
            <w:r>
              <w:rPr>
                <w:rFonts w:hint="default"/>
                <w:color w:val="auto"/>
                <w:sz w:val="21"/>
                <w:highlight w:val="none"/>
                <w:vertAlign w:val="baseline"/>
              </w:rPr>
              <w:t>）</w:t>
            </w:r>
            <w:r>
              <w:rPr>
                <w:rFonts w:hint="default"/>
                <w:color w:val="auto"/>
                <w:spacing w:val="-2"/>
                <w:sz w:val="21"/>
                <w:highlight w:val="none"/>
                <w:vertAlign w:val="baseline"/>
              </w:rPr>
              <w:t>确定；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三级（</w:t>
            </w:r>
            <w:r>
              <w:rPr>
                <w:rFonts w:hint="eastAsia" w:ascii="Times New Roman" w:hAnsi="Times New Roman" w:cs="Times New Roman"/>
                <w:color w:val="auto"/>
                <w:highlight w:val="none"/>
                <w:lang w:eastAsia="zh-CN"/>
              </w:rPr>
              <w:sym w:font="Wingdings 2" w:char="0052"/>
            </w:r>
            <w:r>
              <w:rPr>
                <w:rFonts w:hint="eastAsia" w:ascii="Times New Roman" w:hAnsi="Times New Roman" w:cs="Times New Roman"/>
                <w:color w:val="auto"/>
                <w:highlight w:val="none"/>
                <w:lang w:eastAsia="zh-CN"/>
              </w:rPr>
              <w:t>）</w:t>
            </w:r>
          </w:p>
        </w:tc>
        <w:tc>
          <w:tcPr>
            <w:tcW w:w="7073" w:type="dxa"/>
            <w:tcBorders>
              <w:tl2br w:val="nil"/>
              <w:tr2bl w:val="nil"/>
            </w:tcBorders>
            <w:vAlign w:val="center"/>
          </w:tcPr>
          <w:p>
            <w:pPr>
              <w:pStyle w:val="2481"/>
              <w:keepNext w:val="0"/>
              <w:keepLines w:val="0"/>
              <w:numPr>
                <w:ilvl w:val="0"/>
                <w:numId w:val="0"/>
              </w:numPr>
              <w:suppressLineNumbers w:val="0"/>
              <w:tabs>
                <w:tab w:val="left" w:pos="1120"/>
              </w:tabs>
              <w:spacing w:before="0" w:beforeAutospacing="0" w:after="0" w:afterAutospacing="0" w:line="269" w:lineRule="exact"/>
              <w:ind w:left="0" w:right="0" w:rightChars="0"/>
              <w:jc w:val="left"/>
              <w:rPr>
                <w:rFonts w:hint="default"/>
                <w:color w:val="auto"/>
                <w:sz w:val="21"/>
                <w:highlight w:val="none"/>
              </w:rPr>
            </w:pPr>
            <w:r>
              <w:rPr>
                <w:rFonts w:hint="default"/>
                <w:color w:val="auto"/>
                <w:spacing w:val="-2"/>
                <w:w w:val="100"/>
                <w:sz w:val="21"/>
                <w:highlight w:val="none"/>
              </w:rPr>
              <w:t>除本条</w:t>
            </w:r>
            <w:r>
              <w:rPr>
                <w:rFonts w:hint="eastAsia"/>
                <w:color w:val="auto"/>
                <w:spacing w:val="-2"/>
                <w:w w:val="100"/>
                <w:sz w:val="21"/>
                <w:highlight w:val="none"/>
                <w:lang w:val="en-US" w:eastAsia="zh-CN"/>
              </w:rPr>
              <w:t>a）、b）、c）、d）、f）</w:t>
            </w:r>
            <w:r>
              <w:rPr>
                <w:rFonts w:hint="default"/>
                <w:color w:val="auto"/>
                <w:spacing w:val="-3"/>
                <w:w w:val="100"/>
                <w:sz w:val="21"/>
                <w:highlight w:val="none"/>
              </w:rPr>
              <w:t>以外的情况，评价等级为三级；</w:t>
            </w:r>
          </w:p>
          <w:p>
            <w:pPr>
              <w:pStyle w:val="2481"/>
              <w:keepNext w:val="0"/>
              <w:keepLines w:val="0"/>
              <w:numPr>
                <w:ilvl w:val="0"/>
                <w:numId w:val="0"/>
              </w:numPr>
              <w:suppressLineNumbers w:val="0"/>
              <w:tabs>
                <w:tab w:val="left" w:pos="1120"/>
              </w:tabs>
              <w:spacing w:before="42" w:beforeAutospacing="0" w:after="0" w:afterAutospacing="0" w:line="240" w:lineRule="auto"/>
              <w:ind w:left="0" w:right="0" w:rightChars="0"/>
              <w:jc w:val="left"/>
              <w:rPr>
                <w:rFonts w:hint="eastAsia" w:ascii="Times New Roman" w:hAnsi="Times New Roman" w:cs="Times New Roman" w:eastAsiaTheme="minorEastAsia"/>
                <w:color w:val="auto"/>
                <w:highlight w:val="none"/>
                <w:lang w:eastAsia="zh-CN"/>
              </w:rPr>
            </w:pPr>
            <w:r>
              <w:rPr>
                <w:rFonts w:hint="default"/>
                <w:color w:val="auto"/>
                <w:spacing w:val="-3"/>
                <w:sz w:val="21"/>
                <w:highlight w:val="none"/>
              </w:rPr>
              <w:t>当评价等级判定同时符合上述多种情况时，应采用其中最高的评价等级。</w:t>
            </w:r>
          </w:p>
        </w:tc>
      </w:tr>
    </w:tbl>
    <w:p>
      <w:pPr>
        <w:pStyle w:val="24"/>
        <w:spacing w:line="440" w:lineRule="exact"/>
        <w:ind w:firstLine="480"/>
        <w:rPr>
          <w:rFonts w:hint="eastAsia" w:ascii="Times New Roman" w:hAnsi="Times New Roman"/>
          <w:color w:val="auto"/>
          <w:highlight w:val="none"/>
          <w:lang w:eastAsia="zh-CN"/>
        </w:rPr>
      </w:pPr>
      <w:r>
        <w:rPr>
          <w:rFonts w:hint="eastAsia"/>
          <w:color w:val="auto"/>
          <w:sz w:val="24"/>
          <w:szCs w:val="24"/>
          <w:highlight w:val="none"/>
          <w:lang w:eastAsia="zh-CN"/>
        </w:rPr>
        <w:t>本项目所在区域为农村环境，本项目占地规模为</w:t>
      </w:r>
      <w:r>
        <w:rPr>
          <w:bCs/>
          <w:color w:val="auto"/>
          <w:highlight w:val="none"/>
        </w:rPr>
        <w:t>占地</w:t>
      </w:r>
      <w:r>
        <w:rPr>
          <w:rFonts w:hint="eastAsia"/>
          <w:bCs/>
          <w:color w:val="auto"/>
          <w:highlight w:val="none"/>
          <w:lang w:val="en-US" w:eastAsia="zh-CN"/>
        </w:rPr>
        <w:t>512.52</w:t>
      </w:r>
      <w:r>
        <w:rPr>
          <w:rFonts w:hint="eastAsia"/>
          <w:bCs/>
          <w:color w:val="auto"/>
          <w:highlight w:val="none"/>
        </w:rPr>
        <w:t>亩（</w:t>
      </w:r>
      <w:r>
        <w:rPr>
          <w:rFonts w:hint="eastAsia"/>
          <w:bCs/>
          <w:color w:val="auto"/>
          <w:highlight w:val="none"/>
          <w:lang w:val="en-US" w:eastAsia="zh-CN"/>
        </w:rPr>
        <w:t>0.342</w:t>
      </w:r>
      <w:r>
        <w:rPr>
          <w:rFonts w:hint="eastAsia"/>
          <w:bCs/>
          <w:color w:val="auto"/>
          <w:highlight w:val="none"/>
        </w:rPr>
        <w:t>km</w:t>
      </w:r>
      <w:r>
        <w:rPr>
          <w:rFonts w:hint="eastAsia"/>
          <w:bCs/>
          <w:color w:val="auto"/>
          <w:highlight w:val="none"/>
          <w:vertAlign w:val="superscript"/>
        </w:rPr>
        <w:t>2</w:t>
      </w:r>
      <w:r>
        <w:rPr>
          <w:rFonts w:hint="eastAsia"/>
          <w:bCs/>
          <w:color w:val="auto"/>
          <w:highlight w:val="none"/>
        </w:rPr>
        <w:t>）</w:t>
      </w:r>
      <w:r>
        <w:rPr>
          <w:rFonts w:hint="default" w:ascii="Times New Roman" w:hAnsi="Times New Roman"/>
          <w:color w:val="auto"/>
          <w:highlight w:val="none"/>
        </w:rPr>
        <w:t>&lt;</w:t>
      </w:r>
      <w:r>
        <w:rPr>
          <w:rFonts w:ascii="Times New Roman" w:hAnsi="Times New Roman"/>
          <w:color w:val="auto"/>
          <w:highlight w:val="none"/>
        </w:rPr>
        <w:t>20km</w:t>
      </w:r>
      <w:r>
        <w:rPr>
          <w:rFonts w:ascii="Times New Roman" w:hAnsi="Times New Roman"/>
          <w:color w:val="auto"/>
          <w:highlight w:val="none"/>
          <w:vertAlign w:val="superscript"/>
        </w:rPr>
        <w:t>2</w:t>
      </w:r>
      <w:r>
        <w:rPr>
          <w:rFonts w:hint="eastAsia" w:ascii="Times New Roman" w:hAnsi="Times New Roman"/>
          <w:color w:val="auto"/>
          <w:highlight w:val="none"/>
          <w:lang w:eastAsia="zh-CN"/>
        </w:rPr>
        <w:t>，本项目不涉及</w:t>
      </w:r>
      <w:r>
        <w:rPr>
          <w:rFonts w:ascii="Times New Roman" w:hAnsi="Times New Roman"/>
          <w:color w:val="auto"/>
          <w:highlight w:val="none"/>
        </w:rPr>
        <w:t>国家公园、自然保护区、世界自然遗产、重要生境</w:t>
      </w:r>
      <w:r>
        <w:rPr>
          <w:rFonts w:hint="eastAsia" w:ascii="Times New Roman" w:hAnsi="Times New Roman"/>
          <w:color w:val="auto"/>
          <w:highlight w:val="none"/>
          <w:lang w:eastAsia="zh-CN"/>
        </w:rPr>
        <w:t>、自然公园、生态保护红线等，且地下水、土壤影响范围内不涉及</w:t>
      </w:r>
      <w:r>
        <w:rPr>
          <w:rFonts w:ascii="Times New Roman" w:hAnsi="Times New Roman"/>
          <w:color w:val="auto"/>
          <w:highlight w:val="none"/>
        </w:rPr>
        <w:t>然林、公益林、湿地等生态保护目标</w:t>
      </w:r>
      <w:r>
        <w:rPr>
          <w:rFonts w:hint="eastAsia" w:ascii="Times New Roman" w:hAnsi="Times New Roman"/>
          <w:color w:val="auto"/>
          <w:highlight w:val="none"/>
          <w:lang w:eastAsia="zh-CN"/>
        </w:rPr>
        <w:t>，故本项目为三级评价。</w:t>
      </w:r>
    </w:p>
    <w:p>
      <w:pPr>
        <w:numPr>
          <w:ilvl w:val="0"/>
          <w:numId w:val="8"/>
        </w:numPr>
        <w:ind w:firstLine="480" w:firstLineChars="200"/>
        <w:rPr>
          <w:rFonts w:hint="eastAsia"/>
          <w:color w:val="auto"/>
          <w:sz w:val="24"/>
          <w:szCs w:val="24"/>
          <w:highlight w:val="none"/>
        </w:rPr>
      </w:pPr>
      <w:r>
        <w:rPr>
          <w:rFonts w:hint="eastAsia"/>
          <w:color w:val="auto"/>
          <w:sz w:val="24"/>
          <w:szCs w:val="24"/>
          <w:highlight w:val="none"/>
          <w:lang w:eastAsia="zh-CN"/>
        </w:rPr>
        <w:t>土壤</w:t>
      </w:r>
      <w:r>
        <w:rPr>
          <w:rFonts w:hint="eastAsia"/>
          <w:color w:val="auto"/>
          <w:sz w:val="24"/>
          <w:szCs w:val="24"/>
          <w:highlight w:val="none"/>
        </w:rPr>
        <w:t>环境</w:t>
      </w:r>
    </w:p>
    <w:p>
      <w:pPr>
        <w:pStyle w:val="24"/>
        <w:spacing w:line="440" w:lineRule="exact"/>
        <w:ind w:firstLine="480"/>
        <w:rPr>
          <w:rFonts w:ascii="Times New Roman" w:hAnsi="Times New Roman"/>
          <w:color w:val="auto"/>
          <w:highlight w:val="none"/>
        </w:rPr>
      </w:pPr>
      <w:r>
        <w:rPr>
          <w:rFonts w:ascii="Times New Roman" w:hAnsi="Times New Roman"/>
          <w:color w:val="auto"/>
          <w:highlight w:val="none"/>
        </w:rPr>
        <w:t>根据项目建设内容及其对土壤环境可能产生的影响，判定本项目土壤影响类型为污染影响型。根据行业特征、工艺特点或规模大小等将建设项目类别分为Ⅰ类、Ⅱ类、Ⅲ类、Ⅳ类，分类详见《环境影响评价技术导则  土壤环境》（HJ964-2018）附录A（以下简称 附录A）。其中Ⅰ类、Ⅱ类及Ⅲ类建设项目的土壤环境影响评价应执行导则要求，Ⅳ类建设项目可不开展土壤环境影响评价；自身为敏感目标的建设项目，可根据需要仅对土壤环境现状进行调查。</w:t>
      </w:r>
    </w:p>
    <w:p>
      <w:pPr>
        <w:pStyle w:val="24"/>
        <w:spacing w:line="440" w:lineRule="exact"/>
        <w:ind w:firstLine="480"/>
        <w:rPr>
          <w:rFonts w:ascii="Times New Roman" w:hAnsi="Times New Roman"/>
          <w:color w:val="auto"/>
          <w:highlight w:val="none"/>
        </w:rPr>
      </w:pPr>
      <w:r>
        <w:rPr>
          <w:rFonts w:hint="eastAsia" w:ascii="宋体" w:hAnsi="宋体" w:cs="宋体"/>
          <w:color w:val="auto"/>
          <w:highlight w:val="none"/>
        </w:rPr>
        <w:t>①</w:t>
      </w:r>
      <w:r>
        <w:rPr>
          <w:rFonts w:ascii="Times New Roman" w:hAnsi="Times New Roman"/>
          <w:color w:val="auto"/>
          <w:highlight w:val="none"/>
        </w:rPr>
        <w:t>项目类别</w:t>
      </w:r>
    </w:p>
    <w:p>
      <w:pPr>
        <w:pStyle w:val="24"/>
        <w:spacing w:line="440" w:lineRule="exact"/>
        <w:ind w:firstLine="480"/>
        <w:rPr>
          <w:rFonts w:ascii="Times New Roman" w:hAnsi="Times New Roman"/>
          <w:color w:val="auto"/>
          <w:highlight w:val="none"/>
        </w:rPr>
      </w:pPr>
      <w:r>
        <w:rPr>
          <w:rFonts w:ascii="Times New Roman" w:hAnsi="Times New Roman"/>
          <w:color w:val="auto"/>
          <w:highlight w:val="none"/>
        </w:rPr>
        <w:t>根据附录A，本项目年出栏</w:t>
      </w:r>
      <w:r>
        <w:rPr>
          <w:rFonts w:hint="eastAsia"/>
          <w:color w:val="auto"/>
          <w:highlight w:val="none"/>
          <w:lang w:eastAsia="zh-CN"/>
        </w:rPr>
        <w:t>肉牛</w:t>
      </w:r>
      <w:r>
        <w:rPr>
          <w:rFonts w:hint="eastAsia"/>
          <w:color w:val="auto"/>
          <w:highlight w:val="none"/>
          <w:lang w:val="en-US" w:eastAsia="zh-CN"/>
        </w:rPr>
        <w:t>17000</w:t>
      </w:r>
      <w:r>
        <w:rPr>
          <w:rFonts w:ascii="Times New Roman" w:hAnsi="Times New Roman"/>
          <w:color w:val="auto"/>
          <w:highlight w:val="none"/>
        </w:rPr>
        <w:t>头（折合为成年猪约</w:t>
      </w:r>
      <w:r>
        <w:rPr>
          <w:rFonts w:hint="eastAsia"/>
          <w:color w:val="auto"/>
          <w:highlight w:val="none"/>
          <w:lang w:val="en-US" w:eastAsia="zh-CN"/>
        </w:rPr>
        <w:t>85000</w:t>
      </w:r>
      <w:r>
        <w:rPr>
          <w:rFonts w:ascii="Times New Roman" w:hAnsi="Times New Roman"/>
          <w:color w:val="auto"/>
          <w:highlight w:val="none"/>
        </w:rPr>
        <w:t>头），小于10万头；因此本项目属于农林牧渔业中的年出栏生猪5000头（其他畜禽种类折合猪的养殖规模）及以上的畜禽养殖场或养殖小区类项目，属Ⅲ类项目。</w:t>
      </w:r>
      <w:r>
        <w:rPr>
          <w:rFonts w:hint="eastAsia" w:ascii="Times New Roman" w:hAnsi="Times New Roman"/>
          <w:color w:val="auto"/>
          <w:highlight w:val="none"/>
        </w:rPr>
        <w:t>具体情况</w:t>
      </w:r>
      <w:r>
        <w:rPr>
          <w:rFonts w:ascii="Times New Roman" w:hAnsi="Times New Roman"/>
          <w:color w:val="auto"/>
          <w:highlight w:val="none"/>
        </w:rPr>
        <w:t>详见</w:t>
      </w:r>
      <w:r>
        <w:rPr>
          <w:rFonts w:hint="eastAsia"/>
          <w:color w:val="auto"/>
          <w:highlight w:val="none"/>
          <w:lang w:eastAsia="zh-CN"/>
        </w:rPr>
        <w:t>下</w:t>
      </w:r>
      <w:r>
        <w:rPr>
          <w:rFonts w:ascii="Times New Roman" w:hAnsi="Times New Roman"/>
          <w:color w:val="auto"/>
          <w:highlight w:val="none"/>
        </w:rPr>
        <w:t>表。</w:t>
      </w:r>
    </w:p>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土壤环境影响评价项目类别</w:t>
      </w:r>
    </w:p>
    <w:tbl>
      <w:tblPr>
        <w:tblStyle w:val="91"/>
        <w:tblW w:w="4998" w:type="pct"/>
        <w:tblInd w:w="0" w:type="dxa"/>
        <w:tblLayout w:type="autofit"/>
        <w:tblCellMar>
          <w:top w:w="0" w:type="dxa"/>
          <w:left w:w="0" w:type="dxa"/>
          <w:bottom w:w="0" w:type="dxa"/>
          <w:right w:w="0" w:type="dxa"/>
        </w:tblCellMar>
      </w:tblPr>
      <w:tblGrid>
        <w:gridCol w:w="1519"/>
        <w:gridCol w:w="1278"/>
        <w:gridCol w:w="2935"/>
        <w:gridCol w:w="1873"/>
        <w:gridCol w:w="698"/>
      </w:tblGrid>
      <w:tr>
        <w:tblPrEx>
          <w:tblCellMar>
            <w:top w:w="0" w:type="dxa"/>
            <w:left w:w="0" w:type="dxa"/>
            <w:bottom w:w="0" w:type="dxa"/>
            <w:right w:w="0" w:type="dxa"/>
          </w:tblCellMar>
        </w:tblPrEx>
        <w:tc>
          <w:tcPr>
            <w:tcW w:w="914" w:type="pct"/>
            <w:tcBorders>
              <w:top w:val="single" w:color="auto" w:sz="12" w:space="0"/>
              <w:bottom w:val="single" w:color="000000" w:sz="4" w:space="0"/>
              <w:right w:val="single" w:color="000000" w:sz="4" w:space="0"/>
              <w:tl2br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42" w:rightChars="20"/>
              <w:jc w:val="center"/>
              <w:rPr>
                <w:rFonts w:hint="default"/>
                <w:b/>
                <w:color w:val="auto"/>
                <w:sz w:val="21"/>
                <w:szCs w:val="21"/>
                <w:highlight w:val="none"/>
              </w:rPr>
            </w:pPr>
            <w:r>
              <w:rPr>
                <w:rFonts w:hint="default"/>
                <w:b/>
                <w:color w:val="auto"/>
                <w:sz w:val="21"/>
                <w:szCs w:val="21"/>
                <w:highlight w:val="none"/>
              </w:rPr>
              <w:t xml:space="preserve">      项目类别</w:t>
            </w:r>
          </w:p>
          <w:p>
            <w:pPr>
              <w:pStyle w:val="167"/>
              <w:keepNext w:val="0"/>
              <w:keepLines w:val="0"/>
              <w:suppressLineNumbers w:val="0"/>
              <w:kinsoku w:val="0"/>
              <w:overflowPunct w:val="0"/>
              <w:spacing w:before="0" w:beforeAutospacing="0" w:after="0" w:afterAutospacing="0"/>
              <w:ind w:left="0" w:right="0"/>
              <w:rPr>
                <w:rFonts w:hint="default"/>
                <w:b/>
                <w:color w:val="auto"/>
                <w:sz w:val="21"/>
                <w:szCs w:val="21"/>
                <w:highlight w:val="none"/>
              </w:rPr>
            </w:pPr>
            <w:r>
              <w:rPr>
                <w:rFonts w:hint="default"/>
                <w:b/>
                <w:color w:val="auto"/>
                <w:sz w:val="21"/>
                <w:szCs w:val="21"/>
                <w:highlight w:val="none"/>
              </w:rPr>
              <w:t>行业类型</w:t>
            </w:r>
          </w:p>
        </w:tc>
        <w:tc>
          <w:tcPr>
            <w:tcW w:w="769" w:type="pct"/>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b/>
                <w:color w:val="auto"/>
                <w:sz w:val="21"/>
                <w:szCs w:val="21"/>
                <w:highlight w:val="none"/>
              </w:rPr>
            </w:pPr>
            <w:r>
              <w:rPr>
                <w:rFonts w:hint="default"/>
                <w:b/>
                <w:color w:val="auto"/>
                <w:sz w:val="21"/>
                <w:szCs w:val="21"/>
                <w:highlight w:val="none"/>
              </w:rPr>
              <w:t>Ⅰ类</w:t>
            </w:r>
          </w:p>
        </w:tc>
        <w:tc>
          <w:tcPr>
            <w:tcW w:w="1766" w:type="pct"/>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b/>
                <w:color w:val="auto"/>
                <w:sz w:val="21"/>
                <w:szCs w:val="21"/>
                <w:highlight w:val="none"/>
              </w:rPr>
            </w:pPr>
            <w:r>
              <w:rPr>
                <w:rFonts w:hint="default"/>
                <w:b/>
                <w:color w:val="auto"/>
                <w:sz w:val="21"/>
                <w:szCs w:val="21"/>
                <w:highlight w:val="none"/>
              </w:rPr>
              <w:t>Ⅱ类</w:t>
            </w:r>
          </w:p>
        </w:tc>
        <w:tc>
          <w:tcPr>
            <w:tcW w:w="1127" w:type="pct"/>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b/>
                <w:color w:val="auto"/>
                <w:sz w:val="21"/>
                <w:szCs w:val="21"/>
                <w:highlight w:val="none"/>
              </w:rPr>
            </w:pPr>
            <w:r>
              <w:rPr>
                <w:rFonts w:hint="default"/>
                <w:b/>
                <w:color w:val="auto"/>
                <w:sz w:val="21"/>
                <w:szCs w:val="21"/>
                <w:highlight w:val="none"/>
              </w:rPr>
              <w:t>Ⅲ类</w:t>
            </w:r>
          </w:p>
        </w:tc>
        <w:tc>
          <w:tcPr>
            <w:tcW w:w="420" w:type="pct"/>
            <w:tcBorders>
              <w:top w:val="single" w:color="auto" w:sz="12" w:space="0"/>
              <w:left w:val="single" w:color="000000" w:sz="4" w:space="0"/>
              <w:bottom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b/>
                <w:color w:val="auto"/>
                <w:sz w:val="21"/>
                <w:szCs w:val="21"/>
                <w:highlight w:val="none"/>
              </w:rPr>
            </w:pPr>
            <w:r>
              <w:rPr>
                <w:rFonts w:hint="default"/>
                <w:b/>
                <w:color w:val="auto"/>
                <w:sz w:val="21"/>
                <w:szCs w:val="21"/>
                <w:highlight w:val="none"/>
              </w:rPr>
              <w:t>Ⅳ类</w:t>
            </w:r>
          </w:p>
        </w:tc>
      </w:tr>
      <w:tr>
        <w:tblPrEx>
          <w:tblCellMar>
            <w:top w:w="0" w:type="dxa"/>
            <w:left w:w="0" w:type="dxa"/>
            <w:bottom w:w="0" w:type="dxa"/>
            <w:right w:w="0" w:type="dxa"/>
          </w:tblCellMar>
        </w:tblPrEx>
        <w:tc>
          <w:tcPr>
            <w:tcW w:w="914" w:type="pct"/>
            <w:tcBorders>
              <w:top w:val="single" w:color="000000" w:sz="4" w:space="0"/>
              <w:bottom w:val="single" w:color="auto" w:sz="12" w:space="0"/>
              <w:right w:val="single" w:color="000000" w:sz="4" w:space="0"/>
            </w:tcBorders>
            <w:shd w:val="clear" w:color="auto" w:fill="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农林牧渔业</w:t>
            </w:r>
          </w:p>
        </w:tc>
        <w:tc>
          <w:tcPr>
            <w:tcW w:w="769" w:type="pct"/>
            <w:tcBorders>
              <w:top w:val="single" w:color="000000" w:sz="4" w:space="0"/>
              <w:left w:val="single" w:color="000000" w:sz="4" w:space="0"/>
              <w:bottom w:val="single" w:color="auto" w:sz="12" w:space="0"/>
              <w:right w:val="single" w:color="000000" w:sz="4" w:space="0"/>
            </w:tcBorders>
            <w:shd w:val="clear" w:color="auto" w:fill="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灌溉面积大于50万亩的灌区工程</w:t>
            </w:r>
          </w:p>
        </w:tc>
        <w:tc>
          <w:tcPr>
            <w:tcW w:w="1766" w:type="pct"/>
            <w:tcBorders>
              <w:top w:val="single" w:color="000000" w:sz="4" w:space="0"/>
              <w:left w:val="single" w:color="000000" w:sz="4" w:space="0"/>
              <w:bottom w:val="single" w:color="auto" w:sz="12" w:space="0"/>
              <w:right w:val="single" w:color="000000" w:sz="4" w:space="0"/>
            </w:tcBorders>
            <w:shd w:val="clear" w:color="auto" w:fill="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color w:val="auto"/>
                <w:sz w:val="21"/>
                <w:szCs w:val="21"/>
                <w:highlight w:val="none"/>
                <w:shd w:val="clear" w:color="auto" w:fill="auto"/>
              </w:rPr>
            </w:pPr>
            <w:r>
              <w:rPr>
                <w:rFonts w:hint="default"/>
                <w:color w:val="auto"/>
                <w:sz w:val="21"/>
                <w:szCs w:val="21"/>
                <w:highlight w:val="none"/>
                <w:shd w:val="clear" w:color="auto" w:fill="auto"/>
              </w:rPr>
              <w:t>新建</w:t>
            </w:r>
            <w:r>
              <w:rPr>
                <w:rFonts w:hint="default"/>
                <w:color w:val="auto"/>
                <w:spacing w:val="-53"/>
                <w:sz w:val="21"/>
                <w:szCs w:val="21"/>
                <w:highlight w:val="none"/>
                <w:shd w:val="clear" w:color="auto" w:fill="auto"/>
              </w:rPr>
              <w:t xml:space="preserve"> </w:t>
            </w:r>
            <w:r>
              <w:rPr>
                <w:rFonts w:hint="default"/>
                <w:color w:val="auto"/>
                <w:sz w:val="21"/>
                <w:szCs w:val="21"/>
                <w:highlight w:val="none"/>
                <w:shd w:val="clear" w:color="auto" w:fill="auto"/>
              </w:rPr>
              <w:t>5万亩至</w:t>
            </w:r>
            <w:r>
              <w:rPr>
                <w:rFonts w:hint="default"/>
                <w:color w:val="auto"/>
                <w:spacing w:val="-56"/>
                <w:sz w:val="21"/>
                <w:szCs w:val="21"/>
                <w:highlight w:val="none"/>
                <w:shd w:val="clear" w:color="auto" w:fill="auto"/>
              </w:rPr>
              <w:t xml:space="preserve"> </w:t>
            </w:r>
            <w:r>
              <w:rPr>
                <w:rFonts w:hint="default"/>
                <w:color w:val="auto"/>
                <w:sz w:val="21"/>
                <w:szCs w:val="21"/>
                <w:highlight w:val="none"/>
                <w:shd w:val="clear" w:color="auto" w:fill="auto"/>
              </w:rPr>
              <w:t>50万亩的、改造</w:t>
            </w:r>
            <w:r>
              <w:rPr>
                <w:rFonts w:hint="default"/>
                <w:color w:val="auto"/>
                <w:spacing w:val="-56"/>
                <w:sz w:val="21"/>
                <w:szCs w:val="21"/>
                <w:highlight w:val="none"/>
                <w:shd w:val="clear" w:color="auto" w:fill="auto"/>
              </w:rPr>
              <w:t xml:space="preserve"> </w:t>
            </w:r>
            <w:r>
              <w:rPr>
                <w:rFonts w:hint="default"/>
                <w:color w:val="auto"/>
                <w:sz w:val="21"/>
                <w:szCs w:val="21"/>
                <w:highlight w:val="none"/>
                <w:shd w:val="clear" w:color="auto" w:fill="auto"/>
              </w:rPr>
              <w:t>30万亩及以上的灌区工程；年出栏生猪</w:t>
            </w:r>
            <w:r>
              <w:rPr>
                <w:rFonts w:hint="default"/>
                <w:color w:val="auto"/>
                <w:spacing w:val="-58"/>
                <w:sz w:val="21"/>
                <w:szCs w:val="21"/>
                <w:highlight w:val="none"/>
                <w:shd w:val="clear" w:color="auto" w:fill="auto"/>
              </w:rPr>
              <w:t xml:space="preserve"> </w:t>
            </w:r>
            <w:r>
              <w:rPr>
                <w:rFonts w:hint="default"/>
                <w:color w:val="auto"/>
                <w:sz w:val="21"/>
                <w:szCs w:val="21"/>
                <w:highlight w:val="none"/>
                <w:shd w:val="clear" w:color="auto" w:fill="auto"/>
              </w:rPr>
              <w:t>10</w:t>
            </w:r>
            <w:r>
              <w:rPr>
                <w:rFonts w:hint="default"/>
                <w:color w:val="auto"/>
                <w:spacing w:val="-5"/>
                <w:sz w:val="21"/>
                <w:szCs w:val="21"/>
                <w:highlight w:val="none"/>
                <w:shd w:val="clear" w:color="auto" w:fill="auto"/>
              </w:rPr>
              <w:t>万头（其他畜禽种类折合猪的</w:t>
            </w:r>
            <w:r>
              <w:rPr>
                <w:rFonts w:hint="default"/>
                <w:color w:val="auto"/>
                <w:sz w:val="21"/>
                <w:szCs w:val="21"/>
                <w:highlight w:val="none"/>
                <w:shd w:val="clear" w:color="auto" w:fill="auto"/>
              </w:rPr>
              <w:t>养殖规模）及以上的畜禽养殖场或养殖小区</w:t>
            </w:r>
          </w:p>
        </w:tc>
        <w:tc>
          <w:tcPr>
            <w:tcW w:w="1127" w:type="pct"/>
            <w:tcBorders>
              <w:top w:val="single" w:color="000000" w:sz="4" w:space="0"/>
              <w:left w:val="single" w:color="000000" w:sz="4" w:space="0"/>
              <w:bottom w:val="single" w:color="auto" w:sz="12" w:space="0"/>
              <w:right w:val="single" w:color="000000" w:sz="4" w:space="0"/>
            </w:tcBorders>
            <w:shd w:val="clear" w:color="auto" w:fill="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color w:val="auto"/>
                <w:sz w:val="21"/>
                <w:szCs w:val="21"/>
                <w:highlight w:val="none"/>
                <w:shd w:val="clear" w:color="auto" w:fill="auto"/>
              </w:rPr>
            </w:pPr>
            <w:r>
              <w:rPr>
                <w:rFonts w:hint="default"/>
                <w:color w:val="auto"/>
                <w:sz w:val="21"/>
                <w:szCs w:val="21"/>
                <w:highlight w:val="none"/>
                <w:shd w:val="clear" w:color="auto" w:fill="auto"/>
              </w:rPr>
              <w:t>年出栏生猪</w:t>
            </w:r>
            <w:r>
              <w:rPr>
                <w:rFonts w:hint="default"/>
                <w:color w:val="auto"/>
                <w:spacing w:val="-55"/>
                <w:sz w:val="21"/>
                <w:szCs w:val="21"/>
                <w:highlight w:val="none"/>
                <w:shd w:val="clear" w:color="auto" w:fill="auto"/>
              </w:rPr>
              <w:t xml:space="preserve"> </w:t>
            </w:r>
            <w:r>
              <w:rPr>
                <w:rFonts w:hint="default"/>
                <w:color w:val="auto"/>
                <w:sz w:val="21"/>
                <w:szCs w:val="21"/>
                <w:highlight w:val="none"/>
                <w:shd w:val="clear" w:color="auto" w:fill="auto"/>
              </w:rPr>
              <w:t>5000头（其他畜禽种类折合猪的养殖规模）及以上的畜禽养殖场或养殖小区</w:t>
            </w:r>
          </w:p>
        </w:tc>
        <w:tc>
          <w:tcPr>
            <w:tcW w:w="420" w:type="pct"/>
            <w:tcBorders>
              <w:top w:val="single" w:color="000000" w:sz="4" w:space="0"/>
              <w:left w:val="single" w:color="000000" w:sz="4" w:space="0"/>
              <w:bottom w:val="single" w:color="auto" w:sz="12"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其他</w:t>
            </w:r>
          </w:p>
        </w:tc>
      </w:tr>
    </w:tbl>
    <w:p>
      <w:pPr>
        <w:pStyle w:val="24"/>
        <w:spacing w:line="440" w:lineRule="exact"/>
        <w:ind w:firstLine="480"/>
        <w:rPr>
          <w:rFonts w:ascii="Times New Roman" w:hAnsi="Times New Roman"/>
          <w:color w:val="auto"/>
          <w:highlight w:val="none"/>
        </w:rPr>
      </w:pPr>
      <w:r>
        <w:rPr>
          <w:rFonts w:hint="eastAsia" w:ascii="宋体" w:hAnsi="宋体" w:cs="宋体"/>
          <w:color w:val="auto"/>
          <w:highlight w:val="none"/>
        </w:rPr>
        <w:t>②</w:t>
      </w:r>
      <w:r>
        <w:rPr>
          <w:rFonts w:ascii="Times New Roman" w:hAnsi="Times New Roman"/>
          <w:color w:val="auto"/>
          <w:highlight w:val="none"/>
        </w:rPr>
        <w:t>项目占地规模</w:t>
      </w:r>
    </w:p>
    <w:p>
      <w:pPr>
        <w:spacing w:line="360" w:lineRule="auto"/>
        <w:ind w:firstLine="480" w:firstLineChars="200"/>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本项目占地范围为</w:t>
      </w:r>
      <w:r>
        <w:rPr>
          <w:rFonts w:hint="default" w:ascii="Times New Roman" w:hAnsi="Times New Roman" w:cs="Times New Roman"/>
          <w:color w:val="auto"/>
          <w:sz w:val="24"/>
          <w:szCs w:val="24"/>
          <w:highlight w:val="none"/>
          <w:lang w:val="en-US" w:eastAsia="zh-CN"/>
        </w:rPr>
        <w:t>34.168</w:t>
      </w:r>
      <w:r>
        <w:rPr>
          <w:rFonts w:hint="default" w:ascii="Times New Roman" w:hAnsi="Times New Roman" w:cs="Times New Roman"/>
          <w:color w:val="auto"/>
          <w:sz w:val="24"/>
          <w:szCs w:val="24"/>
          <w:highlight w:val="none"/>
          <w:lang w:eastAsia="zh-CN"/>
        </w:rPr>
        <w:t>hm</w:t>
      </w:r>
      <w:r>
        <w:rPr>
          <w:rFonts w:hint="default" w:ascii="Times New Roman" w:hAnsi="Times New Roman" w:cs="Times New Roman"/>
          <w:color w:val="auto"/>
          <w:sz w:val="24"/>
          <w:szCs w:val="24"/>
          <w:highlight w:val="none"/>
          <w:vertAlign w:val="superscript"/>
          <w:lang w:eastAsia="zh-CN"/>
        </w:rPr>
        <w:t>2</w:t>
      </w:r>
      <w:r>
        <w:rPr>
          <w:rFonts w:hint="default"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34.168</w:t>
      </w:r>
      <w:r>
        <w:rPr>
          <w:rFonts w:hint="default" w:ascii="Times New Roman" w:hAnsi="Times New Roman" w:cs="Times New Roman"/>
          <w:color w:val="auto"/>
          <w:sz w:val="24"/>
          <w:szCs w:val="24"/>
          <w:highlight w:val="none"/>
          <w:lang w:eastAsia="zh-CN"/>
        </w:rPr>
        <w:t>hm</w:t>
      </w:r>
      <w:r>
        <w:rPr>
          <w:rFonts w:hint="default" w:ascii="Times New Roman" w:hAnsi="Times New Roman" w:cs="Times New Roman"/>
          <w:color w:val="auto"/>
          <w:sz w:val="24"/>
          <w:szCs w:val="24"/>
          <w:highlight w:val="none"/>
          <w:vertAlign w:val="superscript"/>
          <w:lang w:eastAsia="zh-CN"/>
        </w:rPr>
        <w:t>2</w:t>
      </w:r>
      <w:r>
        <w:rPr>
          <w:rFonts w:hint="default" w:ascii="Times New Roman" w:hAnsi="Times New Roman" w:cs="Times New Roman"/>
          <w:color w:val="auto"/>
          <w:sz w:val="24"/>
          <w:szCs w:val="24"/>
          <w:highlight w:val="none"/>
          <w:lang w:eastAsia="zh-CN"/>
        </w:rPr>
        <w:t>&lt;占地面积&lt;50hm</w:t>
      </w:r>
      <w:r>
        <w:rPr>
          <w:rFonts w:hint="default" w:ascii="Times New Roman" w:hAnsi="Times New Roman" w:cs="Times New Roman"/>
          <w:color w:val="auto"/>
          <w:sz w:val="24"/>
          <w:szCs w:val="24"/>
          <w:highlight w:val="none"/>
          <w:vertAlign w:val="superscript"/>
          <w:lang w:eastAsia="zh-CN"/>
        </w:rPr>
        <w:t>2</w:t>
      </w:r>
      <w:r>
        <w:rPr>
          <w:rFonts w:hint="default" w:ascii="Times New Roman" w:hAnsi="Times New Roman" w:cs="Times New Roman"/>
          <w:color w:val="auto"/>
          <w:sz w:val="24"/>
          <w:szCs w:val="24"/>
          <w:highlight w:val="none"/>
          <w:lang w:eastAsia="zh-CN"/>
        </w:rPr>
        <w:t>，占地规模属于中型。</w:t>
      </w:r>
    </w:p>
    <w:p>
      <w:pPr>
        <w:pStyle w:val="24"/>
        <w:spacing w:line="440" w:lineRule="exact"/>
        <w:ind w:firstLine="480"/>
        <w:rPr>
          <w:rFonts w:ascii="Times New Roman" w:hAnsi="Times New Roman"/>
          <w:color w:val="auto"/>
          <w:highlight w:val="none"/>
        </w:rPr>
      </w:pPr>
      <w:r>
        <w:rPr>
          <w:rFonts w:hint="eastAsia" w:ascii="宋体" w:hAnsi="宋体" w:cs="宋体"/>
          <w:color w:val="auto"/>
          <w:highlight w:val="none"/>
        </w:rPr>
        <w:t>③</w:t>
      </w:r>
      <w:r>
        <w:rPr>
          <w:rFonts w:ascii="Times New Roman" w:hAnsi="Times New Roman"/>
          <w:color w:val="auto"/>
          <w:highlight w:val="none"/>
        </w:rPr>
        <w:t>项目所在地周边土壤环境敏感程度</w:t>
      </w:r>
    </w:p>
    <w:p>
      <w:pPr>
        <w:pStyle w:val="24"/>
        <w:spacing w:line="440" w:lineRule="exact"/>
        <w:ind w:firstLine="480"/>
        <w:rPr>
          <w:rFonts w:hint="eastAsia"/>
          <w:color w:val="auto"/>
          <w:highlight w:val="none"/>
        </w:rPr>
      </w:pPr>
      <w:r>
        <w:rPr>
          <w:rFonts w:ascii="Times New Roman" w:hAnsi="Times New Roman"/>
          <w:color w:val="auto"/>
          <w:highlight w:val="none"/>
        </w:rPr>
        <w:t>建设项目所在地周边的土壤环境敏感程度可分为敏感、较敏感、不敏感，判定依据见表</w:t>
      </w:r>
      <w:r>
        <w:rPr>
          <w:rFonts w:hint="eastAsia" w:ascii="Times New Roman" w:hAnsi="Times New Roman"/>
          <w:color w:val="auto"/>
          <w:highlight w:val="none"/>
        </w:rPr>
        <w:t>2.</w:t>
      </w:r>
      <w:r>
        <w:rPr>
          <w:rFonts w:hint="eastAsia" w:ascii="Times New Roman" w:hAnsi="Times New Roman"/>
          <w:color w:val="auto"/>
          <w:highlight w:val="none"/>
          <w:lang w:val="en-US" w:eastAsia="zh-CN"/>
        </w:rPr>
        <w:t>5</w:t>
      </w:r>
      <w:r>
        <w:rPr>
          <w:rFonts w:hint="eastAsia" w:ascii="Times New Roman" w:hAnsi="Times New Roman"/>
          <w:color w:val="auto"/>
          <w:highlight w:val="none"/>
        </w:rPr>
        <w:t>-</w:t>
      </w:r>
      <w:r>
        <w:rPr>
          <w:rFonts w:hint="eastAsia" w:ascii="Times New Roman" w:hAnsi="Times New Roman"/>
          <w:color w:val="auto"/>
          <w:highlight w:val="none"/>
          <w:lang w:val="en-US" w:eastAsia="zh-CN"/>
        </w:rPr>
        <w:t>9</w:t>
      </w:r>
      <w:r>
        <w:rPr>
          <w:rFonts w:ascii="Times New Roman" w:hAnsi="Times New Roman"/>
          <w:color w:val="auto"/>
          <w:highlight w:val="none"/>
        </w:rPr>
        <w:t>：</w:t>
      </w:r>
    </w:p>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污染影响型敏感程度分级表</w:t>
      </w:r>
    </w:p>
    <w:tbl>
      <w:tblPr>
        <w:tblStyle w:val="91"/>
        <w:tblW w:w="8522"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449"/>
        <w:gridCol w:w="707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敏感程度</w:t>
            </w:r>
          </w:p>
        </w:tc>
        <w:tc>
          <w:tcPr>
            <w:tcW w:w="707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判定依据</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敏感</w:t>
            </w:r>
          </w:p>
        </w:tc>
        <w:tc>
          <w:tcPr>
            <w:tcW w:w="7073" w:type="dxa"/>
            <w:tcBorders>
              <w:tl2br w:val="nil"/>
              <w:tr2bl w:val="nil"/>
            </w:tcBorders>
            <w:vAlign w:val="center"/>
          </w:tcPr>
          <w:p>
            <w:pPr>
              <w:pStyle w:val="158"/>
              <w:keepNext w:val="0"/>
              <w:keepLines w:val="0"/>
              <w:suppressLineNumbers w:val="0"/>
              <w:spacing w:before="0" w:beforeAutospacing="0" w:after="0" w:afterAutospacing="0" w:line="240" w:lineRule="auto"/>
              <w:ind w:left="0" w:right="0" w:firstLine="0" w:firstLineChars="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建设项目周边存在耕地、园地、牧草地、饮用水源地或居民区、学校、医院、疗养院、养老院等土壤环境敏感目标的</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较敏感</w:t>
            </w:r>
          </w:p>
        </w:tc>
        <w:tc>
          <w:tcPr>
            <w:tcW w:w="7073" w:type="dxa"/>
            <w:tcBorders>
              <w:tl2br w:val="nil"/>
              <w:tr2bl w:val="nil"/>
            </w:tcBorders>
            <w:vAlign w:val="center"/>
          </w:tcPr>
          <w:p>
            <w:pPr>
              <w:pStyle w:val="158"/>
              <w:keepNext w:val="0"/>
              <w:keepLines w:val="0"/>
              <w:suppressLineNumbers w:val="0"/>
              <w:spacing w:before="0" w:beforeAutospacing="0" w:after="0" w:afterAutospacing="0" w:line="240" w:lineRule="auto"/>
              <w:ind w:left="0" w:right="0" w:firstLine="0" w:firstLineChars="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建设项目周边存在其他土壤环境敏感目标的</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4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不敏感</w:t>
            </w:r>
          </w:p>
        </w:tc>
        <w:tc>
          <w:tcPr>
            <w:tcW w:w="707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both"/>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其他情况</w:t>
            </w:r>
          </w:p>
        </w:tc>
      </w:tr>
    </w:tbl>
    <w:p>
      <w:pPr>
        <w:pStyle w:val="158"/>
        <w:ind w:firstLine="496"/>
        <w:rPr>
          <w:rFonts w:hint="eastAsia" w:asciiTheme="minorHAnsi" w:eastAsiaTheme="minorEastAsia" w:cstheme="minorBidi"/>
          <w:color w:val="auto"/>
          <w:spacing w:val="4"/>
          <w:szCs w:val="21"/>
          <w:highlight w:val="none"/>
        </w:rPr>
      </w:pPr>
      <w:r>
        <w:rPr>
          <w:rFonts w:hint="eastAsia" w:asciiTheme="minorHAnsi" w:eastAsiaTheme="minorEastAsia" w:cstheme="minorBidi"/>
          <w:color w:val="auto"/>
          <w:spacing w:val="4"/>
          <w:szCs w:val="21"/>
          <w:highlight w:val="none"/>
        </w:rPr>
        <w:t>据现场调查，本项目周边存在耕地，因此</w:t>
      </w:r>
      <w:r>
        <w:rPr>
          <w:rFonts w:hint="eastAsia" w:asciiTheme="minorHAnsi" w:eastAsiaTheme="minorEastAsia" w:cstheme="minorBidi"/>
          <w:color w:val="auto"/>
          <w:spacing w:val="4"/>
          <w:szCs w:val="21"/>
          <w:highlight w:val="none"/>
          <w:lang w:eastAsia="zh-CN"/>
        </w:rPr>
        <w:t>，</w:t>
      </w:r>
      <w:r>
        <w:rPr>
          <w:rFonts w:hint="eastAsia" w:asciiTheme="minorHAnsi" w:eastAsiaTheme="minorEastAsia" w:cstheme="minorBidi"/>
          <w:color w:val="auto"/>
          <w:spacing w:val="4"/>
          <w:szCs w:val="21"/>
          <w:highlight w:val="none"/>
        </w:rPr>
        <w:t>确定区内土壤环境敏感程度为“敏感”。</w:t>
      </w:r>
    </w:p>
    <w:p>
      <w:pPr>
        <w:pStyle w:val="24"/>
        <w:spacing w:line="440" w:lineRule="exact"/>
        <w:ind w:firstLine="480"/>
        <w:rPr>
          <w:rFonts w:ascii="Times New Roman" w:hAnsi="Times New Roman"/>
          <w:color w:val="auto"/>
          <w:highlight w:val="none"/>
        </w:rPr>
      </w:pPr>
      <w:r>
        <w:rPr>
          <w:rFonts w:hint="eastAsia" w:ascii="宋体" w:hAnsi="宋体" w:cs="宋体"/>
          <w:color w:val="auto"/>
          <w:highlight w:val="none"/>
        </w:rPr>
        <w:t>④</w:t>
      </w:r>
      <w:r>
        <w:rPr>
          <w:rFonts w:ascii="Times New Roman" w:hAnsi="Times New Roman"/>
          <w:color w:val="auto"/>
          <w:highlight w:val="none"/>
        </w:rPr>
        <w:t>评价等级</w:t>
      </w:r>
    </w:p>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污染影响型评价工作等级划分表</w:t>
      </w:r>
    </w:p>
    <w:tbl>
      <w:tblPr>
        <w:tblStyle w:val="91"/>
        <w:tblW w:w="0" w:type="auto"/>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799"/>
        <w:gridCol w:w="874"/>
        <w:gridCol w:w="704"/>
        <w:gridCol w:w="793"/>
        <w:gridCol w:w="707"/>
        <w:gridCol w:w="735"/>
        <w:gridCol w:w="851"/>
        <w:gridCol w:w="692"/>
        <w:gridCol w:w="649"/>
        <w:gridCol w:w="72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134" w:hRule="atLeast"/>
        </w:trPr>
        <w:tc>
          <w:tcPr>
            <w:tcW w:w="1799" w:type="dxa"/>
            <w:vMerge w:val="restart"/>
            <w:noWrap w:val="0"/>
            <w:vAlign w:val="center"/>
            <mc:AlternateContent>
              <mc:Choice Requires="wpsCustomData">
                <wpsCustomData:diagonals>
                  <wpsCustomData:diagonal from="30000" to="14700">
                    <wpsCustomData:border w:val="single" w:color="auto" w:sz="12" w:space="0"/>
                  </wpsCustomData:diagonal>
                  <wpsCustomData:diagonal from="30000" to="5000">
                    <wpsCustomData:border w:val="single" w:color="auto" w:sz="12" w:space="0"/>
                  </wpsCustomData:diagonal>
                </wpsCustomData:diagonals>
              </mc:Choice>
            </mc:AlternateContent>
          </w:tcPr>
          <w:p>
            <w:pPr>
              <w:pStyle w:val="46"/>
              <w:keepNext w:val="0"/>
              <w:keepLines w:val="0"/>
              <w:suppressLineNumbers w:val="0"/>
              <w:adjustRightInd w:val="0"/>
              <w:snapToGrid w:val="0"/>
              <w:spacing w:before="0" w:beforeAutospacing="0" w:after="0" w:afterAutospacing="0" w:line="240" w:lineRule="auto"/>
              <w:ind w:left="0" w:leftChars="0" w:right="0" w:firstLine="0" w:firstLineChars="0"/>
              <w:jc w:val="both"/>
              <mc:AlternateContent>
                <mc:Choice Requires="wpsCustomData">
                  <wpsCustomData:diagonalParaType/>
                </mc:Choice>
              </mc:AlternateContent>
              <w:rPr>
                <w:rFonts w:hint="default" w:ascii="Times New Roman" w:hAnsi="Times New Roman" w:eastAsia="宋体" w:cs="Times New Roman"/>
                <w:snapToGrid w:val="0"/>
                <w:color w:val="auto"/>
                <w:kern w:val="0"/>
                <w:sz w:val="21"/>
                <w:szCs w:val="21"/>
                <w:highlight w:val="none"/>
                <w:lang w:eastAsia="zh-CN"/>
              </w:rPr>
            </w:pPr>
            <w:r>
              <w:rPr>
                <w:rFonts w:hint="default" w:ascii="Times New Roman" w:hAnsi="Times New Roman" w:eastAsia="宋体" w:cs="Times New Roman"/>
                <w:snapToGrid w:val="0"/>
                <w:color w:val="auto"/>
                <w:kern w:val="0"/>
                <w:sz w:val="21"/>
                <w:szCs w:val="21"/>
                <w:highlight w:val="none"/>
              </w:rPr>
              <w:t>敏感程</w:t>
            </w:r>
            <w:r>
              <w:rPr>
                <w:rFonts w:hint="default" w:ascii="Times New Roman" w:hAnsi="Times New Roman" w:eastAsia="宋体" w:cs="Times New Roman"/>
                <w:snapToGrid w:val="0"/>
                <w:color w:val="auto"/>
                <w:kern w:val="0"/>
                <w:sz w:val="21"/>
                <w:szCs w:val="21"/>
                <w:highlight w:val="none"/>
                <w:lang w:eastAsia="zh-CN"/>
              </w:rPr>
              <w:t>度</w:t>
            </w:r>
          </w:p>
          <w:p>
            <w:pPr>
              <w:pStyle w:val="46"/>
              <w:keepNext w:val="0"/>
              <w:keepLines w:val="0"/>
              <w:suppressLineNumbers w:val="0"/>
              <w:adjustRightInd w:val="0"/>
              <w:snapToGrid w:val="0"/>
              <w:spacing w:before="0" w:beforeAutospacing="0" w:after="0" w:afterAutospacing="0"/>
              <w:ind w:left="0" w:leftChars="0" w:right="0" w:firstLine="0" w:firstLineChars="0"/>
              <w:jc w:val="both"/>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t>评价工作等级</w:t>
            </w:r>
          </w:p>
          <w:p>
            <w:pPr>
              <w:pStyle w:val="46"/>
              <w:keepNext w:val="0"/>
              <w:keepLines w:val="0"/>
              <w:suppressLineNumbers w:val="0"/>
              <w:adjustRightInd w:val="0"/>
              <w:snapToGrid w:val="0"/>
              <w:spacing w:before="0" w:beforeAutospacing="0" w:after="0" w:afterAutospacing="0" w:line="240" w:lineRule="auto"/>
              <w:ind w:left="0" w:leftChars="0" w:right="0" w:firstLine="0" w:firstLineChars="0"/>
              <w:jc w:val="both"/>
              <mc:AlternateContent>
                <mc:Choice Requires="wpsCustomData">
                  <wpsCustomData:diagonalParaType/>
                </mc:Choice>
              </mc:AlternateContent>
              <w:rPr>
                <w:rFonts w:hint="default" w:ascii="Times New Roman" w:hAnsi="Times New Roman" w:eastAsia="宋体" w:cs="Times New Roman"/>
                <w:snapToGrid w:val="0"/>
                <w:color w:val="auto"/>
                <w:kern w:val="0"/>
                <w:sz w:val="21"/>
                <w:szCs w:val="21"/>
                <w:highlight w:val="none"/>
              </w:rPr>
            </w:pPr>
          </w:p>
          <w:p>
            <w:pPr>
              <w:pStyle w:val="46"/>
              <w:keepNext w:val="0"/>
              <w:keepLines w:val="0"/>
              <w:suppressLineNumbers w:val="0"/>
              <w:adjustRightInd w:val="0"/>
              <w:snapToGrid w:val="0"/>
              <w:spacing w:before="0" w:beforeAutospacing="0" w:after="0" w:afterAutospacing="0"/>
              <w:ind w:left="0" w:leftChars="0" w:right="0" w:firstLine="0" w:firstLineChars="0"/>
              <w:jc w:val="both"/>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t>占地规模</w:t>
            </w:r>
          </w:p>
          <w:p>
            <w:pPr>
              <w:pStyle w:val="46"/>
              <w:keepNext w:val="0"/>
              <w:keepLines w:val="0"/>
              <w:suppressLineNumbers w:val="0"/>
              <w:adjustRightInd w:val="0"/>
              <w:snapToGrid w:val="0"/>
              <w:spacing w:before="0" w:beforeAutospacing="0" w:after="0" w:afterAutospacing="0"/>
              <w:ind w:left="0" w:leftChars="0" w:right="0" w:firstLine="0" w:firstLineChars="0"/>
              <w:jc w:val="both"/>
              <w:rPr>
                <w:rFonts w:hint="default" w:ascii="Times New Roman" w:hAnsi="Times New Roman" w:eastAsia="宋体" w:cs="Times New Roman"/>
                <w:snapToGrid w:val="0"/>
                <w:color w:val="auto"/>
                <w:kern w:val="0"/>
                <w:sz w:val="21"/>
                <w:szCs w:val="21"/>
                <w:highlight w:val="none"/>
              </w:rPr>
            </w:pPr>
          </w:p>
        </w:tc>
        <w:tc>
          <w:tcPr>
            <w:tcW w:w="2371" w:type="dxa"/>
            <w:gridSpan w:val="3"/>
            <w:noWrap w:val="0"/>
            <w:vAlign w:val="center"/>
          </w:tcPr>
          <w:p>
            <w:pPr>
              <w:pStyle w:val="4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fldChar w:fldCharType="begin"/>
            </w:r>
            <w:r>
              <w:rPr>
                <w:rFonts w:hint="default" w:ascii="Times New Roman" w:hAnsi="Times New Roman" w:eastAsia="宋体" w:cs="Times New Roman"/>
                <w:snapToGrid w:val="0"/>
                <w:color w:val="auto"/>
                <w:kern w:val="0"/>
                <w:sz w:val="21"/>
                <w:szCs w:val="21"/>
                <w:highlight w:val="none"/>
              </w:rPr>
              <w:instrText xml:space="preserve"> = 1 \* ROMAN \* MERGEFORMAT </w:instrText>
            </w:r>
            <w:r>
              <w:rPr>
                <w:rFonts w:hint="default" w:ascii="Times New Roman" w:hAnsi="Times New Roman" w:eastAsia="宋体" w:cs="Times New Roman"/>
                <w:snapToGrid w:val="0"/>
                <w:color w:val="auto"/>
                <w:kern w:val="0"/>
                <w:sz w:val="21"/>
                <w:szCs w:val="21"/>
                <w:highlight w:val="none"/>
              </w:rPr>
              <w:fldChar w:fldCharType="separate"/>
            </w:r>
            <w:r>
              <w:rPr>
                <w:rFonts w:hint="default" w:ascii="Times New Roman" w:hAnsi="Times New Roman" w:eastAsia="宋体" w:cs="Times New Roman"/>
                <w:color w:val="auto"/>
                <w:sz w:val="21"/>
                <w:szCs w:val="21"/>
                <w:highlight w:val="none"/>
              </w:rPr>
              <w:t>I</w:t>
            </w:r>
            <w:r>
              <w:rPr>
                <w:rFonts w:hint="default" w:ascii="Times New Roman" w:hAnsi="Times New Roman" w:eastAsia="宋体" w:cs="Times New Roman"/>
                <w:snapToGrid w:val="0"/>
                <w:color w:val="auto"/>
                <w:kern w:val="0"/>
                <w:sz w:val="21"/>
                <w:szCs w:val="21"/>
                <w:highlight w:val="none"/>
              </w:rPr>
              <w:fldChar w:fldCharType="end"/>
            </w:r>
            <w:r>
              <w:rPr>
                <w:rFonts w:hint="default" w:ascii="Times New Roman" w:hAnsi="Times New Roman" w:eastAsia="宋体" w:cs="Times New Roman"/>
                <w:snapToGrid w:val="0"/>
                <w:color w:val="auto"/>
                <w:kern w:val="0"/>
                <w:sz w:val="21"/>
                <w:szCs w:val="21"/>
                <w:highlight w:val="none"/>
              </w:rPr>
              <w:t>类</w:t>
            </w:r>
          </w:p>
        </w:tc>
        <w:tc>
          <w:tcPr>
            <w:tcW w:w="2293" w:type="dxa"/>
            <w:gridSpan w:val="3"/>
            <w:noWrap w:val="0"/>
            <w:vAlign w:val="center"/>
          </w:tcPr>
          <w:p>
            <w:pPr>
              <w:pStyle w:val="4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fldChar w:fldCharType="begin"/>
            </w:r>
            <w:r>
              <w:rPr>
                <w:rFonts w:hint="default" w:ascii="Times New Roman" w:hAnsi="Times New Roman" w:eastAsia="宋体" w:cs="Times New Roman"/>
                <w:snapToGrid w:val="0"/>
                <w:color w:val="auto"/>
                <w:kern w:val="0"/>
                <w:sz w:val="21"/>
                <w:szCs w:val="21"/>
                <w:highlight w:val="none"/>
              </w:rPr>
              <w:instrText xml:space="preserve"> = 2 \* ROMAN \* MERGEFORMAT </w:instrText>
            </w:r>
            <w:r>
              <w:rPr>
                <w:rFonts w:hint="default" w:ascii="Times New Roman" w:hAnsi="Times New Roman" w:eastAsia="宋体" w:cs="Times New Roman"/>
                <w:snapToGrid w:val="0"/>
                <w:color w:val="auto"/>
                <w:kern w:val="0"/>
                <w:sz w:val="21"/>
                <w:szCs w:val="21"/>
                <w:highlight w:val="none"/>
              </w:rPr>
              <w:fldChar w:fldCharType="separate"/>
            </w:r>
            <w:r>
              <w:rPr>
                <w:rFonts w:hint="default" w:ascii="Times New Roman" w:hAnsi="Times New Roman" w:eastAsia="宋体" w:cs="Times New Roman"/>
                <w:color w:val="auto"/>
                <w:sz w:val="21"/>
                <w:szCs w:val="21"/>
                <w:highlight w:val="none"/>
              </w:rPr>
              <w:t>II</w:t>
            </w:r>
            <w:r>
              <w:rPr>
                <w:rFonts w:hint="default" w:ascii="Times New Roman" w:hAnsi="Times New Roman" w:eastAsia="宋体" w:cs="Times New Roman"/>
                <w:snapToGrid w:val="0"/>
                <w:color w:val="auto"/>
                <w:kern w:val="0"/>
                <w:sz w:val="21"/>
                <w:szCs w:val="21"/>
                <w:highlight w:val="none"/>
              </w:rPr>
              <w:fldChar w:fldCharType="end"/>
            </w:r>
            <w:r>
              <w:rPr>
                <w:rFonts w:hint="default" w:ascii="Times New Roman" w:hAnsi="Times New Roman" w:eastAsia="宋体" w:cs="Times New Roman"/>
                <w:snapToGrid w:val="0"/>
                <w:color w:val="auto"/>
                <w:kern w:val="0"/>
                <w:sz w:val="21"/>
                <w:szCs w:val="21"/>
                <w:highlight w:val="none"/>
              </w:rPr>
              <w:t>类</w:t>
            </w:r>
          </w:p>
        </w:tc>
        <w:tc>
          <w:tcPr>
            <w:tcW w:w="2065" w:type="dxa"/>
            <w:gridSpan w:val="3"/>
            <w:noWrap w:val="0"/>
            <w:vAlign w:val="center"/>
          </w:tcPr>
          <w:p>
            <w:pPr>
              <w:pStyle w:val="4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fldChar w:fldCharType="begin"/>
            </w:r>
            <w:r>
              <w:rPr>
                <w:rFonts w:hint="default" w:ascii="Times New Roman" w:hAnsi="Times New Roman" w:eastAsia="宋体" w:cs="Times New Roman"/>
                <w:snapToGrid w:val="0"/>
                <w:color w:val="auto"/>
                <w:kern w:val="0"/>
                <w:sz w:val="21"/>
                <w:szCs w:val="21"/>
                <w:highlight w:val="none"/>
              </w:rPr>
              <w:instrText xml:space="preserve"> = 3 \* ROMAN \* MERGEFORMAT </w:instrText>
            </w:r>
            <w:r>
              <w:rPr>
                <w:rFonts w:hint="default" w:ascii="Times New Roman" w:hAnsi="Times New Roman" w:eastAsia="宋体" w:cs="Times New Roman"/>
                <w:snapToGrid w:val="0"/>
                <w:color w:val="auto"/>
                <w:kern w:val="0"/>
                <w:sz w:val="21"/>
                <w:szCs w:val="21"/>
                <w:highlight w:val="none"/>
              </w:rPr>
              <w:fldChar w:fldCharType="separate"/>
            </w:r>
            <w:r>
              <w:rPr>
                <w:rFonts w:hint="default" w:ascii="Times New Roman" w:hAnsi="Times New Roman" w:eastAsia="宋体" w:cs="Times New Roman"/>
                <w:color w:val="auto"/>
                <w:sz w:val="21"/>
                <w:szCs w:val="21"/>
                <w:highlight w:val="none"/>
              </w:rPr>
              <w:t>III</w:t>
            </w:r>
            <w:r>
              <w:rPr>
                <w:rFonts w:hint="default" w:ascii="Times New Roman" w:hAnsi="Times New Roman" w:eastAsia="宋体" w:cs="Times New Roman"/>
                <w:snapToGrid w:val="0"/>
                <w:color w:val="auto"/>
                <w:kern w:val="0"/>
                <w:sz w:val="21"/>
                <w:szCs w:val="21"/>
                <w:highlight w:val="none"/>
              </w:rPr>
              <w:fldChar w:fldCharType="end"/>
            </w:r>
            <w:r>
              <w:rPr>
                <w:rFonts w:hint="default" w:ascii="Times New Roman" w:hAnsi="Times New Roman" w:eastAsia="宋体" w:cs="Times New Roman"/>
                <w:snapToGrid w:val="0"/>
                <w:color w:val="auto"/>
                <w:kern w:val="0"/>
                <w:sz w:val="21"/>
                <w:szCs w:val="21"/>
                <w:highlight w:val="none"/>
              </w:rPr>
              <w:t>类</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0" w:hRule="atLeast"/>
        </w:trPr>
        <w:tc>
          <w:tcPr>
            <w:tcW w:w="1799" w:type="dxa"/>
            <w:vMerge w:val="continue"/>
            <w:noWrap w:val="0"/>
            <w:vAlign w:val="center"/>
          </w:tcPr>
          <w:p>
            <w:pPr>
              <w:pStyle w:val="4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rPr>
            </w:pPr>
          </w:p>
        </w:tc>
        <w:tc>
          <w:tcPr>
            <w:tcW w:w="874" w:type="dxa"/>
            <w:noWrap w:val="0"/>
            <w:vAlign w:val="center"/>
          </w:tcPr>
          <w:p>
            <w:pPr>
              <w:pStyle w:val="46"/>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t>大</w:t>
            </w:r>
          </w:p>
        </w:tc>
        <w:tc>
          <w:tcPr>
            <w:tcW w:w="704" w:type="dxa"/>
            <w:noWrap w:val="0"/>
            <w:vAlign w:val="center"/>
          </w:tcPr>
          <w:p>
            <w:pPr>
              <w:pStyle w:val="46"/>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t>中</w:t>
            </w:r>
          </w:p>
        </w:tc>
        <w:tc>
          <w:tcPr>
            <w:tcW w:w="793" w:type="dxa"/>
            <w:noWrap w:val="0"/>
            <w:vAlign w:val="center"/>
          </w:tcPr>
          <w:p>
            <w:pPr>
              <w:pStyle w:val="46"/>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t>小</w:t>
            </w:r>
          </w:p>
        </w:tc>
        <w:tc>
          <w:tcPr>
            <w:tcW w:w="707" w:type="dxa"/>
            <w:noWrap w:val="0"/>
            <w:vAlign w:val="center"/>
          </w:tcPr>
          <w:p>
            <w:pPr>
              <w:pStyle w:val="46"/>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t>大</w:t>
            </w:r>
          </w:p>
        </w:tc>
        <w:tc>
          <w:tcPr>
            <w:tcW w:w="735" w:type="dxa"/>
            <w:noWrap w:val="0"/>
            <w:vAlign w:val="center"/>
          </w:tcPr>
          <w:p>
            <w:pPr>
              <w:pStyle w:val="46"/>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t>中</w:t>
            </w:r>
          </w:p>
        </w:tc>
        <w:tc>
          <w:tcPr>
            <w:tcW w:w="851" w:type="dxa"/>
            <w:noWrap w:val="0"/>
            <w:vAlign w:val="center"/>
          </w:tcPr>
          <w:p>
            <w:pPr>
              <w:pStyle w:val="46"/>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t>小</w:t>
            </w:r>
          </w:p>
        </w:tc>
        <w:tc>
          <w:tcPr>
            <w:tcW w:w="692" w:type="dxa"/>
            <w:noWrap w:val="0"/>
            <w:vAlign w:val="center"/>
          </w:tcPr>
          <w:p>
            <w:pPr>
              <w:pStyle w:val="46"/>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t>大</w:t>
            </w:r>
          </w:p>
        </w:tc>
        <w:tc>
          <w:tcPr>
            <w:tcW w:w="649" w:type="dxa"/>
            <w:noWrap w:val="0"/>
            <w:vAlign w:val="center"/>
          </w:tcPr>
          <w:p>
            <w:pPr>
              <w:pStyle w:val="46"/>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t>中</w:t>
            </w:r>
          </w:p>
        </w:tc>
        <w:tc>
          <w:tcPr>
            <w:tcW w:w="724" w:type="dxa"/>
            <w:noWrap w:val="0"/>
            <w:vAlign w:val="center"/>
          </w:tcPr>
          <w:p>
            <w:pPr>
              <w:pStyle w:val="46"/>
              <w:keepNext w:val="0"/>
              <w:keepLines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snapToGrid w:val="0"/>
                <w:color w:val="auto"/>
                <w:kern w:val="0"/>
                <w:sz w:val="21"/>
                <w:szCs w:val="21"/>
                <w:highlight w:val="none"/>
              </w:rPr>
            </w:pPr>
            <w:r>
              <w:rPr>
                <w:rFonts w:hint="default" w:ascii="Times New Roman" w:hAnsi="Times New Roman" w:eastAsia="宋体" w:cs="Times New Roman"/>
                <w:snapToGrid w:val="0"/>
                <w:color w:val="auto"/>
                <w:kern w:val="0"/>
                <w:sz w:val="21"/>
                <w:szCs w:val="21"/>
                <w:highlight w:val="none"/>
              </w:rPr>
              <w:t>小</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trPr>
        <w:tc>
          <w:tcPr>
            <w:tcW w:w="1799"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敏感</w:t>
            </w:r>
          </w:p>
        </w:tc>
        <w:tc>
          <w:tcPr>
            <w:tcW w:w="87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一级</w:t>
            </w:r>
          </w:p>
        </w:tc>
        <w:tc>
          <w:tcPr>
            <w:tcW w:w="70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一级</w:t>
            </w:r>
          </w:p>
        </w:tc>
        <w:tc>
          <w:tcPr>
            <w:tcW w:w="793"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一级</w:t>
            </w:r>
          </w:p>
        </w:tc>
        <w:tc>
          <w:tcPr>
            <w:tcW w:w="707"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二级</w:t>
            </w:r>
          </w:p>
        </w:tc>
        <w:tc>
          <w:tcPr>
            <w:tcW w:w="735"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二级</w:t>
            </w:r>
          </w:p>
        </w:tc>
        <w:tc>
          <w:tcPr>
            <w:tcW w:w="851"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二级</w:t>
            </w:r>
          </w:p>
        </w:tc>
        <w:tc>
          <w:tcPr>
            <w:tcW w:w="692"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三级</w:t>
            </w:r>
          </w:p>
        </w:tc>
        <w:tc>
          <w:tcPr>
            <w:tcW w:w="649"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shd w:val="clear" w:color="FFFFFF" w:fill="D9D9D9"/>
              </w:rPr>
            </w:pPr>
            <w:r>
              <w:rPr>
                <w:rFonts w:hint="default" w:ascii="Times New Roman" w:hAnsi="Times New Roman" w:eastAsia="宋体" w:cs="Times New Roman"/>
                <w:snapToGrid w:val="0"/>
                <w:color w:val="auto"/>
                <w:kern w:val="0"/>
                <w:highlight w:val="none"/>
                <w:shd w:val="clear" w:color="FFFFFF" w:fill="D9D9D9"/>
              </w:rPr>
              <w:t>三级</w:t>
            </w:r>
          </w:p>
        </w:tc>
        <w:tc>
          <w:tcPr>
            <w:tcW w:w="72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shd w:val="clear" w:color="auto" w:fill="auto"/>
              </w:rPr>
              <w:t>三级</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c>
          <w:tcPr>
            <w:tcW w:w="1799"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较敏感</w:t>
            </w:r>
          </w:p>
        </w:tc>
        <w:tc>
          <w:tcPr>
            <w:tcW w:w="87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一级</w:t>
            </w:r>
          </w:p>
        </w:tc>
        <w:tc>
          <w:tcPr>
            <w:tcW w:w="70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一级</w:t>
            </w:r>
          </w:p>
        </w:tc>
        <w:tc>
          <w:tcPr>
            <w:tcW w:w="793"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二级</w:t>
            </w:r>
          </w:p>
        </w:tc>
        <w:tc>
          <w:tcPr>
            <w:tcW w:w="707"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二级</w:t>
            </w:r>
          </w:p>
        </w:tc>
        <w:tc>
          <w:tcPr>
            <w:tcW w:w="735"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二级</w:t>
            </w:r>
          </w:p>
        </w:tc>
        <w:tc>
          <w:tcPr>
            <w:tcW w:w="851"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三级</w:t>
            </w:r>
          </w:p>
        </w:tc>
        <w:tc>
          <w:tcPr>
            <w:tcW w:w="692"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三级</w:t>
            </w:r>
          </w:p>
        </w:tc>
        <w:tc>
          <w:tcPr>
            <w:tcW w:w="649"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三级</w:t>
            </w:r>
          </w:p>
        </w:tc>
        <w:tc>
          <w:tcPr>
            <w:tcW w:w="72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c>
          <w:tcPr>
            <w:tcW w:w="1799"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不敏感</w:t>
            </w:r>
          </w:p>
        </w:tc>
        <w:tc>
          <w:tcPr>
            <w:tcW w:w="87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一级</w:t>
            </w:r>
          </w:p>
        </w:tc>
        <w:tc>
          <w:tcPr>
            <w:tcW w:w="70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二级</w:t>
            </w:r>
          </w:p>
        </w:tc>
        <w:tc>
          <w:tcPr>
            <w:tcW w:w="793"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二级</w:t>
            </w:r>
          </w:p>
        </w:tc>
        <w:tc>
          <w:tcPr>
            <w:tcW w:w="707"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二级</w:t>
            </w:r>
          </w:p>
        </w:tc>
        <w:tc>
          <w:tcPr>
            <w:tcW w:w="735"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三级</w:t>
            </w:r>
          </w:p>
        </w:tc>
        <w:tc>
          <w:tcPr>
            <w:tcW w:w="851"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三级</w:t>
            </w:r>
          </w:p>
        </w:tc>
        <w:tc>
          <w:tcPr>
            <w:tcW w:w="692"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三级</w:t>
            </w:r>
          </w:p>
        </w:tc>
        <w:tc>
          <w:tcPr>
            <w:tcW w:w="649"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shd w:val="clear" w:color="auto" w:fill="auto"/>
              </w:rPr>
              <w:t>-</w:t>
            </w:r>
          </w:p>
        </w:tc>
        <w:tc>
          <w:tcPr>
            <w:tcW w:w="724"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c>
          <w:tcPr>
            <w:tcW w:w="8528" w:type="dxa"/>
            <w:gridSpan w:val="10"/>
            <w:noWrap w:val="0"/>
            <w:vAlign w:val="center"/>
          </w:tcPr>
          <w:p>
            <w:pPr>
              <w:keepNext w:val="0"/>
              <w:keepLines w:val="0"/>
              <w:suppressLineNumbers w:val="0"/>
              <w:adjustRightInd w:val="0"/>
              <w:snapToGrid w:val="0"/>
              <w:spacing w:before="0" w:beforeAutospacing="0" w:after="0" w:afterAutospacing="0"/>
              <w:ind w:left="0" w:right="0"/>
              <w:jc w:val="both"/>
              <w:rPr>
                <w:rFonts w:hint="default" w:ascii="Times New Roman" w:hAnsi="Times New Roman" w:eastAsia="宋体" w:cs="Times New Roman"/>
                <w:snapToGrid w:val="0"/>
                <w:color w:val="auto"/>
                <w:kern w:val="0"/>
                <w:highlight w:val="none"/>
              </w:rPr>
            </w:pPr>
            <w:r>
              <w:rPr>
                <w:rFonts w:hint="default" w:ascii="Times New Roman" w:hAnsi="Times New Roman" w:eastAsia="宋体" w:cs="Times New Roman"/>
                <w:snapToGrid w:val="0"/>
                <w:color w:val="auto"/>
                <w:kern w:val="0"/>
                <w:highlight w:val="none"/>
              </w:rPr>
              <w:t>注：“-”表示可不开展土壤环境影响评价工作。</w:t>
            </w:r>
          </w:p>
        </w:tc>
      </w:tr>
    </w:tbl>
    <w:p>
      <w:pPr>
        <w:pStyle w:val="24"/>
        <w:spacing w:line="440" w:lineRule="exact"/>
        <w:ind w:firstLine="480"/>
        <w:rPr>
          <w:rFonts w:hint="eastAsia" w:asciiTheme="minorHAnsi" w:eastAsiaTheme="minorEastAsia" w:cstheme="minorBidi"/>
          <w:color w:val="auto"/>
          <w:spacing w:val="4"/>
          <w:szCs w:val="21"/>
          <w:highlight w:val="none"/>
        </w:rPr>
      </w:pPr>
      <w:r>
        <w:rPr>
          <w:rFonts w:ascii="Times New Roman" w:hAnsi="Times New Roman"/>
          <w:color w:val="auto"/>
          <w:highlight w:val="none"/>
        </w:rPr>
        <w:t>根据上述识别结果，本项目为污染影响型建设项目，为农林牧渔业中的年出栏生猪5000头（其他畜禽种类折合猪的养殖规模）及以上的畜禽养殖场或养殖小区类项目，属Ⅲ类项目。占地规模属中型，土壤环境敏感程度为敏感，综合判定评价等级为</w:t>
      </w:r>
      <w:r>
        <w:rPr>
          <w:rFonts w:hint="eastAsia" w:ascii="Times New Roman" w:hAnsi="Times New Roman"/>
          <w:color w:val="auto"/>
          <w:highlight w:val="none"/>
        </w:rPr>
        <w:t>“</w:t>
      </w:r>
      <w:r>
        <w:rPr>
          <w:rFonts w:ascii="Times New Roman" w:hAnsi="Times New Roman"/>
          <w:b/>
          <w:color w:val="auto"/>
          <w:highlight w:val="none"/>
        </w:rPr>
        <w:t>三级</w:t>
      </w:r>
      <w:r>
        <w:rPr>
          <w:rFonts w:hint="eastAsia" w:ascii="Times New Roman" w:hAnsi="Times New Roman"/>
          <w:color w:val="auto"/>
          <w:highlight w:val="none"/>
        </w:rPr>
        <w:t>”</w:t>
      </w:r>
      <w:r>
        <w:rPr>
          <w:rFonts w:ascii="Times New Roman" w:hAnsi="Times New Roman"/>
          <w:color w:val="auto"/>
          <w:highlight w:val="none"/>
        </w:rPr>
        <w:t>。</w:t>
      </w:r>
    </w:p>
    <w:p>
      <w:pPr>
        <w:ind w:firstLine="480" w:firstLineChars="200"/>
        <w:rPr>
          <w:rFonts w:hint="eastAsia" w:asciiTheme="minorHAnsi" w:eastAsiaTheme="minorEastAsia" w:cstheme="minorBidi"/>
          <w:color w:val="auto"/>
          <w:spacing w:val="4"/>
          <w:szCs w:val="21"/>
          <w:highlight w:val="none"/>
        </w:rPr>
      </w:pPr>
      <w:r>
        <w:rPr>
          <w:rFonts w:hint="eastAsia"/>
          <w:color w:val="auto"/>
          <w:sz w:val="24"/>
          <w:szCs w:val="24"/>
          <w:highlight w:val="none"/>
          <w:lang w:val="en-US" w:eastAsia="zh-CN"/>
        </w:rPr>
        <w:t>7</w:t>
      </w:r>
      <w:r>
        <w:rPr>
          <w:rFonts w:hint="eastAsia"/>
          <w:color w:val="auto"/>
          <w:sz w:val="24"/>
          <w:szCs w:val="24"/>
          <w:highlight w:val="none"/>
        </w:rPr>
        <w:t>、环境风险</w:t>
      </w:r>
    </w:p>
    <w:p>
      <w:pPr>
        <w:pStyle w:val="158"/>
        <w:ind w:firstLine="496"/>
        <w:rPr>
          <w:rFonts w:hint="default" w:ascii="Times New Roman" w:hAnsi="Times New Roman" w:eastAsia="宋体" w:cs="Times New Roman"/>
          <w:b/>
          <w:bCs/>
          <w:color w:val="auto"/>
          <w:highlight w:val="none"/>
          <w:lang w:val="en-US" w:eastAsia="zh-CN"/>
        </w:rPr>
      </w:pPr>
      <w:r>
        <w:rPr>
          <w:rFonts w:hint="eastAsia"/>
          <w:color w:val="auto"/>
          <w:spacing w:val="4"/>
          <w:highlight w:val="none"/>
        </w:rPr>
        <w:t>根据《建设项目环境风险评价技术导则》（</w:t>
      </w:r>
      <w:r>
        <w:rPr>
          <w:color w:val="auto"/>
          <w:spacing w:val="4"/>
          <w:highlight w:val="none"/>
        </w:rPr>
        <w:t>HJ 169-2018</w:t>
      </w:r>
      <w:r>
        <w:rPr>
          <w:rFonts w:hint="eastAsia"/>
          <w:color w:val="auto"/>
          <w:spacing w:val="4"/>
          <w:highlight w:val="none"/>
        </w:rPr>
        <w:t>），环境风险评价工作等级需先根据建设项目涉及的物质及工艺系统危险性和所在地的环境敏感性确定环境风险潜势，再根据环境风险潜势来进行判定。</w:t>
      </w:r>
    </w:p>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 xml:space="preserve"> 环境风险评价工作等级划分</w:t>
      </w:r>
    </w:p>
    <w:tbl>
      <w:tblPr>
        <w:tblStyle w:val="92"/>
        <w:tblW w:w="5000"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00" w:type="pct"/>
            <w:tcBorders>
              <w:tl2br w:val="nil"/>
              <w:tr2bl w:val="nil"/>
            </w:tcBorders>
            <w:vAlign w:val="center"/>
          </w:tcPr>
          <w:p>
            <w:pPr>
              <w:keepNext w:val="0"/>
              <w:keepLines w:val="0"/>
              <w:suppressLineNumbers w:val="0"/>
              <w:tabs>
                <w:tab w:val="left" w:pos="1220"/>
              </w:tabs>
              <w:spacing w:before="0" w:beforeAutospacing="0" w:after="0" w:afterAutospacing="0" w:line="240" w:lineRule="auto"/>
              <w:ind w:left="0" w:right="0"/>
              <w:jc w:val="center"/>
              <w:rPr>
                <w:rFonts w:hint="default"/>
                <w:color w:val="auto"/>
                <w:spacing w:val="4"/>
                <w:highlight w:val="none"/>
              </w:rPr>
            </w:pPr>
            <w:r>
              <w:rPr>
                <w:rFonts w:hint="eastAsia"/>
                <w:color w:val="auto"/>
                <w:spacing w:val="4"/>
                <w:highlight w:val="none"/>
              </w:rPr>
              <w:t>环境风险潜势</w:t>
            </w:r>
          </w:p>
        </w:tc>
        <w:tc>
          <w:tcPr>
            <w:tcW w:w="1000" w:type="pct"/>
            <w:tcBorders>
              <w:tl2br w:val="nil"/>
              <w:tr2bl w:val="nil"/>
            </w:tcBorders>
            <w:vAlign w:val="center"/>
          </w:tcPr>
          <w:p>
            <w:pPr>
              <w:keepNext w:val="0"/>
              <w:keepLines w:val="0"/>
              <w:suppressLineNumbers w:val="0"/>
              <w:tabs>
                <w:tab w:val="left" w:pos="1220"/>
              </w:tabs>
              <w:spacing w:before="0" w:beforeAutospacing="0" w:after="0" w:afterAutospacing="0" w:line="240" w:lineRule="auto"/>
              <w:ind w:left="0" w:right="0"/>
              <w:jc w:val="center"/>
              <w:rPr>
                <w:rFonts w:hint="default"/>
                <w:color w:val="auto"/>
                <w:spacing w:val="4"/>
                <w:highlight w:val="none"/>
              </w:rPr>
            </w:pPr>
            <w:r>
              <w:rPr>
                <w:rFonts w:hint="eastAsia"/>
                <w:color w:val="auto"/>
                <w:spacing w:val="4"/>
                <w:highlight w:val="none"/>
              </w:rPr>
              <w:t>Ⅳ、Ⅳ</w:t>
            </w:r>
            <w:r>
              <w:rPr>
                <w:rFonts w:hint="eastAsia"/>
                <w:color w:val="auto"/>
                <w:spacing w:val="4"/>
                <w:highlight w:val="none"/>
                <w:vertAlign w:val="superscript"/>
              </w:rPr>
              <w:t>+</w:t>
            </w:r>
          </w:p>
        </w:tc>
        <w:tc>
          <w:tcPr>
            <w:tcW w:w="1000" w:type="pct"/>
            <w:tcBorders>
              <w:tl2br w:val="nil"/>
              <w:tr2bl w:val="nil"/>
            </w:tcBorders>
            <w:vAlign w:val="center"/>
          </w:tcPr>
          <w:p>
            <w:pPr>
              <w:keepNext w:val="0"/>
              <w:keepLines w:val="0"/>
              <w:suppressLineNumbers w:val="0"/>
              <w:tabs>
                <w:tab w:val="left" w:pos="1220"/>
              </w:tabs>
              <w:spacing w:before="0" w:beforeAutospacing="0" w:after="0" w:afterAutospacing="0" w:line="240" w:lineRule="auto"/>
              <w:ind w:left="0" w:right="0"/>
              <w:jc w:val="center"/>
              <w:rPr>
                <w:rFonts w:hint="default"/>
                <w:color w:val="auto"/>
                <w:spacing w:val="4"/>
                <w:highlight w:val="none"/>
              </w:rPr>
            </w:pPr>
            <w:r>
              <w:rPr>
                <w:rFonts w:hint="eastAsia"/>
                <w:color w:val="auto"/>
                <w:spacing w:val="4"/>
                <w:highlight w:val="none"/>
              </w:rPr>
              <w:t>Ⅲ</w:t>
            </w:r>
          </w:p>
        </w:tc>
        <w:tc>
          <w:tcPr>
            <w:tcW w:w="1000" w:type="pct"/>
            <w:tcBorders>
              <w:tl2br w:val="nil"/>
              <w:tr2bl w:val="nil"/>
            </w:tcBorders>
            <w:vAlign w:val="center"/>
          </w:tcPr>
          <w:p>
            <w:pPr>
              <w:keepNext w:val="0"/>
              <w:keepLines w:val="0"/>
              <w:suppressLineNumbers w:val="0"/>
              <w:tabs>
                <w:tab w:val="left" w:pos="1220"/>
              </w:tabs>
              <w:spacing w:before="0" w:beforeAutospacing="0" w:after="0" w:afterAutospacing="0" w:line="240" w:lineRule="auto"/>
              <w:ind w:left="0" w:right="0"/>
              <w:jc w:val="center"/>
              <w:rPr>
                <w:rFonts w:hint="default"/>
                <w:color w:val="auto"/>
                <w:spacing w:val="4"/>
                <w:highlight w:val="none"/>
              </w:rPr>
            </w:pPr>
            <w:r>
              <w:rPr>
                <w:rFonts w:hint="eastAsia"/>
                <w:color w:val="auto"/>
                <w:spacing w:val="4"/>
                <w:highlight w:val="none"/>
              </w:rPr>
              <w:t>Ⅱ</w:t>
            </w:r>
          </w:p>
        </w:tc>
        <w:tc>
          <w:tcPr>
            <w:tcW w:w="1001" w:type="pct"/>
            <w:tcBorders>
              <w:tl2br w:val="nil"/>
              <w:tr2bl w:val="nil"/>
            </w:tcBorders>
            <w:vAlign w:val="center"/>
          </w:tcPr>
          <w:p>
            <w:pPr>
              <w:keepNext w:val="0"/>
              <w:keepLines w:val="0"/>
              <w:suppressLineNumbers w:val="0"/>
              <w:tabs>
                <w:tab w:val="left" w:pos="1220"/>
              </w:tabs>
              <w:spacing w:before="0" w:beforeAutospacing="0" w:after="0" w:afterAutospacing="0" w:line="240" w:lineRule="auto"/>
              <w:ind w:left="0" w:right="0"/>
              <w:jc w:val="center"/>
              <w:rPr>
                <w:rFonts w:hint="default"/>
                <w:color w:val="auto"/>
                <w:spacing w:val="4"/>
                <w:highlight w:val="none"/>
              </w:rPr>
            </w:pPr>
            <w:r>
              <w:rPr>
                <w:rFonts w:hint="eastAsia"/>
                <w:color w:val="auto"/>
                <w:spacing w:val="4"/>
                <w:highlight w:val="none"/>
              </w:rPr>
              <w:t>Ⅰ</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00" w:type="pct"/>
            <w:tcBorders>
              <w:tl2br w:val="nil"/>
              <w:tr2bl w:val="nil"/>
            </w:tcBorders>
            <w:vAlign w:val="center"/>
          </w:tcPr>
          <w:p>
            <w:pPr>
              <w:keepNext w:val="0"/>
              <w:keepLines w:val="0"/>
              <w:suppressLineNumbers w:val="0"/>
              <w:tabs>
                <w:tab w:val="left" w:pos="1220"/>
              </w:tabs>
              <w:spacing w:before="0" w:beforeAutospacing="0" w:after="0" w:afterAutospacing="0" w:line="240" w:lineRule="auto"/>
              <w:ind w:left="0" w:right="0"/>
              <w:jc w:val="center"/>
              <w:rPr>
                <w:rFonts w:hint="default"/>
                <w:color w:val="auto"/>
                <w:spacing w:val="4"/>
                <w:highlight w:val="none"/>
              </w:rPr>
            </w:pPr>
            <w:r>
              <w:rPr>
                <w:rFonts w:hint="eastAsia"/>
                <w:color w:val="auto"/>
                <w:spacing w:val="4"/>
                <w:highlight w:val="none"/>
              </w:rPr>
              <w:t>评价工作等级</w:t>
            </w:r>
          </w:p>
        </w:tc>
        <w:tc>
          <w:tcPr>
            <w:tcW w:w="1000" w:type="pct"/>
            <w:tcBorders>
              <w:tl2br w:val="nil"/>
              <w:tr2bl w:val="nil"/>
            </w:tcBorders>
            <w:vAlign w:val="center"/>
          </w:tcPr>
          <w:p>
            <w:pPr>
              <w:keepNext w:val="0"/>
              <w:keepLines w:val="0"/>
              <w:suppressLineNumbers w:val="0"/>
              <w:tabs>
                <w:tab w:val="left" w:pos="1220"/>
              </w:tabs>
              <w:spacing w:before="0" w:beforeAutospacing="0" w:after="0" w:afterAutospacing="0" w:line="240" w:lineRule="auto"/>
              <w:ind w:left="0" w:right="0"/>
              <w:jc w:val="center"/>
              <w:rPr>
                <w:rFonts w:hint="default"/>
                <w:color w:val="auto"/>
                <w:spacing w:val="4"/>
                <w:highlight w:val="none"/>
              </w:rPr>
            </w:pPr>
            <w:r>
              <w:rPr>
                <w:rFonts w:hint="eastAsia"/>
                <w:color w:val="auto"/>
                <w:spacing w:val="4"/>
                <w:highlight w:val="none"/>
              </w:rPr>
              <w:t>一</w:t>
            </w:r>
          </w:p>
        </w:tc>
        <w:tc>
          <w:tcPr>
            <w:tcW w:w="1000" w:type="pct"/>
            <w:tcBorders>
              <w:tl2br w:val="nil"/>
              <w:tr2bl w:val="nil"/>
            </w:tcBorders>
            <w:vAlign w:val="center"/>
          </w:tcPr>
          <w:p>
            <w:pPr>
              <w:keepNext w:val="0"/>
              <w:keepLines w:val="0"/>
              <w:suppressLineNumbers w:val="0"/>
              <w:tabs>
                <w:tab w:val="left" w:pos="1220"/>
              </w:tabs>
              <w:spacing w:before="0" w:beforeAutospacing="0" w:after="0" w:afterAutospacing="0" w:line="240" w:lineRule="auto"/>
              <w:ind w:left="0" w:right="0"/>
              <w:jc w:val="center"/>
              <w:rPr>
                <w:rFonts w:hint="default"/>
                <w:color w:val="auto"/>
                <w:spacing w:val="4"/>
                <w:highlight w:val="none"/>
              </w:rPr>
            </w:pPr>
            <w:r>
              <w:rPr>
                <w:rFonts w:hint="eastAsia"/>
                <w:color w:val="auto"/>
                <w:spacing w:val="4"/>
                <w:highlight w:val="none"/>
              </w:rPr>
              <w:t>二</w:t>
            </w:r>
          </w:p>
        </w:tc>
        <w:tc>
          <w:tcPr>
            <w:tcW w:w="1000" w:type="pct"/>
            <w:tcBorders>
              <w:tl2br w:val="nil"/>
              <w:tr2bl w:val="nil"/>
            </w:tcBorders>
            <w:vAlign w:val="center"/>
          </w:tcPr>
          <w:p>
            <w:pPr>
              <w:keepNext w:val="0"/>
              <w:keepLines w:val="0"/>
              <w:suppressLineNumbers w:val="0"/>
              <w:tabs>
                <w:tab w:val="left" w:pos="1220"/>
              </w:tabs>
              <w:spacing w:before="0" w:beforeAutospacing="0" w:after="0" w:afterAutospacing="0" w:line="240" w:lineRule="auto"/>
              <w:ind w:left="0" w:right="0"/>
              <w:jc w:val="center"/>
              <w:rPr>
                <w:rFonts w:hint="default"/>
                <w:color w:val="auto"/>
                <w:spacing w:val="4"/>
                <w:highlight w:val="none"/>
              </w:rPr>
            </w:pPr>
            <w:r>
              <w:rPr>
                <w:rFonts w:hint="eastAsia"/>
                <w:color w:val="auto"/>
                <w:spacing w:val="4"/>
                <w:highlight w:val="none"/>
              </w:rPr>
              <w:t>三</w:t>
            </w:r>
          </w:p>
        </w:tc>
        <w:tc>
          <w:tcPr>
            <w:tcW w:w="1001" w:type="pct"/>
            <w:tcBorders>
              <w:tl2br w:val="nil"/>
              <w:tr2bl w:val="nil"/>
            </w:tcBorders>
            <w:vAlign w:val="center"/>
          </w:tcPr>
          <w:p>
            <w:pPr>
              <w:keepNext w:val="0"/>
              <w:keepLines w:val="0"/>
              <w:suppressLineNumbers w:val="0"/>
              <w:tabs>
                <w:tab w:val="left" w:pos="1220"/>
              </w:tabs>
              <w:spacing w:before="0" w:beforeAutospacing="0" w:after="0" w:afterAutospacing="0" w:line="240" w:lineRule="auto"/>
              <w:ind w:left="0" w:right="0"/>
              <w:jc w:val="center"/>
              <w:rPr>
                <w:rFonts w:hint="default"/>
                <w:color w:val="auto"/>
                <w:spacing w:val="4"/>
                <w:highlight w:val="none"/>
              </w:rPr>
            </w:pPr>
            <w:r>
              <w:rPr>
                <w:rFonts w:hint="eastAsia"/>
                <w:color w:val="auto"/>
                <w:spacing w:val="4"/>
                <w:highlight w:val="none"/>
              </w:rPr>
              <w:t>简单分析</w:t>
            </w:r>
            <w:r>
              <w:rPr>
                <w:rFonts w:hint="eastAsia"/>
                <w:color w:val="auto"/>
                <w:spacing w:val="4"/>
                <w:highlight w:val="none"/>
                <w:vertAlign w:val="superscript"/>
              </w:rPr>
              <w:t>a</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5000" w:type="pct"/>
            <w:gridSpan w:val="5"/>
            <w:tcBorders>
              <w:tl2br w:val="nil"/>
              <w:tr2bl w:val="nil"/>
            </w:tcBorders>
            <w:vAlign w:val="center"/>
          </w:tcPr>
          <w:p>
            <w:pPr>
              <w:keepNext w:val="0"/>
              <w:keepLines w:val="0"/>
              <w:suppressLineNumbers w:val="0"/>
              <w:tabs>
                <w:tab w:val="left" w:pos="1220"/>
              </w:tabs>
              <w:spacing w:before="0" w:beforeAutospacing="0" w:after="0" w:afterAutospacing="0" w:line="240" w:lineRule="auto"/>
              <w:ind w:left="0" w:right="0"/>
              <w:jc w:val="left"/>
              <w:rPr>
                <w:rFonts w:hint="default"/>
                <w:color w:val="auto"/>
                <w:spacing w:val="4"/>
                <w:highlight w:val="none"/>
              </w:rPr>
            </w:pPr>
            <w:r>
              <w:rPr>
                <w:rFonts w:hint="default"/>
                <w:color w:val="auto"/>
                <w:spacing w:val="4"/>
                <w:highlight w:val="none"/>
                <w:vertAlign w:val="superscript"/>
              </w:rPr>
              <w:t>a</w:t>
            </w:r>
            <w:r>
              <w:rPr>
                <w:rFonts w:hint="eastAsia"/>
                <w:color w:val="auto"/>
                <w:spacing w:val="4"/>
                <w:highlight w:val="none"/>
              </w:rPr>
              <w:t>是相对于详细评价工作内容而言，在描述危险物质、环境影响途径、环境危害后果、风险防范措施等方面给出定性的说明。</w:t>
            </w:r>
          </w:p>
        </w:tc>
      </w:tr>
    </w:tbl>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按照《建设项目环境风险评价技术导则》（HJ169-2018）附录B临界量进行判别，结果见表</w:t>
      </w:r>
      <w:r>
        <w:rPr>
          <w:rFonts w:hint="eastAsia" w:ascii="Times New Roman" w:hAnsi="Times New Roman" w:eastAsia="宋体" w:cs="Times New Roman"/>
          <w:color w:val="auto"/>
          <w:sz w:val="24"/>
          <w:szCs w:val="24"/>
          <w:highlight w:val="none"/>
          <w:lang w:val="en-US" w:eastAsia="zh-CN"/>
        </w:rPr>
        <w:t>2.5</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12</w:t>
      </w:r>
      <w:r>
        <w:rPr>
          <w:rFonts w:ascii="Times New Roman" w:hAnsi="Times New Roman" w:eastAsia="宋体" w:cs="Times New Roman"/>
          <w:color w:val="auto"/>
          <w:sz w:val="24"/>
          <w:szCs w:val="24"/>
          <w:highlight w:val="none"/>
        </w:rPr>
        <w:t>。</w:t>
      </w:r>
    </w:p>
    <w:p>
      <w:pPr>
        <w:numPr>
          <w:ilvl w:val="0"/>
          <w:numId w:val="7"/>
        </w:numPr>
        <w:tabs>
          <w:tab w:val="left" w:pos="0"/>
        </w:tabs>
        <w:ind w:left="425" w:leftChars="0" w:hanging="425" w:firstLineChars="0"/>
        <w:jc w:val="center"/>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 xml:space="preserve"> 危险物质数量与临界量比值判别表</w:t>
      </w:r>
    </w:p>
    <w:tbl>
      <w:tblPr>
        <w:tblStyle w:val="9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1743"/>
        <w:gridCol w:w="1237"/>
        <w:gridCol w:w="1651"/>
        <w:gridCol w:w="1201"/>
        <w:gridCol w:w="20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37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1023"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物料名称</w:t>
            </w:r>
          </w:p>
        </w:tc>
        <w:tc>
          <w:tcPr>
            <w:tcW w:w="72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CAS号</w:t>
            </w:r>
          </w:p>
        </w:tc>
        <w:tc>
          <w:tcPr>
            <w:tcW w:w="96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最大储存量(吨)</w:t>
            </w:r>
          </w:p>
        </w:tc>
        <w:tc>
          <w:tcPr>
            <w:tcW w:w="70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临界量(吨)</w:t>
            </w:r>
          </w:p>
        </w:tc>
        <w:tc>
          <w:tcPr>
            <w:tcW w:w="12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q/Q</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37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023"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柴油</w:t>
            </w:r>
          </w:p>
        </w:tc>
        <w:tc>
          <w:tcPr>
            <w:tcW w:w="72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96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0.16</w:t>
            </w:r>
          </w:p>
        </w:tc>
        <w:tc>
          <w:tcPr>
            <w:tcW w:w="70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2500</w:t>
            </w:r>
          </w:p>
        </w:tc>
        <w:tc>
          <w:tcPr>
            <w:tcW w:w="12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0.000064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37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023"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沼气（甲烷）</w:t>
            </w:r>
          </w:p>
        </w:tc>
        <w:tc>
          <w:tcPr>
            <w:tcW w:w="72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74-82-8</w:t>
            </w:r>
          </w:p>
        </w:tc>
        <w:tc>
          <w:tcPr>
            <w:tcW w:w="96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0.25</w:t>
            </w:r>
          </w:p>
        </w:tc>
        <w:tc>
          <w:tcPr>
            <w:tcW w:w="70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12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37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1023"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rPr>
              <w:t>过氧乙酸</w:t>
            </w:r>
          </w:p>
        </w:tc>
        <w:tc>
          <w:tcPr>
            <w:tcW w:w="72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rPr>
              <w:t>7</w:t>
            </w:r>
            <w:r>
              <w:rPr>
                <w:rFonts w:hint="default" w:ascii="Times New Roman" w:hAnsi="Times New Roman" w:cs="Times New Roman"/>
                <w:color w:val="auto"/>
                <w:sz w:val="21"/>
                <w:szCs w:val="21"/>
                <w:highlight w:val="none"/>
                <w:lang w:val="en-US" w:eastAsia="zh-CN"/>
              </w:rPr>
              <w:t>9</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21</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0</w:t>
            </w:r>
          </w:p>
        </w:tc>
        <w:tc>
          <w:tcPr>
            <w:tcW w:w="96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w:t>
            </w:r>
          </w:p>
        </w:tc>
        <w:tc>
          <w:tcPr>
            <w:tcW w:w="70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12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3799" w:type="pct"/>
            <w:gridSpan w:val="5"/>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合计</w:t>
            </w:r>
          </w:p>
        </w:tc>
        <w:tc>
          <w:tcPr>
            <w:tcW w:w="12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0.045064</w:t>
            </w:r>
          </w:p>
        </w:tc>
      </w:tr>
    </w:tbl>
    <w:p>
      <w:pPr>
        <w:spacing w:line="360" w:lineRule="auto"/>
        <w:ind w:firstLine="480" w:firstLineChars="200"/>
        <w:rPr>
          <w:rFonts w:hint="eastAsia"/>
          <w:color w:val="auto"/>
          <w:spacing w:val="4"/>
          <w:sz w:val="24"/>
          <w:highlight w:val="none"/>
        </w:rPr>
      </w:pPr>
      <w:r>
        <w:rPr>
          <w:rFonts w:ascii="Times New Roman" w:hAnsi="Times New Roman" w:eastAsia="宋体" w:cs="Times New Roman"/>
          <w:color w:val="auto"/>
          <w:sz w:val="24"/>
          <w:szCs w:val="24"/>
          <w:highlight w:val="none"/>
        </w:rPr>
        <w:t>经计算，本项目危险物质数量与临界量比值</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rPr>
        <w:t>=</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vertAlign w:val="subscript"/>
        </w:rPr>
        <w:t>1</w:t>
      </w:r>
      <w:r>
        <w:rPr>
          <w:rFonts w:ascii="Times New Roman" w:hAnsi="Times New Roman" w:eastAsia="宋体" w:cs="Times New Roman"/>
          <w:color w:val="auto"/>
          <w:sz w:val="24"/>
          <w:szCs w:val="24"/>
          <w:highlight w:val="none"/>
        </w:rPr>
        <w:t>/</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vertAlign w:val="subscript"/>
        </w:rPr>
        <w:t>1</w:t>
      </w:r>
      <w:r>
        <w:rPr>
          <w:rFonts w:ascii="Times New Roman" w:hAnsi="Times New Roman" w:eastAsia="宋体" w:cs="Times New Roman"/>
          <w:color w:val="auto"/>
          <w:sz w:val="24"/>
          <w:szCs w:val="24"/>
          <w:highlight w:val="none"/>
        </w:rPr>
        <w:t>+</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0.045064</w:t>
      </w:r>
      <w:r>
        <w:rPr>
          <w:rFonts w:ascii="Times New Roman" w:hAnsi="Times New Roman" w:eastAsia="宋体" w:cs="Times New Roman"/>
          <w:color w:val="auto"/>
          <w:sz w:val="24"/>
          <w:szCs w:val="24"/>
          <w:highlight w:val="none"/>
        </w:rPr>
        <w:t>&lt;1，根据HJ169-2018附录C.1.1当Q&lt;1时，项目环境风险潜势为Ⅰ。</w:t>
      </w:r>
    </w:p>
    <w:p>
      <w:pPr>
        <w:tabs>
          <w:tab w:val="left" w:pos="1220"/>
        </w:tabs>
        <w:ind w:firstLine="520" w:firstLineChars="210"/>
        <w:rPr>
          <w:color w:val="auto"/>
          <w:spacing w:val="4"/>
          <w:sz w:val="24"/>
          <w:highlight w:val="none"/>
        </w:rPr>
      </w:pPr>
      <w:r>
        <w:rPr>
          <w:rFonts w:hint="eastAsia"/>
          <w:color w:val="auto"/>
          <w:spacing w:val="4"/>
          <w:sz w:val="24"/>
          <w:highlight w:val="none"/>
        </w:rPr>
        <w:t>由表可知，拟建项目环境风险评价工作等级可仅开展简单分析。</w:t>
      </w:r>
    </w:p>
    <w:p>
      <w:pPr>
        <w:pStyle w:val="8"/>
        <w:spacing w:before="0" w:after="0" w:line="360" w:lineRule="auto"/>
        <w:ind w:left="0" w:firstLine="0"/>
        <w:rPr>
          <w:rFonts w:cs="Times New Roman"/>
          <w:color w:val="auto"/>
          <w:highlight w:val="none"/>
        </w:rPr>
      </w:pPr>
      <w:bookmarkStart w:id="81" w:name="_Toc405412761"/>
      <w:bookmarkStart w:id="82" w:name="_Toc32474"/>
      <w:bookmarkStart w:id="83" w:name="_Toc321575582"/>
      <w:bookmarkStart w:id="84" w:name="_Toc319591139"/>
      <w:bookmarkStart w:id="85" w:name="_Toc319588828"/>
      <w:r>
        <w:rPr>
          <w:rFonts w:cs="Times New Roman"/>
          <w:color w:val="auto"/>
          <w:highlight w:val="none"/>
        </w:rPr>
        <w:t>评价范围</w:t>
      </w:r>
      <w:bookmarkEnd w:id="81"/>
      <w:bookmarkEnd w:id="82"/>
    </w:p>
    <w:p>
      <w:pPr>
        <w:pStyle w:val="158"/>
        <w:ind w:firstLine="480"/>
        <w:rPr>
          <w:rFonts w:hint="default" w:ascii="Times New Roman" w:hAnsi="Times New Roman" w:eastAsia="宋体" w:cs="Times New Roman"/>
          <w:b/>
          <w:bCs/>
          <w:color w:val="auto"/>
          <w:highlight w:val="none"/>
          <w:lang w:val="en-US" w:eastAsia="zh-CN"/>
        </w:rPr>
      </w:pPr>
      <w:r>
        <w:rPr>
          <w:color w:val="auto"/>
          <w:highlight w:val="none"/>
        </w:rPr>
        <w:t>根据《环境影响评价技术导则》中关于评价范围的划分原则，以及结合本项目现场踏勘调查实际情况，确定本项目评价范围如下：</w:t>
      </w:r>
    </w:p>
    <w:bookmarkEnd w:id="83"/>
    <w:bookmarkEnd w:id="84"/>
    <w:bookmarkEnd w:id="85"/>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 xml:space="preserve"> </w:t>
      </w:r>
      <w:r>
        <w:rPr>
          <w:rFonts w:hint="eastAsia" w:ascii="Times New Roman" w:hAnsi="Times New Roman" w:eastAsia="宋体" w:cs="Times New Roman"/>
          <w:b/>
          <w:bCs/>
          <w:color w:val="auto"/>
          <w:highlight w:val="none"/>
          <w:lang w:val="en-US" w:eastAsia="zh-CN"/>
        </w:rPr>
        <w:t xml:space="preserve"> </w:t>
      </w:r>
      <w:r>
        <w:rPr>
          <w:rFonts w:hint="default" w:ascii="Times New Roman" w:hAnsi="Times New Roman" w:eastAsia="宋体" w:cs="Times New Roman"/>
          <w:b/>
          <w:bCs/>
          <w:color w:val="auto"/>
          <w:highlight w:val="none"/>
          <w:lang w:val="en-US" w:eastAsia="zh-CN"/>
        </w:rPr>
        <w:t>本项目环境影响评价等级及范围一览表</w:t>
      </w:r>
    </w:p>
    <w:tbl>
      <w:tblPr>
        <w:tblStyle w:val="91"/>
        <w:tblW w:w="8522"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307"/>
        <w:gridCol w:w="5875"/>
        <w:gridCol w:w="1340"/>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307"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评价要素</w:t>
            </w:r>
          </w:p>
        </w:tc>
        <w:tc>
          <w:tcPr>
            <w:tcW w:w="5875"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评价范围</w:t>
            </w:r>
          </w:p>
        </w:tc>
        <w:tc>
          <w:tcPr>
            <w:tcW w:w="1340"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评价等级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307"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color w:val="auto"/>
                <w:kern w:val="0"/>
                <w:highlight w:val="none"/>
              </w:rPr>
            </w:pPr>
            <w:r>
              <w:rPr>
                <w:rFonts w:hint="default" w:ascii="Times New Roman" w:hAnsi="Times New Roman" w:cs="Times New Roman"/>
                <w:color w:val="auto"/>
                <w:kern w:val="0"/>
                <w:highlight w:val="none"/>
              </w:rPr>
              <w:t>环境空气</w:t>
            </w:r>
          </w:p>
        </w:tc>
        <w:tc>
          <w:tcPr>
            <w:tcW w:w="5875" w:type="dxa"/>
            <w:tcBorders>
              <w:tl2br w:val="nil"/>
              <w:tr2bl w:val="nil"/>
            </w:tcBorders>
            <w:vAlign w:val="center"/>
          </w:tcPr>
          <w:p>
            <w:pPr>
              <w:pStyle w:val="90"/>
              <w:keepNext w:val="0"/>
              <w:keepLines w:val="0"/>
              <w:suppressLineNumbers w:val="0"/>
              <w:spacing w:before="0" w:beforeAutospacing="0" w:after="0" w:afterAutospacing="0"/>
              <w:ind w:left="0" w:right="0" w:firstLine="0" w:firstLineChars="0"/>
              <w:jc w:val="left"/>
              <w:rPr>
                <w:rFonts w:hint="default"/>
                <w:color w:val="auto"/>
                <w:szCs w:val="21"/>
                <w:highlight w:val="none"/>
              </w:rPr>
            </w:pPr>
            <w:r>
              <w:rPr>
                <w:rFonts w:hint="eastAsia"/>
                <w:color w:val="auto"/>
                <w:szCs w:val="21"/>
                <w:highlight w:val="none"/>
              </w:rPr>
              <w:t>本项目评价范围为以厂址为中心</w:t>
            </w:r>
            <w:r>
              <w:rPr>
                <w:rFonts w:hint="eastAsia"/>
                <w:color w:val="auto"/>
                <w:szCs w:val="21"/>
                <w:highlight w:val="none"/>
                <w:lang w:eastAsia="zh-CN"/>
              </w:rPr>
              <w:t>，</w:t>
            </w:r>
            <w:r>
              <w:rPr>
                <w:rFonts w:hint="default"/>
                <w:color w:val="auto"/>
                <w:szCs w:val="21"/>
                <w:highlight w:val="none"/>
              </w:rPr>
              <w:t>边长5km的矩形区域</w:t>
            </w:r>
          </w:p>
        </w:tc>
        <w:tc>
          <w:tcPr>
            <w:tcW w:w="1340"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二级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307"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kern w:val="0"/>
                <w:highlight w:val="none"/>
              </w:rPr>
              <w:t>地表水环境</w:t>
            </w:r>
          </w:p>
        </w:tc>
        <w:tc>
          <w:tcPr>
            <w:tcW w:w="5875" w:type="dxa"/>
            <w:tcBorders>
              <w:tl2br w:val="nil"/>
              <w:tr2bl w:val="nil"/>
            </w:tcBorders>
            <w:vAlign w:val="center"/>
          </w:tcPr>
          <w:p>
            <w:pPr>
              <w:pStyle w:val="90"/>
              <w:keepNext w:val="0"/>
              <w:keepLines w:val="0"/>
              <w:suppressLineNumbers w:val="0"/>
              <w:spacing w:before="0" w:beforeAutospacing="0" w:after="0" w:afterAutospacing="0"/>
              <w:ind w:left="0" w:right="0" w:firstLine="0" w:firstLineChars="0"/>
              <w:jc w:val="left"/>
              <w:rPr>
                <w:rFonts w:hint="default"/>
                <w:snapToGrid w:val="0"/>
                <w:color w:val="auto"/>
                <w:szCs w:val="21"/>
                <w:highlight w:val="none"/>
              </w:rPr>
            </w:pPr>
            <w:r>
              <w:rPr>
                <w:rFonts w:hint="eastAsia"/>
                <w:snapToGrid w:val="0"/>
                <w:color w:val="auto"/>
                <w:szCs w:val="21"/>
                <w:highlight w:val="none"/>
              </w:rPr>
              <w:t>本项目所产生的废水不外排，故本项目不划定地表水环境评价范围</w:t>
            </w:r>
          </w:p>
        </w:tc>
        <w:tc>
          <w:tcPr>
            <w:tcW w:w="1340"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三级B</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307"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color w:val="auto"/>
                <w:kern w:val="0"/>
                <w:highlight w:val="none"/>
              </w:rPr>
            </w:pPr>
            <w:r>
              <w:rPr>
                <w:rFonts w:hint="default" w:ascii="Times New Roman" w:hAnsi="Times New Roman" w:cs="Times New Roman"/>
                <w:color w:val="auto"/>
                <w:kern w:val="0"/>
                <w:highlight w:val="none"/>
              </w:rPr>
              <w:t>声环境</w:t>
            </w:r>
          </w:p>
        </w:tc>
        <w:tc>
          <w:tcPr>
            <w:tcW w:w="5875" w:type="dxa"/>
            <w:tcBorders>
              <w:tl2br w:val="nil"/>
              <w:tr2bl w:val="nil"/>
            </w:tcBorders>
            <w:vAlign w:val="center"/>
          </w:tcPr>
          <w:p>
            <w:pPr>
              <w:pStyle w:val="90"/>
              <w:keepNext w:val="0"/>
              <w:keepLines w:val="0"/>
              <w:suppressLineNumbers w:val="0"/>
              <w:spacing w:before="0" w:beforeAutospacing="0" w:after="0" w:afterAutospacing="0"/>
              <w:ind w:left="0" w:right="0" w:firstLine="0" w:firstLineChars="0"/>
              <w:jc w:val="left"/>
              <w:rPr>
                <w:rFonts w:hint="default"/>
                <w:color w:val="auto"/>
                <w:szCs w:val="21"/>
                <w:highlight w:val="none"/>
              </w:rPr>
            </w:pPr>
            <w:r>
              <w:rPr>
                <w:rFonts w:hint="default"/>
                <w:color w:val="auto"/>
                <w:highlight w:val="none"/>
              </w:rPr>
              <w:t>厂界200m范围内区域</w:t>
            </w:r>
          </w:p>
        </w:tc>
        <w:tc>
          <w:tcPr>
            <w:tcW w:w="1340"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二级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307"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kern w:val="0"/>
                <w:highlight w:val="none"/>
              </w:rPr>
              <w:t>地下水环境</w:t>
            </w:r>
          </w:p>
        </w:tc>
        <w:tc>
          <w:tcPr>
            <w:tcW w:w="5875" w:type="dxa"/>
            <w:tcBorders>
              <w:tl2br w:val="nil"/>
              <w:tr2bl w:val="nil"/>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rPr>
              <w:t>本项目地下水环境评价范围为项目所在地周边</w:t>
            </w:r>
            <w:r>
              <w:rPr>
                <w:rFonts w:hint="eastAsia" w:ascii="Times New Roman" w:hAnsi="Times New Roman" w:eastAsia="宋体" w:cs="Times New Roman"/>
                <w:color w:val="auto"/>
                <w:highlight w:val="none"/>
                <w:lang w:val="en-US" w:eastAsia="zh-CN"/>
              </w:rPr>
              <w:t>2.0</w:t>
            </w:r>
            <w:r>
              <w:rPr>
                <w:rFonts w:hint="default" w:ascii="Times New Roman" w:hAnsi="Times New Roman" w:eastAsia="宋体" w:cs="Times New Roman"/>
                <w:color w:val="auto"/>
                <w:highlight w:val="none"/>
              </w:rPr>
              <w:t>km</w:t>
            </w:r>
            <w:r>
              <w:rPr>
                <w:rFonts w:hint="default" w:ascii="Times New Roman" w:hAnsi="Times New Roman" w:eastAsia="宋体" w:cs="Times New Roman"/>
                <w:color w:val="auto"/>
                <w:highlight w:val="none"/>
                <w:vertAlign w:val="superscript"/>
              </w:rPr>
              <w:t>2</w:t>
            </w:r>
            <w:r>
              <w:rPr>
                <w:rFonts w:hint="default" w:ascii="Times New Roman" w:hAnsi="Times New Roman" w:eastAsia="宋体" w:cs="Times New Roman"/>
                <w:color w:val="auto"/>
                <w:highlight w:val="none"/>
              </w:rPr>
              <w:t>的区域范围</w:t>
            </w:r>
          </w:p>
        </w:tc>
        <w:tc>
          <w:tcPr>
            <w:tcW w:w="1340"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三级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307"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color w:val="auto"/>
                <w:kern w:val="0"/>
                <w:highlight w:val="none"/>
              </w:rPr>
            </w:pPr>
            <w:r>
              <w:rPr>
                <w:rFonts w:hint="default" w:ascii="Times New Roman" w:hAnsi="Times New Roman" w:cs="Times New Roman"/>
                <w:color w:val="auto"/>
                <w:kern w:val="0"/>
                <w:highlight w:val="none"/>
              </w:rPr>
              <w:t>生态环境</w:t>
            </w:r>
          </w:p>
        </w:tc>
        <w:tc>
          <w:tcPr>
            <w:tcW w:w="5875"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left"/>
              <w:rPr>
                <w:rFonts w:hint="default" w:ascii="Times New Roman" w:hAnsi="Times New Roman" w:cs="Times New Roman"/>
                <w:color w:val="auto"/>
                <w:highlight w:val="none"/>
              </w:rPr>
            </w:pPr>
            <w:r>
              <w:rPr>
                <w:rFonts w:hint="default"/>
                <w:color w:val="auto"/>
                <w:sz w:val="21"/>
                <w:szCs w:val="21"/>
                <w:highlight w:val="none"/>
              </w:rPr>
              <w:t>以拟建厂址为中心，项目</w:t>
            </w:r>
            <w:r>
              <w:rPr>
                <w:rFonts w:hint="default"/>
                <w:color w:val="auto"/>
                <w:spacing w:val="-3"/>
                <w:sz w:val="21"/>
                <w:highlight w:val="none"/>
              </w:rPr>
              <w:t>占用区域以及污染物排放产生的间接生态影响区域</w:t>
            </w:r>
          </w:p>
        </w:tc>
        <w:tc>
          <w:tcPr>
            <w:tcW w:w="1340"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三级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307"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eastAsia" w:ascii="Times New Roman" w:hAnsi="Times New Roman" w:cs="Times New Roman" w:eastAsiaTheme="minorEastAsia"/>
                <w:color w:val="auto"/>
                <w:kern w:val="0"/>
                <w:highlight w:val="none"/>
                <w:lang w:eastAsia="zh-CN"/>
              </w:rPr>
            </w:pPr>
            <w:r>
              <w:rPr>
                <w:rFonts w:hint="eastAsia" w:ascii="Times New Roman" w:hAnsi="Times New Roman" w:cs="Times New Roman"/>
                <w:color w:val="auto"/>
                <w:kern w:val="0"/>
                <w:highlight w:val="none"/>
                <w:lang w:eastAsia="zh-CN"/>
              </w:rPr>
              <w:t>土壤环境</w:t>
            </w:r>
          </w:p>
        </w:tc>
        <w:tc>
          <w:tcPr>
            <w:tcW w:w="5875"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left"/>
              <w:rPr>
                <w:rFonts w:hint="default" w:ascii="Times New Roman" w:cs="Times New Roman"/>
                <w:color w:val="auto"/>
                <w:highlight w:val="none"/>
              </w:rPr>
            </w:pPr>
            <w:r>
              <w:rPr>
                <w:rFonts w:hint="eastAsia" w:ascii="Times New Roman" w:cs="Times New Roman"/>
                <w:color w:val="auto"/>
                <w:highlight w:val="none"/>
              </w:rPr>
              <w:t>项目评价范围为厂址外0.05km范围</w:t>
            </w:r>
          </w:p>
        </w:tc>
        <w:tc>
          <w:tcPr>
            <w:tcW w:w="1340"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三级</w:t>
            </w:r>
          </w:p>
        </w:tc>
      </w:tr>
    </w:tbl>
    <w:p>
      <w:pPr>
        <w:pStyle w:val="8"/>
        <w:spacing w:before="0" w:after="0" w:line="360" w:lineRule="auto"/>
        <w:ind w:left="0" w:firstLine="0"/>
        <w:rPr>
          <w:rFonts w:cs="Times New Roman"/>
          <w:color w:val="auto"/>
          <w:highlight w:val="none"/>
        </w:rPr>
      </w:pPr>
      <w:bookmarkStart w:id="86" w:name="_Toc319591138"/>
      <w:bookmarkStart w:id="87" w:name="_Toc405412758"/>
      <w:bookmarkStart w:id="88" w:name="_Toc319588827"/>
      <w:bookmarkStart w:id="89" w:name="_Toc154982382"/>
      <w:bookmarkStart w:id="90" w:name="_Toc20217"/>
      <w:bookmarkStart w:id="91" w:name="_Toc163123383"/>
      <w:bookmarkStart w:id="92" w:name="_Toc154987277"/>
      <w:bookmarkStart w:id="93" w:name="_Toc154987519"/>
      <w:bookmarkStart w:id="94" w:name="_Toc145487112"/>
      <w:bookmarkStart w:id="95" w:name="_Toc154818500"/>
      <w:bookmarkStart w:id="96" w:name="_Toc145487231"/>
      <w:r>
        <w:rPr>
          <w:rFonts w:hint="eastAsia" w:cs="Times New Roman"/>
          <w:color w:val="auto"/>
          <w:highlight w:val="none"/>
          <w:lang w:eastAsia="zh-CN"/>
        </w:rPr>
        <w:t>主要保护目标</w:t>
      </w:r>
      <w:bookmarkEnd w:id="86"/>
      <w:bookmarkEnd w:id="87"/>
      <w:bookmarkEnd w:id="88"/>
      <w:bookmarkEnd w:id="89"/>
      <w:bookmarkEnd w:id="90"/>
      <w:bookmarkEnd w:id="91"/>
      <w:bookmarkEnd w:id="92"/>
      <w:bookmarkEnd w:id="93"/>
      <w:bookmarkEnd w:id="94"/>
      <w:bookmarkEnd w:id="95"/>
      <w:bookmarkEnd w:id="96"/>
    </w:p>
    <w:p>
      <w:pPr>
        <w:pStyle w:val="158"/>
        <w:ind w:firstLine="480"/>
        <w:rPr>
          <w:rFonts w:hint="default"/>
          <w:b/>
          <w:bCs/>
          <w:color w:val="auto"/>
          <w:highlight w:val="none"/>
          <w:lang w:val="en-US" w:eastAsia="zh-CN"/>
        </w:rPr>
      </w:pPr>
      <w:r>
        <w:rPr>
          <w:rFonts w:hint="eastAsia"/>
          <w:b/>
          <w:bCs/>
          <w:color w:val="auto"/>
          <w:highlight w:val="none"/>
          <w:lang w:val="en-US" w:eastAsia="zh-CN"/>
        </w:rPr>
        <w:t>1、外环境关系</w:t>
      </w:r>
    </w:p>
    <w:p>
      <w:pPr>
        <w:pStyle w:val="158"/>
        <w:ind w:firstLine="480"/>
        <w:rPr>
          <w:color w:val="auto"/>
          <w:highlight w:val="none"/>
        </w:rPr>
      </w:pPr>
      <w:r>
        <w:rPr>
          <w:rFonts w:hint="eastAsia"/>
          <w:color w:val="auto"/>
          <w:highlight w:val="none"/>
          <w:lang w:eastAsia="zh-CN"/>
        </w:rPr>
        <w:t>根据现场勘查，本项目位于鼎山镇首市村，项目周边为农村环境，</w:t>
      </w:r>
      <w:r>
        <w:rPr>
          <w:rFonts w:hint="eastAsia"/>
          <w:color w:val="auto"/>
          <w:highlight w:val="none"/>
          <w:lang w:val="en-US" w:eastAsia="zh-CN"/>
        </w:rPr>
        <w:t>在项目南侧有一养猪场，</w:t>
      </w:r>
      <w:r>
        <w:rPr>
          <w:rFonts w:hint="eastAsia"/>
          <w:color w:val="auto"/>
          <w:highlight w:val="none"/>
          <w:lang w:eastAsia="zh-CN"/>
        </w:rPr>
        <w:t>无工业企业。本项目外环境关系比较简单。</w:t>
      </w:r>
    </w:p>
    <w:p>
      <w:pPr>
        <w:pStyle w:val="158"/>
        <w:ind w:left="0" w:leftChars="0" w:firstLine="0" w:firstLineChars="0"/>
        <w:jc w:val="left"/>
        <w:rPr>
          <w:rFonts w:hint="eastAsia"/>
          <w:color w:val="auto"/>
          <w:highlight w:val="none"/>
          <w:lang w:eastAsia="zh-CN"/>
        </w:rPr>
      </w:pPr>
      <w:r>
        <w:rPr>
          <w:color w:val="auto"/>
          <w:highlight w:val="none"/>
        </w:rPr>
        <w:drawing>
          <wp:inline distT="0" distB="0" distL="114300" distR="114300">
            <wp:extent cx="5077460" cy="4158615"/>
            <wp:effectExtent l="0" t="0" r="8890" b="133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a:srcRect l="2477" t="3567" r="1359" b="1092"/>
                    <a:stretch>
                      <a:fillRect/>
                    </a:stretch>
                  </pic:blipFill>
                  <pic:spPr>
                    <a:xfrm>
                      <a:off x="0" y="0"/>
                      <a:ext cx="5077460" cy="4158615"/>
                    </a:xfrm>
                    <a:prstGeom prst="rect">
                      <a:avLst/>
                    </a:prstGeom>
                    <a:noFill/>
                    <a:ln>
                      <a:noFill/>
                    </a:ln>
                  </pic:spPr>
                </pic:pic>
              </a:graphicData>
            </a:graphic>
          </wp:inline>
        </w:drawing>
      </w:r>
    </w:p>
    <w:p>
      <w:pPr>
        <w:pStyle w:val="46"/>
        <w:numPr>
          <w:ilvl w:val="0"/>
          <w:numId w:val="9"/>
        </w:numPr>
        <w:adjustRightInd w:val="0"/>
        <w:snapToGrid w:val="0"/>
        <w:spacing w:line="360" w:lineRule="auto"/>
        <w:ind w:left="425" w:leftChars="0" w:hanging="425" w:firstLineChars="0"/>
        <w:jc w:val="center"/>
        <w:rPr>
          <w:rFonts w:hint="eastAsia"/>
          <w:b/>
          <w:bCs/>
          <w:color w:val="auto"/>
          <w:sz w:val="21"/>
          <w:szCs w:val="21"/>
          <w:highlight w:val="none"/>
          <w:lang w:val="en-US" w:eastAsia="zh-CN"/>
        </w:rPr>
      </w:pPr>
      <w:r>
        <w:rPr>
          <w:rFonts w:hint="default" w:ascii="Times New Roman" w:hAnsi="Times New Roman" w:cs="Times New Roman"/>
          <w:b/>
          <w:bCs/>
          <w:color w:val="auto"/>
          <w:sz w:val="21"/>
          <w:szCs w:val="21"/>
          <w:highlight w:val="none"/>
        </w:rPr>
        <w:t>项目</w:t>
      </w:r>
      <w:r>
        <w:rPr>
          <w:rFonts w:hint="eastAsia" w:ascii="Times New Roman" w:hAnsi="Times New Roman" w:cs="Times New Roman"/>
          <w:b/>
          <w:bCs/>
          <w:color w:val="auto"/>
          <w:sz w:val="21"/>
          <w:szCs w:val="21"/>
          <w:highlight w:val="none"/>
          <w:lang w:eastAsia="zh-CN"/>
        </w:rPr>
        <w:t>外环境关系</w:t>
      </w:r>
      <w:r>
        <w:rPr>
          <w:rFonts w:hint="default" w:ascii="Times New Roman" w:hAnsi="Times New Roman" w:cs="Times New Roman"/>
          <w:b/>
          <w:bCs/>
          <w:color w:val="auto"/>
          <w:sz w:val="21"/>
          <w:szCs w:val="21"/>
          <w:highlight w:val="none"/>
        </w:rPr>
        <w:t>图</w:t>
      </w:r>
    </w:p>
    <w:p>
      <w:pPr>
        <w:pStyle w:val="158"/>
        <w:ind w:firstLine="480"/>
        <w:rPr>
          <w:rFonts w:hint="eastAsia"/>
          <w:b/>
          <w:bCs w:val="0"/>
          <w:color w:val="auto"/>
          <w:highlight w:val="none"/>
          <w:lang w:eastAsia="zh-CN"/>
        </w:rPr>
      </w:pPr>
      <w:r>
        <w:rPr>
          <w:rFonts w:hint="eastAsia"/>
          <w:b/>
          <w:bCs w:val="0"/>
          <w:color w:val="auto"/>
          <w:highlight w:val="none"/>
          <w:lang w:eastAsia="zh-CN"/>
        </w:rPr>
        <w:t>项目周边居民及保护目标分布为：</w:t>
      </w:r>
    </w:p>
    <w:p>
      <w:pPr>
        <w:pStyle w:val="158"/>
        <w:ind w:firstLine="480"/>
        <w:rPr>
          <w:rFonts w:hint="eastAsia"/>
          <w:bCs/>
          <w:color w:val="auto"/>
          <w:highlight w:val="none"/>
          <w:lang w:eastAsia="zh-CN"/>
        </w:rPr>
      </w:pPr>
      <w:r>
        <w:rPr>
          <w:rFonts w:hint="eastAsia"/>
          <w:bCs/>
          <w:color w:val="auto"/>
          <w:highlight w:val="none"/>
          <w:lang w:eastAsia="zh-CN"/>
        </w:rPr>
        <w:t>项目</w:t>
      </w:r>
      <w:r>
        <w:rPr>
          <w:rFonts w:hint="eastAsia"/>
          <w:bCs/>
          <w:color w:val="auto"/>
          <w:highlight w:val="none"/>
          <w:lang w:val="en-US" w:eastAsia="zh-CN"/>
        </w:rPr>
        <w:t>北侧</w:t>
      </w:r>
      <w:r>
        <w:rPr>
          <w:rFonts w:hint="eastAsia"/>
          <w:bCs/>
          <w:color w:val="auto"/>
          <w:highlight w:val="none"/>
          <w:lang w:eastAsia="zh-CN"/>
        </w:rPr>
        <w:t>山</w:t>
      </w:r>
      <w:r>
        <w:rPr>
          <w:rFonts w:hint="eastAsia"/>
          <w:bCs/>
          <w:color w:val="auto"/>
          <w:highlight w:val="none"/>
          <w:lang w:val="en-US" w:eastAsia="zh-CN"/>
        </w:rPr>
        <w:t>坡</w:t>
      </w:r>
      <w:r>
        <w:rPr>
          <w:rFonts w:hint="eastAsia"/>
          <w:bCs/>
          <w:color w:val="auto"/>
          <w:highlight w:val="none"/>
          <w:lang w:eastAsia="zh-CN"/>
        </w:rPr>
        <w:t>上约2</w:t>
      </w:r>
      <w:r>
        <w:rPr>
          <w:rFonts w:hint="eastAsia"/>
          <w:bCs/>
          <w:color w:val="auto"/>
          <w:highlight w:val="none"/>
          <w:lang w:val="en-US" w:eastAsia="zh-CN"/>
        </w:rPr>
        <w:t>34</w:t>
      </w:r>
      <w:r>
        <w:rPr>
          <w:rFonts w:hint="eastAsia"/>
          <w:bCs/>
          <w:color w:val="auto"/>
          <w:highlight w:val="none"/>
          <w:lang w:eastAsia="zh-CN"/>
        </w:rPr>
        <w:t>m为</w:t>
      </w:r>
      <w:r>
        <w:rPr>
          <w:rFonts w:hint="eastAsia"/>
          <w:bCs/>
          <w:color w:val="auto"/>
          <w:highlight w:val="none"/>
          <w:lang w:val="en-US" w:eastAsia="zh-CN"/>
        </w:rPr>
        <w:t>油坊沟</w:t>
      </w:r>
      <w:r>
        <w:rPr>
          <w:rFonts w:hint="eastAsia"/>
          <w:bCs/>
          <w:color w:val="auto"/>
          <w:highlight w:val="none"/>
          <w:lang w:eastAsia="zh-CN"/>
        </w:rPr>
        <w:t>居民（4户），项目</w:t>
      </w:r>
      <w:r>
        <w:rPr>
          <w:rFonts w:hint="eastAsia"/>
          <w:bCs/>
          <w:color w:val="auto"/>
          <w:highlight w:val="none"/>
          <w:lang w:val="en-US" w:eastAsia="zh-CN"/>
        </w:rPr>
        <w:t>北侧</w:t>
      </w:r>
      <w:r>
        <w:rPr>
          <w:rFonts w:hint="eastAsia"/>
          <w:bCs/>
          <w:color w:val="auto"/>
          <w:highlight w:val="none"/>
          <w:lang w:eastAsia="zh-CN"/>
        </w:rPr>
        <w:t>山</w:t>
      </w:r>
      <w:r>
        <w:rPr>
          <w:rFonts w:hint="eastAsia"/>
          <w:bCs/>
          <w:color w:val="auto"/>
          <w:highlight w:val="none"/>
          <w:lang w:val="en-US" w:eastAsia="zh-CN"/>
        </w:rPr>
        <w:t>腰</w:t>
      </w:r>
      <w:r>
        <w:rPr>
          <w:rFonts w:hint="eastAsia"/>
          <w:bCs/>
          <w:color w:val="auto"/>
          <w:highlight w:val="none"/>
          <w:lang w:eastAsia="zh-CN"/>
        </w:rPr>
        <w:t>处约</w:t>
      </w:r>
      <w:r>
        <w:rPr>
          <w:rFonts w:hint="eastAsia"/>
          <w:bCs/>
          <w:color w:val="auto"/>
          <w:highlight w:val="none"/>
          <w:lang w:val="en-US" w:eastAsia="zh-CN"/>
        </w:rPr>
        <w:t>460</w:t>
      </w:r>
      <w:r>
        <w:rPr>
          <w:rFonts w:hint="eastAsia"/>
          <w:bCs/>
          <w:color w:val="auto"/>
          <w:highlight w:val="none"/>
          <w:lang w:eastAsia="zh-CN"/>
        </w:rPr>
        <w:t>m为</w:t>
      </w:r>
      <w:r>
        <w:rPr>
          <w:rFonts w:hint="eastAsia"/>
          <w:bCs/>
          <w:color w:val="auto"/>
          <w:highlight w:val="none"/>
          <w:lang w:val="en-US" w:eastAsia="zh-CN"/>
        </w:rPr>
        <w:t>刘家大瓦房村</w:t>
      </w:r>
      <w:r>
        <w:rPr>
          <w:rFonts w:hint="eastAsia"/>
          <w:bCs/>
          <w:color w:val="auto"/>
          <w:highlight w:val="none"/>
          <w:lang w:eastAsia="zh-CN"/>
        </w:rPr>
        <w:t>居民聚居区（</w:t>
      </w:r>
      <w:r>
        <w:rPr>
          <w:rFonts w:hint="eastAsia"/>
          <w:bCs/>
          <w:color w:val="auto"/>
          <w:highlight w:val="none"/>
          <w:lang w:val="en-US" w:eastAsia="zh-CN"/>
        </w:rPr>
        <w:t>25</w:t>
      </w:r>
      <w:r>
        <w:rPr>
          <w:rFonts w:hint="eastAsia"/>
          <w:bCs/>
          <w:color w:val="auto"/>
          <w:highlight w:val="none"/>
          <w:lang w:eastAsia="zh-CN"/>
        </w:rPr>
        <w:t>户），项目</w:t>
      </w:r>
      <w:r>
        <w:rPr>
          <w:rFonts w:hint="eastAsia"/>
          <w:bCs/>
          <w:color w:val="auto"/>
          <w:highlight w:val="none"/>
          <w:lang w:val="en-US" w:eastAsia="zh-CN"/>
        </w:rPr>
        <w:t>东南</w:t>
      </w:r>
      <w:r>
        <w:rPr>
          <w:rFonts w:hint="eastAsia"/>
          <w:bCs/>
          <w:color w:val="auto"/>
          <w:highlight w:val="none"/>
          <w:lang w:eastAsia="zh-CN"/>
        </w:rPr>
        <w:t>侧山坡上约</w:t>
      </w:r>
      <w:r>
        <w:rPr>
          <w:rFonts w:hint="eastAsia"/>
          <w:bCs/>
          <w:color w:val="auto"/>
          <w:highlight w:val="none"/>
          <w:lang w:val="en-US" w:eastAsia="zh-CN"/>
        </w:rPr>
        <w:t>330</w:t>
      </w:r>
      <w:r>
        <w:rPr>
          <w:rFonts w:hint="eastAsia"/>
          <w:bCs/>
          <w:color w:val="auto"/>
          <w:highlight w:val="none"/>
          <w:lang w:eastAsia="zh-CN"/>
        </w:rPr>
        <w:t>m为</w:t>
      </w:r>
      <w:r>
        <w:rPr>
          <w:rFonts w:hint="eastAsia"/>
          <w:bCs/>
          <w:color w:val="auto"/>
          <w:highlight w:val="none"/>
          <w:lang w:val="en-US" w:eastAsia="zh-CN"/>
        </w:rPr>
        <w:t>养猪场</w:t>
      </w:r>
      <w:r>
        <w:rPr>
          <w:rFonts w:hint="eastAsia"/>
          <w:bCs/>
          <w:color w:val="auto"/>
          <w:highlight w:val="none"/>
          <w:lang w:eastAsia="zh-CN"/>
        </w:rPr>
        <w:t>，项目</w:t>
      </w:r>
      <w:r>
        <w:rPr>
          <w:rFonts w:hint="eastAsia"/>
          <w:bCs/>
          <w:color w:val="auto"/>
          <w:highlight w:val="none"/>
          <w:lang w:val="en-US" w:eastAsia="zh-CN"/>
        </w:rPr>
        <w:t>南侧山谷处</w:t>
      </w:r>
      <w:r>
        <w:rPr>
          <w:rFonts w:hint="eastAsia"/>
          <w:bCs/>
          <w:color w:val="auto"/>
          <w:highlight w:val="none"/>
          <w:lang w:eastAsia="zh-CN"/>
        </w:rPr>
        <w:t>约</w:t>
      </w:r>
      <w:r>
        <w:rPr>
          <w:rFonts w:hint="eastAsia"/>
          <w:bCs/>
          <w:color w:val="auto"/>
          <w:highlight w:val="none"/>
          <w:lang w:val="en-US" w:eastAsia="zh-CN"/>
        </w:rPr>
        <w:t>200</w:t>
      </w:r>
      <w:r>
        <w:rPr>
          <w:rFonts w:hint="eastAsia"/>
          <w:bCs/>
          <w:color w:val="auto"/>
          <w:highlight w:val="none"/>
          <w:lang w:eastAsia="zh-CN"/>
        </w:rPr>
        <w:t>m为</w:t>
      </w:r>
      <w:r>
        <w:rPr>
          <w:rFonts w:hint="eastAsia"/>
          <w:bCs/>
          <w:color w:val="auto"/>
          <w:highlight w:val="none"/>
          <w:lang w:val="en-US" w:eastAsia="zh-CN"/>
        </w:rPr>
        <w:t>有一户张家湾</w:t>
      </w:r>
      <w:r>
        <w:rPr>
          <w:rFonts w:hint="eastAsia"/>
          <w:bCs/>
          <w:color w:val="auto"/>
          <w:highlight w:val="none"/>
          <w:lang w:eastAsia="zh-CN"/>
        </w:rPr>
        <w:t>零散居民，项目</w:t>
      </w:r>
      <w:r>
        <w:rPr>
          <w:rFonts w:hint="eastAsia"/>
          <w:bCs/>
          <w:color w:val="auto"/>
          <w:highlight w:val="none"/>
          <w:lang w:val="en-US" w:eastAsia="zh-CN"/>
        </w:rPr>
        <w:t>东南</w:t>
      </w:r>
      <w:r>
        <w:rPr>
          <w:rFonts w:hint="eastAsia"/>
          <w:bCs/>
          <w:color w:val="auto"/>
          <w:highlight w:val="none"/>
          <w:lang w:eastAsia="zh-CN"/>
        </w:rPr>
        <w:t>侧约</w:t>
      </w:r>
      <w:r>
        <w:rPr>
          <w:rFonts w:hint="eastAsia"/>
          <w:bCs/>
          <w:color w:val="auto"/>
          <w:highlight w:val="none"/>
          <w:lang w:val="en-US" w:eastAsia="zh-CN"/>
        </w:rPr>
        <w:t>180</w:t>
      </w:r>
      <w:r>
        <w:rPr>
          <w:rFonts w:hint="eastAsia"/>
          <w:bCs/>
          <w:color w:val="auto"/>
          <w:highlight w:val="none"/>
          <w:lang w:eastAsia="zh-CN"/>
        </w:rPr>
        <w:t>m为</w:t>
      </w:r>
      <w:r>
        <w:rPr>
          <w:rFonts w:hint="eastAsia"/>
          <w:bCs/>
          <w:color w:val="auto"/>
          <w:highlight w:val="none"/>
          <w:lang w:val="en-US" w:eastAsia="zh-CN"/>
        </w:rPr>
        <w:t>黄包梁村</w:t>
      </w:r>
      <w:r>
        <w:rPr>
          <w:rFonts w:hint="eastAsia"/>
          <w:bCs/>
          <w:color w:val="auto"/>
          <w:highlight w:val="none"/>
          <w:lang w:eastAsia="zh-CN"/>
        </w:rPr>
        <w:t>居民聚居区（</w:t>
      </w:r>
      <w:r>
        <w:rPr>
          <w:rFonts w:hint="eastAsia"/>
          <w:bCs/>
          <w:color w:val="auto"/>
          <w:highlight w:val="none"/>
          <w:lang w:val="en-US" w:eastAsia="zh-CN"/>
        </w:rPr>
        <w:t>8</w:t>
      </w:r>
      <w:r>
        <w:rPr>
          <w:rFonts w:hint="eastAsia"/>
          <w:bCs/>
          <w:color w:val="auto"/>
          <w:highlight w:val="none"/>
          <w:lang w:eastAsia="zh-CN"/>
        </w:rPr>
        <w:t>户）。</w:t>
      </w:r>
    </w:p>
    <w:p>
      <w:pPr>
        <w:pStyle w:val="158"/>
        <w:ind w:firstLine="480"/>
        <w:rPr>
          <w:rFonts w:hint="default"/>
          <w:bCs/>
          <w:color w:val="auto"/>
          <w:highlight w:val="none"/>
          <w:lang w:val="en-US" w:eastAsia="zh-CN"/>
        </w:rPr>
      </w:pPr>
      <w:r>
        <w:rPr>
          <w:rFonts w:hint="eastAsia"/>
          <w:bCs/>
          <w:color w:val="auto"/>
          <w:highlight w:val="none"/>
          <w:lang w:val="en-US" w:eastAsia="zh-CN"/>
        </w:rPr>
        <w:t>项目区域地表水是巴河水系，项目最近地表水体为厂界西南侧约85m处的罗地沟水库，北侧约254m处为油坊沟（季节性冲沟）。</w:t>
      </w:r>
    </w:p>
    <w:p>
      <w:pPr>
        <w:pStyle w:val="158"/>
        <w:ind w:firstLine="480"/>
        <w:rPr>
          <w:rFonts w:hint="default"/>
          <w:bCs/>
          <w:color w:val="auto"/>
          <w:highlight w:val="none"/>
          <w:lang w:val="en-US" w:eastAsia="zh-CN"/>
        </w:rPr>
      </w:pPr>
      <w:r>
        <w:rPr>
          <w:rFonts w:hint="default"/>
          <w:bCs/>
          <w:color w:val="auto"/>
          <w:highlight w:val="none"/>
          <w:lang w:val="en-US" w:eastAsia="zh-CN"/>
        </w:rPr>
        <w:t>项目外环境关系详见下表及</w:t>
      </w:r>
      <w:r>
        <w:rPr>
          <w:rFonts w:hint="eastAsia"/>
          <w:bCs/>
          <w:color w:val="auto"/>
          <w:highlight w:val="none"/>
          <w:lang w:val="en-US" w:eastAsia="zh-CN"/>
        </w:rPr>
        <w:t>下图</w:t>
      </w:r>
      <w:r>
        <w:rPr>
          <w:rFonts w:hint="default"/>
          <w:bCs/>
          <w:color w:val="auto"/>
          <w:highlight w:val="none"/>
          <w:lang w:val="en-US" w:eastAsia="zh-CN"/>
        </w:rPr>
        <w:t>。</w:t>
      </w:r>
    </w:p>
    <w:p>
      <w:pPr>
        <w:keepNext w:val="0"/>
        <w:keepLines w:val="0"/>
        <w:pageBreakBefore w:val="0"/>
        <w:widowControl w:val="0"/>
        <w:numPr>
          <w:ilvl w:val="0"/>
          <w:numId w:val="10"/>
        </w:numPr>
        <w:kinsoku/>
        <w:wordWrap/>
        <w:overflowPunct/>
        <w:topLinePunct w:val="0"/>
        <w:autoSpaceDE/>
        <w:autoSpaceDN/>
        <w:bidi w:val="0"/>
        <w:adjustRightInd/>
        <w:snapToGrid/>
        <w:spacing w:line="240" w:lineRule="atLeast"/>
        <w:ind w:left="425" w:leftChars="0" w:hanging="425" w:firstLineChars="0"/>
        <w:jc w:val="center"/>
        <w:textAlignment w:val="auto"/>
        <w:rPr>
          <w:b/>
          <w:bCs w:val="0"/>
          <w:color w:val="auto"/>
          <w:sz w:val="21"/>
          <w:szCs w:val="21"/>
          <w:highlight w:val="none"/>
        </w:rPr>
      </w:pPr>
      <w:r>
        <w:rPr>
          <w:rFonts w:hint="eastAsia"/>
          <w:b/>
          <w:bCs w:val="0"/>
          <w:color w:val="auto"/>
          <w:sz w:val="21"/>
          <w:szCs w:val="21"/>
          <w:highlight w:val="none"/>
        </w:rPr>
        <w:t>项目外环境关系一览表</w:t>
      </w:r>
    </w:p>
    <w:tbl>
      <w:tblPr>
        <w:tblStyle w:val="91"/>
        <w:tblW w:w="8302"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704"/>
        <w:gridCol w:w="2123"/>
        <w:gridCol w:w="638"/>
        <w:gridCol w:w="1025"/>
        <w:gridCol w:w="1375"/>
        <w:gridCol w:w="2437"/>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04" w:type="dxa"/>
            <w:tcBorders>
              <w:tl2br w:val="nil"/>
              <w:tr2bl w:val="nil"/>
            </w:tcBorders>
            <w:noWrap/>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序号</w:t>
            </w:r>
          </w:p>
        </w:tc>
        <w:tc>
          <w:tcPr>
            <w:tcW w:w="2123"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名称</w:t>
            </w:r>
          </w:p>
        </w:tc>
        <w:tc>
          <w:tcPr>
            <w:tcW w:w="638"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方位</w:t>
            </w:r>
          </w:p>
        </w:tc>
        <w:tc>
          <w:tcPr>
            <w:tcW w:w="102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距离(m)</w:t>
            </w:r>
          </w:p>
        </w:tc>
        <w:tc>
          <w:tcPr>
            <w:tcW w:w="137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经纬度(°)</w:t>
            </w:r>
          </w:p>
        </w:tc>
        <w:tc>
          <w:tcPr>
            <w:tcW w:w="2437"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备注</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04" w:type="dxa"/>
            <w:tcBorders>
              <w:tl2br w:val="nil"/>
              <w:tr2bl w:val="nil"/>
            </w:tcBorders>
            <w:noWrap/>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w:t>
            </w:r>
          </w:p>
        </w:tc>
        <w:tc>
          <w:tcPr>
            <w:tcW w:w="2123"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b w:val="0"/>
                <w:bCs/>
                <w:color w:val="auto"/>
                <w:sz w:val="21"/>
                <w:szCs w:val="21"/>
                <w:highlight w:val="none"/>
                <w:lang w:eastAsia="zh-CN"/>
              </w:rPr>
              <w:t>油坊沟居民</w:t>
            </w:r>
          </w:p>
        </w:tc>
        <w:tc>
          <w:tcPr>
            <w:tcW w:w="638"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北</w:t>
            </w:r>
          </w:p>
        </w:tc>
        <w:tc>
          <w:tcPr>
            <w:tcW w:w="102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234</w:t>
            </w:r>
          </w:p>
        </w:tc>
        <w:tc>
          <w:tcPr>
            <w:tcW w:w="137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eastAsia"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b w:val="0"/>
                <w:bCs/>
                <w:color w:val="auto"/>
                <w:sz w:val="21"/>
                <w:szCs w:val="21"/>
                <w:highlight w:val="none"/>
              </w:rPr>
              <w:t>106°50′30″</w:t>
            </w:r>
            <w:r>
              <w:rPr>
                <w:rFonts w:hint="eastAsia" w:ascii="Times New Roman" w:hAnsi="Times New Roman" w:eastAsia="宋体" w:cs="Times New Roman"/>
                <w:b w:val="0"/>
                <w:bCs/>
                <w:color w:val="auto"/>
                <w:sz w:val="21"/>
                <w:szCs w:val="21"/>
                <w:highlight w:val="none"/>
                <w:lang w:eastAsia="zh-CN"/>
              </w:rPr>
              <w:t>，</w:t>
            </w:r>
          </w:p>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rPr>
              <w:t>31°39′45″</w:t>
            </w:r>
          </w:p>
        </w:tc>
        <w:tc>
          <w:tcPr>
            <w:tcW w:w="2437"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约</w:t>
            </w:r>
            <w:r>
              <w:rPr>
                <w:rFonts w:hint="default" w:ascii="Times New Roman" w:hAnsi="Times New Roman" w:eastAsia="宋体" w:cs="Times New Roman"/>
                <w:b w:val="0"/>
                <w:bCs/>
                <w:color w:val="auto"/>
                <w:sz w:val="21"/>
                <w:szCs w:val="21"/>
                <w:highlight w:val="none"/>
                <w:lang w:val="en-US" w:eastAsia="zh-CN"/>
              </w:rPr>
              <w:t>4</w:t>
            </w:r>
            <w:r>
              <w:rPr>
                <w:rFonts w:hint="default" w:ascii="Times New Roman" w:hAnsi="Times New Roman" w:eastAsia="宋体" w:cs="Times New Roman"/>
                <w:b w:val="0"/>
                <w:bCs/>
                <w:color w:val="auto"/>
                <w:sz w:val="21"/>
                <w:szCs w:val="21"/>
                <w:highlight w:val="none"/>
              </w:rPr>
              <w:t>户</w:t>
            </w:r>
            <w:r>
              <w:rPr>
                <w:rFonts w:hint="default" w:ascii="Times New Roman" w:hAnsi="Times New Roman" w:eastAsia="宋体" w:cs="Times New Roman"/>
                <w:b w:val="0"/>
                <w:bCs/>
                <w:color w:val="auto"/>
                <w:sz w:val="21"/>
                <w:szCs w:val="21"/>
                <w:highlight w:val="none"/>
                <w:lang w:val="en-US" w:eastAsia="zh-CN"/>
              </w:rPr>
              <w:t>16</w:t>
            </w:r>
            <w:r>
              <w:rPr>
                <w:rFonts w:hint="default" w:ascii="Times New Roman" w:hAnsi="Times New Roman" w:eastAsia="宋体" w:cs="Times New Roman"/>
                <w:b w:val="0"/>
                <w:bCs/>
                <w:color w:val="auto"/>
                <w:sz w:val="21"/>
                <w:szCs w:val="21"/>
                <w:highlight w:val="none"/>
              </w:rPr>
              <w:t>人</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04" w:type="dxa"/>
            <w:tcBorders>
              <w:tl2br w:val="nil"/>
              <w:tr2bl w:val="nil"/>
            </w:tcBorders>
            <w:noWrap/>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rPr>
              <w:t>2</w:t>
            </w:r>
          </w:p>
        </w:tc>
        <w:tc>
          <w:tcPr>
            <w:tcW w:w="2123"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b w:val="0"/>
                <w:bCs/>
                <w:color w:val="auto"/>
                <w:sz w:val="21"/>
                <w:szCs w:val="21"/>
                <w:highlight w:val="none"/>
                <w:lang w:eastAsia="zh-CN"/>
              </w:rPr>
              <w:t>刘家大瓦房村居民</w:t>
            </w:r>
          </w:p>
        </w:tc>
        <w:tc>
          <w:tcPr>
            <w:tcW w:w="638"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北</w:t>
            </w:r>
          </w:p>
        </w:tc>
        <w:tc>
          <w:tcPr>
            <w:tcW w:w="102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460</w:t>
            </w:r>
          </w:p>
        </w:tc>
        <w:tc>
          <w:tcPr>
            <w:tcW w:w="1375" w:type="dxa"/>
            <w:tcBorders>
              <w:tl2br w:val="nil"/>
              <w:tr2bl w:val="nil"/>
            </w:tcBorders>
            <w:noWrap w:val="0"/>
            <w:vAlign w:val="center"/>
          </w:tcPr>
          <w:p>
            <w:pPr>
              <w:pStyle w:val="176"/>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106°50′34″</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31°39′55″</w:t>
            </w:r>
          </w:p>
        </w:tc>
        <w:tc>
          <w:tcPr>
            <w:tcW w:w="2437"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约</w:t>
            </w:r>
            <w:r>
              <w:rPr>
                <w:rFonts w:hint="default" w:ascii="Times New Roman" w:hAnsi="Times New Roman" w:eastAsia="宋体" w:cs="Times New Roman"/>
                <w:b w:val="0"/>
                <w:bCs/>
                <w:color w:val="auto"/>
                <w:sz w:val="21"/>
                <w:szCs w:val="21"/>
                <w:highlight w:val="none"/>
                <w:lang w:val="en-US" w:eastAsia="zh-CN"/>
              </w:rPr>
              <w:t>25</w:t>
            </w:r>
            <w:r>
              <w:rPr>
                <w:rFonts w:hint="default" w:ascii="Times New Roman" w:hAnsi="Times New Roman" w:eastAsia="宋体" w:cs="Times New Roman"/>
                <w:b w:val="0"/>
                <w:bCs/>
                <w:color w:val="auto"/>
                <w:sz w:val="21"/>
                <w:szCs w:val="21"/>
                <w:highlight w:val="none"/>
              </w:rPr>
              <w:t>户</w:t>
            </w:r>
            <w:r>
              <w:rPr>
                <w:rFonts w:hint="default" w:ascii="Times New Roman" w:hAnsi="Times New Roman" w:eastAsia="宋体" w:cs="Times New Roman"/>
                <w:b w:val="0"/>
                <w:bCs/>
                <w:color w:val="auto"/>
                <w:sz w:val="21"/>
                <w:szCs w:val="21"/>
                <w:highlight w:val="none"/>
                <w:lang w:val="en-US" w:eastAsia="zh-CN"/>
              </w:rPr>
              <w:t>90</w:t>
            </w:r>
            <w:r>
              <w:rPr>
                <w:rFonts w:hint="default" w:ascii="Times New Roman" w:hAnsi="Times New Roman" w:eastAsia="宋体" w:cs="Times New Roman"/>
                <w:b w:val="0"/>
                <w:bCs/>
                <w:color w:val="auto"/>
                <w:sz w:val="21"/>
                <w:szCs w:val="21"/>
                <w:highlight w:val="none"/>
              </w:rPr>
              <w:t>人</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04" w:type="dxa"/>
            <w:tcBorders>
              <w:tl2br w:val="nil"/>
              <w:tr2bl w:val="nil"/>
            </w:tcBorders>
            <w:noWrap/>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3</w:t>
            </w:r>
          </w:p>
        </w:tc>
        <w:tc>
          <w:tcPr>
            <w:tcW w:w="2123"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eastAsia="zh-CN"/>
              </w:rPr>
              <w:t>张家湾零散居民</w:t>
            </w:r>
          </w:p>
        </w:tc>
        <w:tc>
          <w:tcPr>
            <w:tcW w:w="638"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eastAsia="zh-CN"/>
              </w:rPr>
              <w:t>南</w:t>
            </w:r>
          </w:p>
        </w:tc>
        <w:tc>
          <w:tcPr>
            <w:tcW w:w="102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200</w:t>
            </w:r>
          </w:p>
        </w:tc>
        <w:tc>
          <w:tcPr>
            <w:tcW w:w="137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102.326474，29.186952</w:t>
            </w:r>
          </w:p>
        </w:tc>
        <w:tc>
          <w:tcPr>
            <w:tcW w:w="2437"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约1户4人</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04" w:type="dxa"/>
            <w:tcBorders>
              <w:tl2br w:val="nil"/>
              <w:tr2bl w:val="nil"/>
            </w:tcBorders>
            <w:noWrap/>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4</w:t>
            </w:r>
          </w:p>
        </w:tc>
        <w:tc>
          <w:tcPr>
            <w:tcW w:w="2123"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eastAsia="zh-CN"/>
              </w:rPr>
              <w:t>黄包梁村居民聚居区</w:t>
            </w:r>
          </w:p>
        </w:tc>
        <w:tc>
          <w:tcPr>
            <w:tcW w:w="638"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rPr>
              <w:t>东</w:t>
            </w:r>
            <w:r>
              <w:rPr>
                <w:rFonts w:hint="default" w:ascii="Times New Roman" w:hAnsi="Times New Roman" w:eastAsia="宋体" w:cs="Times New Roman"/>
                <w:b w:val="0"/>
                <w:bCs/>
                <w:color w:val="auto"/>
                <w:sz w:val="21"/>
                <w:szCs w:val="21"/>
                <w:highlight w:val="none"/>
                <w:lang w:eastAsia="zh-CN"/>
              </w:rPr>
              <w:t>南</w:t>
            </w:r>
          </w:p>
        </w:tc>
        <w:tc>
          <w:tcPr>
            <w:tcW w:w="102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180</w:t>
            </w:r>
          </w:p>
        </w:tc>
        <w:tc>
          <w:tcPr>
            <w:tcW w:w="137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106°50′49″</w:t>
            </w:r>
            <w:r>
              <w:rPr>
                <w:rFonts w:hint="eastAsia" w:ascii="Times New Roman" w:hAnsi="Times New Roman" w:eastAsia="宋体" w:cs="Times New Roman"/>
                <w:b w:val="0"/>
                <w:bCs/>
                <w:color w:val="auto"/>
                <w:sz w:val="21"/>
                <w:szCs w:val="21"/>
                <w:highlight w:val="none"/>
                <w:lang w:val="en-US" w:eastAsia="zh-CN"/>
              </w:rPr>
              <w:t>，</w:t>
            </w:r>
          </w:p>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31°39′16″</w:t>
            </w:r>
          </w:p>
        </w:tc>
        <w:tc>
          <w:tcPr>
            <w:tcW w:w="2437"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约8户26人</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04" w:type="dxa"/>
            <w:tcBorders>
              <w:tl2br w:val="nil"/>
              <w:tr2bl w:val="nil"/>
            </w:tcBorders>
            <w:noWrap/>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5</w:t>
            </w:r>
          </w:p>
        </w:tc>
        <w:tc>
          <w:tcPr>
            <w:tcW w:w="2123"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eastAsia="zh-CN"/>
              </w:rPr>
              <w:t>养猪场</w:t>
            </w:r>
          </w:p>
        </w:tc>
        <w:tc>
          <w:tcPr>
            <w:tcW w:w="638"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rPr>
              <w:t>东</w:t>
            </w:r>
            <w:r>
              <w:rPr>
                <w:rFonts w:hint="default" w:ascii="Times New Roman" w:hAnsi="Times New Roman" w:eastAsia="宋体" w:cs="Times New Roman"/>
                <w:b w:val="0"/>
                <w:bCs/>
                <w:color w:val="auto"/>
                <w:sz w:val="21"/>
                <w:szCs w:val="21"/>
                <w:highlight w:val="none"/>
                <w:lang w:eastAsia="zh-CN"/>
              </w:rPr>
              <w:t>南</w:t>
            </w:r>
          </w:p>
        </w:tc>
        <w:tc>
          <w:tcPr>
            <w:tcW w:w="102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330</w:t>
            </w:r>
          </w:p>
        </w:tc>
        <w:tc>
          <w:tcPr>
            <w:tcW w:w="137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106°50′24″</w:t>
            </w:r>
            <w:r>
              <w:rPr>
                <w:rFonts w:hint="eastAsia" w:ascii="Times New Roman" w:hAnsi="Times New Roman" w:eastAsia="宋体" w:cs="Times New Roman"/>
                <w:b w:val="0"/>
                <w:bCs/>
                <w:color w:val="auto"/>
                <w:sz w:val="21"/>
                <w:szCs w:val="21"/>
                <w:highlight w:val="none"/>
                <w:lang w:val="en-US" w:eastAsia="zh-CN"/>
              </w:rPr>
              <w:t>，</w:t>
            </w:r>
          </w:p>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31°38′55″</w:t>
            </w:r>
          </w:p>
        </w:tc>
        <w:tc>
          <w:tcPr>
            <w:tcW w:w="2437"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firstLine="0" w:firstLineChars="0"/>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一个</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04" w:type="dxa"/>
            <w:tcBorders>
              <w:tl2br w:val="nil"/>
              <w:tr2bl w:val="nil"/>
            </w:tcBorders>
            <w:noWrap/>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w:t>
            </w:r>
          </w:p>
        </w:tc>
        <w:tc>
          <w:tcPr>
            <w:tcW w:w="2123"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罗地沟水库</w:t>
            </w:r>
          </w:p>
        </w:tc>
        <w:tc>
          <w:tcPr>
            <w:tcW w:w="638"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西南</w:t>
            </w:r>
          </w:p>
        </w:tc>
        <w:tc>
          <w:tcPr>
            <w:tcW w:w="102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color w:val="auto"/>
                <w:sz w:val="21"/>
                <w:szCs w:val="21"/>
                <w:highlight w:val="none"/>
                <w:lang w:val="en-US" w:eastAsia="zh-CN"/>
              </w:rPr>
              <w:t>85</w:t>
            </w:r>
          </w:p>
        </w:tc>
        <w:tc>
          <w:tcPr>
            <w:tcW w:w="137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106°50′17</w:t>
            </w:r>
            <w:r>
              <w:rPr>
                <w:rFonts w:hint="default" w:ascii="Times New Roman" w:hAnsi="Times New Roman" w:eastAsia="宋体" w:cs="Times New Roman"/>
                <w:b w:val="0"/>
                <w:bCs/>
                <w:color w:val="auto"/>
                <w:sz w:val="21"/>
                <w:szCs w:val="21"/>
                <w:highlight w:val="none"/>
                <w:lang w:val="en-US" w:eastAsia="zh-CN"/>
              </w:rPr>
              <w:t>″</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31°39′18</w:t>
            </w:r>
            <w:r>
              <w:rPr>
                <w:rFonts w:hint="default" w:ascii="Times New Roman" w:hAnsi="Times New Roman" w:eastAsia="宋体" w:cs="Times New Roman"/>
                <w:b w:val="0"/>
                <w:bCs/>
                <w:color w:val="auto"/>
                <w:sz w:val="21"/>
                <w:szCs w:val="21"/>
                <w:highlight w:val="none"/>
                <w:lang w:val="en-US" w:eastAsia="zh-CN"/>
              </w:rPr>
              <w:t>″</w:t>
            </w:r>
          </w:p>
        </w:tc>
        <w:tc>
          <w:tcPr>
            <w:tcW w:w="2437" w:type="dxa"/>
            <w:vMerge w:val="restart"/>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无功能区划</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04" w:type="dxa"/>
            <w:tcBorders>
              <w:tl2br w:val="nil"/>
              <w:tr2bl w:val="nil"/>
            </w:tcBorders>
            <w:noWrap/>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w:t>
            </w:r>
          </w:p>
        </w:tc>
        <w:tc>
          <w:tcPr>
            <w:tcW w:w="2123"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油坊沟（季节性冲沟）</w:t>
            </w:r>
          </w:p>
        </w:tc>
        <w:tc>
          <w:tcPr>
            <w:tcW w:w="638"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北</w:t>
            </w:r>
          </w:p>
        </w:tc>
        <w:tc>
          <w:tcPr>
            <w:tcW w:w="102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254</w:t>
            </w:r>
          </w:p>
        </w:tc>
        <w:tc>
          <w:tcPr>
            <w:tcW w:w="1375"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jc w:val="both"/>
              <w:rPr>
                <w:rFonts w:hint="eastAsia"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106°50′37″</w:t>
            </w:r>
            <w:r>
              <w:rPr>
                <w:rFonts w:hint="eastAsia" w:cs="Times New Roman"/>
                <w:color w:val="auto"/>
                <w:sz w:val="21"/>
                <w:szCs w:val="21"/>
                <w:highlight w:val="none"/>
                <w:lang w:eastAsia="zh-CN"/>
              </w:rPr>
              <w:t>，</w:t>
            </w:r>
          </w:p>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jc w:val="both"/>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31</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eastAsia="zh-CN"/>
              </w:rPr>
              <w:t>39</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eastAsia="zh-CN"/>
              </w:rPr>
              <w:t>45</w:t>
            </w:r>
            <w:r>
              <w:rPr>
                <w:rFonts w:hint="default" w:ascii="Times New Roman" w:hAnsi="Times New Roman" w:eastAsia="宋体" w:cs="Times New Roman"/>
                <w:color w:val="auto"/>
                <w:sz w:val="21"/>
                <w:szCs w:val="21"/>
                <w:highlight w:val="none"/>
              </w:rPr>
              <w:t>″</w:t>
            </w:r>
          </w:p>
        </w:tc>
        <w:tc>
          <w:tcPr>
            <w:tcW w:w="2437" w:type="dxa"/>
            <w:vMerge w:val="continue"/>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bl>
    <w:p>
      <w:pPr>
        <w:pStyle w:val="158"/>
        <w:ind w:firstLine="480"/>
        <w:rPr>
          <w:rFonts w:hint="eastAsia"/>
          <w:b/>
          <w:bCs w:val="0"/>
          <w:color w:val="auto"/>
          <w:highlight w:val="none"/>
          <w:lang w:val="en-US" w:eastAsia="zh-CN"/>
        </w:rPr>
      </w:pPr>
      <w:r>
        <w:rPr>
          <w:rFonts w:hint="eastAsia" w:eastAsia="宋体"/>
          <w:b/>
          <w:bCs/>
          <w:color w:val="auto"/>
          <w:highlight w:val="none"/>
          <w:lang w:val="en-US" w:eastAsia="zh-CN"/>
        </w:rPr>
        <w:t>周边</w:t>
      </w:r>
      <w:r>
        <w:rPr>
          <w:rFonts w:hint="eastAsia"/>
          <w:color w:val="auto"/>
          <w:highlight w:val="none"/>
        </w:rPr>
        <w:t>主要分布为</w:t>
      </w:r>
      <w:r>
        <w:rPr>
          <w:rFonts w:hint="eastAsia"/>
          <w:color w:val="auto"/>
          <w:highlight w:val="none"/>
          <w:lang w:val="en-US" w:eastAsia="zh-CN"/>
        </w:rPr>
        <w:t>养猪场</w:t>
      </w:r>
      <w:r>
        <w:rPr>
          <w:rFonts w:hint="eastAsia"/>
          <w:color w:val="auto"/>
          <w:highlight w:val="none"/>
        </w:rPr>
        <w:t>和农户，项目评价范围内无自然保护区、风景名胜区、文化遗产保护区、世界文化自然遗产和森林公园、地质公园、湿地公园等保护地以及饮用水水源保护区、无食品、药品等企业，评价范围内无明显环境制约因素。</w:t>
      </w:r>
    </w:p>
    <w:p>
      <w:pPr>
        <w:pStyle w:val="158"/>
        <w:numPr>
          <w:ilvl w:val="0"/>
          <w:numId w:val="11"/>
        </w:numPr>
        <w:ind w:firstLine="480"/>
        <w:rPr>
          <w:rFonts w:hint="eastAsia"/>
          <w:b/>
          <w:bCs w:val="0"/>
          <w:color w:val="auto"/>
          <w:highlight w:val="none"/>
          <w:lang w:val="en-US" w:eastAsia="zh-CN"/>
        </w:rPr>
      </w:pPr>
      <w:r>
        <w:rPr>
          <w:rFonts w:hint="eastAsia"/>
          <w:b/>
          <w:bCs w:val="0"/>
          <w:color w:val="auto"/>
          <w:highlight w:val="none"/>
          <w:lang w:val="en-US" w:eastAsia="zh-CN"/>
        </w:rPr>
        <w:t>环境保护目标</w:t>
      </w:r>
    </w:p>
    <w:p>
      <w:pPr>
        <w:pStyle w:val="158"/>
        <w:ind w:firstLine="480"/>
        <w:rPr>
          <w:rFonts w:hint="default"/>
          <w:color w:val="auto"/>
          <w:highlight w:val="none"/>
          <w:lang w:val="en-US" w:eastAsia="zh-CN"/>
        </w:rPr>
      </w:pPr>
      <w:r>
        <w:rPr>
          <w:rFonts w:hint="default"/>
          <w:b/>
          <w:bCs/>
          <w:color w:val="auto"/>
          <w:highlight w:val="none"/>
          <w:lang w:val="en-US" w:eastAsia="zh-CN"/>
        </w:rPr>
        <w:t>地表水环境 ：</w:t>
      </w:r>
      <w:r>
        <w:rPr>
          <w:rFonts w:hint="default"/>
          <w:color w:val="auto"/>
          <w:highlight w:val="none"/>
          <w:lang w:val="en-US" w:eastAsia="zh-CN"/>
        </w:rPr>
        <w:t>地表水水质和水体功能不因本项目的建设而发生变化，应使其符合《地表水环境质量标准》（GB3838-2002）Ⅲ类水域标准的要求。</w:t>
      </w:r>
    </w:p>
    <w:p>
      <w:pPr>
        <w:pStyle w:val="158"/>
        <w:ind w:firstLine="480"/>
        <w:rPr>
          <w:rFonts w:hint="default"/>
          <w:color w:val="auto"/>
          <w:highlight w:val="none"/>
          <w:lang w:val="en-US" w:eastAsia="zh-CN"/>
        </w:rPr>
      </w:pPr>
      <w:r>
        <w:rPr>
          <w:rFonts w:hint="default"/>
          <w:b/>
          <w:bCs/>
          <w:color w:val="auto"/>
          <w:highlight w:val="none"/>
          <w:lang w:val="en-US" w:eastAsia="zh-CN"/>
        </w:rPr>
        <w:t>地下水环境</w:t>
      </w:r>
      <w:r>
        <w:rPr>
          <w:rFonts w:hint="default"/>
          <w:color w:val="auto"/>
          <w:highlight w:val="none"/>
          <w:lang w:val="en-US" w:eastAsia="zh-CN"/>
        </w:rPr>
        <w:t>：确保项目区域地下水环境质量，应达到《地下水质量标准》（GB/T14848-2017）中Ⅲ类标准要求。</w:t>
      </w:r>
    </w:p>
    <w:p>
      <w:pPr>
        <w:pStyle w:val="158"/>
        <w:ind w:firstLine="480"/>
        <w:rPr>
          <w:rFonts w:hint="default"/>
          <w:color w:val="auto"/>
          <w:highlight w:val="none"/>
          <w:lang w:val="en-US" w:eastAsia="zh-CN"/>
        </w:rPr>
      </w:pPr>
      <w:r>
        <w:rPr>
          <w:rFonts w:hint="default"/>
          <w:b/>
          <w:bCs/>
          <w:color w:val="auto"/>
          <w:highlight w:val="none"/>
          <w:lang w:val="en-US" w:eastAsia="zh-CN"/>
        </w:rPr>
        <w:t>环境空气：</w:t>
      </w:r>
      <w:r>
        <w:rPr>
          <w:rFonts w:hint="default"/>
          <w:color w:val="auto"/>
          <w:highlight w:val="none"/>
          <w:lang w:val="en-US" w:eastAsia="zh-CN"/>
        </w:rPr>
        <w:t>项目所在区域的环境空气质量，应达到《环境空气质量标准》（GB3095-2012）二级标准要求。</w:t>
      </w:r>
    </w:p>
    <w:p>
      <w:pPr>
        <w:pStyle w:val="158"/>
        <w:ind w:firstLine="480"/>
        <w:rPr>
          <w:rFonts w:hint="default"/>
          <w:color w:val="auto"/>
          <w:highlight w:val="none"/>
          <w:lang w:val="en-US" w:eastAsia="zh-CN"/>
        </w:rPr>
      </w:pPr>
      <w:r>
        <w:rPr>
          <w:rFonts w:hint="default"/>
          <w:b/>
          <w:bCs/>
          <w:color w:val="auto"/>
          <w:highlight w:val="none"/>
          <w:lang w:val="en-US" w:eastAsia="zh-CN"/>
        </w:rPr>
        <w:t>声学环境：</w:t>
      </w:r>
      <w:r>
        <w:rPr>
          <w:rFonts w:hint="default"/>
          <w:color w:val="auto"/>
          <w:highlight w:val="none"/>
          <w:lang w:val="en-US" w:eastAsia="zh-CN"/>
        </w:rPr>
        <w:t>项目四周 200m</w:t>
      </w:r>
      <w:r>
        <w:rPr>
          <w:rFonts w:hint="eastAsia"/>
          <w:color w:val="auto"/>
          <w:highlight w:val="none"/>
          <w:lang w:val="en-US" w:eastAsia="zh-CN"/>
        </w:rPr>
        <w:t xml:space="preserve"> </w:t>
      </w:r>
      <w:r>
        <w:rPr>
          <w:rFonts w:hint="default"/>
          <w:color w:val="auto"/>
          <w:highlight w:val="none"/>
          <w:lang w:val="en-US" w:eastAsia="zh-CN"/>
        </w:rPr>
        <w:t>范围内声学环境质量应达到《声环境质量标准》（GB3096-2008）规定的2类标准要求。</w:t>
      </w:r>
    </w:p>
    <w:p>
      <w:pPr>
        <w:pStyle w:val="158"/>
        <w:ind w:firstLine="480"/>
        <w:rPr>
          <w:rFonts w:hint="default"/>
          <w:color w:val="auto"/>
          <w:highlight w:val="none"/>
          <w:lang w:val="en-US" w:eastAsia="zh-CN"/>
        </w:rPr>
      </w:pPr>
      <w:r>
        <w:rPr>
          <w:rFonts w:hint="default"/>
          <w:b/>
          <w:bCs/>
          <w:color w:val="auto"/>
          <w:highlight w:val="none"/>
          <w:lang w:val="en-US" w:eastAsia="zh-CN"/>
        </w:rPr>
        <w:t>土壤环境：</w:t>
      </w:r>
      <w:r>
        <w:rPr>
          <w:rFonts w:hint="default"/>
          <w:color w:val="auto"/>
          <w:highlight w:val="none"/>
          <w:lang w:val="en-US" w:eastAsia="zh-CN"/>
        </w:rPr>
        <w:t>项目场地土壤达到《土壤环境质量 建设用地土壤污染风险管控标准（试行）》（GB36600-2018）表 1 第二类用地筛选值，周边农用地土壤达到《土壤环境质量标准 农用地土壤污染风险管控标准（试行）》（GB15618-2018）农用地土壤污染风险筛选值。</w:t>
      </w:r>
    </w:p>
    <w:p>
      <w:pPr>
        <w:pStyle w:val="158"/>
        <w:ind w:firstLine="480"/>
        <w:rPr>
          <w:rFonts w:hint="default"/>
          <w:color w:val="auto"/>
          <w:highlight w:val="none"/>
          <w:lang w:val="en-US" w:eastAsia="zh-CN"/>
        </w:rPr>
      </w:pPr>
      <w:r>
        <w:rPr>
          <w:rFonts w:hint="default"/>
          <w:b/>
          <w:bCs/>
          <w:color w:val="auto"/>
          <w:highlight w:val="none"/>
          <w:lang w:val="en-US" w:eastAsia="zh-CN"/>
        </w:rPr>
        <w:t>生态环境：</w:t>
      </w:r>
      <w:r>
        <w:rPr>
          <w:rFonts w:hint="default"/>
          <w:color w:val="auto"/>
          <w:highlight w:val="none"/>
          <w:lang w:val="en-US" w:eastAsia="zh-CN"/>
        </w:rPr>
        <w:t>以不破坏区域内生态系统完整性为标准，控制和减轻由项目建设对地表植被和土壤的破坏而造成的水土流失，保护地表植被，保护生态环境。</w:t>
      </w:r>
    </w:p>
    <w:p>
      <w:pPr>
        <w:pStyle w:val="158"/>
        <w:ind w:firstLine="480"/>
        <w:rPr>
          <w:rFonts w:hint="default"/>
          <w:color w:val="auto"/>
          <w:highlight w:val="none"/>
          <w:lang w:val="en-US" w:eastAsia="zh-CN"/>
        </w:rPr>
      </w:pPr>
      <w:r>
        <w:rPr>
          <w:rFonts w:hint="default"/>
          <w:color w:val="auto"/>
          <w:highlight w:val="none"/>
          <w:lang w:val="en-US" w:eastAsia="zh-CN"/>
        </w:rPr>
        <w:t>本项目的环境保护目标见表</w:t>
      </w:r>
      <w:r>
        <w:rPr>
          <w:rFonts w:hint="eastAsia"/>
          <w:color w:val="auto"/>
          <w:highlight w:val="none"/>
          <w:lang w:val="en-US" w:eastAsia="zh-CN"/>
        </w:rPr>
        <w:t>下表</w:t>
      </w:r>
      <w:r>
        <w:rPr>
          <w:rFonts w:hint="default"/>
          <w:color w:val="auto"/>
          <w:highlight w:val="none"/>
          <w:lang w:val="en-US" w:eastAsia="zh-CN"/>
        </w:rPr>
        <w:t>。</w:t>
      </w:r>
    </w:p>
    <w:p>
      <w:pPr>
        <w:numPr>
          <w:ilvl w:val="0"/>
          <w:numId w:val="7"/>
        </w:numPr>
        <w:tabs>
          <w:tab w:val="left" w:pos="0"/>
        </w:tabs>
        <w:ind w:left="425" w:leftChars="0" w:hanging="425" w:firstLineChars="0"/>
        <w:jc w:val="center"/>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 xml:space="preserve"> </w:t>
      </w:r>
      <w:r>
        <w:rPr>
          <w:rFonts w:hint="default" w:ascii="Times New Roman" w:hAnsi="Times New Roman" w:eastAsia="宋体" w:cs="Times New Roman"/>
          <w:b/>
          <w:bCs/>
          <w:color w:val="auto"/>
          <w:highlight w:val="none"/>
          <w:lang w:val="en-US" w:eastAsia="zh-CN"/>
        </w:rPr>
        <w:t xml:space="preserve"> 项目主要环境保护目标及敏感点</w:t>
      </w:r>
    </w:p>
    <w:tbl>
      <w:tblPr>
        <w:tblStyle w:val="91"/>
        <w:tblW w:w="8328"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1"/>
        <w:gridCol w:w="857"/>
        <w:gridCol w:w="991"/>
        <w:gridCol w:w="597"/>
        <w:gridCol w:w="832"/>
        <w:gridCol w:w="2237"/>
        <w:gridCol w:w="1014"/>
        <w:gridCol w:w="179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gridBefore w:val="1"/>
          <w:wBefore w:w="1" w:type="dxa"/>
          <w:cantSplit/>
          <w:trHeight w:val="86" w:hRule="atLeast"/>
          <w:jc w:val="center"/>
        </w:trPr>
        <w:tc>
          <w:tcPr>
            <w:tcW w:w="857" w:type="dxa"/>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eastAsia="宋体"/>
                <w:b/>
                <w:bCs/>
                <w:color w:val="auto"/>
                <w:highlight w:val="none"/>
              </w:rPr>
            </w:pPr>
            <w:r>
              <w:rPr>
                <w:rFonts w:hint="default" w:hAnsi="宋体" w:eastAsia="宋体"/>
                <w:b/>
                <w:bCs/>
                <w:color w:val="auto"/>
                <w:highlight w:val="none"/>
              </w:rPr>
              <w:t>环境要素</w:t>
            </w:r>
          </w:p>
        </w:tc>
        <w:tc>
          <w:tcPr>
            <w:tcW w:w="991" w:type="dxa"/>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eastAsia="宋体"/>
                <w:b/>
                <w:bCs/>
                <w:color w:val="auto"/>
                <w:highlight w:val="none"/>
              </w:rPr>
            </w:pPr>
            <w:r>
              <w:rPr>
                <w:rFonts w:hint="default" w:hAnsi="宋体" w:eastAsia="宋体"/>
                <w:b/>
                <w:bCs/>
                <w:color w:val="auto"/>
                <w:highlight w:val="none"/>
              </w:rPr>
              <w:t>保护对象</w:t>
            </w:r>
          </w:p>
        </w:tc>
        <w:tc>
          <w:tcPr>
            <w:tcW w:w="597" w:type="dxa"/>
            <w:tcBorders>
              <w:right w:val="single" w:color="000000" w:sz="8" w:space="0"/>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eastAsia="宋体"/>
                <w:b/>
                <w:bCs/>
                <w:color w:val="auto"/>
                <w:highlight w:val="none"/>
              </w:rPr>
            </w:pPr>
            <w:r>
              <w:rPr>
                <w:rFonts w:hint="default" w:hAnsi="宋体" w:eastAsia="宋体"/>
                <w:b/>
                <w:bCs/>
                <w:color w:val="auto"/>
                <w:highlight w:val="none"/>
              </w:rPr>
              <w:t>性质</w:t>
            </w:r>
          </w:p>
        </w:tc>
        <w:tc>
          <w:tcPr>
            <w:tcW w:w="832" w:type="dxa"/>
            <w:tcBorders>
              <w:left w:val="single" w:color="000000" w:sz="8" w:space="0"/>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eastAsia" w:hAnsi="宋体" w:eastAsia="宋体"/>
                <w:b/>
                <w:bCs/>
                <w:color w:val="auto"/>
                <w:highlight w:val="none"/>
                <w:lang w:eastAsia="zh-CN"/>
              </w:rPr>
            </w:pPr>
            <w:r>
              <w:rPr>
                <w:rFonts w:hint="eastAsia" w:hAnsi="宋体"/>
                <w:b/>
                <w:bCs/>
                <w:color w:val="auto"/>
                <w:highlight w:val="none"/>
                <w:lang w:eastAsia="zh-CN"/>
              </w:rPr>
              <w:t>方向</w:t>
            </w:r>
          </w:p>
        </w:tc>
        <w:tc>
          <w:tcPr>
            <w:tcW w:w="2237" w:type="dxa"/>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eastAsia="宋体"/>
                <w:b/>
                <w:bCs/>
                <w:color w:val="auto"/>
                <w:highlight w:val="none"/>
              </w:rPr>
            </w:pPr>
            <w:r>
              <w:rPr>
                <w:rFonts w:hint="default" w:hAnsi="宋体" w:eastAsia="宋体"/>
                <w:b/>
                <w:bCs/>
                <w:color w:val="auto"/>
                <w:highlight w:val="none"/>
              </w:rPr>
              <w:t>距离</w:t>
            </w:r>
            <w:r>
              <w:rPr>
                <w:rFonts w:hint="default" w:eastAsia="宋体"/>
                <w:b/>
                <w:bCs/>
                <w:color w:val="auto"/>
                <w:highlight w:val="none"/>
              </w:rPr>
              <w:t>(m)</w:t>
            </w:r>
          </w:p>
        </w:tc>
        <w:tc>
          <w:tcPr>
            <w:tcW w:w="1014" w:type="dxa"/>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eastAsia="宋体"/>
                <w:b/>
                <w:bCs/>
                <w:color w:val="auto"/>
                <w:highlight w:val="none"/>
              </w:rPr>
            </w:pPr>
            <w:r>
              <w:rPr>
                <w:rFonts w:hint="default" w:hAnsi="宋体" w:eastAsia="宋体"/>
                <w:b/>
                <w:bCs/>
                <w:color w:val="auto"/>
                <w:highlight w:val="none"/>
              </w:rPr>
              <w:t>规模</w:t>
            </w:r>
          </w:p>
        </w:tc>
        <w:tc>
          <w:tcPr>
            <w:tcW w:w="1799" w:type="dxa"/>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eastAsia="宋体"/>
                <w:b/>
                <w:bCs/>
                <w:color w:val="auto"/>
                <w:highlight w:val="none"/>
              </w:rPr>
            </w:pPr>
            <w:r>
              <w:rPr>
                <w:rFonts w:hint="default" w:hAnsi="宋体" w:eastAsia="宋体"/>
                <w:b/>
                <w:bCs/>
                <w:color w:val="auto"/>
                <w:highlight w:val="none"/>
              </w:rPr>
              <w:t>环境功能</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gridBefore w:val="1"/>
          <w:wBefore w:w="1" w:type="dxa"/>
          <w:cantSplit/>
          <w:trHeight w:val="270" w:hRule="atLeast"/>
          <w:jc w:val="center"/>
        </w:trPr>
        <w:tc>
          <w:tcPr>
            <w:tcW w:w="857" w:type="dxa"/>
            <w:vMerge w:val="restart"/>
            <w:tcBorders>
              <w:tl2br w:val="nil"/>
              <w:tr2bl w:val="nil"/>
            </w:tcBorders>
            <w:noWrap w:val="0"/>
            <w:vAlign w:val="center"/>
          </w:tcPr>
          <w:p>
            <w:pPr>
              <w:pStyle w:val="468"/>
              <w:keepNext w:val="0"/>
              <w:keepLines w:val="0"/>
              <w:suppressLineNumbers w:val="0"/>
              <w:spacing w:before="100" w:beforeAutospacing="1" w:after="0" w:afterAutospacing="0" w:line="240" w:lineRule="auto"/>
              <w:ind w:left="0" w:right="0"/>
              <w:jc w:val="both"/>
              <w:rPr>
                <w:rFonts w:hint="default" w:ascii="Times New Roman" w:hAnsi="Times New Roman" w:eastAsia="宋体" w:cs="Times New Roman"/>
                <w:color w:val="auto"/>
                <w:highlight w:val="none"/>
              </w:rPr>
            </w:pPr>
          </w:p>
          <w:p>
            <w:pPr>
              <w:pStyle w:val="468"/>
              <w:keepNext w:val="0"/>
              <w:keepLines w:val="0"/>
              <w:suppressLineNumbers w:val="0"/>
              <w:spacing w:before="100" w:beforeAutospacing="1" w:after="0" w:afterAutospacing="0" w:line="240" w:lineRule="auto"/>
              <w:ind w:left="0" w:right="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空气</w:t>
            </w:r>
            <w:r>
              <w:rPr>
                <w:rFonts w:hint="default" w:ascii="Times New Roman" w:hAnsi="Times New Roman" w:eastAsia="宋体" w:cs="Times New Roman"/>
                <w:color w:val="auto"/>
                <w:highlight w:val="none"/>
                <w:lang w:eastAsia="zh-CN"/>
              </w:rPr>
              <w:t>环境、</w:t>
            </w:r>
            <w:r>
              <w:rPr>
                <w:rFonts w:hint="default" w:ascii="Times New Roman" w:hAnsi="Times New Roman" w:eastAsia="宋体" w:cs="Times New Roman"/>
                <w:color w:val="auto"/>
                <w:highlight w:val="none"/>
              </w:rPr>
              <w:t>声环境</w:t>
            </w:r>
          </w:p>
        </w:tc>
        <w:tc>
          <w:tcPr>
            <w:tcW w:w="991"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b w:val="0"/>
                <w:bCs/>
                <w:color w:val="auto"/>
                <w:sz w:val="21"/>
                <w:szCs w:val="21"/>
                <w:highlight w:val="none"/>
                <w:lang w:eastAsia="zh-CN"/>
              </w:rPr>
              <w:t>油坊沟居民</w:t>
            </w:r>
          </w:p>
        </w:tc>
        <w:tc>
          <w:tcPr>
            <w:tcW w:w="597" w:type="dxa"/>
            <w:tcBorders>
              <w:right w:val="single" w:color="000000" w:sz="8" w:space="0"/>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居住</w:t>
            </w:r>
          </w:p>
        </w:tc>
        <w:tc>
          <w:tcPr>
            <w:tcW w:w="832" w:type="dxa"/>
            <w:tcBorders>
              <w:left w:val="single" w:color="000000" w:sz="8" w:space="0"/>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b w:val="0"/>
                <w:bCs/>
                <w:color w:val="auto"/>
                <w:sz w:val="21"/>
                <w:szCs w:val="21"/>
                <w:highlight w:val="none"/>
                <w:lang w:val="en-US" w:eastAsia="zh-CN"/>
              </w:rPr>
              <w:t>北</w:t>
            </w:r>
          </w:p>
        </w:tc>
        <w:tc>
          <w:tcPr>
            <w:tcW w:w="2237" w:type="dxa"/>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红线外水平</w:t>
            </w:r>
            <w:r>
              <w:rPr>
                <w:rFonts w:hint="eastAsia" w:ascii="Times New Roman" w:hAnsi="Times New Roman" w:cs="Times New Roman"/>
                <w:color w:val="auto"/>
                <w:sz w:val="21"/>
                <w:szCs w:val="21"/>
                <w:highlight w:val="none"/>
                <w:lang w:val="en-US" w:eastAsia="zh-CN"/>
              </w:rPr>
              <w:t>234</w:t>
            </w:r>
            <w:r>
              <w:rPr>
                <w:rFonts w:hint="default" w:ascii="Times New Roman" w:hAnsi="Times New Roman" w:eastAsia="宋体" w:cs="Times New Roman"/>
                <w:color w:val="auto"/>
                <w:sz w:val="21"/>
                <w:szCs w:val="21"/>
                <w:highlight w:val="none"/>
              </w:rPr>
              <w:t>m，地势高</w:t>
            </w:r>
            <w:r>
              <w:rPr>
                <w:rFonts w:hint="eastAsia" w:ascii="Times New Roman" w:hAnsi="Times New Roman" w:cs="Times New Roman"/>
                <w:color w:val="auto"/>
                <w:sz w:val="21"/>
                <w:szCs w:val="21"/>
                <w:highlight w:val="none"/>
                <w:lang w:eastAsia="zh-CN"/>
              </w:rPr>
              <w:t>差</w:t>
            </w:r>
            <w:r>
              <w:rPr>
                <w:rFonts w:hint="default" w:ascii="Times New Roman" w:hAnsi="Times New Roman" w:eastAsia="宋体" w:cs="Times New Roman"/>
                <w:color w:val="auto"/>
                <w:sz w:val="21"/>
                <w:szCs w:val="21"/>
                <w:highlight w:val="none"/>
                <w:lang w:val="en-US" w:eastAsia="zh-CN"/>
              </w:rPr>
              <w:t>10</w:t>
            </w:r>
            <w:r>
              <w:rPr>
                <w:rFonts w:hint="eastAsia" w:ascii="Times New Roman" w:hAnsi="Times New Roman"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m</w:t>
            </w:r>
          </w:p>
        </w:tc>
        <w:tc>
          <w:tcPr>
            <w:tcW w:w="1014"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b w:val="0"/>
                <w:bCs/>
                <w:color w:val="auto"/>
                <w:sz w:val="21"/>
                <w:szCs w:val="21"/>
                <w:highlight w:val="none"/>
              </w:rPr>
              <w:t>约</w:t>
            </w:r>
            <w:r>
              <w:rPr>
                <w:rFonts w:hint="default" w:ascii="Times New Roman" w:hAnsi="Times New Roman" w:eastAsia="宋体" w:cs="Times New Roman"/>
                <w:b w:val="0"/>
                <w:bCs/>
                <w:color w:val="auto"/>
                <w:sz w:val="21"/>
                <w:szCs w:val="21"/>
                <w:highlight w:val="none"/>
                <w:lang w:val="en-US" w:eastAsia="zh-CN"/>
              </w:rPr>
              <w:t>4</w:t>
            </w:r>
            <w:r>
              <w:rPr>
                <w:rFonts w:hint="default" w:ascii="Times New Roman" w:hAnsi="Times New Roman" w:eastAsia="宋体" w:cs="Times New Roman"/>
                <w:b w:val="0"/>
                <w:bCs/>
                <w:color w:val="auto"/>
                <w:sz w:val="21"/>
                <w:szCs w:val="21"/>
                <w:highlight w:val="none"/>
              </w:rPr>
              <w:t>户</w:t>
            </w:r>
            <w:r>
              <w:rPr>
                <w:rFonts w:hint="default" w:ascii="Times New Roman" w:hAnsi="Times New Roman" w:eastAsia="宋体" w:cs="Times New Roman"/>
                <w:b w:val="0"/>
                <w:bCs/>
                <w:color w:val="auto"/>
                <w:sz w:val="21"/>
                <w:szCs w:val="21"/>
                <w:highlight w:val="none"/>
                <w:lang w:val="en-US" w:eastAsia="zh-CN"/>
              </w:rPr>
              <w:t>16</w:t>
            </w:r>
            <w:r>
              <w:rPr>
                <w:rFonts w:hint="default" w:ascii="Times New Roman" w:hAnsi="Times New Roman" w:eastAsia="宋体" w:cs="Times New Roman"/>
                <w:b w:val="0"/>
                <w:bCs/>
                <w:color w:val="auto"/>
                <w:sz w:val="21"/>
                <w:szCs w:val="21"/>
                <w:highlight w:val="none"/>
              </w:rPr>
              <w:t>人</w:t>
            </w:r>
          </w:p>
        </w:tc>
        <w:tc>
          <w:tcPr>
            <w:tcW w:w="1799" w:type="dxa"/>
            <w:vMerge w:val="restart"/>
            <w:tcBorders>
              <w:tl2br w:val="nil"/>
              <w:tr2bl w:val="nil"/>
            </w:tcBorders>
            <w:noWrap w:val="0"/>
            <w:vAlign w:val="center"/>
          </w:tcPr>
          <w:p>
            <w:pPr>
              <w:pStyle w:val="468"/>
              <w:keepNext w:val="0"/>
              <w:keepLines w:val="0"/>
              <w:suppressLineNumbers w:val="0"/>
              <w:spacing w:before="100" w:beforeAutospacing="1" w:after="0" w:afterAutospacing="0" w:line="240" w:lineRule="auto"/>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《环境空气质量标准》（GB3095-2012）二级标准</w:t>
            </w:r>
          </w:p>
          <w:p>
            <w:pPr>
              <w:pStyle w:val="468"/>
              <w:keepNext w:val="0"/>
              <w:keepLines w:val="0"/>
              <w:suppressLineNumbers w:val="0"/>
              <w:spacing w:before="100" w:beforeAutospacing="1" w:after="0" w:afterAutospacing="0" w:line="240" w:lineRule="auto"/>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《声环境质量标准》(GB3096-2008)</w:t>
            </w:r>
            <w:r>
              <w:rPr>
                <w:rFonts w:hint="eastAsia" w:ascii="宋体" w:hAnsi="宋体" w:cs="宋体"/>
                <w:color w:val="auto"/>
                <w:highlight w:val="none"/>
                <w:lang w:val="en-US" w:eastAsia="zh-CN"/>
              </w:rPr>
              <w:t>2</w:t>
            </w:r>
            <w:r>
              <w:rPr>
                <w:rFonts w:hint="default" w:ascii="Times New Roman" w:hAnsi="Times New Roman" w:eastAsia="宋体" w:cs="Times New Roman"/>
                <w:color w:val="auto"/>
                <w:highlight w:val="none"/>
              </w:rPr>
              <w:t>类标准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557" w:hRule="atLeast"/>
          <w:jc w:val="center"/>
        </w:trPr>
        <w:tc>
          <w:tcPr>
            <w:tcW w:w="858" w:type="dxa"/>
            <w:gridSpan w:val="2"/>
            <w:vMerge w:val="continue"/>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p>
        </w:tc>
        <w:tc>
          <w:tcPr>
            <w:tcW w:w="991"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b w:val="0"/>
                <w:bCs/>
                <w:color w:val="auto"/>
                <w:sz w:val="21"/>
                <w:szCs w:val="21"/>
                <w:highlight w:val="none"/>
                <w:lang w:eastAsia="zh-CN"/>
              </w:rPr>
              <w:t>刘家大瓦房村居民</w:t>
            </w:r>
          </w:p>
        </w:tc>
        <w:tc>
          <w:tcPr>
            <w:tcW w:w="597" w:type="dxa"/>
            <w:tcBorders>
              <w:right w:val="single" w:color="000000" w:sz="8" w:space="0"/>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居住</w:t>
            </w:r>
          </w:p>
        </w:tc>
        <w:tc>
          <w:tcPr>
            <w:tcW w:w="832" w:type="dxa"/>
            <w:tcBorders>
              <w:left w:val="single" w:color="000000" w:sz="8" w:space="0"/>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b w:val="0"/>
                <w:bCs/>
                <w:color w:val="auto"/>
                <w:sz w:val="21"/>
                <w:szCs w:val="21"/>
                <w:highlight w:val="none"/>
                <w:lang w:val="en-US" w:eastAsia="zh-CN"/>
              </w:rPr>
              <w:t>北</w:t>
            </w:r>
          </w:p>
        </w:tc>
        <w:tc>
          <w:tcPr>
            <w:tcW w:w="2237" w:type="dxa"/>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红线外水平</w:t>
            </w:r>
            <w:r>
              <w:rPr>
                <w:rFonts w:hint="eastAsia" w:ascii="Times New Roman" w:hAnsi="Times New Roman" w:cs="Times New Roman"/>
                <w:color w:val="auto"/>
                <w:sz w:val="21"/>
                <w:szCs w:val="21"/>
                <w:highlight w:val="none"/>
                <w:lang w:val="en-US" w:eastAsia="zh-CN"/>
              </w:rPr>
              <w:t>460</w:t>
            </w:r>
            <w:r>
              <w:rPr>
                <w:rFonts w:hint="default" w:ascii="Times New Roman" w:hAnsi="Times New Roman" w:eastAsia="宋体" w:cs="Times New Roman"/>
                <w:color w:val="auto"/>
                <w:sz w:val="21"/>
                <w:szCs w:val="21"/>
                <w:highlight w:val="none"/>
              </w:rPr>
              <w:t>m，地势高</w:t>
            </w:r>
            <w:r>
              <w:rPr>
                <w:rFonts w:hint="eastAsia" w:ascii="Times New Roman" w:hAnsi="Times New Roman" w:cs="Times New Roman"/>
                <w:color w:val="auto"/>
                <w:sz w:val="21"/>
                <w:szCs w:val="21"/>
                <w:highlight w:val="none"/>
                <w:lang w:eastAsia="zh-CN"/>
              </w:rPr>
              <w:t>差</w:t>
            </w:r>
            <w:r>
              <w:rPr>
                <w:rFonts w:hint="eastAsia" w:ascii="Times New Roman" w:hAnsi="Times New Roman"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30</w:t>
            </w:r>
            <w:r>
              <w:rPr>
                <w:rFonts w:hint="default" w:ascii="Times New Roman" w:hAnsi="Times New Roman" w:eastAsia="宋体" w:cs="Times New Roman"/>
                <w:color w:val="auto"/>
                <w:sz w:val="21"/>
                <w:szCs w:val="21"/>
                <w:highlight w:val="none"/>
              </w:rPr>
              <w:t>m</w:t>
            </w:r>
          </w:p>
        </w:tc>
        <w:tc>
          <w:tcPr>
            <w:tcW w:w="1014"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b w:val="0"/>
                <w:bCs/>
                <w:color w:val="auto"/>
                <w:sz w:val="21"/>
                <w:szCs w:val="21"/>
                <w:highlight w:val="none"/>
              </w:rPr>
              <w:t>约</w:t>
            </w:r>
            <w:r>
              <w:rPr>
                <w:rFonts w:hint="default" w:ascii="Times New Roman" w:hAnsi="Times New Roman" w:eastAsia="宋体" w:cs="Times New Roman"/>
                <w:b w:val="0"/>
                <w:bCs/>
                <w:color w:val="auto"/>
                <w:sz w:val="21"/>
                <w:szCs w:val="21"/>
                <w:highlight w:val="none"/>
                <w:lang w:val="en-US" w:eastAsia="zh-CN"/>
              </w:rPr>
              <w:t>25</w:t>
            </w:r>
            <w:r>
              <w:rPr>
                <w:rFonts w:hint="default" w:ascii="Times New Roman" w:hAnsi="Times New Roman" w:eastAsia="宋体" w:cs="Times New Roman"/>
                <w:b w:val="0"/>
                <w:bCs/>
                <w:color w:val="auto"/>
                <w:sz w:val="21"/>
                <w:szCs w:val="21"/>
                <w:highlight w:val="none"/>
              </w:rPr>
              <w:t>户</w:t>
            </w:r>
            <w:r>
              <w:rPr>
                <w:rFonts w:hint="default" w:ascii="Times New Roman" w:hAnsi="Times New Roman" w:eastAsia="宋体" w:cs="Times New Roman"/>
                <w:b w:val="0"/>
                <w:bCs/>
                <w:color w:val="auto"/>
                <w:sz w:val="21"/>
                <w:szCs w:val="21"/>
                <w:highlight w:val="none"/>
                <w:lang w:val="en-US" w:eastAsia="zh-CN"/>
              </w:rPr>
              <w:t>90</w:t>
            </w:r>
            <w:r>
              <w:rPr>
                <w:rFonts w:hint="default" w:ascii="Times New Roman" w:hAnsi="Times New Roman" w:eastAsia="宋体" w:cs="Times New Roman"/>
                <w:b w:val="0"/>
                <w:bCs/>
                <w:color w:val="auto"/>
                <w:sz w:val="21"/>
                <w:szCs w:val="21"/>
                <w:highlight w:val="none"/>
              </w:rPr>
              <w:t>人</w:t>
            </w:r>
          </w:p>
        </w:tc>
        <w:tc>
          <w:tcPr>
            <w:tcW w:w="1799" w:type="dxa"/>
            <w:vMerge w:val="continue"/>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557" w:hRule="atLeast"/>
          <w:jc w:val="center"/>
        </w:trPr>
        <w:tc>
          <w:tcPr>
            <w:tcW w:w="858" w:type="dxa"/>
            <w:gridSpan w:val="2"/>
            <w:vMerge w:val="continue"/>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p>
        </w:tc>
        <w:tc>
          <w:tcPr>
            <w:tcW w:w="991"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b w:val="0"/>
                <w:bCs/>
                <w:color w:val="auto"/>
                <w:sz w:val="21"/>
                <w:szCs w:val="21"/>
                <w:highlight w:val="none"/>
                <w:lang w:eastAsia="zh-CN"/>
              </w:rPr>
              <w:t>张家湾零散居民</w:t>
            </w:r>
          </w:p>
        </w:tc>
        <w:tc>
          <w:tcPr>
            <w:tcW w:w="597" w:type="dxa"/>
            <w:tcBorders>
              <w:right w:val="single" w:color="000000" w:sz="8" w:space="0"/>
              <w:tl2br w:val="nil"/>
              <w:tr2bl w:val="nil"/>
            </w:tcBorders>
            <w:noWrap w:val="0"/>
            <w:vAlign w:val="center"/>
          </w:tcPr>
          <w:p>
            <w:pPr>
              <w:pStyle w:val="468"/>
              <w:keepNext w:val="0"/>
              <w:keepLines w:val="0"/>
              <w:suppressLineNumbers w:val="0"/>
              <w:spacing w:before="0" w:beforeAutospacing="0" w:after="0" w:afterAutospacing="0" w:line="240" w:lineRule="auto"/>
              <w:ind w:left="0" w:leftChars="0" w:right="0" w:right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rPr>
              <w:t>居住</w:t>
            </w:r>
          </w:p>
        </w:tc>
        <w:tc>
          <w:tcPr>
            <w:tcW w:w="832" w:type="dxa"/>
            <w:tcBorders>
              <w:left w:val="single" w:color="000000" w:sz="8" w:space="0"/>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eastAsia="zh-CN"/>
              </w:rPr>
              <w:t>南</w:t>
            </w:r>
          </w:p>
        </w:tc>
        <w:tc>
          <w:tcPr>
            <w:tcW w:w="2237" w:type="dxa"/>
            <w:tcBorders>
              <w:tl2br w:val="nil"/>
              <w:tr2bl w:val="nil"/>
            </w:tcBorders>
            <w:noWrap w:val="0"/>
            <w:vAlign w:val="center"/>
          </w:tcPr>
          <w:p>
            <w:pPr>
              <w:pStyle w:val="468"/>
              <w:keepNext w:val="0"/>
              <w:keepLines w:val="0"/>
              <w:suppressLineNumbers w:val="0"/>
              <w:spacing w:before="0" w:beforeAutospacing="0" w:after="0" w:afterAutospacing="0" w:line="240" w:lineRule="auto"/>
              <w:ind w:left="0" w:leftChars="0" w:right="0" w:right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红线外水平</w:t>
            </w:r>
            <w:r>
              <w:rPr>
                <w:rFonts w:hint="eastAsia" w:ascii="Times New Roman" w:hAnsi="Times New Roman" w:cs="Times New Roman"/>
                <w:color w:val="auto"/>
                <w:sz w:val="21"/>
                <w:szCs w:val="21"/>
                <w:highlight w:val="none"/>
                <w:lang w:val="en-US" w:eastAsia="zh-CN"/>
              </w:rPr>
              <w:t>200</w:t>
            </w:r>
            <w:r>
              <w:rPr>
                <w:rFonts w:hint="default" w:ascii="Times New Roman" w:hAnsi="Times New Roman" w:eastAsia="宋体" w:cs="Times New Roman"/>
                <w:color w:val="auto"/>
                <w:sz w:val="21"/>
                <w:szCs w:val="21"/>
                <w:highlight w:val="none"/>
              </w:rPr>
              <w:t>m，地势高</w:t>
            </w:r>
            <w:r>
              <w:rPr>
                <w:rFonts w:hint="eastAsia" w:ascii="Times New Roman" w:hAnsi="Times New Roman" w:cs="Times New Roman"/>
                <w:color w:val="auto"/>
                <w:sz w:val="21"/>
                <w:szCs w:val="21"/>
                <w:highlight w:val="none"/>
                <w:lang w:eastAsia="zh-CN"/>
              </w:rPr>
              <w:t>差</w:t>
            </w:r>
            <w:r>
              <w:rPr>
                <w:rFonts w:hint="eastAsia" w:ascii="Times New Roman" w:hAnsi="Times New Roman"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30</w:t>
            </w:r>
            <w:r>
              <w:rPr>
                <w:rFonts w:hint="default" w:ascii="Times New Roman" w:hAnsi="Times New Roman" w:eastAsia="宋体" w:cs="Times New Roman"/>
                <w:color w:val="auto"/>
                <w:sz w:val="21"/>
                <w:szCs w:val="21"/>
                <w:highlight w:val="none"/>
              </w:rPr>
              <w:t>m</w:t>
            </w:r>
          </w:p>
        </w:tc>
        <w:tc>
          <w:tcPr>
            <w:tcW w:w="1014"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约1户4人</w:t>
            </w:r>
          </w:p>
        </w:tc>
        <w:tc>
          <w:tcPr>
            <w:tcW w:w="1799" w:type="dxa"/>
            <w:vMerge w:val="continue"/>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565" w:hRule="atLeast"/>
          <w:jc w:val="center"/>
        </w:trPr>
        <w:tc>
          <w:tcPr>
            <w:tcW w:w="858" w:type="dxa"/>
            <w:gridSpan w:val="2"/>
            <w:vMerge w:val="continue"/>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p>
        </w:tc>
        <w:tc>
          <w:tcPr>
            <w:tcW w:w="991"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eastAsia="zh-CN"/>
              </w:rPr>
              <w:t>黄包梁村居民聚居区</w:t>
            </w:r>
          </w:p>
        </w:tc>
        <w:tc>
          <w:tcPr>
            <w:tcW w:w="597" w:type="dxa"/>
            <w:tcBorders>
              <w:right w:val="single" w:color="000000" w:sz="8" w:space="0"/>
              <w:tl2br w:val="nil"/>
              <w:tr2bl w:val="nil"/>
            </w:tcBorders>
            <w:noWrap w:val="0"/>
            <w:vAlign w:val="center"/>
          </w:tcPr>
          <w:p>
            <w:pPr>
              <w:pStyle w:val="468"/>
              <w:keepNext w:val="0"/>
              <w:keepLines w:val="0"/>
              <w:suppressLineNumbers w:val="0"/>
              <w:spacing w:before="0" w:beforeAutospacing="0" w:after="0" w:afterAutospacing="0" w:line="240" w:lineRule="auto"/>
              <w:ind w:left="0" w:leftChars="0" w:right="0" w:right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rPr>
              <w:t>居住</w:t>
            </w:r>
          </w:p>
        </w:tc>
        <w:tc>
          <w:tcPr>
            <w:tcW w:w="832" w:type="dxa"/>
            <w:tcBorders>
              <w:left w:val="single" w:color="000000" w:sz="8" w:space="0"/>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b w:val="0"/>
                <w:bCs/>
                <w:color w:val="auto"/>
                <w:sz w:val="21"/>
                <w:szCs w:val="21"/>
                <w:highlight w:val="none"/>
              </w:rPr>
              <w:t>东</w:t>
            </w:r>
            <w:r>
              <w:rPr>
                <w:rFonts w:hint="default" w:ascii="Times New Roman" w:hAnsi="Times New Roman" w:eastAsia="宋体" w:cs="Times New Roman"/>
                <w:b w:val="0"/>
                <w:bCs/>
                <w:color w:val="auto"/>
                <w:sz w:val="21"/>
                <w:szCs w:val="21"/>
                <w:highlight w:val="none"/>
                <w:lang w:eastAsia="zh-CN"/>
              </w:rPr>
              <w:t>南</w:t>
            </w:r>
          </w:p>
        </w:tc>
        <w:tc>
          <w:tcPr>
            <w:tcW w:w="2237" w:type="dxa"/>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红线外水平</w:t>
            </w:r>
            <w:r>
              <w:rPr>
                <w:rFonts w:hint="eastAsia" w:ascii="Times New Roman" w:hAnsi="Times New Roman" w:cs="Times New Roman"/>
                <w:color w:val="auto"/>
                <w:sz w:val="21"/>
                <w:szCs w:val="21"/>
                <w:highlight w:val="none"/>
                <w:lang w:val="en-US" w:eastAsia="zh-CN"/>
              </w:rPr>
              <w:t>180</w:t>
            </w:r>
            <w:r>
              <w:rPr>
                <w:rFonts w:hint="default" w:ascii="Times New Roman" w:hAnsi="Times New Roman" w:eastAsia="宋体" w:cs="Times New Roman"/>
                <w:color w:val="auto"/>
                <w:sz w:val="21"/>
                <w:szCs w:val="21"/>
                <w:highlight w:val="none"/>
              </w:rPr>
              <w:t>m，地势高</w:t>
            </w:r>
            <w:r>
              <w:rPr>
                <w:rFonts w:hint="eastAsia" w:ascii="Times New Roman" w:hAnsi="Times New Roman" w:cs="Times New Roman"/>
                <w:color w:val="auto"/>
                <w:sz w:val="21"/>
                <w:szCs w:val="21"/>
                <w:highlight w:val="none"/>
                <w:lang w:eastAsia="zh-CN"/>
              </w:rPr>
              <w:t>差</w:t>
            </w:r>
            <w:r>
              <w:rPr>
                <w:rFonts w:hint="eastAsia" w:ascii="Times New Roman" w:hAnsi="Times New Roman"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30</w:t>
            </w:r>
            <w:r>
              <w:rPr>
                <w:rFonts w:hint="default" w:ascii="Times New Roman" w:hAnsi="Times New Roman" w:eastAsia="宋体" w:cs="Times New Roman"/>
                <w:color w:val="auto"/>
                <w:sz w:val="21"/>
                <w:szCs w:val="21"/>
                <w:highlight w:val="none"/>
              </w:rPr>
              <w:t>m</w:t>
            </w:r>
          </w:p>
        </w:tc>
        <w:tc>
          <w:tcPr>
            <w:tcW w:w="1014"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val="0"/>
                <w:bCs/>
                <w:color w:val="auto"/>
                <w:sz w:val="21"/>
                <w:szCs w:val="21"/>
                <w:highlight w:val="none"/>
                <w:lang w:val="en-US" w:eastAsia="zh-CN"/>
              </w:rPr>
              <w:t>约8户26人</w:t>
            </w:r>
          </w:p>
        </w:tc>
        <w:tc>
          <w:tcPr>
            <w:tcW w:w="1799" w:type="dxa"/>
            <w:vMerge w:val="continue"/>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5" w:hRule="atLeast"/>
          <w:jc w:val="center"/>
        </w:trPr>
        <w:tc>
          <w:tcPr>
            <w:tcW w:w="858" w:type="dxa"/>
            <w:gridSpan w:val="2"/>
            <w:vMerge w:val="restart"/>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地表水环境</w:t>
            </w:r>
          </w:p>
        </w:tc>
        <w:tc>
          <w:tcPr>
            <w:tcW w:w="991"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罗地沟水库</w:t>
            </w:r>
          </w:p>
        </w:tc>
        <w:tc>
          <w:tcPr>
            <w:tcW w:w="597" w:type="dxa"/>
            <w:tcBorders>
              <w:right w:val="single" w:color="000000" w:sz="8" w:space="0"/>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灌溉</w:t>
            </w:r>
          </w:p>
        </w:tc>
        <w:tc>
          <w:tcPr>
            <w:tcW w:w="832" w:type="dxa"/>
            <w:tcBorders>
              <w:left w:val="single" w:color="000000" w:sz="8" w:space="0"/>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西南</w:t>
            </w:r>
          </w:p>
        </w:tc>
        <w:tc>
          <w:tcPr>
            <w:tcW w:w="2237"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85</w:t>
            </w:r>
          </w:p>
        </w:tc>
        <w:tc>
          <w:tcPr>
            <w:tcW w:w="1014" w:type="dxa"/>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99" w:type="dxa"/>
            <w:vMerge w:val="restart"/>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auto"/>
                <w:highlight w:val="none"/>
                <w:lang w:eastAsia="zh-CN"/>
              </w:rPr>
            </w:pPr>
            <w:r>
              <w:rPr>
                <w:rFonts w:hint="eastAsia" w:ascii="Times New Roman" w:hAnsi="Times New Roman" w:cs="Times New Roman"/>
                <w:color w:val="auto"/>
                <w:highlight w:val="none"/>
                <w:lang w:eastAsia="zh-CN"/>
              </w:rPr>
              <w:t>无功能区划，用于水产养殖。</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5" w:hRule="atLeast"/>
          <w:jc w:val="center"/>
        </w:trPr>
        <w:tc>
          <w:tcPr>
            <w:tcW w:w="858" w:type="dxa"/>
            <w:gridSpan w:val="2"/>
            <w:vMerge w:val="continue"/>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p>
        </w:tc>
        <w:tc>
          <w:tcPr>
            <w:tcW w:w="991"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油坊沟</w:t>
            </w:r>
          </w:p>
        </w:tc>
        <w:tc>
          <w:tcPr>
            <w:tcW w:w="597" w:type="dxa"/>
            <w:tcBorders>
              <w:right w:val="single" w:color="000000" w:sz="8" w:space="0"/>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季节性冲沟</w:t>
            </w:r>
          </w:p>
        </w:tc>
        <w:tc>
          <w:tcPr>
            <w:tcW w:w="832" w:type="dxa"/>
            <w:tcBorders>
              <w:left w:val="single" w:color="000000" w:sz="8" w:space="0"/>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北</w:t>
            </w:r>
          </w:p>
        </w:tc>
        <w:tc>
          <w:tcPr>
            <w:tcW w:w="2237" w:type="dxa"/>
            <w:tcBorders>
              <w:tl2br w:val="nil"/>
              <w:tr2bl w:val="nil"/>
            </w:tcBorders>
            <w:noWrap w:val="0"/>
            <w:vAlign w:val="center"/>
          </w:tcPr>
          <w:p>
            <w:pPr>
              <w:pStyle w:val="175"/>
              <w:keepNext w:val="0"/>
              <w:keepLines w:val="0"/>
              <w:pageBreakBefore w:val="0"/>
              <w:widowControl w:val="0"/>
              <w:suppressLineNumbers w:val="0"/>
              <w:kinsoku/>
              <w:wordWrap/>
              <w:overflowPunct/>
              <w:topLinePunct w:val="0"/>
              <w:bidi w:val="0"/>
              <w:adjustRightIn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254</w:t>
            </w:r>
          </w:p>
        </w:tc>
        <w:tc>
          <w:tcPr>
            <w:tcW w:w="1014" w:type="dxa"/>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99" w:type="dxa"/>
            <w:vMerge w:val="continue"/>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5" w:hRule="atLeast"/>
          <w:jc w:val="center"/>
        </w:trPr>
        <w:tc>
          <w:tcPr>
            <w:tcW w:w="8328" w:type="dxa"/>
            <w:gridSpan w:val="8"/>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地下水环境</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5" w:hRule="atLeast"/>
          <w:jc w:val="center"/>
        </w:trPr>
        <w:tc>
          <w:tcPr>
            <w:tcW w:w="3278" w:type="dxa"/>
            <w:gridSpan w:val="5"/>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保护目标</w:t>
            </w:r>
          </w:p>
        </w:tc>
        <w:tc>
          <w:tcPr>
            <w:tcW w:w="5050" w:type="dxa"/>
            <w:gridSpan w:val="3"/>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保护级别</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5" w:hRule="atLeast"/>
          <w:jc w:val="center"/>
        </w:trPr>
        <w:tc>
          <w:tcPr>
            <w:tcW w:w="3278" w:type="dxa"/>
            <w:gridSpan w:val="5"/>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eastAsia="zh-CN"/>
              </w:rPr>
            </w:pPr>
            <w:r>
              <w:rPr>
                <w:rFonts w:hint="eastAsia" w:ascii="Times New Roman" w:hAnsi="Times New Roman" w:eastAsia="宋体" w:cs="Times New Roman"/>
                <w:color w:val="auto"/>
                <w:kern w:val="0"/>
                <w:szCs w:val="21"/>
                <w:highlight w:val="none"/>
              </w:rPr>
              <w:t>白垩系下统白龙组（K</w:t>
            </w:r>
            <w:r>
              <w:rPr>
                <w:rFonts w:hint="default" w:ascii="Times New Roman" w:hAnsi="Times New Roman" w:eastAsia="宋体" w:cs="Times New Roman"/>
                <w:color w:val="auto"/>
                <w:kern w:val="0"/>
                <w:szCs w:val="21"/>
                <w:highlight w:val="none"/>
                <w:vertAlign w:val="subscript"/>
              </w:rPr>
              <w:t>1</w:t>
            </w:r>
            <w:r>
              <w:rPr>
                <w:rFonts w:hint="default" w:ascii="Times New Roman" w:hAnsi="Times New Roman" w:eastAsia="宋体" w:cs="Times New Roman"/>
                <w:color w:val="auto"/>
                <w:kern w:val="0"/>
                <w:szCs w:val="21"/>
                <w:highlight w:val="none"/>
              </w:rPr>
              <w:t>b</w:t>
            </w:r>
            <w:r>
              <w:rPr>
                <w:rFonts w:hint="eastAsia" w:ascii="Times New Roman" w:hAnsi="Times New Roman" w:eastAsia="宋体" w:cs="Times New Roman"/>
                <w:color w:val="auto"/>
                <w:kern w:val="0"/>
                <w:szCs w:val="21"/>
                <w:highlight w:val="none"/>
              </w:rPr>
              <w:t>）砂岩</w:t>
            </w:r>
            <w:r>
              <w:rPr>
                <w:rFonts w:hint="default" w:ascii="Times New Roman" w:hAnsi="Times New Roman" w:eastAsia="宋体" w:cs="Times New Roman"/>
                <w:color w:val="auto"/>
                <w:kern w:val="0"/>
                <w:szCs w:val="21"/>
                <w:highlight w:val="none"/>
              </w:rPr>
              <w:t>强～中风化裂隙带含水层水质</w:t>
            </w:r>
          </w:p>
        </w:tc>
        <w:tc>
          <w:tcPr>
            <w:tcW w:w="5050" w:type="dxa"/>
            <w:gridSpan w:val="3"/>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《地下水质量标准》（GB/T14848-2017）中的Ⅲ类标准</w:t>
            </w:r>
            <w:r>
              <w:rPr>
                <w:rFonts w:hint="eastAsia" w:ascii="Times New Roman" w:hAnsi="Times New Roman" w:cs="Times New Roman"/>
                <w:color w:val="auto"/>
                <w:highlight w:val="none"/>
                <w:lang w:eastAsia="zh-CN"/>
              </w:rPr>
              <w:t>；</w:t>
            </w:r>
            <w:r>
              <w:rPr>
                <w:rFonts w:hint="default" w:ascii="Times New Roman" w:hAnsi="Times New Roman" w:eastAsia="宋体" w:cs="Times New Roman"/>
                <w:color w:val="auto"/>
                <w:kern w:val="0"/>
                <w:szCs w:val="21"/>
                <w:highlight w:val="none"/>
              </w:rPr>
              <w:t>不改变现有使用功能。</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5" w:hRule="atLeast"/>
          <w:jc w:val="center"/>
        </w:trPr>
        <w:tc>
          <w:tcPr>
            <w:tcW w:w="8328" w:type="dxa"/>
            <w:gridSpan w:val="8"/>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土壤环境</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5" w:hRule="atLeast"/>
          <w:jc w:val="center"/>
        </w:trPr>
        <w:tc>
          <w:tcPr>
            <w:tcW w:w="3278" w:type="dxa"/>
            <w:gridSpan w:val="5"/>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保护目标</w:t>
            </w:r>
          </w:p>
        </w:tc>
        <w:tc>
          <w:tcPr>
            <w:tcW w:w="5050" w:type="dxa"/>
            <w:gridSpan w:val="3"/>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eastAsia="zh-CN"/>
              </w:rPr>
              <w:t>保护级别</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5" w:hRule="atLeast"/>
          <w:jc w:val="center"/>
        </w:trPr>
        <w:tc>
          <w:tcPr>
            <w:tcW w:w="3278" w:type="dxa"/>
            <w:gridSpan w:val="5"/>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评价范围内耕地</w:t>
            </w:r>
          </w:p>
        </w:tc>
        <w:tc>
          <w:tcPr>
            <w:tcW w:w="5050" w:type="dxa"/>
            <w:gridSpan w:val="3"/>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r>
              <w:rPr>
                <w:rFonts w:hint="eastAsia" w:ascii="Times New Roman" w:hAnsi="Times New Roman" w:cs="Times New Roman"/>
                <w:color w:val="auto"/>
                <w:highlight w:val="none"/>
                <w:lang w:eastAsia="zh-CN"/>
              </w:rPr>
              <w:t>《土壤环境质量标准 农用地土壤污染风险管控标准（试行）</w:t>
            </w:r>
            <w:r>
              <w:rPr>
                <w:rFonts w:hint="default" w:ascii="Times New Roman" w:hAnsi="Times New Roman" w:eastAsia="宋体" w:cs="Times New Roman"/>
                <w:color w:val="auto"/>
                <w:highlight w:val="none"/>
              </w:rPr>
              <w:t>》（GB15618-2018）</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5" w:hRule="atLeast"/>
          <w:jc w:val="center"/>
        </w:trPr>
        <w:tc>
          <w:tcPr>
            <w:tcW w:w="8328" w:type="dxa"/>
            <w:gridSpan w:val="8"/>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生态环境</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5" w:hRule="atLeast"/>
          <w:jc w:val="center"/>
        </w:trPr>
        <w:tc>
          <w:tcPr>
            <w:tcW w:w="3278" w:type="dxa"/>
            <w:gridSpan w:val="5"/>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保护目标</w:t>
            </w:r>
          </w:p>
        </w:tc>
        <w:tc>
          <w:tcPr>
            <w:tcW w:w="5050" w:type="dxa"/>
            <w:gridSpan w:val="3"/>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eastAsia="zh-CN"/>
              </w:rPr>
              <w:t>保护级别</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cantSplit/>
          <w:trHeight w:val="425" w:hRule="atLeast"/>
          <w:jc w:val="center"/>
        </w:trPr>
        <w:tc>
          <w:tcPr>
            <w:tcW w:w="3278" w:type="dxa"/>
            <w:gridSpan w:val="5"/>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评价范围内陆生生态环境、水</w:t>
            </w:r>
          </w:p>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生生态环境</w:t>
            </w:r>
          </w:p>
        </w:tc>
        <w:tc>
          <w:tcPr>
            <w:tcW w:w="5050" w:type="dxa"/>
            <w:gridSpan w:val="3"/>
            <w:tcBorders>
              <w:tl2br w:val="nil"/>
              <w:tr2bl w:val="nil"/>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r>
    </w:tbl>
    <w:p>
      <w:pPr>
        <w:pStyle w:val="8"/>
        <w:spacing w:before="0" w:after="0" w:line="360" w:lineRule="auto"/>
        <w:ind w:left="0" w:firstLine="0"/>
        <w:rPr>
          <w:rFonts w:cs="Times New Roman"/>
          <w:color w:val="auto"/>
          <w:highlight w:val="none"/>
        </w:rPr>
      </w:pPr>
      <w:bookmarkStart w:id="97" w:name="_Toc13062"/>
      <w:r>
        <w:rPr>
          <w:rFonts w:hint="eastAsia" w:cs="Times New Roman"/>
          <w:color w:val="auto"/>
          <w:highlight w:val="none"/>
          <w:lang w:eastAsia="zh-CN"/>
        </w:rPr>
        <w:t>污染控制目标</w:t>
      </w:r>
      <w:bookmarkEnd w:id="97"/>
    </w:p>
    <w:p>
      <w:pPr>
        <w:pStyle w:val="158"/>
        <w:keepNext w:val="0"/>
        <w:keepLines w:val="0"/>
        <w:pageBreakBefore w:val="0"/>
        <w:widowControl w:val="0"/>
        <w:kinsoku/>
        <w:wordWrap/>
        <w:overflowPunct/>
        <w:topLinePunct w:val="0"/>
        <w:autoSpaceDE w:val="0"/>
        <w:autoSpaceDN w:val="0"/>
        <w:bidi w:val="0"/>
        <w:adjustRightInd w:val="0"/>
        <w:snapToGrid/>
        <w:ind w:left="0" w:leftChars="0"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按照国家“达标排放”、“清洁生产”、“总量控制”的原则，严格控制各种污染物的产生与排放，减少工程建设对周围环境的影响，达到保护环境的目的。</w:t>
      </w:r>
    </w:p>
    <w:p>
      <w:pPr>
        <w:pStyle w:val="158"/>
        <w:keepNext w:val="0"/>
        <w:keepLines w:val="0"/>
        <w:pageBreakBefore w:val="0"/>
        <w:widowControl w:val="0"/>
        <w:kinsoku/>
        <w:wordWrap/>
        <w:overflowPunct/>
        <w:topLinePunct w:val="0"/>
        <w:autoSpaceDE w:val="0"/>
        <w:autoSpaceDN w:val="0"/>
        <w:bidi w:val="0"/>
        <w:adjustRightInd w:val="0"/>
        <w:snapToGrid/>
        <w:ind w:left="0" w:leftChars="0"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(1)废水污染控制目标</w:t>
      </w:r>
    </w:p>
    <w:p>
      <w:pPr>
        <w:pStyle w:val="158"/>
        <w:keepNext w:val="0"/>
        <w:keepLines w:val="0"/>
        <w:pageBreakBefore w:val="0"/>
        <w:widowControl w:val="0"/>
        <w:kinsoku/>
        <w:wordWrap/>
        <w:overflowPunct/>
        <w:topLinePunct w:val="0"/>
        <w:autoSpaceDE w:val="0"/>
        <w:autoSpaceDN w:val="0"/>
        <w:bidi w:val="0"/>
        <w:adjustRightInd w:val="0"/>
        <w:snapToGrid/>
        <w:ind w:left="0" w:leftChars="0"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做好清污分流、分级控制；项目应本着“节约用水、一水多用”的原则，探讨</w:t>
      </w:r>
    </w:p>
    <w:p>
      <w:pPr>
        <w:pStyle w:val="158"/>
        <w:keepNext w:val="0"/>
        <w:keepLines w:val="0"/>
        <w:pageBreakBefore w:val="0"/>
        <w:widowControl w:val="0"/>
        <w:kinsoku/>
        <w:wordWrap/>
        <w:overflowPunct/>
        <w:topLinePunct w:val="0"/>
        <w:autoSpaceDE w:val="0"/>
        <w:autoSpaceDN w:val="0"/>
        <w:bidi w:val="0"/>
        <w:adjustRightInd w:val="0"/>
        <w:snapToGrid/>
        <w:ind w:left="0" w:leftChars="0" w:firstLine="0" w:firstLineChars="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废水循环利用、重复利用的途径，最大限度综合利用废水。</w:t>
      </w:r>
    </w:p>
    <w:p>
      <w:pPr>
        <w:pStyle w:val="158"/>
        <w:keepNext w:val="0"/>
        <w:keepLines w:val="0"/>
        <w:pageBreakBefore w:val="0"/>
        <w:widowControl w:val="0"/>
        <w:numPr>
          <w:ilvl w:val="0"/>
          <w:numId w:val="12"/>
        </w:numPr>
        <w:kinsoku/>
        <w:wordWrap/>
        <w:overflowPunct/>
        <w:topLinePunct w:val="0"/>
        <w:autoSpaceDE w:val="0"/>
        <w:autoSpaceDN w:val="0"/>
        <w:bidi w:val="0"/>
        <w:adjustRightInd w:val="0"/>
        <w:snapToGrid/>
        <w:ind w:left="0" w:leftChars="0"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废气污染控制目标</w:t>
      </w:r>
    </w:p>
    <w:p>
      <w:pPr>
        <w:pStyle w:val="158"/>
        <w:keepNext w:val="0"/>
        <w:keepLines w:val="0"/>
        <w:pageBreakBefore w:val="0"/>
        <w:widowControl w:val="0"/>
        <w:numPr>
          <w:ilvl w:val="0"/>
          <w:numId w:val="0"/>
        </w:numPr>
        <w:kinsoku/>
        <w:wordWrap/>
        <w:overflowPunct/>
        <w:topLinePunct w:val="0"/>
        <w:autoSpaceDE w:val="0"/>
        <w:autoSpaceDN w:val="0"/>
        <w:bidi w:val="0"/>
        <w:adjustRightInd w:val="0"/>
        <w:snapToGrid/>
        <w:ind w:left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确保评价区环境空气质量不因本项目的实施而下降。</w:t>
      </w:r>
    </w:p>
    <w:p>
      <w:pPr>
        <w:pStyle w:val="158"/>
        <w:keepNext w:val="0"/>
        <w:keepLines w:val="0"/>
        <w:pageBreakBefore w:val="0"/>
        <w:widowControl w:val="0"/>
        <w:numPr>
          <w:ilvl w:val="0"/>
          <w:numId w:val="0"/>
        </w:numPr>
        <w:kinsoku/>
        <w:wordWrap/>
        <w:overflowPunct/>
        <w:topLinePunct w:val="0"/>
        <w:autoSpaceDE w:val="0"/>
        <w:autoSpaceDN w:val="0"/>
        <w:bidi w:val="0"/>
        <w:adjustRightInd w:val="0"/>
        <w:snapToGrid/>
        <w:ind w:left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(3)噪声污染控制目标</w:t>
      </w:r>
    </w:p>
    <w:p>
      <w:pPr>
        <w:pStyle w:val="158"/>
        <w:keepNext w:val="0"/>
        <w:keepLines w:val="0"/>
        <w:pageBreakBefore w:val="0"/>
        <w:widowControl w:val="0"/>
        <w:numPr>
          <w:ilvl w:val="0"/>
          <w:numId w:val="0"/>
        </w:numPr>
        <w:kinsoku/>
        <w:wordWrap/>
        <w:overflowPunct/>
        <w:topLinePunct w:val="0"/>
        <w:autoSpaceDE w:val="0"/>
        <w:autoSpaceDN w:val="0"/>
        <w:bidi w:val="0"/>
        <w:adjustRightInd w:val="0"/>
        <w:snapToGrid/>
        <w:ind w:left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项目所在区域声环境达到功能要求，厂界达标。</w:t>
      </w:r>
    </w:p>
    <w:p>
      <w:pPr>
        <w:pStyle w:val="158"/>
        <w:keepNext w:val="0"/>
        <w:keepLines w:val="0"/>
        <w:pageBreakBefore w:val="0"/>
        <w:widowControl w:val="0"/>
        <w:numPr>
          <w:ilvl w:val="0"/>
          <w:numId w:val="0"/>
        </w:numPr>
        <w:kinsoku/>
        <w:wordWrap/>
        <w:overflowPunct/>
        <w:topLinePunct w:val="0"/>
        <w:autoSpaceDE w:val="0"/>
        <w:autoSpaceDN w:val="0"/>
        <w:bidi w:val="0"/>
        <w:adjustRightInd w:val="0"/>
        <w:snapToGrid/>
        <w:ind w:left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(4)固废污染控制目标</w:t>
      </w:r>
    </w:p>
    <w:p>
      <w:pPr>
        <w:pStyle w:val="158"/>
        <w:keepNext w:val="0"/>
        <w:keepLines w:val="0"/>
        <w:pageBreakBefore w:val="0"/>
        <w:widowControl w:val="0"/>
        <w:numPr>
          <w:ilvl w:val="0"/>
          <w:numId w:val="0"/>
        </w:numPr>
        <w:kinsoku/>
        <w:wordWrap/>
        <w:overflowPunct/>
        <w:topLinePunct w:val="0"/>
        <w:autoSpaceDE w:val="0"/>
        <w:autoSpaceDN w:val="0"/>
        <w:bidi w:val="0"/>
        <w:adjustRightInd w:val="0"/>
        <w:snapToGrid/>
        <w:ind w:left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落实固体废物的处理处置方案，并确保不会由固废处置造成二次污染。固体</w:t>
      </w:r>
    </w:p>
    <w:p>
      <w:pPr>
        <w:pStyle w:val="158"/>
        <w:keepNext w:val="0"/>
        <w:keepLines w:val="0"/>
        <w:pageBreakBefore w:val="0"/>
        <w:widowControl w:val="0"/>
        <w:numPr>
          <w:ilvl w:val="0"/>
          <w:numId w:val="0"/>
        </w:numPr>
        <w:kinsoku/>
        <w:wordWrap/>
        <w:overflowPunct/>
        <w:topLinePunct w:val="0"/>
        <w:autoSpaceDE w:val="0"/>
        <w:autoSpaceDN w:val="0"/>
        <w:bidi w:val="0"/>
        <w:adjustRightInd w:val="0"/>
        <w:snapToGrid/>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废物应立足于回收或综合利用。</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cs="Times New Roman"/>
          <w:color w:val="auto"/>
          <w:highlight w:val="none"/>
        </w:rPr>
      </w:pPr>
      <w:r>
        <w:rPr>
          <w:rFonts w:hint="eastAsia" w:cs="Times New Roman"/>
          <w:color w:val="auto"/>
          <w:highlight w:val="none"/>
          <w:lang w:val="en-US" w:eastAsia="zh-CN"/>
        </w:rPr>
        <w:t xml:space="preserve"> </w:t>
      </w:r>
      <w:bookmarkStart w:id="98" w:name="_Toc26066"/>
      <w:r>
        <w:rPr>
          <w:rFonts w:cs="Times New Roman"/>
          <w:color w:val="auto"/>
          <w:highlight w:val="none"/>
        </w:rPr>
        <w:t>产业政策</w:t>
      </w:r>
      <w:r>
        <w:rPr>
          <w:rFonts w:hint="eastAsia" w:cs="Times New Roman"/>
          <w:color w:val="auto"/>
          <w:highlight w:val="none"/>
          <w:lang w:eastAsia="zh-CN"/>
        </w:rPr>
        <w:t>及规划符合性</w:t>
      </w:r>
      <w:bookmarkEnd w:id="98"/>
    </w:p>
    <w:p>
      <w:pPr>
        <w:pStyle w:val="8"/>
        <w:spacing w:before="0" w:after="0" w:line="360" w:lineRule="auto"/>
        <w:ind w:left="0" w:firstLine="0"/>
        <w:rPr>
          <w:rFonts w:hint="eastAsia" w:cs="Times New Roman"/>
          <w:color w:val="auto"/>
          <w:highlight w:val="none"/>
        </w:rPr>
      </w:pPr>
      <w:bookmarkStart w:id="99" w:name="_Toc23555"/>
      <w:r>
        <w:rPr>
          <w:rFonts w:hint="eastAsia" w:cs="Times New Roman"/>
          <w:color w:val="auto"/>
          <w:highlight w:val="none"/>
        </w:rPr>
        <w:t>产业政策符合性分析</w:t>
      </w:r>
      <w:bookmarkEnd w:id="99"/>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本项目为巴州区鼎山镇首市村巴山肉牛标准化育肥场。</w:t>
      </w:r>
      <w:r>
        <w:rPr>
          <w:rFonts w:ascii="Times New Roman" w:hAnsi="Times New Roman" w:eastAsia="宋体" w:cs="Times New Roman"/>
          <w:color w:val="auto"/>
          <w:kern w:val="2"/>
          <w:sz w:val="24"/>
          <w:szCs w:val="24"/>
          <w:highlight w:val="none"/>
          <w:lang w:val="en-US" w:eastAsia="zh-CN" w:bidi="ar-SA"/>
        </w:rPr>
        <w:t>根据国民经济行业分类和代码【GB/T4754-2017】</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2019年本）</w:t>
      </w:r>
      <w:r>
        <w:rPr>
          <w:rFonts w:ascii="Times New Roman" w:hAnsi="Times New Roman" w:eastAsia="宋体" w:cs="Times New Roman"/>
          <w:color w:val="auto"/>
          <w:kern w:val="2"/>
          <w:sz w:val="24"/>
          <w:szCs w:val="24"/>
          <w:highlight w:val="none"/>
          <w:lang w:val="en-US" w:eastAsia="zh-CN" w:bidi="ar-SA"/>
        </w:rPr>
        <w:t>，本项目代码为“</w:t>
      </w:r>
      <w:r>
        <w:rPr>
          <w:rFonts w:hint="eastAsia" w:ascii="Times New Roman" w:hAnsi="Times New Roman" w:eastAsia="宋体" w:cs="Times New Roman"/>
          <w:color w:val="auto"/>
          <w:kern w:val="2"/>
          <w:sz w:val="24"/>
          <w:szCs w:val="24"/>
          <w:highlight w:val="none"/>
          <w:lang w:val="en-US" w:eastAsia="zh-CN" w:bidi="ar-SA"/>
        </w:rPr>
        <w:t>0311</w:t>
      </w:r>
      <w:r>
        <w:rPr>
          <w:rFonts w:ascii="Times New Roman" w:hAnsi="Times New Roman" w:eastAsia="宋体" w:cs="Times New Roman"/>
          <w:color w:val="auto"/>
          <w:kern w:val="2"/>
          <w:sz w:val="24"/>
          <w:szCs w:val="24"/>
          <w:highlight w:val="none"/>
          <w:lang w:val="en-US" w:eastAsia="zh-CN" w:bidi="ar-SA"/>
        </w:rPr>
        <w:t xml:space="preserve"> </w:t>
      </w:r>
      <w:r>
        <w:rPr>
          <w:rFonts w:hint="eastAsia" w:ascii="Times New Roman" w:hAnsi="Times New Roman" w:eastAsia="宋体" w:cs="Times New Roman"/>
          <w:color w:val="auto"/>
          <w:kern w:val="2"/>
          <w:sz w:val="24"/>
          <w:szCs w:val="24"/>
          <w:highlight w:val="none"/>
          <w:lang w:val="en-US" w:eastAsia="zh-CN" w:bidi="ar-SA"/>
        </w:rPr>
        <w:t>牛</w:t>
      </w:r>
      <w:r>
        <w:rPr>
          <w:rFonts w:ascii="Times New Roman" w:hAnsi="Times New Roman" w:eastAsia="宋体" w:cs="Times New Roman"/>
          <w:color w:val="auto"/>
          <w:kern w:val="2"/>
          <w:sz w:val="24"/>
          <w:szCs w:val="24"/>
          <w:highlight w:val="none"/>
          <w:lang w:val="en-US" w:eastAsia="zh-CN" w:bidi="ar-SA"/>
        </w:rPr>
        <w:t>的饲养”。</w:t>
      </w:r>
      <w:r>
        <w:rPr>
          <w:rFonts w:hint="eastAsia" w:ascii="Times New Roman" w:hAnsi="Times New Roman" w:eastAsia="宋体" w:cs="Times New Roman"/>
          <w:color w:val="auto"/>
          <w:kern w:val="2"/>
          <w:sz w:val="24"/>
          <w:szCs w:val="24"/>
          <w:highlight w:val="none"/>
          <w:lang w:val="en-US" w:eastAsia="zh-CN" w:bidi="ar-SA"/>
        </w:rPr>
        <w:t>根据《产业结构调整指导目录（2019 年本）》，本项目属于“第一类鼓励类”“一、农林业”中的 “4、畜禽标准化规模养殖技术开发与应用”。</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同时，巴州区发展和改革局以川投资备【2204-511902-04-01-295288】FGQB-0083号文对本项目进行了备案。</w:t>
      </w:r>
    </w:p>
    <w:p>
      <w:pPr>
        <w:pStyle w:val="158"/>
        <w:ind w:firstLine="482"/>
        <w:rPr>
          <w:b/>
          <w:color w:val="auto"/>
          <w:highlight w:val="none"/>
        </w:rPr>
      </w:pPr>
      <w:r>
        <w:rPr>
          <w:b/>
          <w:color w:val="auto"/>
          <w:highlight w:val="none"/>
        </w:rPr>
        <w:t>因此，本项目的建设符合国家现行产业政策。</w:t>
      </w:r>
    </w:p>
    <w:p>
      <w:pPr>
        <w:pStyle w:val="8"/>
        <w:spacing w:before="0" w:after="0" w:line="360" w:lineRule="auto"/>
        <w:ind w:left="0" w:firstLine="0"/>
        <w:rPr>
          <w:rFonts w:hint="eastAsia" w:cs="Times New Roman"/>
          <w:color w:val="auto"/>
          <w:highlight w:val="none"/>
        </w:rPr>
      </w:pPr>
      <w:bookmarkStart w:id="100" w:name="_Toc2915"/>
      <w:r>
        <w:rPr>
          <w:rFonts w:hint="eastAsia" w:cs="Times New Roman"/>
          <w:color w:val="auto"/>
          <w:highlight w:val="none"/>
          <w:lang w:eastAsia="zh-CN"/>
        </w:rPr>
        <w:t>与相关规划</w:t>
      </w:r>
      <w:r>
        <w:rPr>
          <w:rFonts w:hint="eastAsia" w:cs="Times New Roman"/>
          <w:color w:val="auto"/>
          <w:highlight w:val="none"/>
        </w:rPr>
        <w:t>产业政策符合性分析</w:t>
      </w:r>
      <w:bookmarkEnd w:id="100"/>
    </w:p>
    <w:p>
      <w:pPr>
        <w:pStyle w:val="9"/>
        <w:bidi w:val="0"/>
        <w:rPr>
          <w:rFonts w:cs="Times New Roman"/>
          <w:color w:val="auto"/>
          <w:highlight w:val="none"/>
        </w:rPr>
      </w:pPr>
      <w:r>
        <w:rPr>
          <w:rFonts w:hint="eastAsia" w:cs="Times New Roman"/>
          <w:color w:val="auto"/>
          <w:highlight w:val="none"/>
        </w:rPr>
        <w:t>与《</w:t>
      </w:r>
      <w:r>
        <w:rPr>
          <w:rFonts w:cs="Times New Roman"/>
          <w:color w:val="auto"/>
          <w:spacing w:val="-7"/>
          <w:szCs w:val="24"/>
          <w:highlight w:val="none"/>
        </w:rPr>
        <w:t>四川省畜牧业发展“十三五”规划（2016-202</w:t>
      </w:r>
      <w:r>
        <w:rPr>
          <w:rFonts w:hint="eastAsia" w:cs="Times New Roman"/>
          <w:color w:val="auto"/>
          <w:spacing w:val="-7"/>
          <w:szCs w:val="24"/>
          <w:highlight w:val="none"/>
        </w:rPr>
        <w:t>0</w:t>
      </w:r>
      <w:r>
        <w:rPr>
          <w:rFonts w:cs="Times New Roman"/>
          <w:color w:val="auto"/>
          <w:spacing w:val="-7"/>
          <w:szCs w:val="24"/>
          <w:highlight w:val="none"/>
        </w:rPr>
        <w:t>）</w:t>
      </w:r>
      <w:r>
        <w:rPr>
          <w:rFonts w:hint="eastAsia" w:cs="Times New Roman"/>
          <w:color w:val="auto"/>
          <w:highlight w:val="none"/>
        </w:rPr>
        <w:t>》符合性分析</w:t>
      </w:r>
    </w:p>
    <w:p>
      <w:pPr>
        <w:snapToGrid w:val="0"/>
        <w:ind w:firstLine="480" w:firstLineChars="200"/>
        <w:rPr>
          <w:rFonts w:hint="eastAsia" w:ascii="Times New Roman" w:hAnsi="Times New Roman" w:eastAsia="宋体" w:cs="Times New Roman"/>
          <w:b/>
          <w:bCs/>
          <w:color w:val="auto"/>
          <w:highlight w:val="none"/>
          <w:lang w:val="en-US" w:eastAsia="zh-CN"/>
        </w:rPr>
      </w:pPr>
      <w:r>
        <w:rPr>
          <w:rFonts w:ascii="Times New Roman" w:hAnsi="Times New Roman" w:cs="Times New Roman"/>
          <w:bCs/>
          <w:color w:val="auto"/>
          <w:sz w:val="24"/>
          <w:highlight w:val="none"/>
        </w:rPr>
        <w:t>四川省农业</w:t>
      </w:r>
      <w:r>
        <w:rPr>
          <w:rFonts w:hint="eastAsia" w:ascii="Times New Roman" w:hAnsi="Times New Roman" w:cs="Times New Roman"/>
          <w:bCs/>
          <w:color w:val="auto"/>
          <w:sz w:val="24"/>
          <w:highlight w:val="none"/>
        </w:rPr>
        <w:t>厅</w:t>
      </w:r>
      <w:r>
        <w:rPr>
          <w:rFonts w:ascii="Times New Roman" w:hAnsi="Times New Roman" w:cs="Times New Roman"/>
          <w:bCs/>
          <w:color w:val="auto"/>
          <w:sz w:val="24"/>
          <w:highlight w:val="none"/>
        </w:rPr>
        <w:t>印发了《四川省畜牧业发展“十三五”规划（2016-202</w:t>
      </w:r>
      <w:r>
        <w:rPr>
          <w:rFonts w:hint="eastAsia" w:ascii="Times New Roman" w:hAnsi="Times New Roman" w:cs="Times New Roman"/>
          <w:bCs/>
          <w:color w:val="auto"/>
          <w:sz w:val="24"/>
          <w:highlight w:val="none"/>
        </w:rPr>
        <w:t>0</w:t>
      </w:r>
      <w:r>
        <w:rPr>
          <w:rFonts w:ascii="Times New Roman" w:hAnsi="Times New Roman" w:cs="Times New Roman"/>
          <w:bCs/>
          <w:color w:val="auto"/>
          <w:sz w:val="24"/>
          <w:highlight w:val="none"/>
        </w:rPr>
        <w:t>）》</w:t>
      </w:r>
      <w:r>
        <w:rPr>
          <w:rFonts w:hint="eastAsia" w:ascii="Times New Roman" w:hAnsi="Times New Roman" w:cs="Times New Roman"/>
          <w:bCs/>
          <w:color w:val="auto"/>
          <w:sz w:val="24"/>
          <w:highlight w:val="none"/>
        </w:rPr>
        <w:t>。本项目属规划的重点发展区，属标准化规模养殖，本项目运行过程中坚持粪便综合利用和病死</w:t>
      </w:r>
      <w:r>
        <w:rPr>
          <w:rFonts w:hint="eastAsia" w:ascii="Times New Roman" w:hAnsi="Times New Roman" w:cs="Times New Roman"/>
          <w:bCs/>
          <w:color w:val="auto"/>
          <w:sz w:val="24"/>
          <w:highlight w:val="none"/>
          <w:lang w:eastAsia="zh-CN"/>
        </w:rPr>
        <w:t>牛</w:t>
      </w:r>
      <w:r>
        <w:rPr>
          <w:rFonts w:hint="eastAsia" w:ascii="Times New Roman" w:hAnsi="Times New Roman" w:cs="Times New Roman"/>
          <w:bCs/>
          <w:color w:val="auto"/>
          <w:sz w:val="24"/>
          <w:highlight w:val="none"/>
        </w:rPr>
        <w:t>无害化处理，做到</w:t>
      </w:r>
      <w:r>
        <w:rPr>
          <w:rFonts w:hint="eastAsia" w:ascii="Times New Roman" w:hAnsi="Times New Roman" w:cs="Times New Roman"/>
          <w:bCs/>
          <w:color w:val="auto"/>
          <w:sz w:val="24"/>
          <w:highlight w:val="none"/>
          <w:lang w:eastAsia="zh-CN"/>
        </w:rPr>
        <w:t>肉牛</w:t>
      </w:r>
      <w:r>
        <w:rPr>
          <w:rFonts w:hint="eastAsia" w:ascii="Times New Roman" w:hAnsi="Times New Roman" w:cs="Times New Roman"/>
          <w:bCs/>
          <w:color w:val="auto"/>
          <w:sz w:val="24"/>
          <w:highlight w:val="none"/>
        </w:rPr>
        <w:t>生产与环境保护协调发展，项目与</w:t>
      </w:r>
      <w:r>
        <w:rPr>
          <w:rFonts w:ascii="Times New Roman" w:hAnsi="Times New Roman" w:cs="Times New Roman"/>
          <w:bCs/>
          <w:color w:val="auto"/>
          <w:sz w:val="24"/>
          <w:highlight w:val="none"/>
        </w:rPr>
        <w:t>《</w:t>
      </w:r>
      <w:r>
        <w:rPr>
          <w:rFonts w:hint="eastAsia" w:ascii="Times New Roman" w:hAnsi="Times New Roman" w:cs="Times New Roman"/>
          <w:bCs/>
          <w:color w:val="auto"/>
          <w:sz w:val="24"/>
          <w:highlight w:val="none"/>
        </w:rPr>
        <w:t>四川省畜牧业发展“十三五”规划（2016-2020）</w:t>
      </w:r>
      <w:r>
        <w:rPr>
          <w:rFonts w:ascii="Times New Roman" w:hAnsi="Times New Roman" w:cs="Times New Roman"/>
          <w:bCs/>
          <w:color w:val="auto"/>
          <w:sz w:val="24"/>
          <w:highlight w:val="none"/>
        </w:rPr>
        <w:t>》相符</w:t>
      </w:r>
      <w:r>
        <w:rPr>
          <w:rFonts w:hint="eastAsia" w:ascii="Times New Roman" w:hAnsi="Times New Roman" w:cs="Times New Roman"/>
          <w:bCs/>
          <w:color w:val="auto"/>
          <w:sz w:val="24"/>
          <w:highlight w:val="none"/>
        </w:rPr>
        <w:t>，</w:t>
      </w:r>
      <w:r>
        <w:rPr>
          <w:rFonts w:ascii="Times New Roman" w:hAnsi="Times New Roman" w:cs="Times New Roman"/>
          <w:bCs/>
          <w:color w:val="auto"/>
          <w:sz w:val="24"/>
          <w:highlight w:val="none"/>
        </w:rPr>
        <w:t>具体符合性分析见下表</w:t>
      </w:r>
      <w:r>
        <w:rPr>
          <w:rFonts w:hint="eastAsia" w:ascii="Times New Roman" w:hAnsi="Times New Roman" w:cs="Times New Roman"/>
          <w:bCs/>
          <w:color w:val="auto"/>
          <w:sz w:val="24"/>
          <w:highlight w:val="none"/>
        </w:rPr>
        <w:t>。</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与《四川省畜牧业发展“十三五”规划（2016-2020）》符合性分析</w:t>
      </w:r>
    </w:p>
    <w:tbl>
      <w:tblPr>
        <w:tblStyle w:val="91"/>
        <w:tblW w:w="8522"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5353"/>
        <w:gridCol w:w="2269"/>
        <w:gridCol w:w="900"/>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3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《四川省畜牧业发展“十三五”规划（2016-2020）》</w:t>
            </w:r>
          </w:p>
        </w:tc>
        <w:tc>
          <w:tcPr>
            <w:tcW w:w="2269"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本项目</w:t>
            </w:r>
          </w:p>
        </w:tc>
        <w:tc>
          <w:tcPr>
            <w:tcW w:w="900"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3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firstLine="420" w:firstLineChars="200"/>
              <w:jc w:val="left"/>
              <w:rPr>
                <w:rFonts w:hint="default" w:ascii="Times New Roman" w:hAnsi="Times New Roman" w:cs="Times New Roman"/>
                <w:bCs/>
                <w:color w:val="auto"/>
                <w:highlight w:val="none"/>
              </w:rPr>
            </w:pPr>
            <w:r>
              <w:rPr>
                <w:rFonts w:hint="default" w:ascii="Times New Roman" w:hAnsi="Times New Roman" w:eastAsia="宋体" w:cs="Times New Roman"/>
                <w:color w:val="auto"/>
                <w:szCs w:val="24"/>
                <w:highlight w:val="none"/>
              </w:rPr>
              <w:t>发展目标</w:t>
            </w:r>
            <w:r>
              <w:rPr>
                <w:rFonts w:hint="eastAsia" w:ascii="Times New Roman" w:hAnsi="Times New Roman" w:eastAsia="宋体" w:cs="Times New Roman"/>
                <w:color w:val="auto"/>
                <w:szCs w:val="24"/>
                <w:highlight w:val="none"/>
              </w:rPr>
              <w:t>：</w:t>
            </w:r>
            <w:r>
              <w:rPr>
                <w:rFonts w:hint="default" w:ascii="Times New Roman" w:hAnsi="Times New Roman" w:eastAsia="宋体" w:cs="Times New Roman"/>
                <w:color w:val="auto"/>
                <w:szCs w:val="24"/>
                <w:highlight w:val="none"/>
              </w:rPr>
              <w:t>到2020年，畜牧业现代化建设取得显著进展。肉蛋奶主要畜产品供给得到有效保障，构建“生产标准化、发展绿色化、经营规模化、产品品牌化、监管法制化”的畜产品生产体系，走出一条“产出高效、产品安全、资源节约、环境友好”的畜牧业现代化道路，初步建成畜禽种业大省和畜牧业经济强省。</w:t>
            </w:r>
          </w:p>
        </w:tc>
        <w:tc>
          <w:tcPr>
            <w:tcW w:w="2269"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本项目标准化规模养殖，粪污无害化处理，</w:t>
            </w:r>
            <w:r>
              <w:rPr>
                <w:rFonts w:hint="eastAsia" w:ascii="Times New Roman" w:hAnsi="Times New Roman" w:eastAsia="宋体" w:cs="Times New Roman"/>
                <w:color w:val="auto"/>
                <w:szCs w:val="24"/>
                <w:highlight w:val="none"/>
              </w:rPr>
              <w:t>走</w:t>
            </w:r>
            <w:r>
              <w:rPr>
                <w:rFonts w:hint="default" w:ascii="Times New Roman" w:hAnsi="Times New Roman" w:eastAsia="宋体" w:cs="Times New Roman"/>
                <w:color w:val="auto"/>
                <w:szCs w:val="24"/>
                <w:highlight w:val="none"/>
              </w:rPr>
              <w:t>“产出高效、产品安全、资源节约、环境友好”的畜牧业现代化道路</w:t>
            </w:r>
          </w:p>
        </w:tc>
        <w:tc>
          <w:tcPr>
            <w:tcW w:w="900"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3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firstLine="420" w:firstLineChars="200"/>
              <w:jc w:val="left"/>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推进标准化规模养殖。综合考虑资源禀赋、环境承载能力等因素，因地制宜发展适度规模养殖，培育畜牧业大产业，大基地，打造畜牧业大集团，构建畜牧业大集群，大力延伸畜牧业链条，加快畜牧业生产方式转变。一是继续实施标准化规模养殖扶持项目，加强养殖场基础设施改造，提升设施化装备水平。二是深入开展畜禽养殖标准化示范创建，突出畜禽良种化、养殖设施化、生产规范化、防疫制度化、粪污无害化、监管常态化。建立健全标准生产体系，推进高效适用生产技术的集成创新与推广，切实发挥示范场的辐射带动作用。三是发挥大型一体化企业的引领作用，大力发展年出栏生猪500头、肉牛50头、肉羊300只、肉鸡3万只和存栏奶牛100头、蛋鸡1万只的畜禽规模养殖场，依托龙头企业科技、人才、信息、资金等优势，带动规模养殖场提高管理水平和技术水平，促进畜禽养殖的标准化、规模化和产业化，使适度规模养殖成为我省畜禽生产发展的主体，切实增强畜牧业综合生产能力。</w:t>
            </w:r>
          </w:p>
        </w:tc>
        <w:tc>
          <w:tcPr>
            <w:tcW w:w="2269"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cs="Times New Roman" w:eastAsiaTheme="minorEastAsia"/>
                <w:bCs/>
                <w:color w:val="auto"/>
                <w:highlight w:val="none"/>
                <w:lang w:val="en-US" w:eastAsia="zh-CN"/>
              </w:rPr>
            </w:pPr>
            <w:r>
              <w:rPr>
                <w:rFonts w:hint="eastAsia" w:ascii="Times New Roman" w:hAnsi="Times New Roman" w:cs="Times New Roman"/>
                <w:bCs/>
                <w:color w:val="auto"/>
                <w:highlight w:val="none"/>
              </w:rPr>
              <w:t>本项目标准化规模养殖，年出栏肉牛</w:t>
            </w:r>
            <w:r>
              <w:rPr>
                <w:rFonts w:hint="eastAsia" w:ascii="Times New Roman" w:hAnsi="Times New Roman" w:cs="Times New Roman"/>
                <w:bCs/>
                <w:color w:val="auto"/>
                <w:highlight w:val="none"/>
                <w:lang w:val="en-US" w:eastAsia="zh-CN"/>
              </w:rPr>
              <w:t>17000</w:t>
            </w:r>
            <w:r>
              <w:rPr>
                <w:rFonts w:hint="eastAsia" w:ascii="Times New Roman" w:hAnsi="Times New Roman" w:cs="Times New Roman"/>
                <w:bCs/>
                <w:color w:val="auto"/>
                <w:highlight w:val="none"/>
              </w:rPr>
              <w:t>头</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并</w:t>
            </w:r>
            <w:r>
              <w:rPr>
                <w:rFonts w:hint="eastAsia" w:ascii="Times New Roman" w:hAnsi="Times New Roman" w:cs="Times New Roman"/>
                <w:bCs/>
                <w:color w:val="auto"/>
                <w:highlight w:val="none"/>
              </w:rPr>
              <w:t>施行养殖设施化、生产规模化、防疫制度化、粪污无害化</w:t>
            </w:r>
            <w:r>
              <w:rPr>
                <w:rFonts w:hint="eastAsia"/>
                <w:color w:val="auto"/>
                <w:highlight w:val="none"/>
                <w:lang w:val="en-US" w:eastAsia="zh-CN"/>
              </w:rPr>
              <w:t>等方式</w:t>
            </w:r>
          </w:p>
        </w:tc>
        <w:tc>
          <w:tcPr>
            <w:tcW w:w="900"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w:t>
            </w:r>
          </w:p>
        </w:tc>
      </w:tr>
    </w:tbl>
    <w:p>
      <w:pPr>
        <w:pStyle w:val="9"/>
        <w:bidi w:val="0"/>
        <w:rPr>
          <w:rFonts w:cs="Times New Roman"/>
          <w:color w:val="auto"/>
          <w:highlight w:val="none"/>
        </w:rPr>
      </w:pPr>
      <w:r>
        <w:rPr>
          <w:rFonts w:hint="eastAsia" w:cs="Times New Roman"/>
          <w:color w:val="auto"/>
          <w:highlight w:val="none"/>
        </w:rPr>
        <w:t>与《</w:t>
      </w:r>
      <w:r>
        <w:rPr>
          <w:rFonts w:ascii="ˎ̥" w:hAnsi="ˎ̥"/>
          <w:color w:val="auto"/>
          <w:highlight w:val="none"/>
        </w:rPr>
        <w:t>四川省“十</w:t>
      </w:r>
      <w:r>
        <w:rPr>
          <w:rFonts w:hint="eastAsia" w:ascii="ˎ̥" w:hAnsi="ˎ̥"/>
          <w:color w:val="auto"/>
          <w:highlight w:val="none"/>
          <w:lang w:eastAsia="zh-CN"/>
        </w:rPr>
        <w:t>四</w:t>
      </w:r>
      <w:r>
        <w:rPr>
          <w:rFonts w:ascii="ˎ̥" w:hAnsi="ˎ̥"/>
          <w:color w:val="auto"/>
          <w:highlight w:val="none"/>
        </w:rPr>
        <w:t>五”生态</w:t>
      </w:r>
      <w:r>
        <w:rPr>
          <w:rFonts w:hint="eastAsia" w:ascii="ˎ̥" w:hAnsi="ˎ̥"/>
          <w:color w:val="auto"/>
          <w:highlight w:val="none"/>
          <w:lang w:eastAsia="zh-CN"/>
        </w:rPr>
        <w:t>环境</w:t>
      </w:r>
      <w:r>
        <w:rPr>
          <w:rFonts w:ascii="ˎ̥" w:hAnsi="ˎ̥"/>
          <w:color w:val="auto"/>
          <w:highlight w:val="none"/>
        </w:rPr>
        <w:t>保护规划</w:t>
      </w:r>
      <w:r>
        <w:rPr>
          <w:rFonts w:hint="eastAsia" w:cs="Times New Roman"/>
          <w:color w:val="auto"/>
          <w:highlight w:val="none"/>
        </w:rPr>
        <w:t>》符合性分析</w:t>
      </w:r>
    </w:p>
    <w:p>
      <w:pPr>
        <w:snapToGrid w:val="0"/>
        <w:ind w:firstLine="480"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cs="Times New Roman"/>
          <w:bCs/>
          <w:color w:val="auto"/>
          <w:sz w:val="24"/>
          <w:highlight w:val="none"/>
        </w:rPr>
        <w:t>四川省人民政府办公厅</w:t>
      </w:r>
      <w:r>
        <w:rPr>
          <w:rFonts w:ascii="Times New Roman" w:hAnsi="Times New Roman" w:cs="Times New Roman"/>
          <w:bCs/>
          <w:color w:val="auto"/>
          <w:sz w:val="24"/>
          <w:highlight w:val="none"/>
        </w:rPr>
        <w:t>印发了《</w:t>
      </w:r>
      <w:r>
        <w:rPr>
          <w:rFonts w:hint="eastAsia" w:ascii="Times New Roman" w:hAnsi="Times New Roman" w:cs="Times New Roman"/>
          <w:bCs/>
          <w:color w:val="auto"/>
          <w:sz w:val="24"/>
          <w:highlight w:val="none"/>
        </w:rPr>
        <w:t>四川省“十四五”生态环境保护规划</w:t>
      </w:r>
      <w:r>
        <w:rPr>
          <w:rFonts w:ascii="Times New Roman" w:hAnsi="Times New Roman" w:cs="Times New Roman"/>
          <w:bCs/>
          <w:color w:val="auto"/>
          <w:sz w:val="24"/>
          <w:highlight w:val="none"/>
        </w:rPr>
        <w:t>》</w:t>
      </w:r>
      <w:r>
        <w:rPr>
          <w:rFonts w:hint="eastAsia" w:ascii="Times New Roman" w:hAnsi="Times New Roman" w:cs="Times New Roman"/>
          <w:bCs/>
          <w:color w:val="auto"/>
          <w:sz w:val="24"/>
          <w:highlight w:val="none"/>
          <w:lang w:eastAsia="zh-CN"/>
        </w:rPr>
        <w:t>的通知（川府发【</w:t>
      </w:r>
      <w:r>
        <w:rPr>
          <w:rFonts w:hint="eastAsia" w:ascii="Times New Roman" w:hAnsi="Times New Roman" w:cs="Times New Roman"/>
          <w:bCs/>
          <w:color w:val="auto"/>
          <w:sz w:val="24"/>
          <w:highlight w:val="none"/>
          <w:lang w:val="en-US" w:eastAsia="zh-CN"/>
        </w:rPr>
        <w:t>2022】2号）</w:t>
      </w:r>
      <w:r>
        <w:rPr>
          <w:rFonts w:hint="eastAsia" w:ascii="Times New Roman" w:hAnsi="Times New Roman" w:cs="Times New Roman"/>
          <w:bCs/>
          <w:color w:val="auto"/>
          <w:sz w:val="24"/>
          <w:highlight w:val="none"/>
        </w:rPr>
        <w:t>。本项目属标准化规模养殖，本项目运行过程中坚持粪便综合利用和病死</w:t>
      </w:r>
      <w:r>
        <w:rPr>
          <w:rFonts w:hint="eastAsia" w:ascii="Times New Roman" w:hAnsi="Times New Roman" w:cs="Times New Roman"/>
          <w:bCs/>
          <w:color w:val="auto"/>
          <w:sz w:val="24"/>
          <w:highlight w:val="none"/>
          <w:lang w:eastAsia="zh-CN"/>
        </w:rPr>
        <w:t>牛</w:t>
      </w:r>
      <w:r>
        <w:rPr>
          <w:rFonts w:hint="eastAsia" w:ascii="Times New Roman" w:hAnsi="Times New Roman" w:cs="Times New Roman"/>
          <w:bCs/>
          <w:color w:val="auto"/>
          <w:sz w:val="24"/>
          <w:highlight w:val="none"/>
        </w:rPr>
        <w:t>无害化处理，做到</w:t>
      </w:r>
      <w:r>
        <w:rPr>
          <w:rFonts w:hint="eastAsia" w:ascii="Times New Roman" w:hAnsi="Times New Roman" w:cs="Times New Roman"/>
          <w:bCs/>
          <w:color w:val="auto"/>
          <w:sz w:val="24"/>
          <w:highlight w:val="none"/>
          <w:lang w:eastAsia="zh-CN"/>
        </w:rPr>
        <w:t>肉牛</w:t>
      </w:r>
      <w:r>
        <w:rPr>
          <w:rFonts w:hint="eastAsia" w:ascii="Times New Roman" w:hAnsi="Times New Roman" w:cs="Times New Roman"/>
          <w:bCs/>
          <w:color w:val="auto"/>
          <w:sz w:val="24"/>
          <w:highlight w:val="none"/>
        </w:rPr>
        <w:t>生产与环境保护协调发展，项目与</w:t>
      </w:r>
      <w:r>
        <w:rPr>
          <w:rFonts w:ascii="Times New Roman" w:hAnsi="Times New Roman" w:cs="Times New Roman"/>
          <w:bCs/>
          <w:color w:val="auto"/>
          <w:sz w:val="24"/>
          <w:highlight w:val="none"/>
        </w:rPr>
        <w:t>《</w:t>
      </w:r>
      <w:r>
        <w:rPr>
          <w:rFonts w:hint="eastAsia" w:ascii="Times New Roman" w:hAnsi="Times New Roman" w:cs="Times New Roman"/>
          <w:bCs/>
          <w:color w:val="auto"/>
          <w:sz w:val="24"/>
          <w:highlight w:val="none"/>
        </w:rPr>
        <w:t>四川省“十四五”生态环节保护规划</w:t>
      </w:r>
      <w:r>
        <w:rPr>
          <w:rFonts w:ascii="Times New Roman" w:hAnsi="Times New Roman" w:cs="Times New Roman"/>
          <w:bCs/>
          <w:color w:val="auto"/>
          <w:sz w:val="24"/>
          <w:highlight w:val="none"/>
        </w:rPr>
        <w:t>》相符</w:t>
      </w:r>
      <w:r>
        <w:rPr>
          <w:rFonts w:hint="eastAsia" w:ascii="Times New Roman" w:hAnsi="Times New Roman" w:cs="Times New Roman"/>
          <w:bCs/>
          <w:color w:val="auto"/>
          <w:sz w:val="24"/>
          <w:highlight w:val="none"/>
        </w:rPr>
        <w:t>，</w:t>
      </w:r>
      <w:r>
        <w:rPr>
          <w:rFonts w:ascii="Times New Roman" w:hAnsi="Times New Roman" w:cs="Times New Roman"/>
          <w:bCs/>
          <w:color w:val="auto"/>
          <w:sz w:val="24"/>
          <w:highlight w:val="none"/>
        </w:rPr>
        <w:t>具体符合性分析见下表</w:t>
      </w:r>
      <w:r>
        <w:rPr>
          <w:rFonts w:hint="eastAsia" w:ascii="Times New Roman" w:hAnsi="Times New Roman" w:cs="Times New Roman"/>
          <w:bCs/>
          <w:color w:val="auto"/>
          <w:sz w:val="24"/>
          <w:highlight w:val="none"/>
        </w:rPr>
        <w:t>。</w:t>
      </w:r>
    </w:p>
    <w:p>
      <w:pPr>
        <w:numPr>
          <w:ilvl w:val="0"/>
          <w:numId w:val="13"/>
        </w:numPr>
        <w:tabs>
          <w:tab w:val="left" w:pos="0"/>
        </w:tabs>
        <w:ind w:left="425" w:leftChars="0" w:hanging="425" w:firstLineChars="0"/>
        <w:jc w:val="center"/>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与</w:t>
      </w:r>
      <w:r>
        <w:rPr>
          <w:rFonts w:hint="eastAsia" w:ascii="Times New Roman" w:hAnsi="Times New Roman" w:eastAsia="宋体" w:cs="Times New Roman"/>
          <w:b/>
          <w:bCs/>
          <w:color w:val="auto"/>
          <w:sz w:val="21"/>
          <w:szCs w:val="21"/>
          <w:highlight w:val="none"/>
          <w:lang w:eastAsia="zh-CN"/>
        </w:rPr>
        <w:t>《</w:t>
      </w:r>
      <w:r>
        <w:rPr>
          <w:rFonts w:hint="eastAsia" w:ascii="Times New Roman" w:hAnsi="Times New Roman" w:eastAsia="宋体" w:cs="Times New Roman"/>
          <w:b/>
          <w:bCs/>
          <w:color w:val="auto"/>
          <w:sz w:val="21"/>
          <w:szCs w:val="21"/>
          <w:highlight w:val="none"/>
        </w:rPr>
        <w:t>四川省“十四五”生态</w:t>
      </w:r>
      <w:r>
        <w:rPr>
          <w:rFonts w:hint="eastAsia" w:ascii="Times New Roman" w:hAnsi="Times New Roman" w:eastAsia="宋体" w:cs="Times New Roman"/>
          <w:b/>
          <w:bCs/>
          <w:color w:val="auto"/>
          <w:sz w:val="21"/>
          <w:szCs w:val="21"/>
          <w:highlight w:val="none"/>
          <w:lang w:eastAsia="zh-CN"/>
        </w:rPr>
        <w:t>环境</w:t>
      </w:r>
      <w:r>
        <w:rPr>
          <w:rFonts w:hint="eastAsia" w:ascii="Times New Roman" w:hAnsi="Times New Roman" w:eastAsia="宋体" w:cs="Times New Roman"/>
          <w:b/>
          <w:bCs/>
          <w:color w:val="auto"/>
          <w:sz w:val="21"/>
          <w:szCs w:val="21"/>
          <w:highlight w:val="none"/>
        </w:rPr>
        <w:t>保护规划》符合性分析</w:t>
      </w:r>
    </w:p>
    <w:tbl>
      <w:tblPr>
        <w:tblStyle w:val="91"/>
        <w:tblW w:w="8522"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5353"/>
        <w:gridCol w:w="2269"/>
        <w:gridCol w:w="900"/>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3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《四川省“十三五”生态保护与建设规划》</w:t>
            </w:r>
          </w:p>
        </w:tc>
        <w:tc>
          <w:tcPr>
            <w:tcW w:w="2269"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本项目</w:t>
            </w:r>
          </w:p>
        </w:tc>
        <w:tc>
          <w:tcPr>
            <w:tcW w:w="900"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3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加强养殖业氨排放治理</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加大低蛋白饲料品种的研发与推广</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推广封闭式粪便存储和处理系统</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鼓励高效含氨气体处理技术的研发及运用。</w:t>
            </w:r>
          </w:p>
        </w:tc>
        <w:tc>
          <w:tcPr>
            <w:tcW w:w="2269"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eastAsia" w:ascii="Times New Roman" w:hAnsi="Times New Roman" w:eastAsia="宋体" w:cs="Times New Roman"/>
                <w:bCs/>
                <w:color w:val="auto"/>
                <w:highlight w:val="none"/>
                <w:lang w:eastAsia="zh-CN"/>
              </w:rPr>
            </w:pPr>
            <w:r>
              <w:rPr>
                <w:rFonts w:hint="eastAsia" w:ascii="宋体" w:hAnsi="宋体" w:eastAsia="宋体" w:cs="宋体"/>
                <w:bCs/>
                <w:color w:val="auto"/>
                <w:highlight w:val="none"/>
              </w:rPr>
              <w:t>本项目采取生态循环的模式以及工程处理措施，以废弃物资源化利用为途径，</w:t>
            </w:r>
            <w:r>
              <w:rPr>
                <w:rFonts w:hint="eastAsia" w:ascii="Times New Roman" w:hAnsi="Times New Roman"/>
                <w:color w:val="auto"/>
                <w:sz w:val="21"/>
                <w:highlight w:val="none"/>
                <w:lang w:val="en-US" w:eastAsia="zh-CN"/>
              </w:rPr>
              <w:t>项目设置干粪棚用于暂存固液分离后的粪便，密闭设置，</w:t>
            </w:r>
            <w:r>
              <w:rPr>
                <w:rFonts w:hint="eastAsia" w:ascii="Times New Roman" w:hAnsi="Times New Roman"/>
                <w:color w:val="auto"/>
                <w:sz w:val="21"/>
                <w:highlight w:val="none"/>
                <w:lang w:eastAsia="zh-CN"/>
              </w:rPr>
              <w:t>每天定时清理，暂存时间</w:t>
            </w:r>
            <w:r>
              <w:rPr>
                <w:rFonts w:hint="eastAsia" w:ascii="Times New Roman" w:hAnsi="Times New Roman"/>
                <w:color w:val="auto"/>
                <w:sz w:val="21"/>
                <w:highlight w:val="none"/>
                <w:lang w:val="en-US" w:eastAsia="zh-CN"/>
              </w:rPr>
              <w:t>&lt;1天</w:t>
            </w:r>
            <w:r>
              <w:rPr>
                <w:rFonts w:hint="eastAsia" w:ascii="宋体" w:hAnsi="宋体" w:eastAsia="宋体" w:cs="宋体"/>
                <w:bCs/>
                <w:color w:val="auto"/>
                <w:highlight w:val="none"/>
                <w:lang w:val="en-US" w:eastAsia="zh-CN"/>
              </w:rPr>
              <w:t>，</w:t>
            </w:r>
            <w:r>
              <w:rPr>
                <w:rFonts w:hint="default" w:ascii="Times New Roman" w:hAnsi="Times New Roman"/>
                <w:color w:val="auto"/>
                <w:sz w:val="21"/>
                <w:highlight w:val="none"/>
              </w:rPr>
              <w:t>由车辆清运至</w:t>
            </w:r>
            <w:r>
              <w:rPr>
                <w:rFonts w:hint="eastAsia" w:ascii="Times New Roman" w:hAnsi="Times New Roman"/>
                <w:color w:val="auto"/>
                <w:sz w:val="21"/>
                <w:highlight w:val="none"/>
                <w:lang w:eastAsia="zh-CN"/>
              </w:rPr>
              <w:t>南江县万事康生物科技有限公司</w:t>
            </w:r>
            <w:r>
              <w:rPr>
                <w:rFonts w:hint="default" w:ascii="Times New Roman" w:hAnsi="Times New Roman"/>
                <w:color w:val="auto"/>
                <w:sz w:val="21"/>
                <w:highlight w:val="none"/>
              </w:rPr>
              <w:t>用作生产有机肥原料使用</w:t>
            </w:r>
            <w:r>
              <w:rPr>
                <w:rFonts w:hint="eastAsia" w:ascii="Times New Roman" w:hAnsi="Times New Roman"/>
                <w:color w:val="auto"/>
                <w:sz w:val="21"/>
                <w:highlight w:val="none"/>
                <w:lang w:eastAsia="zh-CN"/>
              </w:rPr>
              <w:t>，</w:t>
            </w:r>
            <w:r>
              <w:rPr>
                <w:rFonts w:hint="eastAsia" w:ascii="宋体" w:hAnsi="宋体" w:eastAsia="宋体" w:cs="宋体"/>
                <w:bCs/>
                <w:color w:val="auto"/>
                <w:highlight w:val="none"/>
              </w:rPr>
              <w:t>做到畜禽粪污无害化</w:t>
            </w:r>
            <w:r>
              <w:rPr>
                <w:rFonts w:hint="eastAsia" w:ascii="宋体" w:hAnsi="宋体" w:eastAsia="宋体" w:cs="宋体"/>
                <w:bCs/>
                <w:color w:val="auto"/>
                <w:highlight w:val="none"/>
                <w:lang w:eastAsia="zh-CN"/>
              </w:rPr>
              <w:t>。</w:t>
            </w:r>
          </w:p>
        </w:tc>
        <w:tc>
          <w:tcPr>
            <w:tcW w:w="900"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3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加强养殖污染综合防治,推进畜禽养殖粪污资源综合利用,开展畜牧业绿色示范县(市、区)创建。到2025年</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规模化畜禽养殖场(小区)粪污处理设施配套率达到95%</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畜禽粪污综合利用率达到80%以上。</w:t>
            </w:r>
          </w:p>
        </w:tc>
        <w:tc>
          <w:tcPr>
            <w:tcW w:w="2269"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Cs/>
                <w:color w:val="auto"/>
                <w:highlight w:val="none"/>
              </w:rPr>
              <w:t>本项目废弃物处理比例为100%，畜禽粪便运输至</w:t>
            </w:r>
            <w:r>
              <w:rPr>
                <w:rFonts w:hint="eastAsia" w:ascii="Times New Roman" w:hAnsi="Times New Roman" w:cs="Times New Roman"/>
                <w:bCs/>
                <w:color w:val="auto"/>
                <w:highlight w:val="none"/>
                <w:lang w:eastAsia="zh-CN"/>
              </w:rPr>
              <w:t>南江县万事康生物科技有限公司</w:t>
            </w:r>
            <w:r>
              <w:rPr>
                <w:rFonts w:hint="eastAsia" w:ascii="Times New Roman" w:hAnsi="Times New Roman" w:cs="Times New Roman"/>
                <w:bCs/>
                <w:color w:val="auto"/>
                <w:highlight w:val="none"/>
              </w:rPr>
              <w:t>用作生产有机肥原料使用</w:t>
            </w:r>
          </w:p>
        </w:tc>
        <w:tc>
          <w:tcPr>
            <w:tcW w:w="900"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w:t>
            </w:r>
          </w:p>
        </w:tc>
      </w:tr>
    </w:tbl>
    <w:p>
      <w:pPr>
        <w:pStyle w:val="9"/>
        <w:bidi w:val="0"/>
        <w:rPr>
          <w:rFonts w:cs="Times New Roman"/>
          <w:color w:val="auto"/>
          <w:highlight w:val="none"/>
        </w:rPr>
      </w:pPr>
      <w:r>
        <w:rPr>
          <w:rFonts w:hint="eastAsia" w:cs="Times New Roman"/>
          <w:color w:val="auto"/>
          <w:highlight w:val="none"/>
        </w:rPr>
        <w:t>与《巴中市“十四五”生态环境保护规划》符合性分析</w:t>
      </w:r>
    </w:p>
    <w:p>
      <w:pPr>
        <w:snapToGrid w:val="0"/>
        <w:ind w:firstLine="480"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cs="Times New Roman"/>
          <w:bCs/>
          <w:color w:val="auto"/>
          <w:sz w:val="24"/>
          <w:highlight w:val="none"/>
          <w:lang w:eastAsia="zh-CN"/>
        </w:rPr>
        <w:t>巴中市</w:t>
      </w:r>
      <w:r>
        <w:rPr>
          <w:rFonts w:hint="eastAsia" w:ascii="Times New Roman" w:hAnsi="Times New Roman" w:cs="Times New Roman"/>
          <w:bCs/>
          <w:color w:val="auto"/>
          <w:sz w:val="24"/>
          <w:highlight w:val="none"/>
        </w:rPr>
        <w:t>人民政府</w:t>
      </w:r>
      <w:r>
        <w:rPr>
          <w:rFonts w:ascii="Times New Roman" w:hAnsi="Times New Roman" w:cs="Times New Roman"/>
          <w:bCs/>
          <w:color w:val="auto"/>
          <w:sz w:val="24"/>
          <w:highlight w:val="none"/>
        </w:rPr>
        <w:t>印发了《</w:t>
      </w:r>
      <w:r>
        <w:rPr>
          <w:rFonts w:hint="eastAsia" w:ascii="Times New Roman" w:hAnsi="Times New Roman" w:cs="Times New Roman"/>
          <w:bCs/>
          <w:color w:val="auto"/>
          <w:sz w:val="24"/>
          <w:highlight w:val="none"/>
        </w:rPr>
        <w:t>巴中市“十四五”生态环境保护规划</w:t>
      </w:r>
      <w:r>
        <w:rPr>
          <w:rFonts w:hint="eastAsia" w:ascii="Times New Roman" w:hAnsi="Times New Roman" w:cs="Times New Roman"/>
          <w:bCs/>
          <w:color w:val="auto"/>
          <w:sz w:val="24"/>
          <w:highlight w:val="none"/>
          <w:lang w:eastAsia="zh-CN"/>
        </w:rPr>
        <w:t>》的通知（巴府发【</w:t>
      </w:r>
      <w:r>
        <w:rPr>
          <w:rFonts w:hint="eastAsia" w:ascii="Times New Roman" w:hAnsi="Times New Roman" w:cs="Times New Roman"/>
          <w:bCs/>
          <w:color w:val="auto"/>
          <w:sz w:val="24"/>
          <w:highlight w:val="none"/>
          <w:lang w:val="en-US" w:eastAsia="zh-CN"/>
        </w:rPr>
        <w:t>2021】19号）</w:t>
      </w:r>
      <w:r>
        <w:rPr>
          <w:rFonts w:hint="eastAsia" w:ascii="Times New Roman" w:hAnsi="Times New Roman" w:cs="Times New Roman"/>
          <w:bCs/>
          <w:color w:val="auto"/>
          <w:sz w:val="24"/>
          <w:highlight w:val="none"/>
        </w:rPr>
        <w:t>。本项目属规划的重点发展区</w:t>
      </w:r>
      <w:r>
        <w:rPr>
          <w:rFonts w:hint="eastAsia" w:ascii="Times New Roman" w:hAnsi="Times New Roman" w:cs="Times New Roman"/>
          <w:bCs/>
          <w:color w:val="auto"/>
          <w:sz w:val="24"/>
          <w:highlight w:val="none"/>
          <w:lang w:eastAsia="zh-CN"/>
        </w:rPr>
        <w:t>，</w:t>
      </w:r>
      <w:r>
        <w:rPr>
          <w:rFonts w:hint="eastAsia" w:ascii="Times New Roman" w:hAnsi="Times New Roman" w:cs="Times New Roman"/>
          <w:bCs/>
          <w:color w:val="auto"/>
          <w:sz w:val="24"/>
          <w:highlight w:val="none"/>
        </w:rPr>
        <w:t>属标准化规模养殖，本项目运行过程中坚持粪便综合利用和病死</w:t>
      </w:r>
      <w:r>
        <w:rPr>
          <w:rFonts w:hint="eastAsia" w:ascii="Times New Roman" w:hAnsi="Times New Roman" w:cs="Times New Roman"/>
          <w:bCs/>
          <w:color w:val="auto"/>
          <w:sz w:val="24"/>
          <w:highlight w:val="none"/>
          <w:lang w:eastAsia="zh-CN"/>
        </w:rPr>
        <w:t>牛</w:t>
      </w:r>
      <w:r>
        <w:rPr>
          <w:rFonts w:hint="eastAsia" w:ascii="Times New Roman" w:hAnsi="Times New Roman" w:cs="Times New Roman"/>
          <w:bCs/>
          <w:color w:val="auto"/>
          <w:sz w:val="24"/>
          <w:highlight w:val="none"/>
        </w:rPr>
        <w:t>无害化处理，做到</w:t>
      </w:r>
      <w:r>
        <w:rPr>
          <w:rFonts w:hint="eastAsia" w:ascii="Times New Roman" w:hAnsi="Times New Roman" w:cs="Times New Roman"/>
          <w:bCs/>
          <w:color w:val="auto"/>
          <w:sz w:val="24"/>
          <w:highlight w:val="none"/>
          <w:lang w:eastAsia="zh-CN"/>
        </w:rPr>
        <w:t>肉牛</w:t>
      </w:r>
      <w:r>
        <w:rPr>
          <w:rFonts w:hint="eastAsia" w:ascii="Times New Roman" w:hAnsi="Times New Roman" w:cs="Times New Roman"/>
          <w:bCs/>
          <w:color w:val="auto"/>
          <w:sz w:val="24"/>
          <w:highlight w:val="none"/>
        </w:rPr>
        <w:t>生产与环境保护协调发展，项目与</w:t>
      </w:r>
      <w:r>
        <w:rPr>
          <w:rFonts w:ascii="Times New Roman" w:hAnsi="Times New Roman" w:cs="Times New Roman"/>
          <w:bCs/>
          <w:color w:val="auto"/>
          <w:sz w:val="24"/>
          <w:highlight w:val="none"/>
        </w:rPr>
        <w:t>《</w:t>
      </w:r>
      <w:r>
        <w:rPr>
          <w:rFonts w:hint="eastAsia" w:ascii="Times New Roman" w:hAnsi="Times New Roman" w:cs="Times New Roman"/>
          <w:bCs/>
          <w:color w:val="auto"/>
          <w:sz w:val="24"/>
          <w:highlight w:val="none"/>
        </w:rPr>
        <w:t>巴中市“十四五”生态环境保护规划</w:t>
      </w:r>
      <w:r>
        <w:rPr>
          <w:rFonts w:ascii="Times New Roman" w:hAnsi="Times New Roman" w:cs="Times New Roman"/>
          <w:bCs/>
          <w:color w:val="auto"/>
          <w:sz w:val="24"/>
          <w:highlight w:val="none"/>
        </w:rPr>
        <w:t>》相符</w:t>
      </w:r>
      <w:r>
        <w:rPr>
          <w:rFonts w:hint="eastAsia" w:ascii="Times New Roman" w:hAnsi="Times New Roman" w:cs="Times New Roman"/>
          <w:bCs/>
          <w:color w:val="auto"/>
          <w:sz w:val="24"/>
          <w:highlight w:val="none"/>
        </w:rPr>
        <w:t>，</w:t>
      </w:r>
      <w:r>
        <w:rPr>
          <w:rFonts w:ascii="Times New Roman" w:hAnsi="Times New Roman" w:cs="Times New Roman"/>
          <w:bCs/>
          <w:color w:val="auto"/>
          <w:sz w:val="24"/>
          <w:highlight w:val="none"/>
        </w:rPr>
        <w:t>具体符合性分析见下表</w:t>
      </w:r>
      <w:r>
        <w:rPr>
          <w:rFonts w:hint="eastAsia" w:ascii="Times New Roman" w:hAnsi="Times New Roman" w:cs="Times New Roman"/>
          <w:bCs/>
          <w:color w:val="auto"/>
          <w:sz w:val="24"/>
          <w:highlight w:val="none"/>
        </w:rPr>
        <w:t>。</w:t>
      </w:r>
    </w:p>
    <w:p>
      <w:pPr>
        <w:numPr>
          <w:ilvl w:val="0"/>
          <w:numId w:val="13"/>
        </w:numPr>
        <w:tabs>
          <w:tab w:val="left" w:pos="0"/>
        </w:tabs>
        <w:ind w:left="425" w:leftChars="0" w:hanging="425" w:firstLineChars="0"/>
        <w:jc w:val="center"/>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与</w:t>
      </w:r>
      <w:r>
        <w:rPr>
          <w:rFonts w:hint="eastAsia" w:ascii="Times New Roman" w:hAnsi="Times New Roman" w:eastAsia="宋体" w:cs="Times New Roman"/>
          <w:b/>
          <w:bCs/>
          <w:color w:val="auto"/>
          <w:sz w:val="21"/>
          <w:szCs w:val="21"/>
          <w:highlight w:val="none"/>
          <w:lang w:eastAsia="zh-CN"/>
        </w:rPr>
        <w:t>《巴中市“十四五”生态环境保护规划</w:t>
      </w:r>
      <w:r>
        <w:rPr>
          <w:rFonts w:hint="eastAsia" w:ascii="Times New Roman" w:hAnsi="Times New Roman" w:eastAsia="宋体" w:cs="Times New Roman"/>
          <w:b/>
          <w:bCs/>
          <w:color w:val="auto"/>
          <w:sz w:val="21"/>
          <w:szCs w:val="21"/>
          <w:highlight w:val="none"/>
        </w:rPr>
        <w:t>》符合性分析</w:t>
      </w:r>
    </w:p>
    <w:tbl>
      <w:tblPr>
        <w:tblStyle w:val="91"/>
        <w:tblW w:w="8522"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5353"/>
        <w:gridCol w:w="2269"/>
        <w:gridCol w:w="900"/>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3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《巴中市“十四五”生态环境保护规划》</w:t>
            </w:r>
          </w:p>
        </w:tc>
        <w:tc>
          <w:tcPr>
            <w:tcW w:w="2269"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本项目</w:t>
            </w:r>
          </w:p>
        </w:tc>
        <w:tc>
          <w:tcPr>
            <w:tcW w:w="900"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3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加强养殖业氨排放治理</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加大低蛋白饲料品种的研发与推广</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推广封闭式粪便存储和处理系统</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鼓励高效含氨气体处理技术的研发及运用。</w:t>
            </w:r>
          </w:p>
        </w:tc>
        <w:tc>
          <w:tcPr>
            <w:tcW w:w="2269" w:type="dxa"/>
            <w:tcBorders>
              <w:tl2br w:val="nil"/>
              <w:tr2bl w:val="nil"/>
            </w:tcBorders>
            <w:vAlign w:val="center"/>
          </w:tcPr>
          <w:p>
            <w:pPr>
              <w:keepNext w:val="0"/>
              <w:keepLines w:val="0"/>
              <w:suppressLineNumbers w:val="0"/>
              <w:snapToGrid w:val="0"/>
              <w:spacing w:before="0" w:beforeAutospacing="0" w:after="0" w:afterAutospacing="0" w:line="240" w:lineRule="auto"/>
              <w:ind w:left="0" w:leftChars="0" w:right="0" w:rightChars="0"/>
              <w:jc w:val="left"/>
              <w:rPr>
                <w:rFonts w:hint="default" w:ascii="Times New Roman" w:hAnsi="Times New Roman" w:eastAsia="宋体" w:cs="Times New Roman"/>
                <w:bCs/>
                <w:color w:val="auto"/>
                <w:highlight w:val="none"/>
                <w:lang w:val="en-US" w:eastAsia="zh-CN"/>
              </w:rPr>
            </w:pPr>
            <w:r>
              <w:rPr>
                <w:rFonts w:hint="eastAsia" w:ascii="宋体" w:hAnsi="宋体" w:eastAsia="宋体" w:cs="宋体"/>
                <w:bCs/>
                <w:color w:val="auto"/>
                <w:highlight w:val="none"/>
              </w:rPr>
              <w:t>本项目采取生态循环的模式以及工程处理措施，以废弃物资源化利用为途径，</w:t>
            </w:r>
            <w:r>
              <w:rPr>
                <w:rFonts w:hint="eastAsia" w:ascii="Times New Roman" w:hAnsi="Times New Roman"/>
                <w:color w:val="auto"/>
                <w:sz w:val="21"/>
                <w:highlight w:val="none"/>
                <w:lang w:val="en-US" w:eastAsia="zh-CN"/>
              </w:rPr>
              <w:t>项目设置干粪棚用于暂存固液分离后的粪便，密闭设置，</w:t>
            </w:r>
            <w:r>
              <w:rPr>
                <w:rFonts w:hint="eastAsia" w:ascii="Times New Roman" w:hAnsi="Times New Roman"/>
                <w:color w:val="auto"/>
                <w:sz w:val="21"/>
                <w:highlight w:val="none"/>
                <w:lang w:eastAsia="zh-CN"/>
              </w:rPr>
              <w:t>每天定时清理，暂存时间</w:t>
            </w:r>
            <w:r>
              <w:rPr>
                <w:rFonts w:hint="eastAsia" w:ascii="Times New Roman" w:hAnsi="Times New Roman"/>
                <w:color w:val="auto"/>
                <w:sz w:val="21"/>
                <w:highlight w:val="none"/>
                <w:lang w:val="en-US" w:eastAsia="zh-CN"/>
              </w:rPr>
              <w:t>&lt;1天</w:t>
            </w:r>
            <w:r>
              <w:rPr>
                <w:rFonts w:hint="eastAsia" w:ascii="宋体" w:hAnsi="宋体" w:eastAsia="宋体" w:cs="宋体"/>
                <w:bCs/>
                <w:color w:val="auto"/>
                <w:highlight w:val="none"/>
                <w:lang w:val="en-US" w:eastAsia="zh-CN"/>
              </w:rPr>
              <w:t>，</w:t>
            </w:r>
            <w:r>
              <w:rPr>
                <w:rFonts w:hint="default" w:ascii="Times New Roman" w:hAnsi="Times New Roman"/>
                <w:color w:val="auto"/>
                <w:sz w:val="21"/>
                <w:highlight w:val="none"/>
              </w:rPr>
              <w:t>由车辆清运至</w:t>
            </w:r>
            <w:r>
              <w:rPr>
                <w:rFonts w:hint="eastAsia" w:ascii="Times New Roman" w:hAnsi="Times New Roman"/>
                <w:color w:val="auto"/>
                <w:sz w:val="21"/>
                <w:highlight w:val="none"/>
                <w:lang w:eastAsia="zh-CN"/>
              </w:rPr>
              <w:t>南江县万事康生物科技有限公司</w:t>
            </w:r>
            <w:r>
              <w:rPr>
                <w:rFonts w:hint="default" w:ascii="Times New Roman" w:hAnsi="Times New Roman"/>
                <w:color w:val="auto"/>
                <w:sz w:val="21"/>
                <w:highlight w:val="none"/>
              </w:rPr>
              <w:t>用作生产有机肥原料使用</w:t>
            </w:r>
            <w:r>
              <w:rPr>
                <w:rFonts w:hint="eastAsia" w:ascii="Times New Roman" w:hAnsi="Times New Roman"/>
                <w:color w:val="auto"/>
                <w:sz w:val="21"/>
                <w:highlight w:val="none"/>
                <w:lang w:eastAsia="zh-CN"/>
              </w:rPr>
              <w:t>，</w:t>
            </w:r>
            <w:r>
              <w:rPr>
                <w:rFonts w:hint="eastAsia" w:ascii="宋体" w:hAnsi="宋体" w:eastAsia="宋体" w:cs="宋体"/>
                <w:bCs/>
                <w:color w:val="auto"/>
                <w:highlight w:val="none"/>
              </w:rPr>
              <w:t>做到畜禽粪污无害化</w:t>
            </w:r>
            <w:r>
              <w:rPr>
                <w:rFonts w:hint="eastAsia" w:ascii="宋体" w:hAnsi="宋体" w:eastAsia="宋体" w:cs="宋体"/>
                <w:bCs/>
                <w:color w:val="auto"/>
                <w:highlight w:val="none"/>
                <w:lang w:eastAsia="zh-CN"/>
              </w:rPr>
              <w:t>。</w:t>
            </w:r>
          </w:p>
        </w:tc>
        <w:tc>
          <w:tcPr>
            <w:tcW w:w="900"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3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全覆盖实施病死畜禽集中无害化处置工程，持续推动畜禽粪污资源化利用，综合利用率达到95%以上，规模以上畜禽养殖场粪污处理设施装备配套率达到100%。</w:t>
            </w:r>
          </w:p>
        </w:tc>
        <w:tc>
          <w:tcPr>
            <w:tcW w:w="2269" w:type="dxa"/>
            <w:tcBorders>
              <w:tl2br w:val="nil"/>
              <w:tr2bl w:val="nil"/>
            </w:tcBorders>
            <w:vAlign w:val="center"/>
          </w:tcPr>
          <w:p>
            <w:pPr>
              <w:keepNext w:val="0"/>
              <w:keepLines w:val="0"/>
              <w:suppressLineNumbers w:val="0"/>
              <w:snapToGrid w:val="0"/>
              <w:spacing w:before="0" w:beforeAutospacing="0" w:after="0" w:afterAutospacing="0" w:line="240" w:lineRule="auto"/>
              <w:ind w:left="0" w:leftChars="0" w:right="0" w:rightChars="0"/>
              <w:jc w:val="left"/>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Cs/>
                <w:color w:val="auto"/>
                <w:highlight w:val="none"/>
              </w:rPr>
              <w:t>本项目废弃物处理比例为100%，畜禽粪便运输至</w:t>
            </w:r>
            <w:r>
              <w:rPr>
                <w:rFonts w:hint="eastAsia" w:ascii="Times New Roman" w:hAnsi="Times New Roman" w:cs="Times New Roman"/>
                <w:bCs/>
                <w:color w:val="auto"/>
                <w:highlight w:val="none"/>
                <w:lang w:eastAsia="zh-CN"/>
              </w:rPr>
              <w:t>南江县万事康生物科技有限公司</w:t>
            </w:r>
            <w:r>
              <w:rPr>
                <w:rFonts w:hint="eastAsia" w:ascii="Times New Roman" w:hAnsi="Times New Roman" w:cs="Times New Roman"/>
                <w:bCs/>
                <w:color w:val="auto"/>
                <w:highlight w:val="none"/>
              </w:rPr>
              <w:t>用作生产有机肥原料使用</w:t>
            </w:r>
          </w:p>
        </w:tc>
        <w:tc>
          <w:tcPr>
            <w:tcW w:w="900"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w:t>
            </w:r>
          </w:p>
        </w:tc>
      </w:tr>
    </w:tbl>
    <w:p>
      <w:pPr>
        <w:pStyle w:val="9"/>
        <w:bidi w:val="0"/>
        <w:rPr>
          <w:rFonts w:cs="Times New Roman"/>
          <w:color w:val="auto"/>
          <w:highlight w:val="none"/>
        </w:rPr>
      </w:pPr>
      <w:r>
        <w:rPr>
          <w:rFonts w:hint="eastAsia" w:cs="Times New Roman"/>
          <w:color w:val="auto"/>
          <w:highlight w:val="none"/>
        </w:rPr>
        <w:t>与《巴中市“十四五” 推进农业农村现代化规划》符合性分析</w:t>
      </w:r>
    </w:p>
    <w:p>
      <w:pPr>
        <w:snapToGrid w:val="0"/>
        <w:ind w:firstLine="480"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cs="Times New Roman"/>
          <w:bCs/>
          <w:color w:val="auto"/>
          <w:sz w:val="24"/>
          <w:highlight w:val="none"/>
          <w:lang w:eastAsia="zh-CN"/>
        </w:rPr>
        <w:t>巴中市</w:t>
      </w:r>
      <w:r>
        <w:rPr>
          <w:rFonts w:hint="eastAsia" w:ascii="Times New Roman" w:hAnsi="Times New Roman" w:cs="Times New Roman"/>
          <w:bCs/>
          <w:color w:val="auto"/>
          <w:sz w:val="24"/>
          <w:highlight w:val="none"/>
        </w:rPr>
        <w:t>人民政府</w:t>
      </w:r>
      <w:r>
        <w:rPr>
          <w:rFonts w:ascii="Times New Roman" w:hAnsi="Times New Roman" w:cs="Times New Roman"/>
          <w:bCs/>
          <w:color w:val="auto"/>
          <w:sz w:val="24"/>
          <w:highlight w:val="none"/>
        </w:rPr>
        <w:t>印发了《</w:t>
      </w:r>
      <w:r>
        <w:rPr>
          <w:rFonts w:hint="eastAsia" w:ascii="Times New Roman" w:hAnsi="Times New Roman" w:cs="Times New Roman"/>
          <w:bCs/>
          <w:color w:val="auto"/>
          <w:sz w:val="24"/>
          <w:highlight w:val="none"/>
        </w:rPr>
        <w:t>巴中市“十四五”推进农业农村现代化规划</w:t>
      </w:r>
      <w:r>
        <w:rPr>
          <w:rFonts w:hint="eastAsia" w:ascii="Times New Roman" w:hAnsi="Times New Roman" w:cs="Times New Roman"/>
          <w:bCs/>
          <w:color w:val="auto"/>
          <w:sz w:val="24"/>
          <w:highlight w:val="none"/>
          <w:lang w:eastAsia="zh-CN"/>
        </w:rPr>
        <w:t>》的通知（巴府发【</w:t>
      </w:r>
      <w:r>
        <w:rPr>
          <w:rFonts w:hint="eastAsia" w:ascii="Times New Roman" w:hAnsi="Times New Roman" w:cs="Times New Roman"/>
          <w:bCs/>
          <w:color w:val="auto"/>
          <w:sz w:val="24"/>
          <w:highlight w:val="none"/>
          <w:lang w:val="en-US" w:eastAsia="zh-CN"/>
        </w:rPr>
        <w:t>2021】13号）</w:t>
      </w:r>
      <w:r>
        <w:rPr>
          <w:rFonts w:hint="eastAsia" w:ascii="Times New Roman" w:hAnsi="Times New Roman" w:cs="Times New Roman"/>
          <w:bCs/>
          <w:color w:val="auto"/>
          <w:sz w:val="24"/>
          <w:highlight w:val="none"/>
        </w:rPr>
        <w:t>。本项目属规划的重点发展区</w:t>
      </w:r>
      <w:r>
        <w:rPr>
          <w:rFonts w:hint="eastAsia" w:ascii="Times New Roman" w:hAnsi="Times New Roman" w:cs="Times New Roman"/>
          <w:bCs/>
          <w:color w:val="auto"/>
          <w:sz w:val="24"/>
          <w:highlight w:val="none"/>
          <w:lang w:eastAsia="zh-CN"/>
        </w:rPr>
        <w:t>，</w:t>
      </w:r>
      <w:r>
        <w:rPr>
          <w:rFonts w:hint="eastAsia" w:ascii="Times New Roman" w:hAnsi="Times New Roman" w:cs="Times New Roman"/>
          <w:bCs/>
          <w:color w:val="auto"/>
          <w:sz w:val="24"/>
          <w:highlight w:val="none"/>
        </w:rPr>
        <w:t>标准化规模养殖，本项目运行过程中坚持粪便综合利用和病死</w:t>
      </w:r>
      <w:r>
        <w:rPr>
          <w:rFonts w:hint="eastAsia" w:ascii="Times New Roman" w:hAnsi="Times New Roman" w:cs="Times New Roman"/>
          <w:bCs/>
          <w:color w:val="auto"/>
          <w:sz w:val="24"/>
          <w:highlight w:val="none"/>
          <w:lang w:eastAsia="zh-CN"/>
        </w:rPr>
        <w:t>牛</w:t>
      </w:r>
      <w:r>
        <w:rPr>
          <w:rFonts w:hint="eastAsia" w:ascii="Times New Roman" w:hAnsi="Times New Roman" w:cs="Times New Roman"/>
          <w:bCs/>
          <w:color w:val="auto"/>
          <w:sz w:val="24"/>
          <w:highlight w:val="none"/>
        </w:rPr>
        <w:t>无害化处理，做到</w:t>
      </w:r>
      <w:r>
        <w:rPr>
          <w:rFonts w:hint="eastAsia" w:ascii="Times New Roman" w:hAnsi="Times New Roman" w:cs="Times New Roman"/>
          <w:bCs/>
          <w:color w:val="auto"/>
          <w:sz w:val="24"/>
          <w:highlight w:val="none"/>
          <w:lang w:eastAsia="zh-CN"/>
        </w:rPr>
        <w:t>肉牛</w:t>
      </w:r>
      <w:r>
        <w:rPr>
          <w:rFonts w:hint="eastAsia" w:ascii="Times New Roman" w:hAnsi="Times New Roman" w:cs="Times New Roman"/>
          <w:bCs/>
          <w:color w:val="auto"/>
          <w:sz w:val="24"/>
          <w:highlight w:val="none"/>
        </w:rPr>
        <w:t>生产与环境保护协调发展，项目与</w:t>
      </w:r>
      <w:r>
        <w:rPr>
          <w:rFonts w:ascii="Times New Roman" w:hAnsi="Times New Roman" w:cs="Times New Roman"/>
          <w:bCs/>
          <w:color w:val="auto"/>
          <w:sz w:val="24"/>
          <w:highlight w:val="none"/>
        </w:rPr>
        <w:t>《</w:t>
      </w:r>
      <w:r>
        <w:rPr>
          <w:rFonts w:hint="eastAsia" w:ascii="Times New Roman" w:hAnsi="Times New Roman" w:cs="Times New Roman"/>
          <w:bCs/>
          <w:color w:val="auto"/>
          <w:sz w:val="24"/>
          <w:highlight w:val="none"/>
        </w:rPr>
        <w:t>巴中市“十四五” 推进农业农村现代化规划</w:t>
      </w:r>
      <w:r>
        <w:rPr>
          <w:rFonts w:ascii="Times New Roman" w:hAnsi="Times New Roman" w:cs="Times New Roman"/>
          <w:bCs/>
          <w:color w:val="auto"/>
          <w:sz w:val="24"/>
          <w:highlight w:val="none"/>
        </w:rPr>
        <w:t>》相符</w:t>
      </w:r>
      <w:r>
        <w:rPr>
          <w:rFonts w:hint="eastAsia" w:ascii="Times New Roman" w:hAnsi="Times New Roman" w:cs="Times New Roman"/>
          <w:bCs/>
          <w:color w:val="auto"/>
          <w:sz w:val="24"/>
          <w:highlight w:val="none"/>
        </w:rPr>
        <w:t>，</w:t>
      </w:r>
      <w:r>
        <w:rPr>
          <w:rFonts w:ascii="Times New Roman" w:hAnsi="Times New Roman" w:cs="Times New Roman"/>
          <w:bCs/>
          <w:color w:val="auto"/>
          <w:sz w:val="24"/>
          <w:highlight w:val="none"/>
        </w:rPr>
        <w:t>具体符合性分析见下表</w:t>
      </w:r>
      <w:r>
        <w:rPr>
          <w:rFonts w:hint="eastAsia" w:ascii="Times New Roman" w:hAnsi="Times New Roman" w:cs="Times New Roman"/>
          <w:bCs/>
          <w:color w:val="auto"/>
          <w:sz w:val="24"/>
          <w:highlight w:val="none"/>
        </w:rPr>
        <w:t>。</w:t>
      </w:r>
    </w:p>
    <w:p>
      <w:pPr>
        <w:numPr>
          <w:ilvl w:val="0"/>
          <w:numId w:val="13"/>
        </w:numPr>
        <w:tabs>
          <w:tab w:val="left" w:pos="0"/>
        </w:tabs>
        <w:ind w:left="425" w:leftChars="0" w:hanging="425" w:firstLineChars="0"/>
        <w:jc w:val="center"/>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与</w:t>
      </w:r>
      <w:r>
        <w:rPr>
          <w:rFonts w:hint="eastAsia" w:ascii="Times New Roman" w:hAnsi="Times New Roman" w:eastAsia="宋体" w:cs="Times New Roman"/>
          <w:b/>
          <w:bCs/>
          <w:color w:val="auto"/>
          <w:sz w:val="21"/>
          <w:szCs w:val="21"/>
          <w:highlight w:val="none"/>
          <w:lang w:eastAsia="zh-CN"/>
        </w:rPr>
        <w:t>《巴中市“十四五” 推进农业农村现代化规划</w:t>
      </w:r>
      <w:r>
        <w:rPr>
          <w:rFonts w:hint="eastAsia" w:ascii="Times New Roman" w:hAnsi="Times New Roman" w:eastAsia="宋体" w:cs="Times New Roman"/>
          <w:b/>
          <w:bCs/>
          <w:color w:val="auto"/>
          <w:sz w:val="21"/>
          <w:szCs w:val="21"/>
          <w:highlight w:val="none"/>
        </w:rPr>
        <w:t>》符合性分析</w:t>
      </w:r>
    </w:p>
    <w:tbl>
      <w:tblPr>
        <w:tblStyle w:val="91"/>
        <w:tblW w:w="8522"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5353"/>
        <w:gridCol w:w="2269"/>
        <w:gridCol w:w="900"/>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3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《巴中市“十四五” 推进农业农村现代化规划》</w:t>
            </w:r>
          </w:p>
        </w:tc>
        <w:tc>
          <w:tcPr>
            <w:tcW w:w="2269"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本项目</w:t>
            </w:r>
          </w:p>
        </w:tc>
        <w:tc>
          <w:tcPr>
            <w:tcW w:w="900"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353"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实施山地肉牛集群项目和牛羊扩群增量行动，新（改、扩）建畜禽规模养殖场785个、水产健康养殖场 25 个，提升优质牧草供给能力和牛羊屠宰加工能力，提升“巴山牛”“南江黄羊”品牌影响力。</w:t>
            </w:r>
          </w:p>
        </w:tc>
        <w:tc>
          <w:tcPr>
            <w:tcW w:w="2269"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eastAsia" w:ascii="Times New Roman" w:hAnsi="Times New Roman" w:eastAsia="宋体" w:cs="Times New Roman"/>
                <w:bCs/>
                <w:color w:val="auto"/>
                <w:highlight w:val="none"/>
                <w:lang w:eastAsia="zh-CN"/>
              </w:rPr>
            </w:pPr>
            <w:r>
              <w:rPr>
                <w:rFonts w:hint="eastAsia" w:ascii="宋体" w:hAnsi="宋体" w:eastAsia="宋体" w:cs="宋体"/>
                <w:bCs/>
                <w:color w:val="auto"/>
                <w:highlight w:val="none"/>
              </w:rPr>
              <w:t>本项目</w:t>
            </w:r>
            <w:r>
              <w:rPr>
                <w:rFonts w:hint="eastAsia" w:ascii="宋体" w:hAnsi="宋体" w:eastAsia="宋体" w:cs="宋体"/>
                <w:bCs/>
                <w:color w:val="auto"/>
                <w:highlight w:val="none"/>
                <w:lang w:eastAsia="zh-CN"/>
              </w:rPr>
              <w:t>作为“巴山牛”品牌重点发展区，属于规划中的</w:t>
            </w:r>
            <w:r>
              <w:rPr>
                <w:rFonts w:hint="default" w:ascii="Times New Roman" w:hAnsi="Times New Roman" w:eastAsia="宋体" w:cs="Times New Roman"/>
                <w:color w:val="auto"/>
                <w:sz w:val="21"/>
                <w:szCs w:val="21"/>
                <w:highlight w:val="none"/>
              </w:rPr>
              <w:t>山地肉牛集群项目</w:t>
            </w:r>
          </w:p>
        </w:tc>
        <w:tc>
          <w:tcPr>
            <w:tcW w:w="900"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w:t>
            </w:r>
          </w:p>
        </w:tc>
      </w:tr>
    </w:tbl>
    <w:p>
      <w:pPr>
        <w:pStyle w:val="9"/>
        <w:bidi w:val="0"/>
        <w:rPr>
          <w:rFonts w:cs="Times New Roman"/>
          <w:color w:val="auto"/>
          <w:highlight w:val="none"/>
        </w:rPr>
      </w:pPr>
      <w:r>
        <w:rPr>
          <w:rFonts w:hint="eastAsia" w:cs="Times New Roman"/>
          <w:color w:val="auto"/>
          <w:highlight w:val="none"/>
        </w:rPr>
        <w:t>与</w:t>
      </w:r>
      <w:r>
        <w:rPr>
          <w:rFonts w:hint="eastAsia" w:cs="Times New Roman"/>
          <w:bCs w:val="0"/>
          <w:color w:val="auto"/>
          <w:szCs w:val="24"/>
          <w:highlight w:val="none"/>
        </w:rPr>
        <w:t>《</w:t>
      </w:r>
      <w:r>
        <w:rPr>
          <w:rFonts w:hint="eastAsia" w:cs="Times New Roman"/>
          <w:bCs w:val="0"/>
          <w:color w:val="auto"/>
          <w:szCs w:val="24"/>
          <w:highlight w:val="none"/>
          <w:lang w:eastAsia="zh-CN"/>
        </w:rPr>
        <w:t>巴州区</w:t>
      </w:r>
      <w:r>
        <w:rPr>
          <w:rFonts w:hint="eastAsia" w:cs="Times New Roman"/>
          <w:bCs w:val="0"/>
          <w:color w:val="auto"/>
          <w:szCs w:val="24"/>
          <w:highlight w:val="none"/>
        </w:rPr>
        <w:t>土地利用总体规划》（2006-2020年）</w:t>
      </w:r>
      <w:r>
        <w:rPr>
          <w:rFonts w:hint="eastAsia" w:cs="Times New Roman"/>
          <w:color w:val="auto"/>
          <w:highlight w:val="none"/>
        </w:rPr>
        <w:t>符合性分析</w:t>
      </w:r>
    </w:p>
    <w:p>
      <w:pPr>
        <w:adjustRightInd w:val="0"/>
        <w:snapToGrid w:val="0"/>
        <w:ind w:firstLine="518" w:firstLineChars="216"/>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根据《</w:t>
      </w:r>
      <w:r>
        <w:rPr>
          <w:rFonts w:hint="eastAsia" w:ascii="Times New Roman" w:hAnsi="Times New Roman" w:cs="Times New Roman"/>
          <w:bCs/>
          <w:color w:val="auto"/>
          <w:sz w:val="24"/>
          <w:szCs w:val="24"/>
          <w:highlight w:val="none"/>
          <w:lang w:eastAsia="zh-CN"/>
        </w:rPr>
        <w:t>巴州区</w:t>
      </w:r>
      <w:r>
        <w:rPr>
          <w:rFonts w:hint="eastAsia" w:ascii="Times New Roman" w:hAnsi="Times New Roman" w:cs="Times New Roman"/>
          <w:bCs/>
          <w:color w:val="auto"/>
          <w:sz w:val="24"/>
          <w:szCs w:val="24"/>
          <w:highlight w:val="none"/>
        </w:rPr>
        <w:t>土地利用总体规划》（2006-2020年）</w:t>
      </w:r>
      <w:r>
        <w:rPr>
          <w:rFonts w:hint="eastAsia" w:ascii="Times New Roman" w:hAnsi="Times New Roman" w:cs="Times New Roman"/>
          <w:bCs/>
          <w:color w:val="auto"/>
          <w:sz w:val="24"/>
          <w:szCs w:val="24"/>
          <w:highlight w:val="none"/>
          <w:lang w:eastAsia="zh-CN"/>
        </w:rPr>
        <w:t>，</w:t>
      </w:r>
      <w:r>
        <w:rPr>
          <w:rFonts w:hint="eastAsia" w:ascii="Times New Roman" w:hAnsi="Times New Roman" w:cs="Times New Roman"/>
          <w:bCs/>
          <w:color w:val="auto"/>
          <w:sz w:val="24"/>
          <w:szCs w:val="24"/>
          <w:highlight w:val="none"/>
        </w:rPr>
        <w:t>规划范围为</w:t>
      </w:r>
      <w:r>
        <w:rPr>
          <w:rFonts w:hint="eastAsia" w:ascii="Times New Roman" w:hAnsi="Times New Roman" w:cs="Times New Roman"/>
          <w:bCs/>
          <w:color w:val="auto"/>
          <w:sz w:val="24"/>
          <w:szCs w:val="24"/>
          <w:highlight w:val="none"/>
          <w:lang w:eastAsia="zh-CN"/>
        </w:rPr>
        <w:t>巴州区</w:t>
      </w:r>
      <w:r>
        <w:rPr>
          <w:rFonts w:hint="eastAsia" w:ascii="Times New Roman" w:hAnsi="Times New Roman" w:cs="Times New Roman"/>
          <w:bCs/>
          <w:color w:val="auto"/>
          <w:sz w:val="24"/>
          <w:szCs w:val="24"/>
          <w:highlight w:val="none"/>
        </w:rPr>
        <w:t>所辖1</w:t>
      </w:r>
      <w:r>
        <w:rPr>
          <w:rFonts w:hint="eastAsia" w:ascii="Times New Roman" w:hAnsi="Times New Roman" w:cs="Times New Roman"/>
          <w:bCs/>
          <w:color w:val="auto"/>
          <w:sz w:val="24"/>
          <w:szCs w:val="24"/>
          <w:highlight w:val="none"/>
          <w:lang w:val="en-US" w:eastAsia="zh-CN"/>
        </w:rPr>
        <w:t>5</w:t>
      </w:r>
      <w:r>
        <w:rPr>
          <w:rFonts w:hint="eastAsia" w:ascii="Times New Roman" w:hAnsi="Times New Roman" w:cs="Times New Roman"/>
          <w:bCs/>
          <w:color w:val="auto"/>
          <w:sz w:val="24"/>
          <w:szCs w:val="24"/>
          <w:highlight w:val="none"/>
        </w:rPr>
        <w:t>个建制镇和</w:t>
      </w:r>
      <w:r>
        <w:rPr>
          <w:rFonts w:hint="eastAsia" w:ascii="Times New Roman" w:hAnsi="Times New Roman" w:cs="Times New Roman"/>
          <w:bCs/>
          <w:color w:val="auto"/>
          <w:sz w:val="24"/>
          <w:szCs w:val="24"/>
          <w:highlight w:val="none"/>
          <w:lang w:val="en-US" w:eastAsia="zh-CN"/>
        </w:rPr>
        <w:t>8</w:t>
      </w:r>
      <w:r>
        <w:rPr>
          <w:rFonts w:hint="eastAsia" w:ascii="Times New Roman" w:hAnsi="Times New Roman" w:cs="Times New Roman"/>
          <w:bCs/>
          <w:color w:val="auto"/>
          <w:sz w:val="24"/>
          <w:szCs w:val="24"/>
          <w:highlight w:val="none"/>
        </w:rPr>
        <w:t>个乡，其辖区土地面积为</w:t>
      </w:r>
      <w:r>
        <w:rPr>
          <w:rFonts w:hint="eastAsia" w:ascii="Times New Roman" w:hAnsi="Times New Roman" w:cs="Times New Roman"/>
          <w:bCs/>
          <w:color w:val="auto"/>
          <w:sz w:val="24"/>
          <w:szCs w:val="24"/>
          <w:highlight w:val="none"/>
          <w:lang w:val="en-US" w:eastAsia="zh-CN"/>
        </w:rPr>
        <w:t>1285</w:t>
      </w:r>
      <w:r>
        <w:rPr>
          <w:rFonts w:hint="eastAsia" w:ascii="Times New Roman" w:hAnsi="Times New Roman" w:cs="Times New Roman"/>
          <w:bCs/>
          <w:color w:val="auto"/>
          <w:sz w:val="24"/>
          <w:szCs w:val="24"/>
          <w:highlight w:val="none"/>
        </w:rPr>
        <w:t>平方公里。土地利用总体规划图可知，本项目</w:t>
      </w:r>
      <w:r>
        <w:rPr>
          <w:rFonts w:hint="eastAsia" w:ascii="Times New Roman" w:hAnsi="Times New Roman" w:cs="Times New Roman"/>
          <w:bCs/>
          <w:color w:val="auto"/>
          <w:sz w:val="24"/>
          <w:szCs w:val="24"/>
          <w:highlight w:val="none"/>
          <w:lang w:eastAsia="zh-CN"/>
        </w:rPr>
        <w:t>位于羊凤乡（现划为鼎山镇首市村）</w:t>
      </w:r>
      <w:r>
        <w:rPr>
          <w:rFonts w:hint="eastAsia" w:ascii="Times New Roman" w:hAnsi="Times New Roman" w:cs="Times New Roman"/>
          <w:bCs/>
          <w:color w:val="auto"/>
          <w:sz w:val="24"/>
          <w:szCs w:val="24"/>
          <w:highlight w:val="none"/>
        </w:rPr>
        <w:t>占地为</w:t>
      </w:r>
      <w:r>
        <w:rPr>
          <w:rFonts w:hint="eastAsia" w:ascii="Times New Roman" w:hAnsi="Times New Roman" w:cs="Times New Roman"/>
          <w:bCs/>
          <w:color w:val="auto"/>
          <w:sz w:val="24"/>
          <w:szCs w:val="24"/>
          <w:highlight w:val="none"/>
          <w:lang w:eastAsia="zh-CN"/>
        </w:rPr>
        <w:t>农用地</w:t>
      </w:r>
      <w:r>
        <w:rPr>
          <w:rFonts w:hint="eastAsia" w:ascii="Times New Roman" w:hAnsi="Times New Roman" w:cs="Times New Roman"/>
          <w:bCs/>
          <w:color w:val="auto"/>
          <w:sz w:val="24"/>
          <w:szCs w:val="24"/>
          <w:highlight w:val="none"/>
        </w:rPr>
        <w:t>，</w:t>
      </w:r>
      <w:r>
        <w:rPr>
          <w:rFonts w:hint="eastAsia" w:ascii="Times New Roman" w:hAnsi="Times New Roman" w:cs="Times New Roman"/>
          <w:bCs/>
          <w:color w:val="auto"/>
          <w:sz w:val="24"/>
          <w:szCs w:val="24"/>
          <w:highlight w:val="none"/>
          <w:lang w:eastAsia="zh-CN"/>
        </w:rPr>
        <w:t>经核实本项目不涉及永久</w:t>
      </w:r>
      <w:r>
        <w:rPr>
          <w:rFonts w:hint="eastAsia" w:ascii="Times New Roman" w:hAnsi="Times New Roman" w:cs="Times New Roman"/>
          <w:bCs/>
          <w:color w:val="auto"/>
          <w:sz w:val="24"/>
          <w:szCs w:val="24"/>
          <w:highlight w:val="none"/>
        </w:rPr>
        <w:t>基本农田，详见附图2</w:t>
      </w:r>
      <w:r>
        <w:rPr>
          <w:rFonts w:hint="eastAsia" w:ascii="Times New Roman" w:hAnsi="Times New Roman" w:cs="Times New Roman"/>
          <w:bCs/>
          <w:color w:val="auto"/>
          <w:sz w:val="24"/>
          <w:szCs w:val="24"/>
          <w:highlight w:val="none"/>
          <w:lang w:val="en-US" w:eastAsia="zh-CN"/>
        </w:rPr>
        <w:t>-2（与三区三线基本农田位置关系图）</w:t>
      </w:r>
      <w:r>
        <w:rPr>
          <w:rFonts w:hint="eastAsia" w:ascii="Times New Roman" w:hAnsi="Times New Roman" w:cs="Times New Roman"/>
          <w:bCs/>
          <w:color w:val="auto"/>
          <w:sz w:val="24"/>
          <w:szCs w:val="24"/>
          <w:highlight w:val="none"/>
        </w:rPr>
        <w:t>，因此本项目建设符合《</w:t>
      </w:r>
      <w:r>
        <w:rPr>
          <w:rFonts w:hint="eastAsia" w:ascii="Times New Roman" w:hAnsi="Times New Roman" w:cs="Times New Roman"/>
          <w:bCs/>
          <w:color w:val="auto"/>
          <w:sz w:val="24"/>
          <w:szCs w:val="24"/>
          <w:highlight w:val="none"/>
          <w:lang w:eastAsia="zh-CN"/>
        </w:rPr>
        <w:t>巴州区</w:t>
      </w:r>
      <w:r>
        <w:rPr>
          <w:rFonts w:hint="eastAsia" w:ascii="Times New Roman" w:hAnsi="Times New Roman" w:cs="Times New Roman"/>
          <w:bCs/>
          <w:color w:val="auto"/>
          <w:sz w:val="24"/>
          <w:szCs w:val="24"/>
          <w:highlight w:val="none"/>
        </w:rPr>
        <w:t>土地利用总体规划》（2006-2020年）。</w:t>
      </w:r>
    </w:p>
    <w:p>
      <w:pPr>
        <w:pStyle w:val="114"/>
        <w:rPr>
          <w:rFonts w:hint="eastAsia" w:ascii="Times New Roman" w:hAnsi="Times New Roman" w:cs="Times New Roman"/>
          <w:bCs/>
          <w:color w:val="auto"/>
          <w:sz w:val="24"/>
          <w:szCs w:val="24"/>
          <w:highlight w:val="none"/>
          <w:lang w:val="en-US" w:eastAsia="zh-CN"/>
        </w:rPr>
      </w:pPr>
      <w:r>
        <w:rPr>
          <w:rFonts w:hint="eastAsia" w:ascii="Times New Roman" w:hAnsi="Times New Roman" w:cs="Times New Roman"/>
          <w:bCs/>
          <w:color w:val="auto"/>
          <w:sz w:val="24"/>
          <w:szCs w:val="24"/>
          <w:highlight w:val="none"/>
          <w:lang w:eastAsia="zh-CN"/>
        </w:rPr>
        <w:t>同时本项目占地范围内涉及</w:t>
      </w:r>
      <w:r>
        <w:rPr>
          <w:rFonts w:hint="eastAsia" w:ascii="Times New Roman" w:hAnsi="Times New Roman" w:cs="Times New Roman"/>
          <w:bCs/>
          <w:color w:val="auto"/>
          <w:sz w:val="24"/>
          <w:szCs w:val="24"/>
          <w:highlight w:val="none"/>
          <w:lang w:val="en-US" w:eastAsia="zh-CN"/>
        </w:rPr>
        <w:t>50.9175亩的林地，但建设范围内不占用林地，若后期需占用林地环评要求建设单位需向相关部门办理林地手续。</w:t>
      </w:r>
    </w:p>
    <w:p>
      <w:pPr>
        <w:pStyle w:val="114"/>
        <w:rPr>
          <w:rFonts w:hint="eastAsia" w:ascii="Times New Roman" w:hAnsi="Times New Roman" w:cs="Times New Roman"/>
          <w:bCs/>
          <w:color w:val="auto"/>
          <w:sz w:val="24"/>
          <w:szCs w:val="24"/>
          <w:highlight w:val="none"/>
          <w:lang w:val="en-US" w:eastAsia="zh-CN"/>
        </w:rPr>
      </w:pPr>
      <w:r>
        <w:rPr>
          <w:rFonts w:hint="eastAsia" w:ascii="Times New Roman" w:hAnsi="Times New Roman" w:cs="Times New Roman"/>
          <w:bCs/>
          <w:color w:val="auto"/>
          <w:sz w:val="24"/>
          <w:szCs w:val="24"/>
          <w:highlight w:val="none"/>
          <w:lang w:val="en-US" w:eastAsia="zh-CN"/>
        </w:rPr>
        <w:t>本项目用地已取得设施农用地备案表（详见附件4-1），经核实本项目符合《设施农用地建设方案》和土地使用条件、标准符合相关要求并公告无异议，经营者已与村民签订农村土地经营权流转合同，符合农用地备案要求，统一备案。</w:t>
      </w:r>
    </w:p>
    <w:p>
      <w:pPr>
        <w:pStyle w:val="114"/>
        <w:rPr>
          <w:rFonts w:hint="eastAsia" w:ascii="Times New Roman" w:hAnsi="Times New Roman" w:cs="Times New Roman"/>
          <w:bCs/>
          <w:color w:val="auto"/>
          <w:sz w:val="24"/>
          <w:szCs w:val="24"/>
          <w:highlight w:val="none"/>
          <w:lang w:val="en-US" w:eastAsia="zh-CN"/>
        </w:rPr>
      </w:pPr>
      <w:r>
        <w:rPr>
          <w:rFonts w:hint="eastAsia" w:ascii="Times New Roman" w:hAnsi="Times New Roman" w:cs="Times New Roman"/>
          <w:bCs/>
          <w:color w:val="auto"/>
          <w:sz w:val="24"/>
          <w:szCs w:val="24"/>
          <w:highlight w:val="none"/>
          <w:lang w:val="en-US" w:eastAsia="zh-CN"/>
        </w:rPr>
        <w:t>本项目已与鼎山镇首市村村委会签订了农灌协议（附件10），其中林地（公益林）面积1300亩，基本农田1500亩，本项目已出具用地性质情况说明（附件4-2）。</w:t>
      </w:r>
    </w:p>
    <w:p>
      <w:pPr>
        <w:numPr>
          <w:ilvl w:val="0"/>
          <w:numId w:val="13"/>
        </w:numPr>
        <w:tabs>
          <w:tab w:val="left" w:pos="0"/>
        </w:tabs>
        <w:ind w:left="425" w:leftChars="0" w:hanging="425" w:firstLineChars="0"/>
        <w:jc w:val="center"/>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lang w:eastAsia="zh-CN"/>
        </w:rPr>
        <w:t>本项目用地类型一览表</w:t>
      </w:r>
    </w:p>
    <w:tbl>
      <w:tblPr>
        <w:tblStyle w:val="91"/>
        <w:tblW w:w="8522"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3111"/>
        <w:gridCol w:w="2754"/>
        <w:gridCol w:w="2657"/>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311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Cs/>
                <w:color w:val="auto"/>
                <w:highlight w:val="none"/>
                <w:lang w:eastAsia="zh-CN"/>
              </w:rPr>
              <w:t>类别</w:t>
            </w:r>
          </w:p>
        </w:tc>
        <w:tc>
          <w:tcPr>
            <w:tcW w:w="2754"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Cs/>
                <w:color w:val="auto"/>
                <w:highlight w:val="none"/>
                <w:lang w:eastAsia="zh-CN"/>
              </w:rPr>
              <w:t>用地性质</w:t>
            </w:r>
          </w:p>
        </w:tc>
        <w:tc>
          <w:tcPr>
            <w:tcW w:w="2657"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Cs/>
                <w:color w:val="auto"/>
                <w:highlight w:val="none"/>
                <w:lang w:eastAsia="zh-CN"/>
              </w:rPr>
              <w:t>用地面积</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3111"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项目红线范围用地</w:t>
            </w:r>
          </w:p>
        </w:tc>
        <w:tc>
          <w:tcPr>
            <w:tcW w:w="2754"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eastAsia" w:ascii="Times New Roman" w:hAnsi="Times New Roman" w:eastAsia="宋体" w:cs="Times New Roman"/>
                <w:bCs/>
                <w:color w:val="auto"/>
                <w:highlight w:val="none"/>
                <w:lang w:eastAsia="zh-CN"/>
              </w:rPr>
            </w:pPr>
            <w:r>
              <w:rPr>
                <w:rFonts w:hint="eastAsia" w:ascii="Times New Roman" w:hAnsi="Times New Roman" w:eastAsia="宋体" w:cs="Times New Roman"/>
                <w:bCs/>
                <w:color w:val="auto"/>
                <w:highlight w:val="none"/>
                <w:lang w:eastAsia="zh-CN"/>
              </w:rPr>
              <w:t>设施农用地</w:t>
            </w:r>
          </w:p>
        </w:tc>
        <w:tc>
          <w:tcPr>
            <w:tcW w:w="2657"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eastAsiaTheme="minorEastAsia"/>
                <w:bCs/>
                <w:color w:val="auto"/>
                <w:highlight w:val="none"/>
                <w:lang w:val="en-US" w:eastAsia="zh-CN"/>
              </w:rPr>
            </w:pPr>
            <w:r>
              <w:rPr>
                <w:rFonts w:hint="eastAsia" w:ascii="Times New Roman" w:hAnsi="Times New Roman" w:cs="Times New Roman"/>
                <w:bCs/>
                <w:color w:val="auto"/>
                <w:highlight w:val="none"/>
                <w:lang w:val="en-US" w:eastAsia="zh-CN"/>
              </w:rPr>
              <w:t>512.52亩</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3111" w:type="dxa"/>
            <w:vMerge w:val="restart"/>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农灌用地</w:t>
            </w:r>
          </w:p>
        </w:tc>
        <w:tc>
          <w:tcPr>
            <w:tcW w:w="2754"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eastAsia" w:ascii="Times New Roman" w:hAnsi="Times New Roman" w:eastAsia="宋体" w:cs="Times New Roman"/>
                <w:bCs/>
                <w:color w:val="auto"/>
                <w:highlight w:val="none"/>
                <w:lang w:eastAsia="zh-CN"/>
              </w:rPr>
            </w:pPr>
            <w:r>
              <w:rPr>
                <w:rFonts w:hint="eastAsia" w:ascii="Times New Roman" w:hAnsi="Times New Roman" w:eastAsia="宋体" w:cs="Times New Roman"/>
                <w:bCs/>
                <w:color w:val="auto"/>
                <w:highlight w:val="none"/>
                <w:lang w:eastAsia="zh-CN"/>
              </w:rPr>
              <w:t>公益林地</w:t>
            </w:r>
          </w:p>
        </w:tc>
        <w:tc>
          <w:tcPr>
            <w:tcW w:w="2657"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lang w:val="en-US" w:eastAsia="zh-CN"/>
              </w:rPr>
            </w:pPr>
            <w:r>
              <w:rPr>
                <w:rFonts w:hint="eastAsia" w:ascii="Times New Roman" w:hAnsi="Times New Roman" w:cs="Times New Roman"/>
                <w:bCs/>
                <w:color w:val="auto"/>
                <w:highlight w:val="none"/>
                <w:lang w:val="en-US" w:eastAsia="zh-CN"/>
              </w:rPr>
              <w:t>1300亩</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3111"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eastAsia" w:ascii="Times New Roman" w:hAnsi="Times New Roman" w:eastAsia="宋体" w:cs="Times New Roman"/>
                <w:color w:val="auto"/>
                <w:sz w:val="21"/>
                <w:szCs w:val="21"/>
                <w:highlight w:val="none"/>
                <w:lang w:eastAsia="zh-CN"/>
              </w:rPr>
            </w:pPr>
          </w:p>
        </w:tc>
        <w:tc>
          <w:tcPr>
            <w:tcW w:w="2754"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left"/>
              <w:rPr>
                <w:rFonts w:hint="eastAsia" w:ascii="Times New Roman" w:hAnsi="Times New Roman" w:eastAsia="宋体" w:cs="Times New Roman"/>
                <w:bCs/>
                <w:color w:val="auto"/>
                <w:highlight w:val="none"/>
                <w:lang w:eastAsia="zh-CN"/>
              </w:rPr>
            </w:pPr>
            <w:r>
              <w:rPr>
                <w:rFonts w:hint="eastAsia" w:ascii="Times New Roman" w:hAnsi="Times New Roman" w:eastAsia="宋体" w:cs="Times New Roman"/>
                <w:bCs/>
                <w:color w:val="auto"/>
                <w:highlight w:val="none"/>
                <w:lang w:eastAsia="zh-CN"/>
              </w:rPr>
              <w:t>基本农田</w:t>
            </w:r>
          </w:p>
        </w:tc>
        <w:tc>
          <w:tcPr>
            <w:tcW w:w="2657" w:type="dxa"/>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Cs/>
                <w:color w:val="auto"/>
                <w:highlight w:val="none"/>
                <w:lang w:val="en-US" w:eastAsia="zh-CN"/>
              </w:rPr>
            </w:pPr>
            <w:r>
              <w:rPr>
                <w:rFonts w:hint="eastAsia" w:ascii="Times New Roman" w:hAnsi="Times New Roman" w:cs="Times New Roman"/>
                <w:bCs/>
                <w:color w:val="auto"/>
                <w:highlight w:val="none"/>
                <w:lang w:val="en-US" w:eastAsia="zh-CN"/>
              </w:rPr>
              <w:t>1500亩</w:t>
            </w:r>
          </w:p>
        </w:tc>
      </w:tr>
    </w:tbl>
    <w:p>
      <w:pPr>
        <w:tabs>
          <w:tab w:val="left" w:pos="1220"/>
        </w:tabs>
        <w:ind w:firstLine="480" w:firstLineChars="200"/>
        <w:rPr>
          <w:rFonts w:hint="default" w:ascii="Times New Roman" w:hAnsi="Times New Roman" w:cs="Times New Roman"/>
          <w:bCs/>
          <w:color w:val="auto"/>
          <w:sz w:val="24"/>
          <w:szCs w:val="24"/>
          <w:highlight w:val="none"/>
          <w:lang w:val="en-US" w:eastAsia="zh-CN"/>
        </w:rPr>
      </w:pPr>
      <w:r>
        <w:rPr>
          <w:rFonts w:hint="eastAsia" w:ascii="Times New Roman" w:hAnsi="Times New Roman" w:cs="Times New Roman"/>
          <w:b w:val="0"/>
          <w:bCs/>
          <w:color w:val="auto"/>
          <w:sz w:val="24"/>
          <w:szCs w:val="24"/>
          <w:highlight w:val="none"/>
          <w:lang w:val="en-US" w:eastAsia="zh-CN"/>
        </w:rPr>
        <w:t>注：本项目不设置田间池，且</w:t>
      </w:r>
      <w:r>
        <w:rPr>
          <w:rFonts w:hint="eastAsia" w:ascii="Times New Roman" w:hAnsi="Times New Roman" w:cs="Times New Roman"/>
          <w:b w:val="0"/>
          <w:bCs/>
          <w:color w:val="auto"/>
          <w:sz w:val="24"/>
          <w:szCs w:val="24"/>
          <w:highlight w:val="none"/>
          <w:lang w:val="en-US" w:eastAsia="zh-CN"/>
        </w:rPr>
        <w:t>本次环评不包含田间管网建设，田间管网建设需另行环评手续。</w:t>
      </w:r>
    </w:p>
    <w:p>
      <w:pPr>
        <w:pStyle w:val="9"/>
        <w:bidi w:val="0"/>
        <w:rPr>
          <w:rFonts w:cs="Times New Roman"/>
          <w:color w:val="auto"/>
          <w:highlight w:val="none"/>
        </w:rPr>
      </w:pPr>
      <w:r>
        <w:rPr>
          <w:rFonts w:hint="eastAsia" w:cs="Times New Roman"/>
          <w:color w:val="auto"/>
          <w:highlight w:val="none"/>
        </w:rPr>
        <w:t>与四川省渠江流域综合规划的符合性分析</w:t>
      </w:r>
    </w:p>
    <w:p>
      <w:pPr>
        <w:adjustRightInd w:val="0"/>
        <w:snapToGrid w:val="0"/>
        <w:ind w:firstLine="518" w:firstLineChars="216"/>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四川省水利水电勘测设计研究院及四川省水文水资源勘测局2013年编制的《四川省渠江流域综合规划》中指出：“……到2020年，流域内巴中市、达州市、广安市城区防洪标准达20年一遇，县级城市和建制镇防洪标准达到10年至20年一遇，初步建立山洪灾害重点防治区防灾减灾体系……到2030年，巴中市、达州市、广安市城区防洪标准达到50年一遇，县级城市和建制镇防洪标准达到20年一遇，防洪减灾体系基本完 善 … … ” 。</w:t>
      </w:r>
    </w:p>
    <w:p>
      <w:pPr>
        <w:adjustRightInd w:val="0"/>
        <w:snapToGrid w:val="0"/>
        <w:ind w:firstLine="518" w:firstLineChars="216"/>
        <w:rPr>
          <w:rFonts w:hint="default" w:ascii="Times New Roman" w:hAnsi="Times New Roman" w:cs="Times New Roman"/>
          <w:bCs/>
          <w:color w:val="auto"/>
          <w:sz w:val="24"/>
          <w:szCs w:val="24"/>
          <w:highlight w:val="none"/>
          <w:lang w:val="en-US" w:eastAsia="zh-CN"/>
        </w:rPr>
      </w:pPr>
      <w:r>
        <w:rPr>
          <w:rFonts w:hint="eastAsia" w:ascii="Times New Roman" w:hAnsi="Times New Roman" w:cs="Times New Roman"/>
          <w:bCs/>
          <w:color w:val="auto"/>
          <w:sz w:val="24"/>
          <w:szCs w:val="24"/>
          <w:highlight w:val="none"/>
          <w:lang w:val="en-US" w:eastAsia="zh-CN"/>
        </w:rPr>
        <w:t>本项目厂界西南侧约85m处为罗地沟水库（纸厂河水库），该水库是鼎山镇高顶村人民1978年11月动工，1981年12月竣工的一座以灌溉为主的小(二)型水库工程。坝址位于鼎山镇高顶村7组，属巴河二级支流三叉河。该工程距鼎山镇15km，坝址集雨面积2.78km，总库容84.4万m</w:t>
      </w:r>
      <w:r>
        <w:rPr>
          <w:rFonts w:hint="eastAsia" w:ascii="Times New Roman" w:hAnsi="Times New Roman" w:cs="Times New Roman"/>
          <w:bCs/>
          <w:color w:val="auto"/>
          <w:sz w:val="24"/>
          <w:szCs w:val="24"/>
          <w:highlight w:val="none"/>
          <w:vertAlign w:val="superscript"/>
          <w:lang w:val="en-US" w:eastAsia="zh-CN"/>
        </w:rPr>
        <w:t>2</w:t>
      </w:r>
      <w:r>
        <w:rPr>
          <w:rFonts w:hint="eastAsia" w:ascii="Times New Roman" w:hAnsi="Times New Roman" w:cs="Times New Roman"/>
          <w:bCs/>
          <w:color w:val="auto"/>
          <w:sz w:val="24"/>
          <w:szCs w:val="24"/>
          <w:highlight w:val="none"/>
          <w:lang w:val="en-US" w:eastAsia="zh-CN"/>
        </w:rPr>
        <w:t>，正常蓄水库容437.4万m</w:t>
      </w:r>
      <w:r>
        <w:rPr>
          <w:rFonts w:hint="eastAsia" w:ascii="Times New Roman" w:hAnsi="Times New Roman" w:cs="Times New Roman"/>
          <w:bCs/>
          <w:color w:val="auto"/>
          <w:sz w:val="24"/>
          <w:szCs w:val="24"/>
          <w:highlight w:val="none"/>
          <w:vertAlign w:val="superscript"/>
          <w:lang w:val="en-US" w:eastAsia="zh-CN"/>
        </w:rPr>
        <w:t>3</w:t>
      </w:r>
      <w:r>
        <w:rPr>
          <w:rFonts w:hint="eastAsia" w:ascii="Times New Roman" w:hAnsi="Times New Roman" w:cs="Times New Roman"/>
          <w:bCs/>
          <w:color w:val="auto"/>
          <w:sz w:val="24"/>
          <w:szCs w:val="24"/>
          <w:highlight w:val="none"/>
          <w:lang w:val="en-US" w:eastAsia="zh-CN"/>
        </w:rPr>
        <w:t>，死库容10万m</w:t>
      </w:r>
      <w:r>
        <w:rPr>
          <w:rFonts w:hint="eastAsia" w:ascii="Times New Roman" w:hAnsi="Times New Roman" w:cs="Times New Roman"/>
          <w:bCs/>
          <w:color w:val="auto"/>
          <w:sz w:val="24"/>
          <w:szCs w:val="24"/>
          <w:highlight w:val="none"/>
          <w:vertAlign w:val="superscript"/>
          <w:lang w:val="en-US" w:eastAsia="zh-CN"/>
        </w:rPr>
        <w:t>2</w:t>
      </w:r>
      <w:r>
        <w:rPr>
          <w:rFonts w:hint="eastAsia" w:ascii="Times New Roman" w:hAnsi="Times New Roman" w:cs="Times New Roman"/>
          <w:bCs/>
          <w:color w:val="auto"/>
          <w:sz w:val="24"/>
          <w:szCs w:val="24"/>
          <w:highlight w:val="none"/>
          <w:lang w:val="en-US" w:eastAsia="zh-CN"/>
        </w:rPr>
        <w:t>,流域呈长方形分布，域内海拔高层在400-500m之间，地貌属中低山地带。流域内植被较好，水土流失较小，设计洪水标准为20年</w:t>
      </w:r>
      <w:r>
        <w:rPr>
          <w:rFonts w:hint="default" w:ascii="Times New Roman" w:hAnsi="Times New Roman" w:cs="Times New Roman"/>
          <w:bCs/>
          <w:color w:val="auto"/>
          <w:sz w:val="24"/>
          <w:szCs w:val="24"/>
          <w:highlight w:val="none"/>
          <w:lang w:val="en-US" w:eastAsia="zh-CN"/>
        </w:rPr>
        <w:t>一遇</w:t>
      </w:r>
      <w:r>
        <w:rPr>
          <w:rFonts w:hint="eastAsia" w:ascii="Times New Roman" w:hAnsi="Times New Roman" w:cs="Times New Roman"/>
          <w:bCs/>
          <w:color w:val="auto"/>
          <w:sz w:val="24"/>
          <w:szCs w:val="24"/>
          <w:highlight w:val="none"/>
          <w:lang w:val="en-US" w:eastAsia="zh-CN"/>
        </w:rPr>
        <w:t>.该</w:t>
      </w:r>
      <w:r>
        <w:rPr>
          <w:rFonts w:hint="default" w:ascii="Times New Roman" w:hAnsi="Times New Roman" w:cs="Times New Roman"/>
          <w:bCs/>
          <w:color w:val="auto"/>
          <w:sz w:val="24"/>
          <w:szCs w:val="24"/>
          <w:highlight w:val="none"/>
          <w:lang w:val="en-US" w:eastAsia="zh-CN"/>
        </w:rPr>
        <w:t>水库</w:t>
      </w:r>
      <w:r>
        <w:rPr>
          <w:rFonts w:hint="eastAsia" w:ascii="Times New Roman" w:hAnsi="Times New Roman" w:cs="Times New Roman"/>
          <w:bCs/>
          <w:color w:val="auto"/>
          <w:sz w:val="24"/>
          <w:szCs w:val="24"/>
          <w:highlight w:val="none"/>
          <w:lang w:val="en-US" w:eastAsia="zh-CN"/>
        </w:rPr>
        <w:t>是</w:t>
      </w:r>
      <w:r>
        <w:rPr>
          <w:rFonts w:hint="default" w:ascii="Times New Roman" w:hAnsi="Times New Roman" w:cs="Times New Roman"/>
          <w:bCs/>
          <w:color w:val="auto"/>
          <w:sz w:val="24"/>
          <w:szCs w:val="24"/>
          <w:highlight w:val="none"/>
          <w:lang w:val="en-US" w:eastAsia="zh-CN"/>
        </w:rPr>
        <w:t>村镇</w:t>
      </w:r>
      <w:r>
        <w:rPr>
          <w:rFonts w:hint="eastAsia" w:ascii="Times New Roman" w:hAnsi="Times New Roman" w:cs="Times New Roman"/>
          <w:bCs/>
          <w:color w:val="auto"/>
          <w:sz w:val="24"/>
          <w:szCs w:val="24"/>
          <w:highlight w:val="none"/>
          <w:lang w:val="en-US" w:eastAsia="zh-CN"/>
        </w:rPr>
        <w:t>灌溉及</w:t>
      </w:r>
      <w:r>
        <w:rPr>
          <w:rFonts w:hint="default" w:ascii="Times New Roman" w:hAnsi="Times New Roman" w:cs="Times New Roman"/>
          <w:bCs/>
          <w:color w:val="auto"/>
          <w:sz w:val="24"/>
          <w:szCs w:val="24"/>
          <w:highlight w:val="none"/>
          <w:lang w:val="en-US" w:eastAsia="zh-CN"/>
        </w:rPr>
        <w:t>防洪安全基础设施建设的重要组成内容，符合《四川省渠江流域综合规划》要求。</w:t>
      </w:r>
    </w:p>
    <w:p>
      <w:pPr>
        <w:pStyle w:val="8"/>
        <w:spacing w:before="0" w:after="0" w:line="360" w:lineRule="auto"/>
        <w:ind w:left="0" w:firstLine="0"/>
        <w:rPr>
          <w:rFonts w:cs="Times New Roman"/>
          <w:color w:val="auto"/>
          <w:highlight w:val="none"/>
        </w:rPr>
      </w:pPr>
      <w:bookmarkStart w:id="101" w:name="_Toc20052"/>
      <w:r>
        <w:rPr>
          <w:rFonts w:hint="eastAsia" w:cs="Times New Roman"/>
          <w:color w:val="auto"/>
          <w:highlight w:val="none"/>
          <w:lang w:eastAsia="zh-CN"/>
        </w:rPr>
        <w:t>与</w:t>
      </w:r>
      <w:r>
        <w:rPr>
          <w:rFonts w:cs="Times New Roman"/>
          <w:color w:val="auto"/>
          <w:highlight w:val="none"/>
        </w:rPr>
        <w:t>相关</w:t>
      </w:r>
      <w:r>
        <w:rPr>
          <w:rFonts w:hint="eastAsia" w:cs="Times New Roman"/>
          <w:color w:val="auto"/>
          <w:highlight w:val="none"/>
          <w:lang w:eastAsia="zh-CN"/>
        </w:rPr>
        <w:t>法律</w:t>
      </w:r>
      <w:r>
        <w:rPr>
          <w:rFonts w:cs="Times New Roman"/>
          <w:color w:val="auto"/>
          <w:highlight w:val="none"/>
        </w:rPr>
        <w:t>、规章</w:t>
      </w:r>
      <w:r>
        <w:rPr>
          <w:rFonts w:hint="eastAsia" w:cs="Times New Roman"/>
          <w:color w:val="auto"/>
          <w:highlight w:val="none"/>
          <w:lang w:eastAsia="zh-CN"/>
        </w:rPr>
        <w:t>符合性分析</w:t>
      </w:r>
      <w:bookmarkEnd w:id="101"/>
    </w:p>
    <w:p>
      <w:pPr>
        <w:pStyle w:val="9"/>
        <w:bidi w:val="0"/>
        <w:rPr>
          <w:rFonts w:hint="eastAsia" w:cs="Times New Roman"/>
          <w:color w:val="auto"/>
          <w:highlight w:val="none"/>
        </w:rPr>
      </w:pPr>
      <w:r>
        <w:rPr>
          <w:rFonts w:hint="eastAsia" w:cs="Times New Roman"/>
          <w:color w:val="auto"/>
          <w:highlight w:val="none"/>
        </w:rPr>
        <w:t>与《中华人民共和国水污染防治法》符合性分析</w:t>
      </w:r>
    </w:p>
    <w:p>
      <w:pPr>
        <w:pStyle w:val="158"/>
        <w:ind w:firstLine="480"/>
        <w:rPr>
          <w:rFonts w:hint="eastAsia" w:ascii="Times New Roman" w:hAnsi="Times New Roman" w:eastAsia="宋体" w:cs="Times New Roman"/>
          <w:b/>
          <w:bCs/>
          <w:color w:val="auto"/>
          <w:highlight w:val="none"/>
          <w:lang w:val="en-US" w:eastAsia="zh-CN"/>
        </w:rPr>
      </w:pPr>
      <w:r>
        <w:rPr>
          <w:rFonts w:hint="eastAsia"/>
          <w:color w:val="auto"/>
          <w:highlight w:val="none"/>
          <w:lang w:eastAsia="zh-CN"/>
        </w:rPr>
        <w:t>本</w:t>
      </w:r>
      <w:r>
        <w:rPr>
          <w:rFonts w:ascii="Times New Roman" w:eastAsia="宋体"/>
          <w:color w:val="auto"/>
          <w:highlight w:val="none"/>
        </w:rPr>
        <w:t>项目污水处理站采用《畜禽养殖业污染治理项目技术规范》（</w:t>
      </w:r>
      <w:r>
        <w:rPr>
          <w:rFonts w:ascii="Times New Roman" w:hAnsi="Times New Roman" w:eastAsia="宋体"/>
          <w:color w:val="auto"/>
          <w:highlight w:val="none"/>
        </w:rPr>
        <w:t>HJ497-2009</w:t>
      </w:r>
      <w:r>
        <w:rPr>
          <w:rFonts w:ascii="Times New Roman" w:eastAsia="宋体"/>
          <w:color w:val="auto"/>
          <w:highlight w:val="none"/>
        </w:rPr>
        <w:t>）中推荐的模式</w:t>
      </w:r>
      <w:r>
        <w:rPr>
          <w:rFonts w:eastAsia="宋体"/>
          <w:color w:val="auto"/>
          <w:highlight w:val="none"/>
        </w:rPr>
        <w:t>Ⅲ</w:t>
      </w:r>
      <w:r>
        <w:rPr>
          <w:rFonts w:ascii="Times New Roman" w:eastAsia="宋体"/>
          <w:color w:val="auto"/>
          <w:highlight w:val="none"/>
        </w:rPr>
        <w:t>处理工艺，即</w:t>
      </w:r>
      <w:r>
        <w:rPr>
          <w:rFonts w:ascii="Times New Roman" w:hAnsi="Times New Roman" w:eastAsia="宋体"/>
          <w:color w:val="auto"/>
          <w:highlight w:val="none"/>
        </w:rPr>
        <w:t>“</w:t>
      </w:r>
      <w:r>
        <w:rPr>
          <w:rFonts w:hint="eastAsia" w:ascii="Times New Roman" w:hAnsi="Times New Roman" w:eastAsia="宋体"/>
          <w:color w:val="auto"/>
          <w:highlight w:val="none"/>
        </w:rPr>
        <w:t>固液分离+UASB厌氧+絮凝沉淀+两级A/O系统+混凝絮凝沉淀+消毒</w:t>
      </w:r>
      <w:r>
        <w:rPr>
          <w:rFonts w:ascii="Times New Roman" w:hAnsi="Times New Roman" w:eastAsia="宋体"/>
          <w:color w:val="auto"/>
          <w:highlight w:val="none"/>
        </w:rPr>
        <w:t>”</w:t>
      </w:r>
      <w:r>
        <w:rPr>
          <w:rFonts w:ascii="Times New Roman" w:eastAsia="宋体"/>
          <w:color w:val="auto"/>
          <w:highlight w:val="none"/>
        </w:rPr>
        <w:t>工艺，处理规模为</w:t>
      </w:r>
      <w:r>
        <w:rPr>
          <w:rFonts w:hint="eastAsia"/>
          <w:color w:val="auto"/>
          <w:highlight w:val="none"/>
          <w:lang w:val="en-US" w:eastAsia="zh-CN"/>
        </w:rPr>
        <w:t>3</w:t>
      </w:r>
      <w:r>
        <w:rPr>
          <w:rFonts w:ascii="Times New Roman" w:hAnsi="Times New Roman" w:eastAsia="宋体"/>
          <w:color w:val="auto"/>
          <w:highlight w:val="none"/>
        </w:rPr>
        <w:t>00m</w:t>
      </w:r>
      <w:r>
        <w:rPr>
          <w:rFonts w:ascii="Times New Roman" w:hAnsi="Times New Roman" w:eastAsia="宋体"/>
          <w:color w:val="auto"/>
          <w:highlight w:val="none"/>
          <w:vertAlign w:val="superscript"/>
        </w:rPr>
        <w:t>3</w:t>
      </w:r>
      <w:r>
        <w:rPr>
          <w:rFonts w:ascii="Times New Roman" w:hAnsi="Times New Roman" w:eastAsia="宋体"/>
          <w:color w:val="auto"/>
          <w:highlight w:val="none"/>
        </w:rPr>
        <w:t>/d</w:t>
      </w:r>
      <w:r>
        <w:rPr>
          <w:rFonts w:ascii="Times New Roman" w:eastAsia="宋体"/>
          <w:color w:val="auto"/>
          <w:highlight w:val="none"/>
        </w:rPr>
        <w:t>。处理后的废水达《畜禽养殖业污染物排放标准》（GB18596-2001）中</w:t>
      </w:r>
      <w:r>
        <w:rPr>
          <w:rFonts w:hint="eastAsia" w:ascii="Times New Roman" w:eastAsia="宋体"/>
          <w:color w:val="auto"/>
          <w:highlight w:val="none"/>
        </w:rPr>
        <w:t>相应</w:t>
      </w:r>
      <w:r>
        <w:rPr>
          <w:rFonts w:ascii="Times New Roman" w:eastAsia="宋体"/>
          <w:color w:val="auto"/>
          <w:highlight w:val="none"/>
        </w:rPr>
        <w:t>标准后全部用于绿化</w:t>
      </w:r>
      <w:r>
        <w:rPr>
          <w:rFonts w:hint="eastAsia"/>
          <w:color w:val="auto"/>
          <w:highlight w:val="none"/>
          <w:lang w:eastAsia="zh-CN"/>
        </w:rPr>
        <w:t>及农田</w:t>
      </w:r>
      <w:r>
        <w:rPr>
          <w:rFonts w:ascii="Times New Roman" w:eastAsia="宋体"/>
          <w:color w:val="auto"/>
          <w:highlight w:val="none"/>
        </w:rPr>
        <w:t>灌溉等，综合利用。</w:t>
      </w:r>
      <w:r>
        <w:rPr>
          <w:rFonts w:hint="eastAsia"/>
          <w:color w:val="auto"/>
          <w:highlight w:val="none"/>
        </w:rPr>
        <w:t>因此本项目符合《中华人民共和国水污染防治法》（2018年1月1日实施）要求的畜禽养殖废水处理。</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 xml:space="preserve">  本</w:t>
      </w:r>
      <w:r>
        <w:rPr>
          <w:rFonts w:hint="default" w:ascii="Times New Roman" w:hAnsi="Times New Roman" w:eastAsia="宋体" w:cs="Times New Roman"/>
          <w:b/>
          <w:bCs/>
          <w:color w:val="auto"/>
          <w:sz w:val="21"/>
          <w:szCs w:val="21"/>
          <w:highlight w:val="none"/>
        </w:rPr>
        <w:t>项目与《中华人民共和国水污染防治法》符合性分析</w:t>
      </w:r>
    </w:p>
    <w:tbl>
      <w:tblPr>
        <w:tblStyle w:val="91"/>
        <w:tblW w:w="8522"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131"/>
        <w:gridCol w:w="4644"/>
        <w:gridCol w:w="1948"/>
        <w:gridCol w:w="79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13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Times New Roman"/>
                <w:b/>
                <w:bCs/>
                <w:color w:val="auto"/>
                <w:kern w:val="0"/>
                <w:sz w:val="21"/>
                <w:szCs w:val="21"/>
                <w:highlight w:val="none"/>
              </w:rPr>
              <w:t>法律</w:t>
            </w:r>
          </w:p>
        </w:tc>
        <w:tc>
          <w:tcPr>
            <w:tcW w:w="4644"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Times New Roman"/>
                <w:b/>
                <w:bCs/>
                <w:color w:val="auto"/>
                <w:kern w:val="0"/>
                <w:sz w:val="21"/>
                <w:szCs w:val="21"/>
                <w:highlight w:val="none"/>
              </w:rPr>
              <w:t>要求</w:t>
            </w:r>
          </w:p>
        </w:tc>
        <w:tc>
          <w:tcPr>
            <w:tcW w:w="1948"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Times New Roman"/>
                <w:b/>
                <w:bCs/>
                <w:color w:val="auto"/>
                <w:kern w:val="0"/>
                <w:sz w:val="21"/>
                <w:szCs w:val="21"/>
                <w:highlight w:val="none"/>
              </w:rPr>
              <w:t>本项目</w:t>
            </w:r>
          </w:p>
        </w:tc>
        <w:tc>
          <w:tcPr>
            <w:tcW w:w="799"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Times New Roman"/>
                <w:b/>
                <w:bCs/>
                <w:color w:val="auto"/>
                <w:kern w:val="0"/>
                <w:sz w:val="21"/>
                <w:szCs w:val="21"/>
                <w:highlight w:val="none"/>
              </w:rPr>
              <w:t>是否符合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131" w:type="dxa"/>
            <w:vMerge w:val="restart"/>
            <w:tcBorders>
              <w:tl2br w:val="nil"/>
              <w:tr2bl w:val="nil"/>
            </w:tcBorders>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kern w:val="0"/>
                <w:sz w:val="21"/>
                <w:szCs w:val="21"/>
                <w:highlight w:val="none"/>
              </w:rPr>
            </w:pPr>
            <w:r>
              <w:rPr>
                <w:rFonts w:hint="eastAsia" w:ascii="宋体" w:hAnsi="宋体" w:eastAsia="宋体" w:cs="宋体"/>
                <w:color w:val="auto"/>
                <w:sz w:val="21"/>
                <w:szCs w:val="21"/>
                <w:highlight w:val="none"/>
              </w:rPr>
              <w:t>《中华人民共和国水污染防治法》（2018年1月1日实施）</w:t>
            </w:r>
          </w:p>
        </w:tc>
        <w:tc>
          <w:tcPr>
            <w:tcW w:w="4644" w:type="dxa"/>
            <w:tcBorders>
              <w:tl2br w:val="nil"/>
              <w:tr2bl w:val="nil"/>
            </w:tcBorders>
            <w:vAlign w:val="center"/>
          </w:tcPr>
          <w:p>
            <w:pPr>
              <w:keepNext w:val="0"/>
              <w:keepLines w:val="0"/>
              <w:suppressLineNumbers w:val="0"/>
              <w:spacing w:before="0" w:beforeAutospacing="0" w:after="0" w:afterAutospacing="0" w:line="240" w:lineRule="auto"/>
              <w:ind w:left="0" w:right="0"/>
              <w:rPr>
                <w:rFonts w:hint="default"/>
                <w:color w:val="auto"/>
                <w:kern w:val="0"/>
                <w:sz w:val="21"/>
                <w:szCs w:val="21"/>
                <w:highlight w:val="none"/>
              </w:rPr>
            </w:pPr>
            <w:r>
              <w:rPr>
                <w:rFonts w:hint="eastAsia"/>
                <w:color w:val="auto"/>
                <w:kern w:val="0"/>
                <w:sz w:val="21"/>
                <w:szCs w:val="21"/>
                <w:highlight w:val="none"/>
              </w:rPr>
              <w:t>第五十六条 国家支持畜禽养殖场、养殖小区建设畜禽粪便、废水的综合利用或者无害化处理设施。</w:t>
            </w:r>
          </w:p>
          <w:p>
            <w:pPr>
              <w:keepNext w:val="0"/>
              <w:keepLines w:val="0"/>
              <w:suppressLineNumbers w:val="0"/>
              <w:spacing w:before="0" w:beforeAutospacing="0" w:after="0" w:afterAutospacing="0" w:line="240" w:lineRule="auto"/>
              <w:ind w:left="0" w:right="0"/>
              <w:rPr>
                <w:rFonts w:hint="default"/>
                <w:color w:val="auto"/>
                <w:kern w:val="0"/>
                <w:sz w:val="21"/>
                <w:szCs w:val="21"/>
                <w:highlight w:val="none"/>
              </w:rPr>
            </w:pPr>
            <w:r>
              <w:rPr>
                <w:rFonts w:hint="eastAsia"/>
                <w:color w:val="auto"/>
                <w:kern w:val="0"/>
                <w:sz w:val="21"/>
                <w:szCs w:val="21"/>
                <w:highlight w:val="none"/>
              </w:rPr>
              <w:t>畜禽养殖场、养殖小区应当保证其畜禽粪便、废水的综合利用或者无害化处理设施正常运转，保证污水达标排放，防止污染水环境。</w:t>
            </w:r>
          </w:p>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rPr>
            </w:pPr>
            <w:r>
              <w:rPr>
                <w:rFonts w:hint="eastAsia"/>
                <w:color w:val="auto"/>
                <w:kern w:val="0"/>
                <w:sz w:val="21"/>
                <w:szCs w:val="21"/>
                <w:highlight w:val="none"/>
              </w:rPr>
              <w:t>畜禽散养密集区所在地县、乡级人民政府应当组织对畜禽粪便污水进行分户收集、集中处理利用。</w:t>
            </w:r>
          </w:p>
        </w:tc>
        <w:tc>
          <w:tcPr>
            <w:tcW w:w="1948"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rPr>
            </w:pPr>
            <w:r>
              <w:rPr>
                <w:rFonts w:hint="eastAsia" w:ascii="宋体" w:hAnsi="宋体" w:eastAsia="宋体" w:cs="宋体"/>
                <w:color w:val="auto"/>
                <w:sz w:val="21"/>
                <w:szCs w:val="21"/>
                <w:highlight w:val="none"/>
              </w:rPr>
              <w:t>本项目</w:t>
            </w:r>
            <w:r>
              <w:rPr>
                <w:rFonts w:hint="eastAsia" w:ascii="Times New Roman" w:hAnsi="Times New Roman" w:cs="Times New Roman"/>
                <w:bCs/>
                <w:color w:val="auto"/>
                <w:highlight w:val="none"/>
              </w:rPr>
              <w:t>畜禽粪便运输至</w:t>
            </w:r>
            <w:r>
              <w:rPr>
                <w:rFonts w:hint="eastAsia" w:ascii="Times New Roman" w:hAnsi="Times New Roman" w:cs="Times New Roman"/>
                <w:bCs/>
                <w:color w:val="auto"/>
                <w:highlight w:val="none"/>
                <w:lang w:eastAsia="zh-CN"/>
              </w:rPr>
              <w:t>南江县万事康生物科技有限公司</w:t>
            </w:r>
            <w:r>
              <w:rPr>
                <w:rFonts w:hint="eastAsia" w:ascii="Times New Roman" w:hAnsi="Times New Roman" w:cs="Times New Roman"/>
                <w:bCs/>
                <w:color w:val="auto"/>
                <w:highlight w:val="none"/>
              </w:rPr>
              <w:t>用作生产有机肥原料使用</w:t>
            </w:r>
            <w:r>
              <w:rPr>
                <w:rFonts w:hint="eastAsia" w:ascii="Times New Roman" w:hAnsi="Times New Roman" w:cs="Times New Roman"/>
                <w:bCs/>
                <w:color w:val="auto"/>
                <w:highlight w:val="none"/>
                <w:lang w:eastAsia="zh-CN"/>
              </w:rPr>
              <w:t>，</w:t>
            </w:r>
            <w:r>
              <w:rPr>
                <w:rFonts w:hint="eastAsia" w:ascii="宋体" w:hAnsi="宋体" w:eastAsia="宋体" w:cs="宋体"/>
                <w:color w:val="auto"/>
                <w:sz w:val="21"/>
                <w:szCs w:val="21"/>
                <w:highlight w:val="none"/>
                <w:lang w:eastAsia="zh-CN"/>
              </w:rPr>
              <w:t>养殖废水进入污水处理站，</w:t>
            </w:r>
            <w:r>
              <w:rPr>
                <w:rFonts w:hint="eastAsia" w:ascii="宋体" w:hAnsi="宋体" w:eastAsia="宋体" w:cs="宋体"/>
                <w:color w:val="auto"/>
                <w:sz w:val="21"/>
                <w:szCs w:val="21"/>
                <w:highlight w:val="none"/>
              </w:rPr>
              <w:t>可实现畜禽粪便、废水无害化。</w:t>
            </w:r>
          </w:p>
        </w:tc>
        <w:tc>
          <w:tcPr>
            <w:tcW w:w="799"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是</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78" w:hRule="atLeast"/>
        </w:trPr>
        <w:tc>
          <w:tcPr>
            <w:tcW w:w="1131"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0"/>
                <w:sz w:val="21"/>
                <w:szCs w:val="21"/>
                <w:highlight w:val="none"/>
              </w:rPr>
            </w:pPr>
          </w:p>
        </w:tc>
        <w:tc>
          <w:tcPr>
            <w:tcW w:w="4644" w:type="dxa"/>
            <w:tcBorders>
              <w:tl2br w:val="nil"/>
              <w:tr2bl w:val="nil"/>
            </w:tcBorders>
            <w:vAlign w:val="center"/>
          </w:tcPr>
          <w:p>
            <w:pPr>
              <w:keepNext w:val="0"/>
              <w:keepLines w:val="0"/>
              <w:suppressLineNumbers w:val="0"/>
              <w:spacing w:before="0" w:beforeAutospacing="0" w:after="0" w:afterAutospacing="0" w:line="240" w:lineRule="auto"/>
              <w:ind w:left="0" w:right="0"/>
              <w:rPr>
                <w:rFonts w:hint="default"/>
                <w:color w:val="auto"/>
                <w:kern w:val="0"/>
                <w:sz w:val="21"/>
                <w:szCs w:val="21"/>
                <w:highlight w:val="none"/>
              </w:rPr>
            </w:pPr>
            <w:r>
              <w:rPr>
                <w:rFonts w:hint="default"/>
                <w:color w:val="auto"/>
                <w:kern w:val="0"/>
                <w:sz w:val="21"/>
                <w:szCs w:val="21"/>
                <w:highlight w:val="none"/>
              </w:rPr>
              <w:t>第五十八条 农田灌溉用水应当符合相应的水质标准，防止污染土壤、地下水和农产品。</w:t>
            </w:r>
          </w:p>
          <w:p>
            <w:pPr>
              <w:keepNext w:val="0"/>
              <w:keepLines w:val="0"/>
              <w:suppressLineNumbers w:val="0"/>
              <w:spacing w:before="0" w:beforeAutospacing="0" w:after="0" w:afterAutospacing="0" w:line="240" w:lineRule="auto"/>
              <w:ind w:left="0" w:right="0"/>
              <w:rPr>
                <w:rFonts w:hint="default"/>
                <w:color w:val="auto"/>
                <w:kern w:val="0"/>
                <w:sz w:val="21"/>
                <w:szCs w:val="21"/>
                <w:highlight w:val="none"/>
              </w:rPr>
            </w:pPr>
            <w:r>
              <w:rPr>
                <w:rFonts w:hint="default"/>
                <w:color w:val="auto"/>
                <w:kern w:val="0"/>
                <w:sz w:val="21"/>
                <w:szCs w:val="21"/>
                <w:highlight w:val="none"/>
              </w:rPr>
              <w:t>禁止向农田灌溉渠道排放工业废水或者医疗污水。向农田灌溉渠道排放城镇污水以及未综合利用的畜禽养殖废水、农产品加工废水的，应当保证其下游最近的灌溉取水点的水质符合农田灌溉水质标准。</w:t>
            </w:r>
          </w:p>
        </w:tc>
        <w:tc>
          <w:tcPr>
            <w:tcW w:w="1948" w:type="dxa"/>
            <w:tcBorders>
              <w:tl2br w:val="nil"/>
              <w:tr2bl w:val="nil"/>
            </w:tcBorders>
            <w:vAlign w:val="center"/>
          </w:tcPr>
          <w:p>
            <w:pPr>
              <w:keepNext w:val="0"/>
              <w:keepLines w:val="0"/>
              <w:suppressLineNumbers w:val="0"/>
              <w:spacing w:before="0" w:beforeAutospacing="0" w:after="0" w:afterAutospacing="0" w:line="240" w:lineRule="auto"/>
              <w:ind w:left="0" w:right="0"/>
              <w:rPr>
                <w:rFonts w:hint="eastAsia" w:eastAsia="宋体"/>
                <w:color w:val="auto"/>
                <w:kern w:val="0"/>
                <w:sz w:val="21"/>
                <w:szCs w:val="21"/>
                <w:highlight w:val="none"/>
                <w:lang w:eastAsia="zh-CN"/>
              </w:rPr>
            </w:pPr>
            <w:r>
              <w:rPr>
                <w:rFonts w:hint="eastAsia" w:ascii="宋体" w:hAnsi="宋体" w:eastAsia="宋体" w:cs="宋体"/>
                <w:color w:val="auto"/>
                <w:sz w:val="21"/>
                <w:szCs w:val="21"/>
                <w:highlight w:val="none"/>
              </w:rPr>
              <w:t>废水进污水处理站进行处理，</w:t>
            </w:r>
            <w:r>
              <w:rPr>
                <w:rFonts w:hint="default" w:ascii="Times New Roman" w:eastAsia="宋体"/>
                <w:color w:val="auto"/>
                <w:highlight w:val="none"/>
              </w:rPr>
              <w:t>用于绿化</w:t>
            </w:r>
            <w:r>
              <w:rPr>
                <w:rFonts w:hint="eastAsia"/>
                <w:color w:val="auto"/>
                <w:highlight w:val="none"/>
                <w:lang w:eastAsia="zh-CN"/>
              </w:rPr>
              <w:t>及农田</w:t>
            </w:r>
            <w:r>
              <w:rPr>
                <w:rFonts w:hint="default" w:ascii="Times New Roman" w:eastAsia="宋体"/>
                <w:color w:val="auto"/>
                <w:highlight w:val="none"/>
              </w:rPr>
              <w:t>灌溉等</w:t>
            </w:r>
            <w:r>
              <w:rPr>
                <w:rFonts w:hint="eastAsia" w:ascii="Times New Roman" w:eastAsia="宋体"/>
                <w:color w:val="auto"/>
                <w:highlight w:val="none"/>
                <w:lang w:eastAsia="zh-CN"/>
              </w:rPr>
              <w:t>，</w:t>
            </w:r>
            <w:r>
              <w:rPr>
                <w:rFonts w:hint="eastAsia" w:ascii="宋体" w:hAnsi="宋体" w:eastAsia="宋体" w:cs="宋体"/>
                <w:color w:val="auto"/>
                <w:sz w:val="21"/>
                <w:szCs w:val="21"/>
                <w:highlight w:val="none"/>
              </w:rPr>
              <w:t>无废水排放</w:t>
            </w:r>
            <w:r>
              <w:rPr>
                <w:rFonts w:hint="eastAsia" w:ascii="宋体" w:hAnsi="宋体" w:eastAsia="宋体" w:cs="宋体"/>
                <w:color w:val="auto"/>
                <w:sz w:val="21"/>
                <w:szCs w:val="21"/>
                <w:highlight w:val="none"/>
                <w:lang w:eastAsia="zh-CN"/>
              </w:rPr>
              <w:t>。</w:t>
            </w:r>
          </w:p>
        </w:tc>
        <w:tc>
          <w:tcPr>
            <w:tcW w:w="799"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是</w:t>
            </w:r>
          </w:p>
        </w:tc>
      </w:tr>
    </w:tbl>
    <w:p>
      <w:pPr>
        <w:pStyle w:val="9"/>
        <w:bidi w:val="0"/>
        <w:rPr>
          <w:rFonts w:hint="eastAsia" w:cs="Times New Roman"/>
          <w:color w:val="auto"/>
          <w:highlight w:val="none"/>
        </w:rPr>
      </w:pPr>
      <w:r>
        <w:rPr>
          <w:rFonts w:hint="eastAsia" w:cs="Times New Roman"/>
          <w:color w:val="auto"/>
          <w:highlight w:val="none"/>
        </w:rPr>
        <w:t>与《水污染防治行动计划》符合性分析</w:t>
      </w:r>
    </w:p>
    <w:p>
      <w:pPr>
        <w:pStyle w:val="158"/>
        <w:ind w:firstLine="480"/>
        <w:rPr>
          <w:rFonts w:hint="default" w:ascii="Times New Roman" w:hAnsi="Times New Roman" w:eastAsia="宋体" w:cs="Times New Roman"/>
          <w:b/>
          <w:bCs/>
          <w:color w:val="auto"/>
          <w:highlight w:val="none"/>
          <w:lang w:val="en-US" w:eastAsia="zh-CN"/>
        </w:rPr>
      </w:pPr>
      <w:r>
        <w:rPr>
          <w:rFonts w:hint="eastAsia"/>
          <w:color w:val="auto"/>
          <w:highlight w:val="none"/>
        </w:rPr>
        <w:t>本项目与《水污染防治行动计划》（简称“水十条”）符合性分析见下表：</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  本项目与《水污染防治行动计划》符合性分析</w:t>
      </w:r>
    </w:p>
    <w:tbl>
      <w:tblPr>
        <w:tblStyle w:val="91"/>
        <w:tblW w:w="8522"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131"/>
        <w:gridCol w:w="4644"/>
        <w:gridCol w:w="1948"/>
        <w:gridCol w:w="79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13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eastAsia" w:ascii="Times New Roman" w:hAnsi="Times New Roman" w:eastAsia="宋体" w:cs="Times New Roman"/>
                <w:b/>
                <w:bCs/>
                <w:color w:val="auto"/>
                <w:kern w:val="0"/>
                <w:highlight w:val="none"/>
              </w:rPr>
              <w:t>文件</w:t>
            </w:r>
          </w:p>
        </w:tc>
        <w:tc>
          <w:tcPr>
            <w:tcW w:w="4644"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eastAsia" w:ascii="Times New Roman" w:hAnsi="Times New Roman" w:eastAsia="宋体" w:cs="Times New Roman"/>
                <w:b/>
                <w:bCs/>
                <w:color w:val="auto"/>
                <w:kern w:val="0"/>
                <w:highlight w:val="none"/>
              </w:rPr>
              <w:t>要求</w:t>
            </w:r>
          </w:p>
        </w:tc>
        <w:tc>
          <w:tcPr>
            <w:tcW w:w="1948"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eastAsia" w:ascii="Times New Roman" w:hAnsi="Times New Roman" w:eastAsia="宋体" w:cs="Times New Roman"/>
                <w:b/>
                <w:bCs/>
                <w:color w:val="auto"/>
                <w:kern w:val="0"/>
                <w:highlight w:val="none"/>
              </w:rPr>
              <w:t>本项目</w:t>
            </w:r>
          </w:p>
        </w:tc>
        <w:tc>
          <w:tcPr>
            <w:tcW w:w="799"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0"/>
                <w:highlight w:val="none"/>
              </w:rPr>
            </w:pPr>
            <w:r>
              <w:rPr>
                <w:rFonts w:hint="eastAsia" w:ascii="Times New Roman" w:hAnsi="Times New Roman" w:eastAsia="宋体" w:cs="Times New Roman"/>
                <w:b/>
                <w:bCs/>
                <w:color w:val="auto"/>
                <w:kern w:val="0"/>
                <w:highlight w:val="none"/>
              </w:rPr>
              <w:t>是否符合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572" w:hRule="atLeast"/>
        </w:trPr>
        <w:tc>
          <w:tcPr>
            <w:tcW w:w="1131"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highlight w:val="none"/>
              </w:rPr>
              <w:t>《水污染防治行动计划》</w:t>
            </w:r>
          </w:p>
        </w:tc>
        <w:tc>
          <w:tcPr>
            <w:tcW w:w="4644"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highlight w:val="none"/>
              </w:rPr>
              <w:t>（三）推进农业农村污染防治。…自2016年起，新建、改建、扩建规模化畜禽养殖场（小区）要实施雨污分流、粪便污水资源化利用。</w:t>
            </w:r>
          </w:p>
        </w:tc>
        <w:tc>
          <w:tcPr>
            <w:tcW w:w="1948"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highlight w:val="none"/>
              </w:rPr>
              <w:t>本项目属新建规</w:t>
            </w:r>
            <w:r>
              <w:rPr>
                <w:rFonts w:hint="default" w:ascii="Times New Roman" w:hAnsi="Times New Roman" w:eastAsia="宋体" w:cs="Times New Roman"/>
                <w:color w:val="auto"/>
                <w:highlight w:val="none"/>
                <w:lang w:eastAsia="zh-CN"/>
              </w:rPr>
              <w:t>模</w:t>
            </w:r>
            <w:r>
              <w:rPr>
                <w:rFonts w:hint="default" w:ascii="Times New Roman" w:hAnsi="Times New Roman" w:eastAsia="宋体" w:cs="Times New Roman"/>
                <w:color w:val="auto"/>
                <w:highlight w:val="none"/>
              </w:rPr>
              <w:t>化畜禽养殖场，本项目实施雨污分流，粪污进行资源化利用。</w:t>
            </w:r>
          </w:p>
        </w:tc>
        <w:tc>
          <w:tcPr>
            <w:tcW w:w="799"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是</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32" w:hRule="atLeast"/>
        </w:trPr>
        <w:tc>
          <w:tcPr>
            <w:tcW w:w="1131"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0"/>
                <w:highlight w:val="none"/>
              </w:rPr>
            </w:pPr>
          </w:p>
        </w:tc>
        <w:tc>
          <w:tcPr>
            <w:tcW w:w="464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0"/>
                <w:highlight w:val="none"/>
              </w:rPr>
            </w:pPr>
          </w:p>
        </w:tc>
        <w:tc>
          <w:tcPr>
            <w:tcW w:w="1948" w:type="dxa"/>
            <w:vMerge w:val="continue"/>
            <w:tcBorders>
              <w:tl2br w:val="nil"/>
              <w:tr2bl w:val="nil"/>
            </w:tcBorders>
            <w:vAlign w:val="center"/>
          </w:tcPr>
          <w:p>
            <w:pPr>
              <w:keepNext w:val="0"/>
              <w:keepLines w:val="0"/>
              <w:widowControl/>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0"/>
                <w:highlight w:val="none"/>
              </w:rPr>
            </w:pPr>
          </w:p>
        </w:tc>
        <w:tc>
          <w:tcPr>
            <w:tcW w:w="79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p>
        </w:tc>
      </w:tr>
    </w:tbl>
    <w:p>
      <w:pPr>
        <w:pStyle w:val="158"/>
        <w:ind w:firstLine="480"/>
        <w:rPr>
          <w:color w:val="auto"/>
          <w:highlight w:val="none"/>
        </w:rPr>
      </w:pPr>
      <w:r>
        <w:rPr>
          <w:bCs/>
          <w:color w:val="auto"/>
          <w:highlight w:val="none"/>
        </w:rPr>
        <w:t>通过上表分析可知，</w:t>
      </w:r>
      <w:r>
        <w:rPr>
          <w:rFonts w:hint="eastAsia"/>
          <w:color w:val="auto"/>
          <w:kern w:val="0"/>
          <w:highlight w:val="none"/>
        </w:rPr>
        <w:t>本项目符合</w:t>
      </w:r>
      <w:r>
        <w:rPr>
          <w:rFonts w:hint="eastAsia"/>
          <w:color w:val="auto"/>
          <w:highlight w:val="none"/>
        </w:rPr>
        <w:t>《水污染防治行动计划》</w:t>
      </w:r>
      <w:r>
        <w:rPr>
          <w:rFonts w:hint="eastAsia"/>
          <w:color w:val="auto"/>
          <w:kern w:val="0"/>
          <w:highlight w:val="none"/>
        </w:rPr>
        <w:t>的要求。</w:t>
      </w:r>
    </w:p>
    <w:p>
      <w:pPr>
        <w:pStyle w:val="9"/>
        <w:bidi w:val="0"/>
        <w:rPr>
          <w:rFonts w:hint="eastAsia" w:cs="Times New Roman"/>
          <w:color w:val="auto"/>
          <w:highlight w:val="none"/>
        </w:rPr>
      </w:pPr>
      <w:r>
        <w:rPr>
          <w:rFonts w:hint="eastAsia" w:cs="Times New Roman"/>
          <w:color w:val="auto"/>
          <w:highlight w:val="none"/>
        </w:rPr>
        <w:t>与《土壤污染防治行动计划》和《土壤污染防治行动计划四川省工作方案》符合性分析</w:t>
      </w:r>
    </w:p>
    <w:p>
      <w:pPr>
        <w:pStyle w:val="158"/>
        <w:ind w:firstLine="480"/>
        <w:rPr>
          <w:rFonts w:hint="default" w:ascii="Times New Roman" w:hAnsi="Times New Roman" w:eastAsia="宋体" w:cs="Times New Roman"/>
          <w:b/>
          <w:bCs/>
          <w:color w:val="auto"/>
          <w:highlight w:val="none"/>
          <w:lang w:val="en-US" w:eastAsia="zh-CN"/>
        </w:rPr>
      </w:pPr>
      <w:r>
        <w:rPr>
          <w:rFonts w:hint="eastAsia"/>
          <w:color w:val="auto"/>
          <w:highlight w:val="none"/>
        </w:rPr>
        <w:t>本项目与《土壤污染防治行动计划》（简称“土十条”）和《土壤污染防治行动计划四川省工作方案》符合性分析见下表：</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 本项目与</w:t>
      </w:r>
      <w:r>
        <w:rPr>
          <w:rFonts w:hint="eastAsia" w:ascii="Times New Roman" w:hAnsi="Times New Roman" w:eastAsia="宋体" w:cs="Times New Roman"/>
          <w:b/>
          <w:bCs/>
          <w:color w:val="auto"/>
          <w:sz w:val="21"/>
          <w:szCs w:val="21"/>
          <w:highlight w:val="none"/>
          <w:lang w:val="en-US" w:eastAsia="zh-CN"/>
        </w:rPr>
        <w:t>“土十条”及</w:t>
      </w:r>
      <w:r>
        <w:rPr>
          <w:rFonts w:hint="default" w:ascii="Times New Roman" w:hAnsi="Times New Roman" w:eastAsia="宋体" w:cs="Times New Roman"/>
          <w:b/>
          <w:bCs/>
          <w:color w:val="auto"/>
          <w:sz w:val="21"/>
          <w:szCs w:val="21"/>
          <w:highlight w:val="none"/>
          <w:lang w:val="en-US" w:eastAsia="zh-CN"/>
        </w:rPr>
        <w:t>《土壤污染防治行动计划四川省工作方案》符合性分析</w:t>
      </w:r>
    </w:p>
    <w:tbl>
      <w:tblPr>
        <w:tblStyle w:val="91"/>
        <w:tblW w:w="5000"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132"/>
        <w:gridCol w:w="4644"/>
        <w:gridCol w:w="1947"/>
        <w:gridCol w:w="79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664"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rPr>
              <w:t>文件</w:t>
            </w:r>
          </w:p>
        </w:tc>
        <w:tc>
          <w:tcPr>
            <w:tcW w:w="2724"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rPr>
              <w:t>要求</w:t>
            </w:r>
          </w:p>
        </w:tc>
        <w:tc>
          <w:tcPr>
            <w:tcW w:w="1142"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rPr>
              <w:t>本项目</w:t>
            </w:r>
          </w:p>
        </w:tc>
        <w:tc>
          <w:tcPr>
            <w:tcW w:w="468"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rPr>
              <w:t>是否符合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664" w:type="pct"/>
            <w:tcBorders>
              <w:tl2br w:val="nil"/>
              <w:tr2bl w:val="nil"/>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0"/>
                <w:highlight w:val="none"/>
              </w:rPr>
            </w:pPr>
            <w:r>
              <w:rPr>
                <w:rFonts w:hint="eastAsia" w:ascii="宋体" w:hAnsi="宋体" w:eastAsia="宋体" w:cs="宋体"/>
                <w:color w:val="auto"/>
                <w:highlight w:val="none"/>
              </w:rPr>
              <w:t>《土壤污染防治行动计划</w:t>
            </w:r>
            <w:r>
              <w:rPr>
                <w:rFonts w:hint="eastAsia" w:ascii="Times New Roman" w:hAnsi="Times New Roman" w:cs="Times New Roman"/>
                <w:color w:val="auto"/>
                <w:highlight w:val="none"/>
              </w:rPr>
              <w:t>》</w:t>
            </w:r>
          </w:p>
        </w:tc>
        <w:tc>
          <w:tcPr>
            <w:tcW w:w="2724" w:type="pct"/>
            <w:tcBorders>
              <w:tl2br w:val="nil"/>
              <w:tr2bl w:val="nil"/>
            </w:tcBorders>
            <w:vAlign w:val="center"/>
          </w:tcPr>
          <w:p>
            <w:pPr>
              <w:pStyle w:val="158"/>
              <w:keepNext w:val="0"/>
              <w:keepLines w:val="0"/>
              <w:suppressLineNumbers w:val="0"/>
              <w:spacing w:before="0" w:beforeAutospacing="0" w:after="0" w:afterAutospacing="0" w:line="240" w:lineRule="auto"/>
              <w:ind w:left="0" w:right="0" w:firstLine="0" w:firstLineChars="0"/>
              <w:jc w:val="left"/>
              <w:rPr>
                <w:rFonts w:hint="default"/>
                <w:color w:val="auto"/>
                <w:kern w:val="0"/>
                <w:highlight w:val="none"/>
              </w:rPr>
            </w:pPr>
            <w:r>
              <w:rPr>
                <w:rFonts w:hint="default"/>
                <w:color w:val="auto"/>
                <w:sz w:val="21"/>
                <w:szCs w:val="21"/>
                <w:highlight w:val="none"/>
              </w:rPr>
              <w:t>强化畜禽养殖污染防治。严格规范兽药、饲料添加剂的生产和使用，防止过量使用，促进源头减量。加强畜禽粪便综合利用，在部分生猪大县开展种养业有机结合、循环发展试点。鼓励支持畜禽粪便处理利用设施建设，到2020年，规模化养殖场、养殖小区配套建设废弃物处理设施比例达到75%以上。</w:t>
            </w:r>
          </w:p>
        </w:tc>
        <w:tc>
          <w:tcPr>
            <w:tcW w:w="1142" w:type="pct"/>
            <w:vMerge w:val="restart"/>
            <w:tcBorders>
              <w:tl2br w:val="nil"/>
              <w:tr2bl w:val="nil"/>
            </w:tcBorders>
            <w:vAlign w:val="center"/>
          </w:tcPr>
          <w:p>
            <w:pPr>
              <w:pStyle w:val="158"/>
              <w:keepNext w:val="0"/>
              <w:keepLines w:val="0"/>
              <w:suppressLineNumbers w:val="0"/>
              <w:spacing w:before="0" w:beforeAutospacing="0" w:after="0" w:afterAutospacing="0" w:line="240" w:lineRule="auto"/>
              <w:ind w:left="0" w:right="0" w:firstLine="0" w:firstLineChars="0"/>
              <w:jc w:val="left"/>
              <w:rPr>
                <w:rFonts w:hint="default"/>
                <w:color w:val="auto"/>
                <w:sz w:val="21"/>
                <w:szCs w:val="21"/>
                <w:highlight w:val="none"/>
              </w:rPr>
            </w:pPr>
            <w:r>
              <w:rPr>
                <w:rFonts w:hint="default"/>
                <w:color w:val="auto"/>
                <w:sz w:val="21"/>
                <w:szCs w:val="21"/>
                <w:highlight w:val="none"/>
              </w:rPr>
              <w:t>1</w:t>
            </w:r>
            <w:r>
              <w:rPr>
                <w:rFonts w:hint="eastAsia"/>
                <w:color w:val="auto"/>
                <w:sz w:val="21"/>
                <w:szCs w:val="21"/>
                <w:highlight w:val="none"/>
              </w:rPr>
              <w:t>、本项目运营过程中严格规范兽药、饲料添加剂的使用，</w:t>
            </w:r>
            <w:r>
              <w:rPr>
                <w:rFonts w:hint="default"/>
                <w:color w:val="auto"/>
                <w:sz w:val="21"/>
                <w:szCs w:val="21"/>
                <w:highlight w:val="none"/>
              </w:rPr>
              <w:t>防止</w:t>
            </w:r>
            <w:r>
              <w:rPr>
                <w:rFonts w:hint="eastAsia"/>
                <w:color w:val="auto"/>
                <w:sz w:val="21"/>
                <w:szCs w:val="21"/>
                <w:highlight w:val="none"/>
              </w:rPr>
              <w:t>过渡使用。</w:t>
            </w:r>
          </w:p>
          <w:p>
            <w:pPr>
              <w:pStyle w:val="158"/>
              <w:keepNext w:val="0"/>
              <w:keepLines w:val="0"/>
              <w:suppressLineNumbers w:val="0"/>
              <w:spacing w:before="0" w:beforeAutospacing="0" w:after="0" w:afterAutospacing="0" w:line="240" w:lineRule="auto"/>
              <w:ind w:left="0" w:right="0" w:firstLine="0" w:firstLineChars="0"/>
              <w:jc w:val="left"/>
              <w:rPr>
                <w:rFonts w:hint="default"/>
                <w:color w:val="auto"/>
                <w:kern w:val="0"/>
                <w:sz w:val="21"/>
                <w:szCs w:val="21"/>
                <w:highlight w:val="none"/>
              </w:rPr>
            </w:pPr>
            <w:r>
              <w:rPr>
                <w:rFonts w:hint="default"/>
                <w:color w:val="auto"/>
                <w:sz w:val="21"/>
                <w:szCs w:val="21"/>
                <w:highlight w:val="none"/>
              </w:rPr>
              <w:t>2</w:t>
            </w:r>
            <w:r>
              <w:rPr>
                <w:rFonts w:hint="eastAsia"/>
                <w:color w:val="auto"/>
                <w:sz w:val="21"/>
                <w:szCs w:val="21"/>
                <w:highlight w:val="none"/>
              </w:rPr>
              <w:t>、</w:t>
            </w:r>
            <w:r>
              <w:rPr>
                <w:rFonts w:hint="eastAsia" w:ascii="宋体" w:hAnsi="宋体" w:eastAsia="宋体" w:cs="宋体"/>
                <w:color w:val="auto"/>
                <w:sz w:val="21"/>
                <w:szCs w:val="21"/>
                <w:highlight w:val="none"/>
              </w:rPr>
              <w:t>本项目</w:t>
            </w:r>
            <w:r>
              <w:rPr>
                <w:rFonts w:hint="eastAsia" w:ascii="Times New Roman" w:hAnsi="Times New Roman" w:cs="Times New Roman"/>
                <w:bCs/>
                <w:color w:val="auto"/>
                <w:sz w:val="21"/>
                <w:szCs w:val="21"/>
                <w:highlight w:val="none"/>
              </w:rPr>
              <w:t>畜禽粪便运输至</w:t>
            </w:r>
            <w:r>
              <w:rPr>
                <w:rFonts w:hint="eastAsia" w:cs="Times New Roman"/>
                <w:bCs/>
                <w:color w:val="auto"/>
                <w:sz w:val="21"/>
                <w:szCs w:val="21"/>
                <w:highlight w:val="none"/>
                <w:lang w:eastAsia="zh-CN"/>
              </w:rPr>
              <w:t>南江县万事康生物科技有限公司</w:t>
            </w:r>
            <w:r>
              <w:rPr>
                <w:rFonts w:hint="eastAsia" w:ascii="Times New Roman" w:hAnsi="Times New Roman" w:cs="Times New Roman"/>
                <w:bCs/>
                <w:color w:val="auto"/>
                <w:sz w:val="21"/>
                <w:szCs w:val="21"/>
                <w:highlight w:val="none"/>
              </w:rPr>
              <w:t>用作生产有机肥原料使用</w:t>
            </w:r>
          </w:p>
        </w:tc>
        <w:tc>
          <w:tcPr>
            <w:tcW w:w="468"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rPr>
              <w:t>是</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68" w:hRule="atLeast"/>
        </w:trPr>
        <w:tc>
          <w:tcPr>
            <w:tcW w:w="664" w:type="pct"/>
            <w:tcBorders>
              <w:tl2br w:val="nil"/>
              <w:tr2bl w:val="nil"/>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0"/>
                <w:highlight w:val="none"/>
              </w:rPr>
            </w:pPr>
            <w:r>
              <w:rPr>
                <w:rFonts w:hint="eastAsia"/>
                <w:color w:val="auto"/>
                <w:highlight w:val="none"/>
              </w:rPr>
              <w:t>《土壤污染防治行动计划四川省工作方案》</w:t>
            </w:r>
          </w:p>
        </w:tc>
        <w:tc>
          <w:tcPr>
            <w:tcW w:w="2724" w:type="pct"/>
            <w:tcBorders>
              <w:tl2br w:val="nil"/>
              <w:tr2bl w:val="nil"/>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0"/>
                <w:highlight w:val="none"/>
              </w:rPr>
            </w:pPr>
            <w:r>
              <w:rPr>
                <w:rFonts w:hint="default" w:ascii="Times New Roman" w:hAnsi="Times New Roman"/>
                <w:color w:val="auto"/>
                <w:highlight w:val="none"/>
              </w:rPr>
              <w:t>强化畜禽养殖污染防治。严格规范兽药、饲料添加剂的生产和使用，建立兽药</w:t>
            </w:r>
            <w:r>
              <w:rPr>
                <w:rFonts w:hint="eastAsia" w:ascii="Times New Roman" w:hAnsi="Times New Roman"/>
                <w:color w:val="auto"/>
                <w:highlight w:val="none"/>
              </w:rPr>
              <w:t>、</w:t>
            </w:r>
            <w:r>
              <w:rPr>
                <w:rFonts w:hint="default" w:ascii="Times New Roman" w:hAnsi="Times New Roman"/>
                <w:color w:val="auto"/>
                <w:highlight w:val="none"/>
              </w:rPr>
              <w:t>饲料添加剂的销售管控体系</w:t>
            </w:r>
            <w:r>
              <w:rPr>
                <w:rFonts w:hint="eastAsia" w:ascii="Times New Roman" w:hAnsi="Times New Roman"/>
                <w:color w:val="auto"/>
                <w:highlight w:val="none"/>
              </w:rPr>
              <w:t>，</w:t>
            </w:r>
            <w:r>
              <w:rPr>
                <w:rFonts w:hint="default" w:ascii="Times New Roman" w:hAnsi="Times New Roman"/>
                <w:color w:val="auto"/>
                <w:highlight w:val="none"/>
              </w:rPr>
              <w:t>防止过量使用，促进源头减量。加强畜禽粪便综合利用，在部分生猪大县开展种养业有机结合、循环发展试点</w:t>
            </w:r>
            <w:r>
              <w:rPr>
                <w:rFonts w:hint="eastAsia" w:ascii="Times New Roman" w:hAnsi="Times New Roman"/>
                <w:color w:val="auto"/>
                <w:highlight w:val="none"/>
              </w:rPr>
              <w:t>，</w:t>
            </w:r>
            <w:r>
              <w:rPr>
                <w:rFonts w:hint="default" w:ascii="Times New Roman" w:hAnsi="Times New Roman"/>
                <w:color w:val="auto"/>
                <w:highlight w:val="none"/>
              </w:rPr>
              <w:t>采用政府和社会资本合作</w:t>
            </w:r>
            <w:r>
              <w:rPr>
                <w:rFonts w:hint="eastAsia" w:ascii="Times New Roman" w:hAnsi="Times New Roman"/>
                <w:color w:val="auto"/>
                <w:highlight w:val="none"/>
              </w:rPr>
              <w:t>（PPP）模式推进畜禽粪便综合利用，逐步扩大实施范围。开展畜牧业绿色示范县（市、区）创建活动，鼓励支持规模化养殖场、养殖小区畜禽粪便处理利用设施建设。到2020年，力争创建10个畜牧业绿色示范县（市、区），规模化</w:t>
            </w:r>
            <w:r>
              <w:rPr>
                <w:rFonts w:hint="default" w:ascii="Times New Roman" w:hAnsi="Times New Roman"/>
                <w:color w:val="auto"/>
                <w:highlight w:val="none"/>
              </w:rPr>
              <w:t>养殖场、养殖小区配套自建或可依托的废弃物处理设施比例达到75%以上。</w:t>
            </w:r>
          </w:p>
        </w:tc>
        <w:tc>
          <w:tcPr>
            <w:tcW w:w="1142" w:type="pct"/>
            <w:vMerge w:val="continue"/>
            <w:tcBorders>
              <w:tl2br w:val="nil"/>
              <w:tr2bl w:val="nil"/>
            </w:tcBorders>
            <w:vAlign w:val="center"/>
          </w:tcPr>
          <w:p>
            <w:pPr>
              <w:keepNext w:val="0"/>
              <w:keepLines w:val="0"/>
              <w:widowControl/>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0"/>
                <w:highlight w:val="none"/>
              </w:rPr>
            </w:pPr>
          </w:p>
        </w:tc>
        <w:tc>
          <w:tcPr>
            <w:tcW w:w="468" w:type="pc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是</w:t>
            </w:r>
          </w:p>
        </w:tc>
      </w:tr>
    </w:tbl>
    <w:p>
      <w:pPr>
        <w:pStyle w:val="158"/>
        <w:ind w:firstLine="480"/>
        <w:rPr>
          <w:color w:val="auto"/>
          <w:highlight w:val="none"/>
        </w:rPr>
      </w:pPr>
      <w:r>
        <w:rPr>
          <w:bCs/>
          <w:color w:val="auto"/>
          <w:highlight w:val="none"/>
        </w:rPr>
        <w:t>通过上表分析可知，</w:t>
      </w:r>
      <w:r>
        <w:rPr>
          <w:rFonts w:hint="eastAsia"/>
          <w:color w:val="auto"/>
          <w:kern w:val="0"/>
          <w:highlight w:val="none"/>
        </w:rPr>
        <w:t>本项目符合</w:t>
      </w:r>
      <w:r>
        <w:rPr>
          <w:rFonts w:hint="eastAsia"/>
          <w:color w:val="auto"/>
          <w:highlight w:val="none"/>
        </w:rPr>
        <w:t>《土壤污染防治行动计划》和《土壤污染防治行动计划四川省工作方案》</w:t>
      </w:r>
      <w:r>
        <w:rPr>
          <w:rFonts w:hint="eastAsia"/>
          <w:color w:val="auto"/>
          <w:kern w:val="0"/>
          <w:highlight w:val="none"/>
        </w:rPr>
        <w:t>的要求。</w:t>
      </w:r>
    </w:p>
    <w:p>
      <w:pPr>
        <w:pStyle w:val="9"/>
        <w:bidi w:val="0"/>
        <w:rPr>
          <w:rFonts w:hint="eastAsia" w:cs="Times New Roman"/>
          <w:color w:val="auto"/>
          <w:highlight w:val="none"/>
        </w:rPr>
      </w:pPr>
      <w:r>
        <w:rPr>
          <w:rFonts w:hint="eastAsia" w:cs="Times New Roman"/>
          <w:color w:val="auto"/>
          <w:highlight w:val="none"/>
        </w:rPr>
        <w:t>与《畜禽规模养殖污染防治条例》符合性</w:t>
      </w:r>
    </w:p>
    <w:p>
      <w:pPr>
        <w:pStyle w:val="1386"/>
        <w:ind w:firstLine="480"/>
        <w:rPr>
          <w:rFonts w:hint="default" w:ascii="Times New Roman" w:hAnsi="Times New Roman" w:eastAsia="宋体" w:cs="Times New Roman"/>
          <w:b/>
          <w:bCs/>
          <w:color w:val="auto"/>
          <w:sz w:val="21"/>
          <w:szCs w:val="21"/>
          <w:highlight w:val="none"/>
          <w:lang w:val="en-US" w:eastAsia="zh-CN"/>
        </w:rPr>
      </w:pPr>
      <w:r>
        <w:rPr>
          <w:rFonts w:hint="eastAsia"/>
          <w:color w:val="auto"/>
          <w:highlight w:val="none"/>
        </w:rPr>
        <w:t>根据中华人民共和国国务院令第</w:t>
      </w:r>
      <w:r>
        <w:rPr>
          <w:color w:val="auto"/>
          <w:highlight w:val="none"/>
        </w:rPr>
        <w:t>643</w:t>
      </w:r>
      <w:r>
        <w:rPr>
          <w:rFonts w:hint="eastAsia"/>
          <w:color w:val="auto"/>
          <w:highlight w:val="none"/>
        </w:rPr>
        <w:t>号《畜禽规模养殖污染防治条例》，结合本项目的实际情况，其选址符合性分析如下表所示。</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bookmarkStart w:id="102" w:name="_Ref456722254"/>
      <w:r>
        <w:rPr>
          <w:rFonts w:hint="default" w:ascii="Times New Roman" w:hAnsi="Times New Roman" w:eastAsia="宋体" w:cs="Times New Roman"/>
          <w:b/>
          <w:bCs/>
          <w:color w:val="auto"/>
          <w:sz w:val="21"/>
          <w:szCs w:val="21"/>
          <w:highlight w:val="none"/>
          <w:lang w:val="en-US" w:eastAsia="zh-CN"/>
        </w:rPr>
        <w:t>项目与《畜禽规模养殖污染防治条例》符合情况一览表</w:t>
      </w:r>
      <w:bookmarkEnd w:id="102"/>
    </w:p>
    <w:tbl>
      <w:tblPr>
        <w:tblStyle w:val="91"/>
        <w:tblW w:w="4998"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434"/>
        <w:gridCol w:w="4164"/>
        <w:gridCol w:w="3104"/>
        <w:gridCol w:w="60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1"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序号</w:t>
            </w:r>
          </w:p>
        </w:tc>
        <w:tc>
          <w:tcPr>
            <w:tcW w:w="2506"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《畜禽规模养殖污染防治条例》相关要求</w:t>
            </w:r>
          </w:p>
        </w:tc>
        <w:tc>
          <w:tcPr>
            <w:tcW w:w="1868"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本项目情况</w:t>
            </w:r>
          </w:p>
        </w:tc>
        <w:tc>
          <w:tcPr>
            <w:tcW w:w="362"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1"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1</w:t>
            </w:r>
          </w:p>
        </w:tc>
        <w:tc>
          <w:tcPr>
            <w:tcW w:w="2506"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第十一条：禁止在下列区域内建设畜禽养殖场、养殖小区：（一）饮用水水源保护区，风景名胜区；（二）自然保护区的核心区和缓冲区；（三）城镇居民区、文化教育科学研究区等人口集中区域；（四）法律、法规规定的其他禁止</w:t>
            </w:r>
            <w:r>
              <w:rPr>
                <w:rFonts w:hint="default" w:ascii="Times New Roman" w:hAnsi="Times New Roman"/>
                <w:color w:val="auto"/>
                <w:sz w:val="21"/>
                <w:highlight w:val="none"/>
              </w:rPr>
              <w:t xml:space="preserve"> </w:t>
            </w:r>
            <w:r>
              <w:rPr>
                <w:rFonts w:hint="eastAsia" w:ascii="Times New Roman" w:hAnsi="Times New Roman"/>
                <w:color w:val="auto"/>
                <w:sz w:val="21"/>
                <w:highlight w:val="none"/>
              </w:rPr>
              <w:t>养殖区域。</w:t>
            </w:r>
          </w:p>
        </w:tc>
        <w:tc>
          <w:tcPr>
            <w:tcW w:w="1868"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不在禁止建设区域</w:t>
            </w:r>
          </w:p>
        </w:tc>
        <w:tc>
          <w:tcPr>
            <w:tcW w:w="362" w:type="pct"/>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1"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2</w:t>
            </w:r>
          </w:p>
        </w:tc>
        <w:tc>
          <w:tcPr>
            <w:tcW w:w="2506"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第</w:t>
            </w:r>
            <w:r>
              <w:rPr>
                <w:rFonts w:hint="eastAsia" w:ascii="Times New Roman" w:hAnsi="Times New Roman"/>
                <w:color w:val="auto"/>
                <w:spacing w:val="3"/>
                <w:sz w:val="21"/>
                <w:highlight w:val="none"/>
              </w:rPr>
              <w:t>十</w:t>
            </w:r>
            <w:r>
              <w:rPr>
                <w:rFonts w:hint="eastAsia" w:ascii="Times New Roman" w:hAnsi="Times New Roman"/>
                <w:color w:val="auto"/>
                <w:sz w:val="21"/>
                <w:highlight w:val="none"/>
              </w:rPr>
              <w:t>二</w:t>
            </w:r>
            <w:r>
              <w:rPr>
                <w:rFonts w:hint="eastAsia" w:ascii="Times New Roman" w:hAnsi="Times New Roman"/>
                <w:color w:val="auto"/>
                <w:spacing w:val="4"/>
                <w:sz w:val="21"/>
                <w:highlight w:val="none"/>
              </w:rPr>
              <w:t>条</w:t>
            </w:r>
            <w:r>
              <w:rPr>
                <w:rFonts w:hint="eastAsia" w:ascii="Times New Roman" w:hAnsi="Times New Roman"/>
                <w:color w:val="auto"/>
                <w:spacing w:val="-8"/>
                <w:sz w:val="21"/>
                <w:highlight w:val="none"/>
              </w:rPr>
              <w:t>：</w:t>
            </w:r>
            <w:r>
              <w:rPr>
                <w:rFonts w:hint="eastAsia" w:ascii="Times New Roman" w:hAnsi="Times New Roman"/>
                <w:color w:val="auto"/>
                <w:sz w:val="21"/>
                <w:highlight w:val="none"/>
              </w:rPr>
              <w:t>新建</w:t>
            </w:r>
            <w:r>
              <w:rPr>
                <w:rFonts w:hint="eastAsia" w:ascii="Times New Roman" w:hAnsi="Times New Roman"/>
                <w:color w:val="auto"/>
                <w:spacing w:val="-8"/>
                <w:sz w:val="21"/>
                <w:highlight w:val="none"/>
              </w:rPr>
              <w:t>、</w:t>
            </w:r>
            <w:r>
              <w:rPr>
                <w:rFonts w:hint="eastAsia" w:ascii="Times New Roman" w:hAnsi="Times New Roman"/>
                <w:color w:val="auto"/>
                <w:sz w:val="21"/>
                <w:highlight w:val="none"/>
              </w:rPr>
              <w:t>改建</w:t>
            </w:r>
            <w:r>
              <w:rPr>
                <w:rFonts w:hint="eastAsia" w:ascii="Times New Roman" w:hAnsi="Times New Roman"/>
                <w:color w:val="auto"/>
                <w:spacing w:val="-8"/>
                <w:sz w:val="21"/>
                <w:highlight w:val="none"/>
              </w:rPr>
              <w:t>、</w:t>
            </w:r>
            <w:r>
              <w:rPr>
                <w:rFonts w:hint="eastAsia" w:ascii="Times New Roman" w:hAnsi="Times New Roman"/>
                <w:color w:val="auto"/>
                <w:sz w:val="21"/>
                <w:highlight w:val="none"/>
              </w:rPr>
              <w:t>扩建畜禽养殖场</w:t>
            </w:r>
            <w:r>
              <w:rPr>
                <w:rFonts w:hint="eastAsia" w:ascii="Times New Roman" w:hAnsi="Times New Roman"/>
                <w:color w:val="auto"/>
                <w:spacing w:val="-12"/>
                <w:sz w:val="21"/>
                <w:highlight w:val="none"/>
              </w:rPr>
              <w:t>、</w:t>
            </w:r>
            <w:r>
              <w:rPr>
                <w:rFonts w:hint="eastAsia" w:ascii="Times New Roman" w:hAnsi="Times New Roman"/>
                <w:color w:val="auto"/>
                <w:sz w:val="21"/>
                <w:highlight w:val="none"/>
              </w:rPr>
              <w:t>养殖小区</w:t>
            </w:r>
            <w:r>
              <w:rPr>
                <w:rFonts w:hint="eastAsia" w:ascii="Times New Roman" w:hAnsi="Times New Roman"/>
                <w:color w:val="auto"/>
                <w:spacing w:val="-12"/>
                <w:sz w:val="21"/>
                <w:highlight w:val="none"/>
              </w:rPr>
              <w:t>，</w:t>
            </w:r>
            <w:r>
              <w:rPr>
                <w:rFonts w:hint="eastAsia" w:ascii="Times New Roman" w:hAnsi="Times New Roman"/>
                <w:color w:val="auto"/>
                <w:sz w:val="21"/>
                <w:highlight w:val="none"/>
              </w:rPr>
              <w:t>应当符合畜牧业发展规划</w:t>
            </w:r>
            <w:r>
              <w:rPr>
                <w:rFonts w:hint="eastAsia" w:ascii="Times New Roman" w:hAnsi="Times New Roman"/>
                <w:color w:val="auto"/>
                <w:spacing w:val="-12"/>
                <w:sz w:val="21"/>
                <w:highlight w:val="none"/>
              </w:rPr>
              <w:t>、</w:t>
            </w:r>
            <w:r>
              <w:rPr>
                <w:rFonts w:hint="eastAsia" w:ascii="Times New Roman" w:hAnsi="Times New Roman"/>
                <w:color w:val="auto"/>
                <w:sz w:val="21"/>
                <w:highlight w:val="none"/>
              </w:rPr>
              <w:t>畜禽养殖污染防治规划</w:t>
            </w:r>
            <w:r>
              <w:rPr>
                <w:rFonts w:hint="eastAsia" w:ascii="Times New Roman" w:hAnsi="Times New Roman"/>
                <w:color w:val="auto"/>
                <w:spacing w:val="-12"/>
                <w:sz w:val="21"/>
                <w:highlight w:val="none"/>
              </w:rPr>
              <w:t>，</w:t>
            </w:r>
            <w:r>
              <w:rPr>
                <w:rFonts w:hint="eastAsia" w:ascii="Times New Roman" w:hAnsi="Times New Roman"/>
                <w:color w:val="auto"/>
                <w:sz w:val="21"/>
                <w:highlight w:val="none"/>
              </w:rPr>
              <w:t>满足动物防疫条件</w:t>
            </w:r>
            <w:r>
              <w:rPr>
                <w:rFonts w:hint="eastAsia" w:ascii="Times New Roman" w:hAnsi="Times New Roman"/>
                <w:color w:val="auto"/>
                <w:spacing w:val="-12"/>
                <w:sz w:val="21"/>
                <w:highlight w:val="none"/>
              </w:rPr>
              <w:t>，</w:t>
            </w:r>
            <w:r>
              <w:rPr>
                <w:rFonts w:hint="eastAsia" w:ascii="Times New Roman" w:hAnsi="Times New Roman"/>
                <w:color w:val="auto"/>
                <w:sz w:val="21"/>
                <w:highlight w:val="none"/>
              </w:rPr>
              <w:t>并进行环境影响评价</w:t>
            </w:r>
            <w:r>
              <w:rPr>
                <w:rFonts w:hint="eastAsia" w:ascii="Times New Roman" w:hAnsi="Times New Roman"/>
                <w:color w:val="auto"/>
                <w:spacing w:val="-12"/>
                <w:sz w:val="21"/>
                <w:highlight w:val="none"/>
              </w:rPr>
              <w:t>。</w:t>
            </w:r>
            <w:r>
              <w:rPr>
                <w:rFonts w:hint="eastAsia" w:ascii="Times New Roman" w:hAnsi="Times New Roman"/>
                <w:color w:val="auto"/>
                <w:sz w:val="21"/>
                <w:highlight w:val="none"/>
              </w:rPr>
              <w:t>对环</w:t>
            </w:r>
            <w:r>
              <w:rPr>
                <w:rFonts w:hint="eastAsia" w:ascii="Times New Roman" w:hAnsi="Times New Roman"/>
                <w:color w:val="auto"/>
                <w:spacing w:val="12"/>
                <w:sz w:val="21"/>
                <w:highlight w:val="none"/>
              </w:rPr>
              <w:t>境可能造成重大影响的大型畜禽养殖</w:t>
            </w:r>
            <w:r>
              <w:rPr>
                <w:rFonts w:hint="eastAsia" w:ascii="Times New Roman" w:hAnsi="Times New Roman"/>
                <w:color w:val="auto"/>
                <w:sz w:val="21"/>
                <w:highlight w:val="none"/>
              </w:rPr>
              <w:t>场</w:t>
            </w:r>
            <w:r>
              <w:rPr>
                <w:rFonts w:hint="eastAsia" w:ascii="Times New Roman" w:hAnsi="Times New Roman"/>
                <w:color w:val="auto"/>
                <w:spacing w:val="-12"/>
                <w:sz w:val="21"/>
                <w:highlight w:val="none"/>
              </w:rPr>
              <w:t>、</w:t>
            </w:r>
            <w:r>
              <w:rPr>
                <w:rFonts w:hint="eastAsia" w:ascii="Times New Roman" w:hAnsi="Times New Roman"/>
                <w:color w:val="auto"/>
                <w:sz w:val="21"/>
                <w:highlight w:val="none"/>
              </w:rPr>
              <w:t>养殖小区</w:t>
            </w:r>
            <w:r>
              <w:rPr>
                <w:rFonts w:hint="eastAsia" w:ascii="Times New Roman" w:hAnsi="Times New Roman"/>
                <w:color w:val="auto"/>
                <w:spacing w:val="-12"/>
                <w:sz w:val="21"/>
                <w:highlight w:val="none"/>
              </w:rPr>
              <w:t>，</w:t>
            </w:r>
            <w:r>
              <w:rPr>
                <w:rFonts w:hint="eastAsia" w:ascii="Times New Roman" w:hAnsi="Times New Roman"/>
                <w:color w:val="auto"/>
                <w:sz w:val="21"/>
                <w:highlight w:val="none"/>
              </w:rPr>
              <w:t>应当编制环境影响报告书</w:t>
            </w:r>
            <w:r>
              <w:rPr>
                <w:rFonts w:hint="eastAsia" w:ascii="Times New Roman" w:hAnsi="Times New Roman"/>
                <w:color w:val="auto"/>
                <w:spacing w:val="-12"/>
                <w:sz w:val="21"/>
                <w:highlight w:val="none"/>
              </w:rPr>
              <w:t>；</w:t>
            </w:r>
            <w:r>
              <w:rPr>
                <w:rFonts w:hint="eastAsia" w:ascii="Times New Roman" w:hAnsi="Times New Roman"/>
                <w:color w:val="auto"/>
                <w:sz w:val="21"/>
                <w:highlight w:val="none"/>
              </w:rPr>
              <w:t>其他畜禽养殖场</w:t>
            </w:r>
            <w:r>
              <w:rPr>
                <w:rFonts w:hint="eastAsia" w:ascii="Times New Roman" w:hAnsi="Times New Roman"/>
                <w:color w:val="auto"/>
                <w:spacing w:val="-12"/>
                <w:sz w:val="21"/>
                <w:highlight w:val="none"/>
              </w:rPr>
              <w:t>、</w:t>
            </w:r>
            <w:r>
              <w:rPr>
                <w:rFonts w:hint="eastAsia" w:ascii="Times New Roman" w:hAnsi="Times New Roman"/>
                <w:color w:val="auto"/>
                <w:sz w:val="21"/>
                <w:highlight w:val="none"/>
              </w:rPr>
              <w:t>养殖小区应当填报环境影响登记表。</w:t>
            </w:r>
          </w:p>
        </w:tc>
        <w:tc>
          <w:tcPr>
            <w:tcW w:w="1868"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本项目属于新建</w:t>
            </w:r>
            <w:r>
              <w:rPr>
                <w:rFonts w:hint="eastAsia" w:ascii="Times New Roman" w:hAnsi="Times New Roman"/>
                <w:color w:val="auto"/>
                <w:spacing w:val="3"/>
                <w:sz w:val="21"/>
                <w:highlight w:val="none"/>
              </w:rPr>
              <w:t>的</w:t>
            </w:r>
            <w:r>
              <w:rPr>
                <w:rFonts w:hint="eastAsia" w:ascii="Times New Roman" w:hAnsi="Times New Roman"/>
                <w:color w:val="auto"/>
                <w:sz w:val="21"/>
                <w:highlight w:val="none"/>
              </w:rPr>
              <w:t>畜禽养殖场</w:t>
            </w:r>
            <w:r>
              <w:rPr>
                <w:rFonts w:hint="eastAsia" w:ascii="Times New Roman" w:hAnsi="Times New Roman"/>
                <w:color w:val="auto"/>
                <w:spacing w:val="3"/>
                <w:sz w:val="21"/>
                <w:highlight w:val="none"/>
              </w:rPr>
              <w:t>，符</w:t>
            </w:r>
            <w:r>
              <w:rPr>
                <w:rFonts w:hint="eastAsia" w:ascii="Times New Roman" w:hAnsi="Times New Roman"/>
                <w:color w:val="auto"/>
                <w:sz w:val="21"/>
                <w:highlight w:val="none"/>
              </w:rPr>
              <w:t>合相关规划</w:t>
            </w:r>
            <w:r>
              <w:rPr>
                <w:rFonts w:hint="eastAsia" w:ascii="Times New Roman" w:hAnsi="Times New Roman"/>
                <w:color w:val="auto"/>
                <w:spacing w:val="3"/>
                <w:sz w:val="21"/>
                <w:highlight w:val="none"/>
              </w:rPr>
              <w:t>。</w:t>
            </w:r>
            <w:r>
              <w:rPr>
                <w:rFonts w:hint="eastAsia" w:ascii="Times New Roman" w:hAnsi="Times New Roman"/>
                <w:color w:val="auto"/>
                <w:sz w:val="21"/>
                <w:highlight w:val="none"/>
              </w:rPr>
              <w:t>本项目环境影响</w:t>
            </w:r>
            <w:r>
              <w:rPr>
                <w:rFonts w:hint="eastAsia" w:ascii="Times New Roman" w:hAnsi="Times New Roman"/>
                <w:color w:val="auto"/>
                <w:spacing w:val="3"/>
                <w:sz w:val="21"/>
                <w:highlight w:val="none"/>
              </w:rPr>
              <w:t>评</w:t>
            </w:r>
            <w:r>
              <w:rPr>
                <w:rFonts w:hint="eastAsia" w:ascii="Times New Roman" w:hAnsi="Times New Roman"/>
                <w:color w:val="auto"/>
                <w:sz w:val="21"/>
                <w:highlight w:val="none"/>
              </w:rPr>
              <w:t>价文件为环境影响报告书。</w:t>
            </w:r>
          </w:p>
        </w:tc>
        <w:tc>
          <w:tcPr>
            <w:tcW w:w="36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1"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3</w:t>
            </w:r>
          </w:p>
        </w:tc>
        <w:tc>
          <w:tcPr>
            <w:tcW w:w="2506"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第十三条：畜禽养殖场、养殖小区应当根据养殖规模和污染防治需要，建设相应的畜禽粪便、污水与雨水分流设施，畜禽粪便、污水的贮存设施，粪污厌氧消化和堆沤、有机肥加工、制取沼气、沼渣沼液分离和输送、污水处理、畜禽尸体处理等综合利用和无害化处理设施。</w:t>
            </w:r>
          </w:p>
        </w:tc>
        <w:tc>
          <w:tcPr>
            <w:tcW w:w="1868"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本项目建设有粪便、污水与雨水分流设施，本项目畜禽粪便运输至</w:t>
            </w:r>
            <w:r>
              <w:rPr>
                <w:rFonts w:hint="eastAsia" w:ascii="Times New Roman" w:hAnsi="Times New Roman"/>
                <w:color w:val="auto"/>
                <w:sz w:val="21"/>
                <w:highlight w:val="none"/>
                <w:lang w:eastAsia="zh-CN"/>
              </w:rPr>
              <w:t>南江县万事康生物科技有限公司</w:t>
            </w:r>
            <w:r>
              <w:rPr>
                <w:rFonts w:hint="eastAsia" w:ascii="Times New Roman" w:hAnsi="Times New Roman"/>
                <w:color w:val="auto"/>
                <w:sz w:val="21"/>
                <w:highlight w:val="none"/>
              </w:rPr>
              <w:t>用作生产有机肥原料使用，</w:t>
            </w:r>
            <w:r>
              <w:rPr>
                <w:rFonts w:hint="eastAsia" w:ascii="Times New Roman" w:hAnsi="Times New Roman"/>
                <w:color w:val="auto"/>
                <w:sz w:val="21"/>
                <w:highlight w:val="none"/>
                <w:lang w:eastAsia="zh-CN"/>
              </w:rPr>
              <w:t>养殖场</w:t>
            </w:r>
            <w:r>
              <w:rPr>
                <w:rFonts w:hint="eastAsia" w:ascii="Times New Roman" w:hAnsi="Times New Roman"/>
                <w:color w:val="auto"/>
                <w:sz w:val="21"/>
                <w:highlight w:val="none"/>
              </w:rPr>
              <w:t>内设有</w:t>
            </w:r>
            <w:r>
              <w:rPr>
                <w:rFonts w:hint="default" w:ascii="Times New Roman" w:hAnsi="Times New Roman"/>
                <w:color w:val="auto"/>
                <w:sz w:val="21"/>
                <w:highlight w:val="none"/>
              </w:rPr>
              <w:t>1</w:t>
            </w:r>
            <w:r>
              <w:rPr>
                <w:rFonts w:hint="eastAsia" w:ascii="Times New Roman" w:hAnsi="Times New Roman"/>
                <w:color w:val="auto"/>
                <w:sz w:val="21"/>
                <w:highlight w:val="none"/>
              </w:rPr>
              <w:t>个病死</w:t>
            </w:r>
            <w:r>
              <w:rPr>
                <w:rFonts w:hint="eastAsia" w:ascii="Times New Roman" w:hAnsi="Times New Roman"/>
                <w:color w:val="auto"/>
                <w:sz w:val="21"/>
                <w:highlight w:val="none"/>
                <w:lang w:eastAsia="zh-CN"/>
              </w:rPr>
              <w:t>牛无害化</w:t>
            </w:r>
            <w:r>
              <w:rPr>
                <w:rFonts w:hint="eastAsia" w:ascii="Times New Roman" w:hAnsi="Times New Roman"/>
                <w:color w:val="auto"/>
                <w:sz w:val="21"/>
                <w:highlight w:val="none"/>
              </w:rPr>
              <w:t>处理车间，对病死</w:t>
            </w:r>
            <w:r>
              <w:rPr>
                <w:rFonts w:hint="eastAsia" w:ascii="Times New Roman" w:hAnsi="Times New Roman"/>
                <w:color w:val="auto"/>
                <w:sz w:val="21"/>
                <w:highlight w:val="none"/>
                <w:lang w:eastAsia="zh-CN"/>
              </w:rPr>
              <w:t>牛</w:t>
            </w:r>
            <w:r>
              <w:rPr>
                <w:rFonts w:hint="eastAsia" w:ascii="Times New Roman" w:hAnsi="Times New Roman"/>
                <w:color w:val="auto"/>
                <w:sz w:val="21"/>
                <w:highlight w:val="none"/>
              </w:rPr>
              <w:t>进行无害化处理。</w:t>
            </w:r>
          </w:p>
        </w:tc>
        <w:tc>
          <w:tcPr>
            <w:tcW w:w="36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1"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5</w:t>
            </w:r>
          </w:p>
        </w:tc>
        <w:tc>
          <w:tcPr>
            <w:tcW w:w="2506"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第十九条：从事畜禽养殖活动和畜禽养殖废弃物处理活动，应当及时对畜禽粪便、畜禽尸体、污水等进行收集、贮存、清运，防止恶臭和畜禽养殖废弃物渗出、泄漏。</w:t>
            </w:r>
          </w:p>
        </w:tc>
        <w:tc>
          <w:tcPr>
            <w:tcW w:w="1868"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宋体" w:hAnsi="宋体" w:eastAsia="宋体" w:cs="宋体"/>
                <w:color w:val="auto"/>
                <w:sz w:val="21"/>
                <w:szCs w:val="21"/>
                <w:highlight w:val="none"/>
              </w:rPr>
              <w:t>本项目畜禽粪便</w:t>
            </w:r>
            <w:r>
              <w:rPr>
                <w:rFonts w:hint="eastAsia" w:ascii="宋体" w:hAnsi="宋体" w:cs="宋体"/>
                <w:color w:val="auto"/>
                <w:sz w:val="21"/>
                <w:szCs w:val="21"/>
                <w:highlight w:val="none"/>
                <w:lang w:eastAsia="zh-CN"/>
              </w:rPr>
              <w:t>、病死牛处理后的残渣以及污水处理站的污泥残渣运输至南江县万事康生物科技有限公司用作生产有机肥原料使用；</w:t>
            </w:r>
            <w:r>
              <w:rPr>
                <w:rFonts w:hint="eastAsia" w:ascii="宋体" w:hAnsi="宋体" w:eastAsia="宋体" w:cs="宋体"/>
                <w:color w:val="auto"/>
                <w:sz w:val="21"/>
                <w:szCs w:val="21"/>
                <w:highlight w:val="none"/>
                <w:lang w:eastAsia="zh-CN"/>
              </w:rPr>
              <w:t>养殖废水进入污水处理站，</w:t>
            </w:r>
            <w:r>
              <w:rPr>
                <w:rFonts w:hint="eastAsia" w:ascii="宋体" w:hAnsi="宋体" w:eastAsia="宋体" w:cs="宋体"/>
                <w:color w:val="auto"/>
                <w:sz w:val="21"/>
                <w:szCs w:val="21"/>
                <w:highlight w:val="none"/>
              </w:rPr>
              <w:t>可实现畜禽粪便、废水无害化。</w:t>
            </w:r>
          </w:p>
        </w:tc>
        <w:tc>
          <w:tcPr>
            <w:tcW w:w="36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1"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6</w:t>
            </w:r>
          </w:p>
        </w:tc>
        <w:tc>
          <w:tcPr>
            <w:tcW w:w="2506"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第二十一条：染疫畜禽以及染疫畜禽排泄物、染疫畜禽产品、病死或者死因不明的畜禽尸体等病害畜禽养殖废弃物，应当按照有关法律、法规和国务院农牧主管部门的规定，进行深埋、化制、焚烧、发酵等无害化处理，不得随意处置。</w:t>
            </w:r>
          </w:p>
        </w:tc>
        <w:tc>
          <w:tcPr>
            <w:tcW w:w="1868"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lang w:eastAsia="zh-CN"/>
              </w:rPr>
              <w:t>养殖场</w:t>
            </w:r>
            <w:r>
              <w:rPr>
                <w:rFonts w:hint="eastAsia" w:ascii="Times New Roman" w:hAnsi="Times New Roman"/>
                <w:color w:val="auto"/>
                <w:sz w:val="21"/>
                <w:highlight w:val="none"/>
              </w:rPr>
              <w:t>内设有</w:t>
            </w:r>
            <w:r>
              <w:rPr>
                <w:rFonts w:hint="default" w:ascii="Times New Roman" w:hAnsi="Times New Roman"/>
                <w:color w:val="auto"/>
                <w:sz w:val="21"/>
                <w:highlight w:val="none"/>
              </w:rPr>
              <w:t>1</w:t>
            </w:r>
            <w:r>
              <w:rPr>
                <w:rFonts w:hint="eastAsia" w:ascii="Times New Roman" w:hAnsi="Times New Roman"/>
                <w:color w:val="auto"/>
                <w:sz w:val="21"/>
                <w:highlight w:val="none"/>
              </w:rPr>
              <w:t>个病死</w:t>
            </w:r>
            <w:r>
              <w:rPr>
                <w:rFonts w:hint="eastAsia" w:ascii="Times New Roman" w:hAnsi="Times New Roman"/>
                <w:color w:val="auto"/>
                <w:sz w:val="21"/>
                <w:highlight w:val="none"/>
                <w:lang w:eastAsia="zh-CN"/>
              </w:rPr>
              <w:t>牛无害化</w:t>
            </w:r>
            <w:r>
              <w:rPr>
                <w:rFonts w:hint="eastAsia" w:ascii="Times New Roman" w:hAnsi="Times New Roman"/>
                <w:color w:val="auto"/>
                <w:sz w:val="21"/>
                <w:highlight w:val="none"/>
              </w:rPr>
              <w:t>处理车间，对病死</w:t>
            </w:r>
            <w:r>
              <w:rPr>
                <w:rFonts w:hint="eastAsia" w:ascii="Times New Roman" w:hAnsi="Times New Roman"/>
                <w:color w:val="auto"/>
                <w:sz w:val="21"/>
                <w:highlight w:val="none"/>
                <w:lang w:eastAsia="zh-CN"/>
              </w:rPr>
              <w:t>牛</w:t>
            </w:r>
            <w:r>
              <w:rPr>
                <w:rFonts w:hint="eastAsia" w:ascii="Times New Roman" w:hAnsi="Times New Roman"/>
                <w:color w:val="auto"/>
                <w:sz w:val="21"/>
                <w:highlight w:val="none"/>
              </w:rPr>
              <w:t>进行无害化处理。</w:t>
            </w:r>
          </w:p>
        </w:tc>
        <w:tc>
          <w:tcPr>
            <w:tcW w:w="36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bl>
    <w:p>
      <w:pPr>
        <w:pStyle w:val="1386"/>
        <w:ind w:firstLine="480"/>
        <w:rPr>
          <w:color w:val="auto"/>
          <w:highlight w:val="none"/>
        </w:rPr>
      </w:pPr>
      <w:r>
        <w:rPr>
          <w:rFonts w:hint="eastAsia"/>
          <w:color w:val="auto"/>
          <w:highlight w:val="none"/>
        </w:rPr>
        <w:t>因此，本项目符合《畜禽规模养殖污染防治条例》中相关要求。</w:t>
      </w:r>
    </w:p>
    <w:p>
      <w:pPr>
        <w:pStyle w:val="9"/>
        <w:bidi w:val="0"/>
        <w:rPr>
          <w:rFonts w:hint="eastAsia" w:cs="Times New Roman"/>
          <w:color w:val="auto"/>
          <w:highlight w:val="none"/>
        </w:rPr>
      </w:pPr>
      <w:r>
        <w:rPr>
          <w:rFonts w:hint="eastAsia" w:cs="Times New Roman"/>
          <w:color w:val="auto"/>
          <w:highlight w:val="none"/>
        </w:rPr>
        <w:t>与《国务院办公厅关于加快推进畜禽养殖废弃物资源化利用的意见》（国办发〔2017〕48号）符合性分析</w:t>
      </w:r>
    </w:p>
    <w:p>
      <w:pPr>
        <w:snapToGrid w:val="0"/>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根据《国务院办公厅关于加快推进畜禽养殖废弃物资源化利用的意见》（国办发〔2017〕48号）中的指导思想“全面贯彻党的十八大和十八届三中、四中、五中、六中全会精神……全面推进畜禽养殖废弃物资源化利用，加快构建种养结合、农牧循环的可持续发展新格局，为全面建成小康社会提供有力支撑”，及严格落实畜禽规模养殖环评制度中内容“新建或改扩建畜禽规模养殖场，应突出养分综合利用，配套与养殖规模和处理工艺相适应的粪污消纳用地，配备必要的粪污收集、贮存、处理、利用设施，依法进行环境影响评价”。</w:t>
      </w:r>
    </w:p>
    <w:p>
      <w:pPr>
        <w:snapToGrid w:val="0"/>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rPr>
        <w:t>本项目</w:t>
      </w:r>
      <w:r>
        <w:rPr>
          <w:rFonts w:hint="eastAsia" w:ascii="Times New Roman" w:hAnsi="Times New Roman" w:cs="Times New Roman"/>
          <w:color w:val="auto"/>
          <w:sz w:val="24"/>
          <w:highlight w:val="none"/>
          <w:lang w:eastAsia="zh-CN"/>
        </w:rPr>
        <w:t>为</w:t>
      </w:r>
      <w:r>
        <w:rPr>
          <w:rFonts w:hint="eastAsia" w:ascii="Times New Roman" w:hAnsi="Times New Roman" w:cs="Times New Roman"/>
          <w:color w:val="auto"/>
          <w:sz w:val="24"/>
          <w:highlight w:val="none"/>
        </w:rPr>
        <w:t>新建畜禽规模养殖场，突出养分综合利用，配套了与养殖规模和处理工艺相适应的粪污消纳用地及必要的粪污收集、贮存、处理、利用设施，符合《国务院办公厅关于加快推进畜禽养殖废弃物资源化利用的意见》。</w:t>
      </w:r>
    </w:p>
    <w:p>
      <w:pPr>
        <w:pStyle w:val="9"/>
        <w:bidi w:val="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w:t>
      </w:r>
      <w:r>
        <w:rPr>
          <w:rFonts w:hint="eastAsia" w:ascii="Times New Roman" w:hAnsi="Times New Roman" w:eastAsia="宋体" w:cs="Times New Roman"/>
          <w:color w:val="auto"/>
          <w:highlight w:val="none"/>
          <w:lang w:eastAsia="zh-CN"/>
        </w:rPr>
        <w:t>农</w:t>
      </w:r>
      <w:r>
        <w:rPr>
          <w:rFonts w:hint="default" w:ascii="Times New Roman" w:hAnsi="Times New Roman" w:eastAsia="宋体" w:cs="Times New Roman"/>
          <w:color w:val="auto"/>
          <w:highlight w:val="none"/>
        </w:rPr>
        <w:t>业农村部办公厅 生态环境部办公厅关于进一步明确畜禽粪污还田利用要求强化养殖污染监管的通知》（农办牧〔2020〕23号）符合性分析</w:t>
      </w:r>
    </w:p>
    <w:p>
      <w:pPr>
        <w:snapToGrid w:val="0"/>
        <w:ind w:firstLine="480" w:firstLineChars="200"/>
        <w:rPr>
          <w:rFonts w:hint="default" w:ascii="Times New Roman" w:hAnsi="Times New Roman" w:cs="Times New Roman"/>
          <w:color w:val="auto"/>
          <w:sz w:val="24"/>
          <w:highlight w:val="none"/>
        </w:rPr>
      </w:pPr>
      <w:r>
        <w:rPr>
          <w:rFonts w:hint="eastAsia" w:ascii="Times New Roman" w:hAnsi="Times New Roman" w:cs="Times New Roman"/>
          <w:color w:val="auto"/>
          <w:sz w:val="24"/>
          <w:highlight w:val="none"/>
        </w:rPr>
        <w:t>根据《</w:t>
      </w:r>
      <w:r>
        <w:rPr>
          <w:rFonts w:hint="eastAsia" w:ascii="Times New Roman" w:hAnsi="Times New Roman" w:cs="Times New Roman"/>
          <w:color w:val="auto"/>
          <w:sz w:val="24"/>
          <w:highlight w:val="none"/>
          <w:lang w:eastAsia="zh-CN"/>
        </w:rPr>
        <w:t>农</w:t>
      </w:r>
      <w:r>
        <w:rPr>
          <w:rFonts w:hint="eastAsia" w:ascii="Times New Roman" w:hAnsi="Times New Roman" w:cs="Times New Roman"/>
          <w:color w:val="auto"/>
          <w:sz w:val="24"/>
          <w:highlight w:val="none"/>
        </w:rPr>
        <w:t>业农村部办公厅 生态环境部办公厅关于进一步明确畜禽粪污还田利用要求强化养殖污染监管的通知》（农办牧〔2020〕23号）中的</w:t>
      </w:r>
      <w:r>
        <w:rPr>
          <w:rFonts w:hint="eastAsia" w:ascii="Times New Roman" w:hAnsi="Times New Roman" w:cs="Times New Roman"/>
          <w:color w:val="auto"/>
          <w:sz w:val="24"/>
          <w:highlight w:val="none"/>
          <w:lang w:eastAsia="zh-CN"/>
        </w:rPr>
        <w:t>相关通知。其符合性分析如下表所示。</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项目与《</w:t>
      </w:r>
      <w:r>
        <w:rPr>
          <w:rFonts w:hint="eastAsia" w:ascii="Times New Roman" w:hAnsi="Times New Roman" w:eastAsia="宋体" w:cs="Times New Roman"/>
          <w:b/>
          <w:bCs/>
          <w:color w:val="auto"/>
          <w:sz w:val="21"/>
          <w:szCs w:val="21"/>
          <w:highlight w:val="none"/>
          <w:lang w:val="en-US" w:eastAsia="zh-CN"/>
        </w:rPr>
        <w:t>农</w:t>
      </w:r>
      <w:r>
        <w:rPr>
          <w:rFonts w:hint="default" w:ascii="Times New Roman" w:hAnsi="Times New Roman" w:eastAsia="宋体" w:cs="Times New Roman"/>
          <w:b/>
          <w:bCs/>
          <w:color w:val="auto"/>
          <w:sz w:val="21"/>
          <w:szCs w:val="21"/>
          <w:highlight w:val="none"/>
          <w:lang w:val="en-US" w:eastAsia="zh-CN"/>
        </w:rPr>
        <w:t>业农村部办公厅 生态环境部办公厅关于进一步明确畜禽粪污还田利用要求强化养殖污染监管的通知》符合情况一览表</w:t>
      </w:r>
    </w:p>
    <w:tbl>
      <w:tblPr>
        <w:tblStyle w:val="91"/>
        <w:tblW w:w="0" w:type="auto"/>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236"/>
        <w:gridCol w:w="575"/>
        <w:gridCol w:w="3526"/>
        <w:gridCol w:w="3556"/>
        <w:gridCol w:w="41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0" w:type="auto"/>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序号</w:t>
            </w:r>
          </w:p>
        </w:tc>
        <w:tc>
          <w:tcPr>
            <w:tcW w:w="0" w:type="auto"/>
            <w:gridSpan w:val="2"/>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w:t>
            </w:r>
            <w:r>
              <w:rPr>
                <w:rFonts w:hint="default" w:ascii="Times New Roman" w:hAnsi="Times New Roman" w:eastAsia="宋体" w:cs="Times New Roman"/>
                <w:color w:val="auto"/>
                <w:highlight w:val="none"/>
              </w:rPr>
              <w:t>关于进一步明确畜禽粪污还田利用要求强化养殖污染监管的通知</w:t>
            </w:r>
            <w:r>
              <w:rPr>
                <w:rFonts w:hint="eastAsia" w:cs="Times New Roman"/>
                <w:color w:val="auto"/>
                <w:szCs w:val="21"/>
                <w:highlight w:val="none"/>
              </w:rPr>
              <w:t>》相关要求</w:t>
            </w:r>
          </w:p>
        </w:tc>
        <w:tc>
          <w:tcPr>
            <w:tcW w:w="3556"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本项目情况</w:t>
            </w:r>
          </w:p>
        </w:tc>
        <w:tc>
          <w:tcPr>
            <w:tcW w:w="413"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1</w:t>
            </w:r>
          </w:p>
        </w:tc>
        <w:tc>
          <w:tcPr>
            <w:tcW w:w="0" w:type="auto"/>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　一、畅通还田利用渠道</w:t>
            </w:r>
          </w:p>
        </w:tc>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　（一）鼓励畜禽粪污还田利用。国家支持畜禽养殖场户建设畜禽粪污无害化处理和资源化利用设施，鼓励采取粪肥还田、制取沼气、生产有机肥等方式进行资源化利用</w:t>
            </w:r>
          </w:p>
        </w:tc>
        <w:tc>
          <w:tcPr>
            <w:tcW w:w="3556"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宋体" w:hAnsi="宋体" w:eastAsia="宋体" w:cs="宋体"/>
                <w:color w:val="auto"/>
                <w:sz w:val="21"/>
                <w:szCs w:val="21"/>
                <w:highlight w:val="none"/>
              </w:rPr>
              <w:t>本项目畜禽粪便</w:t>
            </w:r>
            <w:r>
              <w:rPr>
                <w:rFonts w:hint="eastAsia" w:ascii="宋体" w:hAnsi="宋体" w:cs="宋体"/>
                <w:color w:val="auto"/>
                <w:sz w:val="21"/>
                <w:szCs w:val="21"/>
                <w:highlight w:val="none"/>
                <w:lang w:eastAsia="zh-CN"/>
              </w:rPr>
              <w:t>、病死牛处理后的残渣以及污水处理站的污泥残渣运输至南江县万事康生物科技有限公司用作生产有机肥原料使用</w:t>
            </w:r>
            <w:r>
              <w:rPr>
                <w:rFonts w:hint="eastAsia" w:ascii="Times New Roman" w:hAnsi="Times New Roman"/>
                <w:color w:val="auto"/>
                <w:sz w:val="21"/>
                <w:highlight w:val="none"/>
                <w:lang w:eastAsia="zh-CN"/>
              </w:rPr>
              <w:t>。</w:t>
            </w:r>
          </w:p>
        </w:tc>
        <w:tc>
          <w:tcPr>
            <w:tcW w:w="413"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2</w:t>
            </w:r>
          </w:p>
        </w:tc>
        <w:tc>
          <w:tcPr>
            <w:tcW w:w="0" w:type="auto"/>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 w:val="21"/>
                <w:highlight w:val="none"/>
              </w:rPr>
            </w:pPr>
          </w:p>
        </w:tc>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二）明确还田利用标准规范。畜禽粪污的处理应根据排放去向或利用方式的不同执行相应的标准规范。对配套土地充足的养殖场户，粪污经无害化处理后还田利用具体要求及限量应符合《畜禽粪便无害化处理技术规范》（GB/T 36195）和《畜禽粪便还田技术规范》（GB/T 25246），配套土地面积应达到《畜禽粪污土地承载力测算技术指南》（以下简称《指南》）要求的最小面积。对配套土地不足的养殖场户，粪污经处理后向环境排放的，应符合《畜禽养殖业污染物排放标准》（GB 18596）和地方有关排放标准。用于农田灌溉的，应符合《农田灌溉水质标准》（GB5084）。</w:t>
            </w:r>
          </w:p>
        </w:tc>
        <w:tc>
          <w:tcPr>
            <w:tcW w:w="3556"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rPr>
              <w:t>本项目畜禽粪污的处理</w:t>
            </w:r>
            <w:r>
              <w:rPr>
                <w:rFonts w:hint="eastAsia" w:ascii="Times New Roman" w:hAnsi="Times New Roman"/>
                <w:color w:val="auto"/>
                <w:sz w:val="21"/>
                <w:highlight w:val="none"/>
                <w:lang w:eastAsia="zh-CN"/>
              </w:rPr>
              <w:t>已</w:t>
            </w:r>
            <w:r>
              <w:rPr>
                <w:rFonts w:hint="eastAsia" w:ascii="Times New Roman" w:hAnsi="Times New Roman"/>
                <w:color w:val="auto"/>
                <w:sz w:val="21"/>
                <w:highlight w:val="none"/>
              </w:rPr>
              <w:t>根据排放去向或利用方式的不同执行相应的标准规范</w:t>
            </w:r>
            <w:r>
              <w:rPr>
                <w:rFonts w:hint="eastAsia" w:ascii="Times New Roman" w:hAnsi="Times New Roman"/>
                <w:color w:val="auto"/>
                <w:sz w:val="21"/>
                <w:highlight w:val="none"/>
                <w:lang w:eastAsia="zh-CN"/>
              </w:rPr>
              <w:t>。</w:t>
            </w:r>
          </w:p>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本项目采用干清粪工艺，粪污</w:t>
            </w:r>
            <w:r>
              <w:rPr>
                <w:rFonts w:hint="eastAsia" w:ascii="宋体" w:hAnsi="宋体" w:cs="宋体"/>
                <w:color w:val="auto"/>
                <w:sz w:val="21"/>
                <w:szCs w:val="21"/>
                <w:highlight w:val="none"/>
                <w:lang w:eastAsia="zh-CN"/>
              </w:rPr>
              <w:t>运输至南江县万事康生物科技有限公司用作生产有机肥原料使用</w:t>
            </w:r>
            <w:r>
              <w:rPr>
                <w:rFonts w:hint="eastAsia" w:ascii="Times New Roman" w:hAnsi="Times New Roman"/>
                <w:color w:val="auto"/>
                <w:sz w:val="21"/>
                <w:highlight w:val="none"/>
                <w:lang w:eastAsia="zh-CN"/>
              </w:rPr>
              <w:t>，不外排。废水经污水处理站处理后达到</w:t>
            </w:r>
            <w:r>
              <w:rPr>
                <w:rFonts w:hint="default" w:ascii="Times New Roman" w:hAnsi="Times New Roman" w:eastAsia="宋体" w:cs="Times New Roman"/>
                <w:color w:val="auto"/>
                <w:sz w:val="21"/>
                <w:highlight w:val="none"/>
              </w:rPr>
              <w:t>《农田灌溉水质标准》（GB5084</w:t>
            </w:r>
            <w:r>
              <w:rPr>
                <w:rFonts w:hint="eastAsia" w:ascii="Times New Roman" w:hAnsi="Times New Roman" w:cs="Times New Roman"/>
                <w:color w:val="auto"/>
                <w:sz w:val="21"/>
                <w:highlight w:val="none"/>
                <w:lang w:val="en-US" w:eastAsia="zh-CN"/>
              </w:rPr>
              <w:t>-2021</w:t>
            </w:r>
            <w:r>
              <w:rPr>
                <w:rFonts w:hint="default"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eastAsia="zh-CN"/>
              </w:rPr>
              <w:t>用于</w:t>
            </w:r>
            <w:r>
              <w:rPr>
                <w:rFonts w:hint="eastAsia" w:ascii="Times New Roman" w:hAnsi="Times New Roman" w:cs="Times New Roman"/>
                <w:color w:val="auto"/>
                <w:sz w:val="21"/>
                <w:highlight w:val="none"/>
                <w:lang w:eastAsia="zh-CN"/>
              </w:rPr>
              <w:t>农田</w:t>
            </w:r>
            <w:r>
              <w:rPr>
                <w:rFonts w:hint="eastAsia" w:ascii="Times New Roman" w:hAnsi="Times New Roman" w:eastAsia="宋体" w:cs="Times New Roman"/>
                <w:color w:val="auto"/>
                <w:sz w:val="21"/>
                <w:highlight w:val="none"/>
                <w:lang w:eastAsia="zh-CN"/>
              </w:rPr>
              <w:t>灌溉。</w:t>
            </w:r>
          </w:p>
        </w:tc>
        <w:tc>
          <w:tcPr>
            <w:tcW w:w="413"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3</w:t>
            </w:r>
          </w:p>
        </w:tc>
        <w:tc>
          <w:tcPr>
            <w:tcW w:w="0" w:type="auto"/>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　二、加强事中事后监管</w:t>
            </w:r>
          </w:p>
        </w:tc>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default" w:ascii="Times New Roman" w:hAnsi="Times New Roman"/>
                <w:color w:val="auto"/>
                <w:sz w:val="21"/>
                <w:highlight w:val="none"/>
              </w:rPr>
              <w:t>（一）落实养殖场户主体责任。养殖场户应当切实履行粪污利用和污染防治主体责任，采取措施，对畜禽粪污进行科学处理和资源化利用，防止污染环境。从事畜禽规模养殖要严格落实《中华人民共和国固体废物污染环境防治法》《中华人民共和国水污染防治法》《畜禽规模养殖污染防治条例》要求，建设粪污无害化处理和资源化利用设施并确保其正常运行，或委托第三方代为实现粪污无害化处理和资源化利用。对畜禽规模养殖污染防治设施配套不到位，粪污未经无害化处理直接还田或向环境排放，不符合国家和地方排放标准的，农业农村部门要加强技术指导和服务，生态环境部门要依法查处</w:t>
            </w:r>
          </w:p>
        </w:tc>
        <w:tc>
          <w:tcPr>
            <w:tcW w:w="3556"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rPr>
              <w:t>本项目建设有粪便、污水与雨水分流设施，厂内粪污</w:t>
            </w:r>
            <w:r>
              <w:rPr>
                <w:rFonts w:hint="eastAsia" w:ascii="宋体" w:hAnsi="宋体" w:cs="宋体"/>
                <w:color w:val="auto"/>
                <w:sz w:val="21"/>
                <w:szCs w:val="21"/>
                <w:highlight w:val="none"/>
                <w:lang w:eastAsia="zh-CN"/>
              </w:rPr>
              <w:t>运输至南江县万事康生物科技有限公司用作生产有机肥原料使用</w:t>
            </w:r>
            <w:r>
              <w:rPr>
                <w:rFonts w:hint="eastAsia" w:ascii="Times New Roman" w:hAnsi="Times New Roman"/>
                <w:color w:val="auto"/>
                <w:sz w:val="21"/>
                <w:highlight w:val="none"/>
              </w:rPr>
              <w:t>，</w:t>
            </w:r>
            <w:r>
              <w:rPr>
                <w:rFonts w:hint="eastAsia" w:ascii="Times New Roman" w:hAnsi="Times New Roman"/>
                <w:color w:val="auto"/>
                <w:sz w:val="21"/>
                <w:highlight w:val="none"/>
                <w:lang w:eastAsia="zh-CN"/>
              </w:rPr>
              <w:t>厂</w:t>
            </w:r>
            <w:r>
              <w:rPr>
                <w:rFonts w:hint="eastAsia" w:ascii="Times New Roman" w:hAnsi="Times New Roman"/>
                <w:color w:val="auto"/>
                <w:sz w:val="21"/>
                <w:highlight w:val="none"/>
              </w:rPr>
              <w:t>内设有</w:t>
            </w:r>
            <w:r>
              <w:rPr>
                <w:rFonts w:hint="default" w:ascii="Times New Roman" w:hAnsi="Times New Roman"/>
                <w:color w:val="auto"/>
                <w:sz w:val="21"/>
                <w:highlight w:val="none"/>
              </w:rPr>
              <w:t>1</w:t>
            </w:r>
            <w:r>
              <w:rPr>
                <w:rFonts w:hint="eastAsia" w:ascii="Times New Roman" w:hAnsi="Times New Roman"/>
                <w:color w:val="auto"/>
                <w:sz w:val="21"/>
                <w:highlight w:val="none"/>
              </w:rPr>
              <w:t>个病死</w:t>
            </w:r>
            <w:r>
              <w:rPr>
                <w:rFonts w:hint="eastAsia" w:ascii="Times New Roman" w:hAnsi="Times New Roman"/>
                <w:color w:val="auto"/>
                <w:sz w:val="21"/>
                <w:highlight w:val="none"/>
                <w:lang w:eastAsia="zh-CN"/>
              </w:rPr>
              <w:t>牛无害化处理车间</w:t>
            </w:r>
            <w:r>
              <w:rPr>
                <w:rFonts w:hint="eastAsia" w:ascii="Times New Roman" w:hAnsi="Times New Roman"/>
                <w:color w:val="auto"/>
                <w:sz w:val="21"/>
                <w:highlight w:val="none"/>
              </w:rPr>
              <w:t>，对病死猪进行无害化处理。</w:t>
            </w:r>
            <w:r>
              <w:rPr>
                <w:rFonts w:hint="eastAsia" w:ascii="Times New Roman" w:hAnsi="Times New Roman"/>
                <w:color w:val="auto"/>
                <w:sz w:val="21"/>
                <w:highlight w:val="none"/>
                <w:lang w:eastAsia="zh-CN"/>
              </w:rPr>
              <w:t>废水经污水处理站处理后达到</w:t>
            </w:r>
            <w:r>
              <w:rPr>
                <w:rFonts w:hint="default" w:ascii="Times New Roman" w:hAnsi="Times New Roman" w:eastAsia="宋体" w:cs="Times New Roman"/>
                <w:color w:val="auto"/>
                <w:sz w:val="21"/>
                <w:highlight w:val="none"/>
              </w:rPr>
              <w:t>《农田灌溉水质标准》（GB5084</w:t>
            </w:r>
            <w:r>
              <w:rPr>
                <w:rFonts w:hint="eastAsia" w:ascii="Times New Roman" w:hAnsi="Times New Roman" w:cs="Times New Roman"/>
                <w:color w:val="auto"/>
                <w:sz w:val="21"/>
                <w:highlight w:val="none"/>
                <w:lang w:val="en-US" w:eastAsia="zh-CN"/>
              </w:rPr>
              <w:t>-2021</w:t>
            </w:r>
            <w:r>
              <w:rPr>
                <w:rFonts w:hint="default"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eastAsia="zh-CN"/>
              </w:rPr>
              <w:t>用于</w:t>
            </w:r>
            <w:r>
              <w:rPr>
                <w:rFonts w:hint="eastAsia" w:ascii="Times New Roman" w:hAnsi="Times New Roman" w:cs="Times New Roman"/>
                <w:color w:val="auto"/>
                <w:sz w:val="21"/>
                <w:highlight w:val="none"/>
                <w:lang w:eastAsia="zh-CN"/>
              </w:rPr>
              <w:t>农田</w:t>
            </w:r>
            <w:r>
              <w:rPr>
                <w:rFonts w:hint="eastAsia" w:ascii="Times New Roman" w:hAnsi="Times New Roman" w:eastAsia="宋体" w:cs="Times New Roman"/>
                <w:color w:val="auto"/>
                <w:sz w:val="21"/>
                <w:highlight w:val="none"/>
                <w:lang w:eastAsia="zh-CN"/>
              </w:rPr>
              <w:t>灌溉。通过采取</w:t>
            </w:r>
            <w:r>
              <w:rPr>
                <w:rFonts w:hint="default" w:ascii="Times New Roman" w:hAnsi="Times New Roman"/>
                <w:color w:val="auto"/>
                <w:sz w:val="21"/>
                <w:highlight w:val="none"/>
              </w:rPr>
              <w:t>采取措施，</w:t>
            </w:r>
            <w:r>
              <w:rPr>
                <w:rFonts w:hint="eastAsia" w:ascii="Times New Roman" w:hAnsi="Times New Roman"/>
                <w:color w:val="auto"/>
                <w:sz w:val="21"/>
                <w:highlight w:val="none"/>
                <w:lang w:eastAsia="zh-CN"/>
              </w:rPr>
              <w:t>确保</w:t>
            </w:r>
            <w:r>
              <w:rPr>
                <w:rFonts w:hint="default" w:ascii="Times New Roman" w:hAnsi="Times New Roman"/>
                <w:color w:val="auto"/>
                <w:sz w:val="21"/>
                <w:highlight w:val="none"/>
              </w:rPr>
              <w:t>对畜禽粪污进行科学处理和资源化利用</w:t>
            </w:r>
            <w:r>
              <w:rPr>
                <w:rFonts w:hint="eastAsia" w:ascii="Times New Roman" w:hAnsi="Times New Roman"/>
                <w:color w:val="auto"/>
                <w:sz w:val="21"/>
                <w:highlight w:val="none"/>
                <w:lang w:eastAsia="zh-CN"/>
              </w:rPr>
              <w:t>。</w:t>
            </w:r>
          </w:p>
        </w:tc>
        <w:tc>
          <w:tcPr>
            <w:tcW w:w="413"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5</w:t>
            </w:r>
          </w:p>
        </w:tc>
        <w:tc>
          <w:tcPr>
            <w:tcW w:w="0" w:type="auto"/>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default" w:ascii="Times New Roman" w:hAnsi="Times New Roman"/>
                <w:color w:val="auto"/>
                <w:sz w:val="21"/>
                <w:highlight w:val="none"/>
              </w:rPr>
              <w:t>（二）强化粪污还田利用过程监管。养殖场户应依法配置粪污贮存设施，设施总容积不得低于当地农林作物生产用肥的最大间隔时间内产生粪污的总量，配套土地面积不得小于《指南》要求的最小面积；配套土地面积不足的，应委托第三方代为实现粪污资源化。达不到前述要求且无法证明粪污去向的，视同超出土地消纳能力。</w:t>
            </w:r>
          </w:p>
        </w:tc>
        <w:tc>
          <w:tcPr>
            <w:tcW w:w="3556"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rPr>
              <w:t>本项目配套</w:t>
            </w:r>
            <w:r>
              <w:rPr>
                <w:rFonts w:hint="eastAsia" w:ascii="Times New Roman" w:hAnsi="Times New Roman"/>
                <w:color w:val="auto"/>
                <w:sz w:val="21"/>
                <w:highlight w:val="none"/>
                <w:lang w:eastAsia="zh-CN"/>
              </w:rPr>
              <w:t>废水</w:t>
            </w:r>
            <w:r>
              <w:rPr>
                <w:rFonts w:hint="eastAsia" w:ascii="Times New Roman" w:hAnsi="Times New Roman"/>
                <w:color w:val="auto"/>
                <w:sz w:val="21"/>
                <w:highlight w:val="none"/>
              </w:rPr>
              <w:t>处理站，采用</w:t>
            </w:r>
            <w:r>
              <w:rPr>
                <w:rFonts w:hint="eastAsia" w:ascii="Times New Roman" w:hAnsi="Times New Roman"/>
                <w:color w:val="auto"/>
                <w:sz w:val="21"/>
                <w:highlight w:val="none"/>
                <w:lang w:eastAsia="zh-CN"/>
              </w:rPr>
              <w:t>模式</w:t>
            </w:r>
            <w:r>
              <w:rPr>
                <w:rFonts w:hint="eastAsia" w:ascii="宋体" w:hAnsi="宋体" w:eastAsia="宋体" w:cs="宋体"/>
                <w:color w:val="auto"/>
                <w:sz w:val="21"/>
                <w:highlight w:val="none"/>
                <w:lang w:eastAsia="zh-CN"/>
              </w:rPr>
              <w:t>Ⅲ</w:t>
            </w:r>
            <w:r>
              <w:rPr>
                <w:rFonts w:hint="eastAsia" w:ascii="Times New Roman" w:hAnsi="Times New Roman"/>
                <w:color w:val="auto"/>
                <w:sz w:val="21"/>
                <w:highlight w:val="none"/>
              </w:rPr>
              <w:t>进行处理，根据《畜禽粪污土地承载力测算技术指南》中相关规定测算，本项目配套</w:t>
            </w:r>
            <w:r>
              <w:rPr>
                <w:rFonts w:hint="eastAsia" w:ascii="Times New Roman" w:hAnsi="Times New Roman"/>
                <w:color w:val="auto"/>
                <w:sz w:val="21"/>
                <w:highlight w:val="none"/>
                <w:lang w:val="en-US" w:eastAsia="zh-CN"/>
              </w:rPr>
              <w:t>2800</w:t>
            </w:r>
            <w:r>
              <w:rPr>
                <w:rFonts w:hint="eastAsia" w:ascii="Times New Roman" w:hAnsi="Times New Roman"/>
                <w:color w:val="auto"/>
                <w:sz w:val="21"/>
                <w:highlight w:val="none"/>
              </w:rPr>
              <w:t>亩消纳土地，已签订消纳协议。</w:t>
            </w:r>
            <w:r>
              <w:rPr>
                <w:rFonts w:hint="eastAsia" w:ascii="Times New Roman" w:hAnsi="Times New Roman"/>
                <w:color w:val="auto"/>
                <w:sz w:val="21"/>
                <w:highlight w:val="none"/>
                <w:lang w:eastAsia="zh-CN"/>
              </w:rPr>
              <w:t>同时配套</w:t>
            </w:r>
            <w:r>
              <w:rPr>
                <w:rFonts w:hint="eastAsia"/>
                <w:color w:val="auto"/>
                <w:sz w:val="21"/>
                <w:szCs w:val="21"/>
                <w:highlight w:val="none"/>
                <w:lang w:val="en-US" w:eastAsia="zh-CN"/>
              </w:rPr>
              <w:t>1</w:t>
            </w:r>
            <w:r>
              <w:rPr>
                <w:rFonts w:hint="default"/>
                <w:color w:val="auto"/>
                <w:sz w:val="21"/>
                <w:szCs w:val="21"/>
                <w:highlight w:val="none"/>
              </w:rPr>
              <w:t>座</w:t>
            </w:r>
            <w:r>
              <w:rPr>
                <w:rFonts w:hint="eastAsia"/>
                <w:color w:val="auto"/>
                <w:sz w:val="21"/>
                <w:szCs w:val="21"/>
                <w:highlight w:val="none"/>
                <w:lang w:eastAsia="zh-CN"/>
              </w:rPr>
              <w:t>单个</w:t>
            </w:r>
            <w:r>
              <w:rPr>
                <w:rFonts w:hint="default"/>
                <w:color w:val="auto"/>
                <w:sz w:val="21"/>
                <w:szCs w:val="21"/>
                <w:highlight w:val="none"/>
              </w:rPr>
              <w:t>容积</w:t>
            </w:r>
            <w:r>
              <w:rPr>
                <w:rFonts w:hint="eastAsia"/>
                <w:color w:val="auto"/>
                <w:sz w:val="21"/>
                <w:szCs w:val="21"/>
                <w:highlight w:val="none"/>
                <w:lang w:val="en-US" w:eastAsia="zh-CN"/>
              </w:rPr>
              <w:t>8</w:t>
            </w:r>
            <w:r>
              <w:rPr>
                <w:rFonts w:hint="default"/>
                <w:color w:val="auto"/>
                <w:sz w:val="21"/>
                <w:szCs w:val="21"/>
                <w:highlight w:val="none"/>
              </w:rPr>
              <w:t>000m</w:t>
            </w:r>
            <w:r>
              <w:rPr>
                <w:rFonts w:hint="default"/>
                <w:color w:val="auto"/>
                <w:sz w:val="21"/>
                <w:szCs w:val="21"/>
                <w:highlight w:val="none"/>
                <w:vertAlign w:val="superscript"/>
              </w:rPr>
              <w:t>3</w:t>
            </w:r>
            <w:r>
              <w:rPr>
                <w:rFonts w:hint="eastAsia"/>
                <w:strike w:val="0"/>
                <w:dstrike w:val="0"/>
                <w:color w:val="auto"/>
                <w:sz w:val="21"/>
                <w:szCs w:val="21"/>
                <w:highlight w:val="none"/>
                <w:vertAlign w:val="baseline"/>
                <w:lang w:eastAsia="zh-CN"/>
              </w:rPr>
              <w:t>的储存池</w:t>
            </w:r>
            <w:r>
              <w:rPr>
                <w:rFonts w:hint="default"/>
                <w:color w:val="auto"/>
                <w:sz w:val="21"/>
                <w:szCs w:val="21"/>
                <w:highlight w:val="none"/>
              </w:rPr>
              <w:t>用于</w:t>
            </w:r>
            <w:r>
              <w:rPr>
                <w:rFonts w:hint="eastAsia"/>
                <w:color w:val="auto"/>
                <w:sz w:val="21"/>
                <w:szCs w:val="21"/>
                <w:highlight w:val="none"/>
              </w:rPr>
              <w:t>储存处理后</w:t>
            </w:r>
            <w:r>
              <w:rPr>
                <w:rFonts w:hint="default"/>
                <w:color w:val="auto"/>
                <w:sz w:val="21"/>
                <w:szCs w:val="21"/>
                <w:highlight w:val="none"/>
              </w:rPr>
              <w:t>的</w:t>
            </w:r>
            <w:r>
              <w:rPr>
                <w:rFonts w:hint="eastAsia"/>
                <w:color w:val="auto"/>
                <w:sz w:val="21"/>
                <w:szCs w:val="21"/>
                <w:highlight w:val="none"/>
              </w:rPr>
              <w:t>尾</w:t>
            </w:r>
            <w:r>
              <w:rPr>
                <w:rFonts w:hint="default"/>
                <w:color w:val="auto"/>
                <w:sz w:val="21"/>
                <w:szCs w:val="21"/>
                <w:highlight w:val="none"/>
              </w:rPr>
              <w:t>水</w:t>
            </w:r>
            <w:r>
              <w:rPr>
                <w:rFonts w:hint="eastAsia"/>
                <w:color w:val="auto"/>
                <w:sz w:val="21"/>
                <w:szCs w:val="21"/>
                <w:highlight w:val="none"/>
                <w:lang w:eastAsia="zh-CN"/>
              </w:rPr>
              <w:t>。</w:t>
            </w:r>
          </w:p>
        </w:tc>
        <w:tc>
          <w:tcPr>
            <w:tcW w:w="413"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6</w:t>
            </w:r>
          </w:p>
        </w:tc>
        <w:tc>
          <w:tcPr>
            <w:tcW w:w="0" w:type="auto"/>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　三、强化保障和支撑</w:t>
            </w:r>
          </w:p>
        </w:tc>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default" w:ascii="Times New Roman" w:hAnsi="Times New Roman"/>
                <w:color w:val="auto"/>
                <w:sz w:val="21"/>
                <w:highlight w:val="none"/>
              </w:rPr>
              <w:t>（一）完善粪肥还田管理制度。督促指导规模养殖场制定畜禽粪肥还田利用计划，根据养殖规模明确配套农田面积、农田类型、种植制度、粪肥使用时间及使用量等。推动建立畜禽粪污处理和粪肥利用台账，避免施用超量或时间不合理，并作为监督执法的重要依据。加强日常监测，及时掌握粪污养分和有害物质含量，严防还田环境风险。</w:t>
            </w:r>
          </w:p>
        </w:tc>
        <w:tc>
          <w:tcPr>
            <w:tcW w:w="3556"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本项目将</w:t>
            </w:r>
            <w:r>
              <w:rPr>
                <w:rFonts w:hint="default" w:ascii="Times New Roman" w:hAnsi="Times New Roman"/>
                <w:color w:val="auto"/>
                <w:sz w:val="21"/>
                <w:highlight w:val="none"/>
              </w:rPr>
              <w:t>建立畜禽粪污处理和粪肥利用台账，避免施用超量或时间不合理</w:t>
            </w:r>
            <w:r>
              <w:rPr>
                <w:rFonts w:hint="eastAsia" w:ascii="Times New Roman" w:hAnsi="Times New Roman"/>
                <w:color w:val="auto"/>
                <w:sz w:val="21"/>
                <w:highlight w:val="none"/>
                <w:lang w:eastAsia="zh-CN"/>
              </w:rPr>
              <w:t>。</w:t>
            </w:r>
          </w:p>
        </w:tc>
        <w:tc>
          <w:tcPr>
            <w:tcW w:w="413"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7</w:t>
            </w:r>
          </w:p>
        </w:tc>
        <w:tc>
          <w:tcPr>
            <w:tcW w:w="0" w:type="auto"/>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c>
          <w:tcPr>
            <w:tcW w:w="0" w:type="auto"/>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default" w:ascii="Times New Roman" w:hAnsi="Times New Roman"/>
                <w:color w:val="auto"/>
                <w:sz w:val="21"/>
                <w:highlight w:val="none"/>
              </w:rPr>
              <w:t>（二）加强技术和装备支撑。加快畜禽粪污资源化利用先进工艺、技术和装备研发，着力破除粪污资源化利用过程中的技术和成本障碍。鼓励养殖场户全量收集和利用畜禽粪污，根据实际情况选择合理的输送和施用方式，不再强制要求固液分离。结合本地实际，推行经济高效的粪污资源化利用技术模式，积极推广全量机械化施用，逐步改进粪肥施用方式。</w:t>
            </w:r>
          </w:p>
        </w:tc>
        <w:tc>
          <w:tcPr>
            <w:tcW w:w="3556"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lang w:eastAsia="zh-CN"/>
              </w:rPr>
              <w:t>本项目采用干清粪工艺，粪污运输至南江县万事康生物科技有限公司用作生产有机肥原料使用，不外排。废水经污水处理站处理后达到</w:t>
            </w:r>
            <w:r>
              <w:rPr>
                <w:rFonts w:hint="default" w:ascii="Times New Roman" w:hAnsi="Times New Roman" w:eastAsia="宋体" w:cs="Times New Roman"/>
                <w:color w:val="auto"/>
                <w:sz w:val="21"/>
                <w:highlight w:val="none"/>
              </w:rPr>
              <w:t>《农田灌溉水质标准》（GB5084</w:t>
            </w:r>
            <w:r>
              <w:rPr>
                <w:rFonts w:hint="eastAsia" w:ascii="Times New Roman" w:hAnsi="Times New Roman" w:cs="Times New Roman"/>
                <w:color w:val="auto"/>
                <w:sz w:val="21"/>
                <w:highlight w:val="none"/>
                <w:lang w:val="en-US" w:eastAsia="zh-CN"/>
              </w:rPr>
              <w:t>-2021</w:t>
            </w:r>
            <w:r>
              <w:rPr>
                <w:rFonts w:hint="default"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eastAsia="zh-CN"/>
              </w:rPr>
              <w:t>用于</w:t>
            </w:r>
            <w:r>
              <w:rPr>
                <w:rFonts w:hint="eastAsia" w:ascii="Times New Roman" w:hAnsi="Times New Roman" w:cs="Times New Roman"/>
                <w:color w:val="auto"/>
                <w:sz w:val="21"/>
                <w:highlight w:val="none"/>
                <w:lang w:eastAsia="zh-CN"/>
              </w:rPr>
              <w:t>林地及农田</w:t>
            </w:r>
            <w:r>
              <w:rPr>
                <w:rFonts w:hint="eastAsia" w:ascii="Times New Roman" w:hAnsi="Times New Roman" w:eastAsia="宋体" w:cs="Times New Roman"/>
                <w:color w:val="auto"/>
                <w:sz w:val="21"/>
                <w:highlight w:val="none"/>
                <w:lang w:eastAsia="zh-CN"/>
              </w:rPr>
              <w:t>灌溉。</w:t>
            </w:r>
            <w:r>
              <w:rPr>
                <w:rFonts w:hint="eastAsia" w:ascii="Times New Roman" w:hAnsi="Times New Roman" w:eastAsia="宋体"/>
                <w:color w:val="auto"/>
                <w:sz w:val="21"/>
                <w:highlight w:val="none"/>
                <w:lang w:eastAsia="zh-CN"/>
              </w:rPr>
              <w:t>实现</w:t>
            </w:r>
            <w:r>
              <w:rPr>
                <w:rFonts w:hint="default" w:ascii="Times New Roman" w:hAnsi="Times New Roman"/>
                <w:color w:val="auto"/>
                <w:sz w:val="21"/>
                <w:highlight w:val="none"/>
              </w:rPr>
              <w:t>经济高效的粪污资源化利用技术模式</w:t>
            </w:r>
          </w:p>
        </w:tc>
        <w:tc>
          <w:tcPr>
            <w:tcW w:w="413"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bl>
    <w:p>
      <w:pPr>
        <w:pStyle w:val="158"/>
        <w:ind w:firstLine="480"/>
        <w:rPr>
          <w:rFonts w:hint="eastAsia"/>
          <w:color w:val="auto"/>
          <w:kern w:val="0"/>
          <w:highlight w:val="none"/>
        </w:rPr>
      </w:pPr>
      <w:r>
        <w:rPr>
          <w:bCs/>
          <w:color w:val="auto"/>
          <w:highlight w:val="none"/>
        </w:rPr>
        <w:t>通过上表分析可知，</w:t>
      </w:r>
      <w:r>
        <w:rPr>
          <w:rFonts w:hint="eastAsia"/>
          <w:color w:val="auto"/>
          <w:kern w:val="0"/>
          <w:highlight w:val="none"/>
        </w:rPr>
        <w:t>本项目符合</w:t>
      </w:r>
      <w:r>
        <w:rPr>
          <w:rFonts w:hint="eastAsia"/>
          <w:color w:val="auto"/>
          <w:highlight w:val="none"/>
        </w:rPr>
        <w:t>《</w:t>
      </w:r>
      <w:r>
        <w:rPr>
          <w:rFonts w:hint="default" w:ascii="Times New Roman" w:hAnsi="Times New Roman" w:eastAsia="宋体" w:cs="Times New Roman"/>
          <w:color w:val="auto"/>
          <w:highlight w:val="none"/>
        </w:rPr>
        <w:t>业农村部办公厅 生态环境部办公厅关于进一步明确畜禽粪污还田利用要求强化养殖污染监管的通知</w:t>
      </w:r>
      <w:r>
        <w:rPr>
          <w:rFonts w:hint="eastAsia"/>
          <w:color w:val="auto"/>
          <w:highlight w:val="none"/>
        </w:rPr>
        <w:t>》</w:t>
      </w:r>
      <w:r>
        <w:rPr>
          <w:rFonts w:hint="eastAsia"/>
          <w:color w:val="auto"/>
          <w:kern w:val="0"/>
          <w:highlight w:val="none"/>
        </w:rPr>
        <w:t>的要求。</w:t>
      </w:r>
    </w:p>
    <w:p>
      <w:pPr>
        <w:pStyle w:val="8"/>
        <w:spacing w:before="0" w:after="0" w:line="360" w:lineRule="auto"/>
        <w:ind w:left="0" w:firstLine="0"/>
        <w:rPr>
          <w:rFonts w:cs="Times New Roman"/>
          <w:color w:val="auto"/>
          <w:highlight w:val="none"/>
        </w:rPr>
      </w:pPr>
      <w:bookmarkStart w:id="103" w:name="_Toc15743"/>
      <w:r>
        <w:rPr>
          <w:rFonts w:hint="eastAsia" w:cs="Times New Roman"/>
          <w:color w:val="auto"/>
          <w:highlight w:val="none"/>
        </w:rPr>
        <w:t>与“三线一单”</w:t>
      </w:r>
      <w:r>
        <w:rPr>
          <w:rFonts w:cs="Times New Roman"/>
          <w:color w:val="auto"/>
          <w:highlight w:val="none"/>
        </w:rPr>
        <w:t>符合性分析</w:t>
      </w:r>
      <w:bookmarkEnd w:id="103"/>
    </w:p>
    <w:p>
      <w:pPr>
        <w:spacing w:line="360" w:lineRule="auto"/>
        <w:ind w:firstLine="480" w:firstLineChars="200"/>
        <w:rPr>
          <w:rFonts w:hint="eastAsia" w:ascii="Times New Roman" w:hAnsi="Times New Roman" w:cs="Times New Roman"/>
          <w:b w:val="0"/>
          <w:bCs/>
          <w:color w:val="auto"/>
          <w:sz w:val="24"/>
          <w:szCs w:val="24"/>
          <w:highlight w:val="none"/>
          <w:lang w:eastAsia="zh-CN"/>
        </w:rPr>
      </w:pPr>
      <w:r>
        <w:rPr>
          <w:rFonts w:hint="eastAsia" w:ascii="Times New Roman" w:hAnsi="Times New Roman" w:cs="Times New Roman"/>
          <w:b w:val="0"/>
          <w:bCs/>
          <w:color w:val="auto"/>
          <w:sz w:val="24"/>
          <w:szCs w:val="24"/>
          <w:highlight w:val="none"/>
          <w:lang w:eastAsia="zh-CN"/>
        </w:rPr>
        <w:t>根据巴中市人民政府2021年6月</w:t>
      </w:r>
      <w:r>
        <w:rPr>
          <w:rFonts w:hint="eastAsia" w:ascii="Times New Roman" w:hAnsi="Times New Roman" w:cs="Times New Roman"/>
          <w:b w:val="0"/>
          <w:bCs/>
          <w:color w:val="auto"/>
          <w:sz w:val="24"/>
          <w:szCs w:val="24"/>
          <w:highlight w:val="none"/>
          <w:lang w:val="en-US" w:eastAsia="zh-CN"/>
        </w:rPr>
        <w:t>2</w:t>
      </w:r>
      <w:r>
        <w:rPr>
          <w:rFonts w:hint="eastAsia" w:ascii="Times New Roman" w:hAnsi="Times New Roman" w:cs="Times New Roman"/>
          <w:b w:val="0"/>
          <w:bCs/>
          <w:color w:val="auto"/>
          <w:sz w:val="24"/>
          <w:szCs w:val="24"/>
          <w:highlight w:val="none"/>
          <w:lang w:eastAsia="zh-CN"/>
        </w:rPr>
        <w:t>8日印发的《</w:t>
      </w:r>
      <w:r>
        <w:rPr>
          <w:rFonts w:hint="eastAsia" w:ascii="Times New Roman" w:hAnsi="Times New Roman" w:cs="Times New Roman"/>
          <w:color w:val="auto"/>
          <w:sz w:val="24"/>
          <w:szCs w:val="24"/>
          <w:highlight w:val="none"/>
          <w:lang w:eastAsia="zh-CN"/>
        </w:rPr>
        <w:t>关于实施“三线一单”生态环境分区管控的通知</w:t>
      </w:r>
      <w:r>
        <w:rPr>
          <w:rFonts w:hint="eastAsia" w:ascii="Times New Roman" w:hAnsi="Times New Roman" w:cs="Times New Roman"/>
          <w:b w:val="0"/>
          <w:bCs/>
          <w:color w:val="auto"/>
          <w:sz w:val="24"/>
          <w:szCs w:val="24"/>
          <w:highlight w:val="none"/>
          <w:lang w:eastAsia="zh-CN"/>
        </w:rPr>
        <w:t>》（巴府发〔2021〕</w:t>
      </w:r>
      <w:r>
        <w:rPr>
          <w:rFonts w:hint="eastAsia" w:ascii="Times New Roman" w:hAnsi="Times New Roman" w:cs="Times New Roman"/>
          <w:b w:val="0"/>
          <w:bCs/>
          <w:color w:val="auto"/>
          <w:sz w:val="24"/>
          <w:szCs w:val="24"/>
          <w:highlight w:val="none"/>
          <w:lang w:val="en-US" w:eastAsia="zh-CN"/>
        </w:rPr>
        <w:t>5</w:t>
      </w:r>
      <w:r>
        <w:rPr>
          <w:rFonts w:hint="eastAsia" w:ascii="Times New Roman" w:hAnsi="Times New Roman" w:cs="Times New Roman"/>
          <w:b w:val="0"/>
          <w:bCs/>
          <w:color w:val="auto"/>
          <w:sz w:val="24"/>
          <w:szCs w:val="24"/>
          <w:highlight w:val="none"/>
          <w:lang w:eastAsia="zh-CN"/>
        </w:rPr>
        <w:t xml:space="preserve"> 号）：按照省委“一干多支、五区协同”的区域发展战略和市委“三市两地一枢纽”发展定位，立足成渝地区北向重要门户的区域特征、发展定位及突出生态环境问题，将全市行政区域从生态环境保护角度划分为优先保护、重点管控和一般管控三类环境管控单元。</w:t>
      </w:r>
    </w:p>
    <w:p>
      <w:pPr>
        <w:spacing w:line="360" w:lineRule="auto"/>
        <w:ind w:firstLine="482" w:firstLineChars="200"/>
        <w:rPr>
          <w:rFonts w:hint="eastAsia" w:ascii="Times New Roman" w:hAnsi="Times New Roman" w:cs="Times New Roman"/>
          <w:b w:val="0"/>
          <w:bCs/>
          <w:color w:val="auto"/>
          <w:sz w:val="24"/>
          <w:szCs w:val="24"/>
          <w:highlight w:val="none"/>
          <w:lang w:eastAsia="zh-CN"/>
        </w:rPr>
      </w:pPr>
      <w:r>
        <w:rPr>
          <w:rFonts w:hint="eastAsia" w:ascii="Times New Roman" w:hAnsi="Times New Roman" w:cs="Times New Roman"/>
          <w:b/>
          <w:bCs w:val="0"/>
          <w:color w:val="auto"/>
          <w:sz w:val="24"/>
          <w:szCs w:val="24"/>
          <w:highlight w:val="none"/>
          <w:lang w:eastAsia="zh-CN"/>
        </w:rPr>
        <w:t>1.优先保护单元。</w:t>
      </w:r>
      <w:r>
        <w:rPr>
          <w:rFonts w:hint="eastAsia" w:ascii="Times New Roman" w:hAnsi="Times New Roman" w:cs="Times New Roman"/>
          <w:b w:val="0"/>
          <w:bCs/>
          <w:color w:val="auto"/>
          <w:sz w:val="24"/>
          <w:szCs w:val="24"/>
          <w:highlight w:val="none"/>
          <w:lang w:eastAsia="zh-CN"/>
        </w:rPr>
        <w:t>以生态环境保护为主的区域，全市划分优先保护单元13个，主要包括生态保护红线、自然保护地、饮用水水源保护区和重点生态环境敏感区、脆弱区等。以生态环境保护优先为原则，严格执行相关法律、法规要求，严守生态环境质量底线，确保生态环境功能不降低。</w:t>
      </w:r>
    </w:p>
    <w:p>
      <w:pPr>
        <w:spacing w:line="360" w:lineRule="auto"/>
        <w:ind w:firstLine="482" w:firstLineChars="200"/>
        <w:rPr>
          <w:rFonts w:hint="eastAsia" w:ascii="Times New Roman" w:hAnsi="Times New Roman" w:cs="Times New Roman"/>
          <w:b w:val="0"/>
          <w:bCs/>
          <w:color w:val="auto"/>
          <w:sz w:val="24"/>
          <w:szCs w:val="24"/>
          <w:highlight w:val="none"/>
          <w:lang w:eastAsia="zh-CN"/>
        </w:rPr>
      </w:pPr>
      <w:r>
        <w:rPr>
          <w:rFonts w:hint="eastAsia" w:ascii="Times New Roman" w:hAnsi="Times New Roman" w:cs="Times New Roman"/>
          <w:b/>
          <w:bCs w:val="0"/>
          <w:color w:val="auto"/>
          <w:sz w:val="24"/>
          <w:szCs w:val="24"/>
          <w:highlight w:val="none"/>
          <w:lang w:eastAsia="zh-CN"/>
        </w:rPr>
        <w:t>2.重点管控单元。</w:t>
      </w:r>
      <w:r>
        <w:rPr>
          <w:rFonts w:hint="eastAsia" w:ascii="Times New Roman" w:hAnsi="Times New Roman" w:cs="Times New Roman"/>
          <w:b w:val="0"/>
          <w:bCs/>
          <w:color w:val="auto"/>
          <w:sz w:val="24"/>
          <w:szCs w:val="24"/>
          <w:highlight w:val="none"/>
          <w:lang w:eastAsia="zh-CN"/>
        </w:rPr>
        <w:t>涉及水、大气、土壤等资源环境要素重点管控的区域，全市划分重点管控单元21个，主要包括人口密集的城镇规划区和产业集聚的工业园区（工业集聚区）等。有针对性地加强污染物排放控制和环境风险防控，不断提升资源利用效率，解决生态环境质量不达标、生态环境风险突出等问题，制定差别化的生态环境准入要求。</w:t>
      </w:r>
    </w:p>
    <w:p>
      <w:pPr>
        <w:spacing w:line="360" w:lineRule="auto"/>
        <w:ind w:firstLine="482" w:firstLineChars="200"/>
        <w:rPr>
          <w:rFonts w:hint="eastAsia" w:ascii="Times New Roman" w:hAnsi="Times New Roman" w:cs="Times New Roman"/>
          <w:b w:val="0"/>
          <w:bCs/>
          <w:color w:val="auto"/>
          <w:sz w:val="24"/>
          <w:szCs w:val="24"/>
          <w:highlight w:val="none"/>
          <w:lang w:eastAsia="zh-CN"/>
        </w:rPr>
      </w:pPr>
      <w:r>
        <w:rPr>
          <w:rFonts w:hint="eastAsia" w:ascii="Times New Roman" w:hAnsi="Times New Roman" w:cs="Times New Roman"/>
          <w:b/>
          <w:bCs w:val="0"/>
          <w:color w:val="auto"/>
          <w:sz w:val="24"/>
          <w:szCs w:val="24"/>
          <w:highlight w:val="none"/>
          <w:lang w:eastAsia="zh-CN"/>
        </w:rPr>
        <w:t>3.一般管控单元</w:t>
      </w:r>
      <w:r>
        <w:rPr>
          <w:rFonts w:hint="eastAsia" w:ascii="Times New Roman" w:hAnsi="Times New Roman" w:cs="Times New Roman"/>
          <w:b w:val="0"/>
          <w:bCs/>
          <w:color w:val="auto"/>
          <w:sz w:val="24"/>
          <w:szCs w:val="24"/>
          <w:highlight w:val="none"/>
          <w:lang w:eastAsia="zh-CN"/>
        </w:rPr>
        <w:t>。除优先保护单元和重点管控单元之外的其他区域，全市共划分一般管控单元5个。执行区域生态环境保护的基本要求，重点加强农业、生活等领域污染治理</w:t>
      </w:r>
    </w:p>
    <w:p>
      <w:pPr>
        <w:spacing w:line="360" w:lineRule="auto"/>
        <w:ind w:firstLine="482" w:firstLineChars="200"/>
        <w:rPr>
          <w:rFonts w:ascii="Times New Roman" w:hAnsi="Times New Roman" w:cs="Times New Roman"/>
          <w:b/>
          <w:color w:val="auto"/>
          <w:sz w:val="24"/>
          <w:szCs w:val="24"/>
          <w:highlight w:val="none"/>
          <w:lang w:eastAsia="zh-CN"/>
        </w:rPr>
      </w:pPr>
      <w:r>
        <w:rPr>
          <w:rFonts w:ascii="Times New Roman" w:hAnsi="Times New Roman" w:cs="Times New Roman"/>
          <w:b/>
          <w:color w:val="auto"/>
          <w:sz w:val="24"/>
          <w:szCs w:val="24"/>
          <w:highlight w:val="none"/>
          <w:lang w:eastAsia="zh-CN"/>
        </w:rPr>
        <w:t>1、</w:t>
      </w:r>
      <w:r>
        <w:rPr>
          <w:rFonts w:hint="eastAsia" w:ascii="Times New Roman" w:hAnsi="Times New Roman" w:cs="Times New Roman"/>
          <w:b/>
          <w:color w:val="auto"/>
          <w:sz w:val="24"/>
          <w:szCs w:val="24"/>
          <w:highlight w:val="none"/>
          <w:lang w:eastAsia="zh-CN"/>
        </w:rPr>
        <w:t>生态保护红线</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Times New Roman" w:hAnsi="Times New Roman" w:cs="Times New Roman"/>
          <w:color w:val="auto"/>
          <w:sz w:val="24"/>
          <w:szCs w:val="24"/>
          <w:highlight w:val="none"/>
          <w:lang w:eastAsia="zh-CN"/>
        </w:rPr>
        <w:t>根据《长江经济带战略环境评价四川省巴中市“三线一单”生态环境分区管控优化完善研究报告》，</w:t>
      </w:r>
      <w:r>
        <w:rPr>
          <w:rFonts w:hint="default" w:ascii="Times New Roman" w:hAnsi="Times New Roman" w:eastAsia="宋体" w:cs="Times New Roman"/>
          <w:color w:val="auto"/>
          <w:sz w:val="24"/>
          <w:szCs w:val="24"/>
          <w:highlight w:val="none"/>
        </w:rPr>
        <w:t>巴中市生态保护红线面积1685.62km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，占巴中市国土面积比例的13.71%，与原2018年相比，面积减少343.34km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，其中调入红线159.65km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，调出红线502.99km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w:t>
      </w:r>
      <w:r>
        <w:rPr>
          <w:rFonts w:hint="eastAsia" w:ascii="宋体" w:hAnsi="宋体" w:eastAsia="宋体" w:cs="宋体"/>
          <w:color w:val="auto"/>
          <w:kern w:val="0"/>
          <w:sz w:val="24"/>
          <w:szCs w:val="24"/>
          <w:highlight w:val="none"/>
          <w:lang w:val="en-US" w:eastAsia="zh-CN" w:bidi="ar"/>
        </w:rPr>
        <w:t>巴中市生态保护红线区域详见下表。</w:t>
      </w:r>
    </w:p>
    <w:p>
      <w:pPr>
        <w:numPr>
          <w:ilvl w:val="0"/>
          <w:numId w:val="13"/>
        </w:numPr>
        <w:tabs>
          <w:tab w:val="left" w:pos="0"/>
        </w:tabs>
        <w:ind w:left="425" w:leftChars="0" w:hanging="425" w:firstLineChars="0"/>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 xml:space="preserve"> 生态保护红线调整面积变化情况一览表（km</w:t>
      </w:r>
      <w:r>
        <w:rPr>
          <w:rFonts w:hint="eastAsia" w:ascii="Times New Roman" w:hAnsi="Times New Roman" w:eastAsia="宋体" w:cs="Times New Roman"/>
          <w:b/>
          <w:bCs/>
          <w:color w:val="auto"/>
          <w:sz w:val="21"/>
          <w:szCs w:val="21"/>
          <w:highlight w:val="none"/>
          <w:vertAlign w:val="superscript"/>
          <w:lang w:val="en-US" w:eastAsia="zh-CN"/>
        </w:rPr>
        <w:t>2</w:t>
      </w:r>
      <w:r>
        <w:rPr>
          <w:rFonts w:hint="eastAsia" w:ascii="Times New Roman" w:hAnsi="Times New Roman" w:eastAsia="宋体" w:cs="Times New Roman"/>
          <w:b/>
          <w:bCs/>
          <w:color w:val="auto"/>
          <w:sz w:val="21"/>
          <w:szCs w:val="21"/>
          <w:highlight w:val="none"/>
          <w:lang w:val="en-US" w:eastAsia="zh-CN"/>
        </w:rPr>
        <w:t>）</w:t>
      </w:r>
    </w:p>
    <w:tbl>
      <w:tblPr>
        <w:tblStyle w:val="9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072"/>
        <w:gridCol w:w="6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515"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b/>
                <w:bCs/>
                <w:color w:val="auto"/>
                <w:kern w:val="0"/>
                <w:sz w:val="21"/>
                <w:szCs w:val="21"/>
                <w:highlight w:val="none"/>
              </w:rPr>
            </w:pPr>
            <w:r>
              <w:rPr>
                <w:rFonts w:hint="default" w:cs="Times New Roman"/>
                <w:b/>
                <w:bCs/>
                <w:color w:val="auto"/>
                <w:kern w:val="0"/>
                <w:sz w:val="21"/>
                <w:szCs w:val="21"/>
                <w:highlight w:val="none"/>
              </w:rPr>
              <w:t>序号</w:t>
            </w:r>
          </w:p>
        </w:tc>
        <w:tc>
          <w:tcPr>
            <w:tcW w:w="629"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b/>
                <w:bCs/>
                <w:color w:val="auto"/>
                <w:kern w:val="0"/>
                <w:sz w:val="21"/>
                <w:szCs w:val="21"/>
                <w:highlight w:val="none"/>
              </w:rPr>
            </w:pPr>
            <w:r>
              <w:rPr>
                <w:rFonts w:hint="default" w:cs="Times New Roman"/>
                <w:b/>
                <w:bCs/>
                <w:color w:val="auto"/>
                <w:kern w:val="0"/>
                <w:sz w:val="21"/>
                <w:szCs w:val="21"/>
                <w:highlight w:val="none"/>
              </w:rPr>
              <w:t>区县</w:t>
            </w:r>
          </w:p>
        </w:tc>
        <w:tc>
          <w:tcPr>
            <w:tcW w:w="385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b/>
                <w:bCs/>
                <w:color w:val="auto"/>
                <w:kern w:val="0"/>
                <w:sz w:val="21"/>
                <w:szCs w:val="21"/>
                <w:highlight w:val="none"/>
              </w:rPr>
            </w:pPr>
            <w:r>
              <w:rPr>
                <w:rFonts w:hint="eastAsia" w:cs="Times New Roman"/>
                <w:b/>
                <w:bCs/>
                <w:color w:val="auto"/>
                <w:kern w:val="0"/>
                <w:sz w:val="21"/>
                <w:szCs w:val="21"/>
                <w:highlight w:val="none"/>
              </w:rPr>
              <w:t>划入保护地类型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515"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kern w:val="0"/>
                <w:sz w:val="21"/>
                <w:szCs w:val="21"/>
                <w:highlight w:val="none"/>
              </w:rPr>
            </w:pPr>
            <w:r>
              <w:rPr>
                <w:rFonts w:hint="default" w:cs="Times New Roman"/>
                <w:color w:val="auto"/>
                <w:sz w:val="21"/>
                <w:szCs w:val="21"/>
                <w:highlight w:val="none"/>
              </w:rPr>
              <w:t>1</w:t>
            </w:r>
          </w:p>
        </w:tc>
        <w:tc>
          <w:tcPr>
            <w:tcW w:w="629"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kern w:val="0"/>
                <w:sz w:val="21"/>
                <w:szCs w:val="21"/>
                <w:highlight w:val="none"/>
              </w:rPr>
            </w:pPr>
            <w:r>
              <w:rPr>
                <w:rFonts w:hint="default" w:cs="Times New Roman"/>
                <w:color w:val="auto"/>
                <w:sz w:val="21"/>
                <w:szCs w:val="21"/>
                <w:highlight w:val="none"/>
              </w:rPr>
              <w:t>巴州区</w:t>
            </w:r>
          </w:p>
        </w:tc>
        <w:tc>
          <w:tcPr>
            <w:tcW w:w="385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sz w:val="21"/>
                <w:szCs w:val="21"/>
                <w:highlight w:val="none"/>
              </w:rPr>
            </w:pPr>
            <w:r>
              <w:rPr>
                <w:rFonts w:hint="eastAsia" w:cs="Times New Roman"/>
                <w:color w:val="auto"/>
                <w:sz w:val="21"/>
                <w:szCs w:val="21"/>
                <w:highlight w:val="none"/>
              </w:rPr>
              <w:t>巴河大佛寺水源地保护区、巴中市化成水库集中式饮用水水源保护区、四川驷马河国家湿地自然公园、天马山国家森林自然公园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515"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kern w:val="0"/>
                <w:sz w:val="21"/>
                <w:szCs w:val="21"/>
                <w:highlight w:val="none"/>
              </w:rPr>
            </w:pPr>
            <w:r>
              <w:rPr>
                <w:rFonts w:hint="default" w:cs="Times New Roman"/>
                <w:color w:val="auto"/>
                <w:kern w:val="0"/>
                <w:sz w:val="21"/>
                <w:szCs w:val="21"/>
                <w:highlight w:val="none"/>
              </w:rPr>
              <w:t>2</w:t>
            </w:r>
          </w:p>
        </w:tc>
        <w:tc>
          <w:tcPr>
            <w:tcW w:w="629"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kern w:val="0"/>
                <w:sz w:val="21"/>
                <w:szCs w:val="21"/>
                <w:highlight w:val="none"/>
              </w:rPr>
            </w:pPr>
            <w:r>
              <w:rPr>
                <w:rFonts w:hint="default" w:cs="Times New Roman"/>
                <w:color w:val="auto"/>
                <w:sz w:val="21"/>
                <w:szCs w:val="21"/>
                <w:highlight w:val="none"/>
              </w:rPr>
              <w:t>恩阳区</w:t>
            </w:r>
          </w:p>
        </w:tc>
        <w:tc>
          <w:tcPr>
            <w:tcW w:w="385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sz w:val="21"/>
                <w:szCs w:val="21"/>
                <w:highlight w:val="none"/>
              </w:rPr>
            </w:pPr>
            <w:r>
              <w:rPr>
                <w:rFonts w:hint="eastAsia" w:cs="Times New Roman"/>
                <w:color w:val="auto"/>
                <w:sz w:val="21"/>
                <w:szCs w:val="21"/>
                <w:highlight w:val="none"/>
              </w:rPr>
              <w:t>四川省章怀山森林自然公园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515"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kern w:val="0"/>
                <w:sz w:val="21"/>
                <w:szCs w:val="21"/>
                <w:highlight w:val="none"/>
              </w:rPr>
            </w:pPr>
            <w:r>
              <w:rPr>
                <w:rFonts w:hint="default" w:cs="Times New Roman"/>
                <w:color w:val="auto"/>
                <w:kern w:val="0"/>
                <w:sz w:val="21"/>
                <w:szCs w:val="21"/>
                <w:highlight w:val="none"/>
              </w:rPr>
              <w:t>3</w:t>
            </w:r>
          </w:p>
        </w:tc>
        <w:tc>
          <w:tcPr>
            <w:tcW w:w="629"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kern w:val="0"/>
                <w:sz w:val="21"/>
                <w:szCs w:val="21"/>
                <w:highlight w:val="none"/>
              </w:rPr>
            </w:pPr>
            <w:r>
              <w:rPr>
                <w:rFonts w:hint="default" w:cs="Times New Roman"/>
                <w:color w:val="auto"/>
                <w:sz w:val="21"/>
                <w:szCs w:val="21"/>
                <w:highlight w:val="none"/>
              </w:rPr>
              <w:t>南江县</w:t>
            </w:r>
          </w:p>
        </w:tc>
        <w:tc>
          <w:tcPr>
            <w:tcW w:w="385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sz w:val="21"/>
                <w:szCs w:val="21"/>
                <w:highlight w:val="none"/>
              </w:rPr>
            </w:pPr>
            <w:r>
              <w:rPr>
                <w:rFonts w:hint="eastAsia" w:cs="Times New Roman"/>
                <w:color w:val="auto"/>
                <w:sz w:val="21"/>
                <w:szCs w:val="21"/>
                <w:highlight w:val="none"/>
              </w:rPr>
              <w:t>四川大小兰沟省级自然保护区、四川米仓山国家森林自然公园（四川米仓山国家级自然保护区、天马山国家森林自然公园）、生态功能极重要区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515"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kern w:val="0"/>
                <w:sz w:val="21"/>
                <w:szCs w:val="21"/>
                <w:highlight w:val="none"/>
              </w:rPr>
            </w:pPr>
            <w:r>
              <w:rPr>
                <w:rFonts w:hint="default" w:cs="Times New Roman"/>
                <w:color w:val="auto"/>
                <w:kern w:val="0"/>
                <w:sz w:val="21"/>
                <w:szCs w:val="21"/>
                <w:highlight w:val="none"/>
              </w:rPr>
              <w:t>4</w:t>
            </w:r>
          </w:p>
        </w:tc>
        <w:tc>
          <w:tcPr>
            <w:tcW w:w="629"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kern w:val="0"/>
                <w:sz w:val="21"/>
                <w:szCs w:val="21"/>
                <w:highlight w:val="none"/>
              </w:rPr>
            </w:pPr>
            <w:r>
              <w:rPr>
                <w:rFonts w:hint="default" w:cs="Times New Roman"/>
                <w:color w:val="auto"/>
                <w:sz w:val="21"/>
                <w:szCs w:val="21"/>
                <w:highlight w:val="none"/>
              </w:rPr>
              <w:t>平昌县</w:t>
            </w:r>
          </w:p>
        </w:tc>
        <w:tc>
          <w:tcPr>
            <w:tcW w:w="385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sz w:val="21"/>
                <w:szCs w:val="21"/>
                <w:highlight w:val="none"/>
              </w:rPr>
            </w:pPr>
            <w:r>
              <w:rPr>
                <w:rFonts w:hint="eastAsia" w:cs="Times New Roman"/>
                <w:color w:val="auto"/>
                <w:sz w:val="21"/>
                <w:szCs w:val="21"/>
                <w:highlight w:val="none"/>
              </w:rPr>
              <w:t>生态功能极重要区、平昌县双桥水库集中式饮用水水源保护区、通河刘家河水源地、四川驷马河国家湿地自然公园、镇龙山国家森林自然公园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515"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kern w:val="0"/>
                <w:sz w:val="21"/>
                <w:szCs w:val="21"/>
                <w:highlight w:val="none"/>
              </w:rPr>
            </w:pPr>
            <w:r>
              <w:rPr>
                <w:rFonts w:hint="default" w:cs="Times New Roman"/>
                <w:color w:val="auto"/>
                <w:kern w:val="0"/>
                <w:sz w:val="21"/>
                <w:szCs w:val="21"/>
                <w:highlight w:val="none"/>
              </w:rPr>
              <w:t>5</w:t>
            </w:r>
          </w:p>
        </w:tc>
        <w:tc>
          <w:tcPr>
            <w:tcW w:w="629" w:type="pct"/>
            <w:shd w:val="clear" w:color="auto" w:fill="auto"/>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kern w:val="0"/>
                <w:sz w:val="21"/>
                <w:szCs w:val="21"/>
                <w:highlight w:val="none"/>
              </w:rPr>
            </w:pPr>
            <w:r>
              <w:rPr>
                <w:rFonts w:hint="default" w:cs="Times New Roman"/>
                <w:color w:val="auto"/>
                <w:sz w:val="21"/>
                <w:szCs w:val="21"/>
                <w:highlight w:val="none"/>
              </w:rPr>
              <w:t>通江县</w:t>
            </w:r>
          </w:p>
        </w:tc>
        <w:tc>
          <w:tcPr>
            <w:tcW w:w="385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s="Times New Roman"/>
                <w:color w:val="auto"/>
                <w:sz w:val="21"/>
                <w:szCs w:val="21"/>
                <w:highlight w:val="none"/>
              </w:rPr>
            </w:pPr>
            <w:r>
              <w:rPr>
                <w:rFonts w:hint="eastAsia" w:cs="Times New Roman"/>
                <w:color w:val="auto"/>
                <w:sz w:val="21"/>
                <w:szCs w:val="21"/>
                <w:highlight w:val="none"/>
              </w:rPr>
              <w:t>四川五台山猕猴省级自然保护区、大通江河岩原鲤国家级水产种质资源保护区、小通江河沉渡潭集中式饮用水水源保护区、通江县方田坝——二郎庙水库集中式饮用水水源保护区、生态功能极重要区、诺水河-空山国家地质自然公园、四川诺水河省级自然保护区、四川诺水河珍稀水生动物国家级自然保护区</w:t>
            </w:r>
          </w:p>
        </w:tc>
      </w:tr>
    </w:tbl>
    <w:p>
      <w:pPr>
        <w:spacing w:line="240" w:lineRule="auto"/>
        <w:ind w:firstLine="0" w:firstLineChars="0"/>
        <w:rPr>
          <w:rFonts w:eastAsia="仿宋"/>
          <w:color w:val="auto"/>
          <w:spacing w:val="-4"/>
          <w:sz w:val="21"/>
          <w:szCs w:val="21"/>
          <w:highlight w:val="none"/>
        </w:rPr>
      </w:pPr>
      <w:r>
        <w:rPr>
          <w:rFonts w:eastAsia="仿宋"/>
          <w:color w:val="auto"/>
          <w:spacing w:val="-4"/>
          <w:sz w:val="21"/>
          <w:szCs w:val="21"/>
          <w:highlight w:val="none"/>
        </w:rPr>
        <w:t>（</w:t>
      </w:r>
      <w:r>
        <w:rPr>
          <w:rFonts w:hint="eastAsia" w:eastAsia="仿宋"/>
          <w:color w:val="auto"/>
          <w:spacing w:val="-4"/>
          <w:sz w:val="21"/>
          <w:szCs w:val="21"/>
          <w:highlight w:val="none"/>
        </w:rPr>
        <w:t>备注：</w:t>
      </w:r>
      <w:r>
        <w:rPr>
          <w:rFonts w:eastAsia="仿宋"/>
          <w:color w:val="auto"/>
          <w:spacing w:val="-4"/>
          <w:sz w:val="21"/>
          <w:szCs w:val="21"/>
          <w:highlight w:val="none"/>
        </w:rPr>
        <w:t>生态保护红线数据来源于2021年4月17月</w:t>
      </w:r>
      <w:r>
        <w:rPr>
          <w:rFonts w:hint="eastAsia" w:eastAsia="仿宋"/>
          <w:color w:val="auto"/>
          <w:spacing w:val="-4"/>
          <w:sz w:val="21"/>
          <w:szCs w:val="21"/>
          <w:highlight w:val="none"/>
        </w:rPr>
        <w:t>最新</w:t>
      </w:r>
      <w:r>
        <w:rPr>
          <w:rFonts w:eastAsia="仿宋"/>
          <w:color w:val="auto"/>
          <w:spacing w:val="-4"/>
          <w:sz w:val="21"/>
          <w:szCs w:val="21"/>
          <w:highlight w:val="none"/>
        </w:rPr>
        <w:t>成果）</w:t>
      </w:r>
    </w:p>
    <w:p>
      <w:pPr>
        <w:spacing w:line="360" w:lineRule="auto"/>
        <w:ind w:firstLine="480" w:firstLineChars="20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根据巴中市生态保护红线分布图，本项目不涉及巴中市生态保护红线范围，区域规划符合生态保护红线要求。</w:t>
      </w:r>
    </w:p>
    <w:p>
      <w:pPr>
        <w:pStyle w:val="33"/>
        <w:rPr>
          <w:color w:val="auto"/>
          <w:highlight w:val="none"/>
          <w:lang w:eastAsia="zh-CN"/>
        </w:rPr>
      </w:pPr>
      <w:r>
        <w:rPr>
          <w:color w:val="auto"/>
          <w:highlight w:val="none"/>
        </w:rPr>
        <w:drawing>
          <wp:inline distT="0" distB="0" distL="114300" distR="114300">
            <wp:extent cx="5266690" cy="3460115"/>
            <wp:effectExtent l="0" t="0" r="10160" b="6985"/>
            <wp:docPr id="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icPr>
                  <pic:blipFill>
                    <a:blip r:embed="rId15"/>
                    <a:stretch>
                      <a:fillRect/>
                    </a:stretch>
                  </pic:blipFill>
                  <pic:spPr>
                    <a:xfrm>
                      <a:off x="0" y="0"/>
                      <a:ext cx="5266690" cy="3460115"/>
                    </a:xfrm>
                    <a:prstGeom prst="rect">
                      <a:avLst/>
                    </a:prstGeom>
                    <a:noFill/>
                    <a:ln>
                      <a:noFill/>
                    </a:ln>
                  </pic:spPr>
                </pic:pic>
              </a:graphicData>
            </a:graphic>
          </wp:inline>
        </w:drawing>
      </w:r>
    </w:p>
    <w:p>
      <w:pPr>
        <w:numPr>
          <w:ilvl w:val="0"/>
          <w:numId w:val="14"/>
        </w:numPr>
        <w:ind w:left="425" w:leftChars="0" w:hanging="425" w:firstLineChars="0"/>
        <w:jc w:val="center"/>
        <w:rPr>
          <w:rFonts w:ascii="Times New Roman" w:hAnsi="Times New Roman" w:cs="Times New Roman"/>
          <w:b/>
          <w:bCs w:val="0"/>
          <w:color w:val="auto"/>
          <w:sz w:val="21"/>
          <w:szCs w:val="21"/>
          <w:highlight w:val="none"/>
          <w:lang w:eastAsia="zh-CN"/>
        </w:rPr>
      </w:pPr>
      <w:r>
        <w:rPr>
          <w:rFonts w:hint="eastAsia" w:ascii="Times New Roman" w:hAnsi="Times New Roman" w:cs="Times New Roman"/>
          <w:b/>
          <w:bCs w:val="0"/>
          <w:color w:val="auto"/>
          <w:sz w:val="21"/>
          <w:szCs w:val="21"/>
          <w:highlight w:val="none"/>
          <w:lang w:eastAsia="zh-CN"/>
        </w:rPr>
        <w:t>巴中市</w:t>
      </w:r>
      <w:r>
        <w:rPr>
          <w:rFonts w:ascii="Times New Roman" w:hAnsi="Times New Roman" w:cs="Times New Roman"/>
          <w:b/>
          <w:bCs w:val="0"/>
          <w:color w:val="auto"/>
          <w:sz w:val="21"/>
          <w:szCs w:val="21"/>
          <w:highlight w:val="none"/>
          <w:lang w:eastAsia="zh-CN"/>
        </w:rPr>
        <w:t>生态</w:t>
      </w:r>
      <w:r>
        <w:rPr>
          <w:rFonts w:hint="eastAsia" w:ascii="Times New Roman" w:hAnsi="Times New Roman" w:cs="Times New Roman"/>
          <w:b/>
          <w:bCs w:val="0"/>
          <w:color w:val="auto"/>
          <w:sz w:val="21"/>
          <w:szCs w:val="21"/>
          <w:highlight w:val="none"/>
          <w:lang w:eastAsia="zh-CN"/>
        </w:rPr>
        <w:t>保护</w:t>
      </w:r>
      <w:r>
        <w:rPr>
          <w:rFonts w:ascii="Times New Roman" w:hAnsi="Times New Roman" w:cs="Times New Roman"/>
          <w:b/>
          <w:bCs w:val="0"/>
          <w:color w:val="auto"/>
          <w:sz w:val="21"/>
          <w:szCs w:val="21"/>
          <w:highlight w:val="none"/>
          <w:lang w:eastAsia="zh-CN"/>
        </w:rPr>
        <w:t>红线分布图</w:t>
      </w:r>
      <w:r>
        <w:rPr>
          <w:rFonts w:eastAsia="黑体"/>
          <w:color w:val="auto"/>
          <w:sz w:val="24"/>
          <w:szCs w:val="24"/>
          <w:highlight w:val="none"/>
        </w:rPr>
        <w:t>（</w:t>
      </w:r>
      <w:r>
        <w:rPr>
          <w:rFonts w:hint="eastAsia" w:eastAsia="黑体"/>
          <w:color w:val="auto"/>
          <w:sz w:val="24"/>
          <w:szCs w:val="24"/>
          <w:highlight w:val="none"/>
        </w:rPr>
        <w:t>优化成果</w:t>
      </w:r>
      <w:r>
        <w:rPr>
          <w:rFonts w:eastAsia="黑体"/>
          <w:color w:val="auto"/>
          <w:sz w:val="24"/>
          <w:szCs w:val="24"/>
          <w:highlight w:val="none"/>
        </w:rPr>
        <w:t>）</w:t>
      </w:r>
    </w:p>
    <w:p>
      <w:pPr>
        <w:spacing w:line="360" w:lineRule="auto"/>
        <w:ind w:firstLine="482" w:firstLineChars="200"/>
        <w:rPr>
          <w:rFonts w:hint="default" w:ascii="Times New Roman" w:hAnsi="Times New Roman" w:cs="Times New Roman"/>
          <w:b/>
          <w:color w:val="auto"/>
          <w:sz w:val="24"/>
          <w:szCs w:val="24"/>
          <w:highlight w:val="none"/>
          <w:lang w:eastAsia="zh-CN"/>
        </w:rPr>
      </w:pPr>
      <w:r>
        <w:rPr>
          <w:rFonts w:hint="eastAsia" w:ascii="Times New Roman" w:hAnsi="Times New Roman" w:cs="Times New Roman"/>
          <w:b/>
          <w:color w:val="auto"/>
          <w:sz w:val="24"/>
          <w:szCs w:val="24"/>
          <w:highlight w:val="none"/>
          <w:lang w:val="en-US" w:eastAsia="zh-CN"/>
        </w:rPr>
        <w:t>2、</w:t>
      </w:r>
      <w:r>
        <w:rPr>
          <w:rFonts w:hint="default" w:ascii="Times New Roman" w:hAnsi="Times New Roman" w:cs="Times New Roman"/>
          <w:b/>
          <w:color w:val="auto"/>
          <w:sz w:val="24"/>
          <w:szCs w:val="24"/>
          <w:highlight w:val="none"/>
          <w:lang w:val="en-US" w:eastAsia="zh-CN"/>
        </w:rPr>
        <w:t>环境质量底线</w:t>
      </w:r>
    </w:p>
    <w:p>
      <w:pPr>
        <w:pStyle w:val="90"/>
        <w:keepNext w:val="0"/>
        <w:keepLines w:val="0"/>
        <w:pageBreakBefore w:val="0"/>
        <w:widowControl w:val="0"/>
        <w:kinsoku/>
        <w:wordWrap/>
        <w:overflowPunct/>
        <w:topLinePunct w:val="0"/>
        <w:autoSpaceDE/>
        <w:autoSpaceDN/>
        <w:bidi w:val="0"/>
        <w:adjustRightInd/>
        <w:snapToGrid/>
        <w:spacing w:after="0" w:line="360" w:lineRule="auto"/>
        <w:ind w:left="0" w:leftChars="0" w:firstLine="482" w:firstLineChars="200"/>
        <w:textAlignment w:val="auto"/>
        <w:rPr>
          <w:rFonts w:hint="eastAsia"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（1）水环境质量底线</w:t>
      </w:r>
    </w:p>
    <w:p>
      <w:pPr>
        <w:pStyle w:val="24"/>
        <w:adjustRightInd w:val="0"/>
        <w:snapToGrid w:val="0"/>
        <w:spacing w:line="360" w:lineRule="auto"/>
        <w:ind w:firstLine="480"/>
        <w:rPr>
          <w:rFonts w:ascii="Times New Roman" w:hAnsi="Times New Roman" w:cs="Times New Roman"/>
          <w:color w:val="auto"/>
          <w:sz w:val="24"/>
          <w:szCs w:val="22"/>
          <w:highlight w:val="none"/>
        </w:rPr>
      </w:pPr>
      <w:r>
        <w:rPr>
          <w:rFonts w:ascii="Times New Roman" w:hAnsi="Times New Roman"/>
          <w:color w:val="auto"/>
          <w:sz w:val="24"/>
          <w:szCs w:val="24"/>
          <w:highlight w:val="none"/>
        </w:rPr>
        <w:t>根据《</w:t>
      </w:r>
      <w:r>
        <w:rPr>
          <w:rFonts w:hint="eastAsia" w:ascii="Times New Roman" w:hAnsi="Times New Roman" w:cs="Times New Roman"/>
          <w:color w:val="auto"/>
          <w:sz w:val="24"/>
          <w:szCs w:val="24"/>
          <w:highlight w:val="none"/>
          <w:lang w:eastAsia="zh-CN"/>
        </w:rPr>
        <w:t>长江经济带战略环境评价四川省巴中市“三线一单”生态环境分区管控优化完善研究报告</w:t>
      </w:r>
      <w:r>
        <w:rPr>
          <w:rFonts w:ascii="Times New Roman" w:hAnsi="Times New Roman"/>
          <w:color w:val="auto"/>
          <w:sz w:val="24"/>
          <w:szCs w:val="24"/>
          <w:highlight w:val="none"/>
        </w:rPr>
        <w:t>》，本项目</w:t>
      </w:r>
      <w:r>
        <w:rPr>
          <w:rFonts w:ascii="Times New Roman" w:hAnsi="Times New Roman" w:cs="Times New Roman"/>
          <w:color w:val="auto"/>
          <w:sz w:val="24"/>
          <w:szCs w:val="22"/>
          <w:highlight w:val="none"/>
        </w:rPr>
        <w:t>所在区域为</w:t>
      </w:r>
      <w:r>
        <w:rPr>
          <w:rFonts w:hint="eastAsia" w:ascii="Times New Roman" w:hAnsi="Times New Roman" w:cs="Times New Roman"/>
          <w:color w:val="auto"/>
          <w:sz w:val="24"/>
          <w:szCs w:val="22"/>
          <w:highlight w:val="none"/>
          <w:lang w:eastAsia="zh-CN"/>
        </w:rPr>
        <w:t>巴州区水环境一般管控区</w:t>
      </w:r>
      <w:r>
        <w:rPr>
          <w:rFonts w:ascii="Times New Roman" w:hAnsi="Times New Roman" w:cs="Times New Roman"/>
          <w:color w:val="auto"/>
          <w:sz w:val="24"/>
          <w:szCs w:val="22"/>
          <w:highlight w:val="none"/>
        </w:rPr>
        <w:t>，</w:t>
      </w:r>
      <w:r>
        <w:rPr>
          <w:rFonts w:cs="Times New Roman"/>
          <w:color w:val="auto"/>
          <w:highlight w:val="none"/>
        </w:rPr>
        <w:t>巴中市水环境一般管控区主要为农业农村地区，当前水环境质量优良，管控以协调保护与发展、治污为主</w:t>
      </w:r>
      <w:r>
        <w:rPr>
          <w:rFonts w:ascii="Times New Roman" w:hAnsi="Times New Roman" w:cs="Times New Roman"/>
          <w:color w:val="auto"/>
          <w:sz w:val="24"/>
          <w:szCs w:val="22"/>
          <w:highlight w:val="none"/>
        </w:rPr>
        <w:t>，具体管控要求是</w:t>
      </w:r>
      <w:r>
        <w:rPr>
          <w:rFonts w:hint="eastAsia" w:ascii="Times New Roman" w:hAnsi="Times New Roman" w:cs="Times New Roman"/>
          <w:color w:val="auto"/>
          <w:sz w:val="24"/>
          <w:szCs w:val="22"/>
          <w:highlight w:val="none"/>
        </w:rPr>
        <w:t>：</w:t>
      </w:r>
    </w:p>
    <w:p>
      <w:pPr>
        <w:pStyle w:val="24"/>
        <w:adjustRightInd w:val="0"/>
        <w:snapToGrid w:val="0"/>
        <w:spacing w:line="360" w:lineRule="auto"/>
        <w:ind w:firstLine="480"/>
        <w:rPr>
          <w:rFonts w:hint="eastAsia" w:ascii="Times New Roman" w:hAnsi="Times New Roman" w:cs="Times New Roman"/>
          <w:color w:val="auto"/>
          <w:sz w:val="24"/>
          <w:szCs w:val="22"/>
          <w:highlight w:val="none"/>
        </w:rPr>
      </w:pPr>
      <w:r>
        <w:rPr>
          <w:rFonts w:hint="eastAsia" w:ascii="Times New Roman" w:hAnsi="Times New Roman" w:cs="Times New Roman"/>
          <w:color w:val="auto"/>
          <w:sz w:val="24"/>
          <w:szCs w:val="22"/>
          <w:highlight w:val="none"/>
        </w:rPr>
        <w:t>空间布局约束方面，要在合理发展的同时严格水环境保护。以水环境、水资源承载力为基准，合理进行城市空间和产业布局，严控“大量生产、大量消耗、大量排放”的生产模式。</w:t>
      </w:r>
    </w:p>
    <w:p>
      <w:pPr>
        <w:pStyle w:val="24"/>
        <w:adjustRightInd w:val="0"/>
        <w:snapToGrid w:val="0"/>
        <w:spacing w:line="360" w:lineRule="auto"/>
        <w:ind w:firstLine="48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污染物排放管控方面，以城镇生活和畜禽养殖控制为重点。一是强化城镇生活污染源治理，加快城镇环保基础设施建设，因地制宜选用合适技术，健全县城污水处理设施及配套管网；建立健全生活垃圾收集、转运、处理系统。二是控制畜禽养殖源污染，合理布局畜禽养殖规模，单位面积耕地的畜禽承载力不突破《四川省畜禽养殖污染防治技术指南》要求；强化畜禽养殖场污染治理，提高养殖粪污资源化利用率；开展高标准农田改造，减少水土流失，强化农业生产化肥农药施用管控。</w:t>
      </w:r>
    </w:p>
    <w:p>
      <w:pPr>
        <w:pStyle w:val="24"/>
        <w:adjustRightInd w:val="0"/>
        <w:snapToGrid w:val="0"/>
        <w:spacing w:line="360" w:lineRule="auto"/>
        <w:ind w:firstLine="48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水生态环境风险防控方面，要进一步完善工业企业和矿山环境风险防范和管理体系建设，开展企业风险隐患排查与风险评估，增强企业的环境风险意识，守住环境安全底线。</w:t>
      </w:r>
    </w:p>
    <w:p>
      <w:pPr>
        <w:pStyle w:val="24"/>
        <w:adjustRightInd w:val="0"/>
        <w:snapToGrid w:val="0"/>
        <w:spacing w:line="360" w:lineRule="auto"/>
        <w:ind w:firstLine="480"/>
        <w:rPr>
          <w:rFonts w:ascii="Times New Roman" w:hAnsi="Times New Roman" w:cs="Times New Roman"/>
          <w:color w:val="auto"/>
          <w:sz w:val="24"/>
          <w:szCs w:val="22"/>
          <w:highlight w:val="none"/>
        </w:rPr>
      </w:pPr>
      <w:r>
        <w:rPr>
          <w:rFonts w:hint="eastAsia" w:ascii="Times New Roman" w:hAnsi="Times New Roman" w:cs="Times New Roman"/>
          <w:color w:val="auto"/>
          <w:sz w:val="24"/>
          <w:szCs w:val="22"/>
          <w:highlight w:val="none"/>
        </w:rPr>
        <w:t>项目区不涉及饮用水水源地保护区及自然保护区等水环境优先保护区，同时项目</w:t>
      </w:r>
      <w:r>
        <w:rPr>
          <w:rFonts w:hint="eastAsia" w:ascii="Times New Roman" w:hAnsi="Times New Roman" w:cs="Times New Roman"/>
          <w:color w:val="auto"/>
          <w:sz w:val="24"/>
          <w:szCs w:val="22"/>
          <w:highlight w:val="none"/>
          <w:lang w:eastAsia="zh-CN"/>
        </w:rPr>
        <w:t>养殖废水经厂区污水处理站处理</w:t>
      </w:r>
      <w:r>
        <w:rPr>
          <w:rFonts w:hint="eastAsia" w:ascii="Times New Roman" w:hAnsi="Times New Roman" w:cs="Times New Roman"/>
          <w:color w:val="auto"/>
          <w:sz w:val="24"/>
          <w:szCs w:val="22"/>
          <w:highlight w:val="none"/>
        </w:rPr>
        <w:t>达标</w:t>
      </w:r>
      <w:r>
        <w:rPr>
          <w:rFonts w:hint="eastAsia" w:ascii="Times New Roman" w:hAnsi="Times New Roman" w:cs="Times New Roman"/>
          <w:color w:val="auto"/>
          <w:sz w:val="24"/>
          <w:szCs w:val="22"/>
          <w:highlight w:val="none"/>
          <w:lang w:eastAsia="zh-CN"/>
        </w:rPr>
        <w:t>后用于农田灌溉</w:t>
      </w:r>
      <w:r>
        <w:rPr>
          <w:rFonts w:hint="eastAsia" w:ascii="Times New Roman" w:hAnsi="Times New Roman" w:cs="Times New Roman"/>
          <w:color w:val="auto"/>
          <w:sz w:val="24"/>
          <w:szCs w:val="22"/>
          <w:highlight w:val="none"/>
        </w:rPr>
        <w:t>，无废水外排，</w:t>
      </w:r>
      <w:r>
        <w:rPr>
          <w:rFonts w:hint="eastAsia" w:ascii="Times New Roman" w:hAnsi="Times New Roman" w:cs="Times New Roman"/>
          <w:color w:val="auto"/>
          <w:sz w:val="24"/>
          <w:szCs w:val="22"/>
          <w:highlight w:val="none"/>
          <w:lang w:eastAsia="zh-CN"/>
        </w:rPr>
        <w:t>且</w:t>
      </w:r>
      <w:r>
        <w:rPr>
          <w:rFonts w:hint="eastAsia" w:ascii="Times New Roman" w:hAnsi="Times New Roman" w:eastAsia="宋体" w:cs="Times New Roman"/>
          <w:color w:val="auto"/>
          <w:sz w:val="24"/>
          <w:szCs w:val="24"/>
          <w:highlight w:val="none"/>
        </w:rPr>
        <w:t>畜禽承载力</w:t>
      </w:r>
      <w:r>
        <w:rPr>
          <w:rFonts w:hint="eastAsia" w:ascii="Times New Roman" w:hAnsi="Times New Roman" w:eastAsia="宋体" w:cs="Times New Roman"/>
          <w:color w:val="auto"/>
          <w:sz w:val="24"/>
          <w:szCs w:val="24"/>
          <w:highlight w:val="none"/>
          <w:lang w:eastAsia="zh-CN"/>
        </w:rPr>
        <w:t>满足</w:t>
      </w:r>
      <w:r>
        <w:rPr>
          <w:rFonts w:hint="eastAsia" w:ascii="Times New Roman" w:hAnsi="Times New Roman" w:eastAsia="宋体" w:cs="Times New Roman"/>
          <w:color w:val="auto"/>
          <w:sz w:val="24"/>
          <w:szCs w:val="24"/>
          <w:highlight w:val="none"/>
        </w:rPr>
        <w:t>《四川省畜禽养殖污染防治技术指南》要求</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cs="Times New Roman"/>
          <w:color w:val="auto"/>
          <w:sz w:val="24"/>
          <w:szCs w:val="22"/>
          <w:highlight w:val="none"/>
        </w:rPr>
        <w:t>因此项目建设不会突破区域的水环境质量底线。</w:t>
      </w:r>
    </w:p>
    <w:p>
      <w:pPr>
        <w:pStyle w:val="90"/>
        <w:keepNext w:val="0"/>
        <w:keepLines w:val="0"/>
        <w:pageBreakBefore w:val="0"/>
        <w:widowControl w:val="0"/>
        <w:kinsoku/>
        <w:wordWrap/>
        <w:overflowPunct/>
        <w:topLinePunct w:val="0"/>
        <w:autoSpaceDE/>
        <w:autoSpaceDN/>
        <w:bidi w:val="0"/>
        <w:adjustRightInd/>
        <w:snapToGrid/>
        <w:spacing w:after="0" w:line="360" w:lineRule="auto"/>
        <w:ind w:left="0" w:leftChars="0" w:firstLine="482" w:firstLineChars="200"/>
        <w:textAlignment w:val="auto"/>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eastAsia="宋体" w:cs="Times New Roman"/>
          <w:b/>
          <w:bCs/>
          <w:color w:val="auto"/>
          <w:kern w:val="0"/>
          <w:sz w:val="24"/>
          <w:szCs w:val="24"/>
          <w:highlight w:val="none"/>
          <w:lang w:val="en-US" w:eastAsia="zh-CN" w:bidi="ar"/>
        </w:rPr>
        <w:t>（2）大气环境质量底线</w:t>
      </w:r>
    </w:p>
    <w:p>
      <w:pPr>
        <w:pStyle w:val="24"/>
        <w:adjustRightInd w:val="0"/>
        <w:snapToGrid w:val="0"/>
        <w:spacing w:line="360" w:lineRule="auto"/>
        <w:ind w:firstLine="480"/>
        <w:rPr>
          <w:rFonts w:ascii="Times New Roman" w:hAnsi="Times New Roman" w:cs="Times New Roman"/>
          <w:color w:val="auto"/>
          <w:sz w:val="24"/>
          <w:szCs w:val="22"/>
          <w:highlight w:val="none"/>
        </w:rPr>
      </w:pPr>
      <w:r>
        <w:rPr>
          <w:rFonts w:ascii="Times New Roman" w:hAnsi="Times New Roman"/>
          <w:color w:val="auto"/>
          <w:sz w:val="24"/>
          <w:szCs w:val="24"/>
          <w:highlight w:val="none"/>
        </w:rPr>
        <w:t>根据《</w:t>
      </w:r>
      <w:r>
        <w:rPr>
          <w:rFonts w:hint="eastAsia" w:ascii="Times New Roman" w:hAnsi="Times New Roman" w:cs="Times New Roman"/>
          <w:color w:val="auto"/>
          <w:sz w:val="24"/>
          <w:szCs w:val="24"/>
          <w:highlight w:val="none"/>
          <w:lang w:eastAsia="zh-CN"/>
        </w:rPr>
        <w:t>长江经济带战略环境评价四川省巴中市“三线一单”生态环境分区管控优化完善研究报告</w:t>
      </w:r>
      <w:r>
        <w:rPr>
          <w:rFonts w:ascii="Times New Roman" w:hAnsi="Times New Roman"/>
          <w:color w:val="auto"/>
          <w:sz w:val="24"/>
          <w:szCs w:val="24"/>
          <w:highlight w:val="none"/>
        </w:rPr>
        <w:t>》，</w:t>
      </w:r>
      <w:r>
        <w:rPr>
          <w:rFonts w:hint="eastAsia" w:ascii="Times New Roman" w:hAnsi="Times New Roman" w:eastAsia="宋体" w:cs="Calibri"/>
          <w:color w:val="auto"/>
          <w:kern w:val="2"/>
          <w:sz w:val="24"/>
          <w:szCs w:val="24"/>
          <w:highlight w:val="none"/>
          <w:lang w:val="en-US" w:eastAsia="zh-CN" w:bidi="ar-SA"/>
        </w:rPr>
        <w:t>大气环境管控分区包括优先保护区、重点管控区、一般管控区。其中重点管控区主要存在于环境空气二类功能区，根据功能区内人口、学校、医院、工业企业、气象扩散能力、地形地貌等因素的分布情况将重点管控区分别划分为受体敏感区、高排放区、布局敏感区和弱扩散区。本项目位于大气环境布局敏感重点管控区。</w:t>
      </w:r>
      <w:r>
        <w:rPr>
          <w:rFonts w:ascii="Times New Roman" w:hAnsi="Times New Roman" w:cs="Times New Roman"/>
          <w:color w:val="auto"/>
          <w:sz w:val="24"/>
          <w:szCs w:val="22"/>
          <w:highlight w:val="none"/>
        </w:rPr>
        <w:t>具体管控要求是</w:t>
      </w:r>
      <w:r>
        <w:rPr>
          <w:rFonts w:hint="eastAsia" w:ascii="Times New Roman" w:hAnsi="Times New Roman" w:cs="Times New Roman"/>
          <w:color w:val="auto"/>
          <w:sz w:val="24"/>
          <w:szCs w:val="22"/>
          <w:highlight w:val="none"/>
        </w:rPr>
        <w:t>：</w:t>
      </w:r>
    </w:p>
    <w:p>
      <w:pPr>
        <w:pStyle w:val="24"/>
        <w:adjustRightInd w:val="0"/>
        <w:snapToGrid w:val="0"/>
        <w:spacing w:line="360" w:lineRule="auto"/>
        <w:ind w:firstLine="48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严把</w:t>
      </w:r>
      <w:r>
        <w:rPr>
          <w:rFonts w:ascii="Times New Roman" w:hAnsi="Times New Roman" w:eastAsia="宋体" w:cs="Times New Roman"/>
          <w:color w:val="auto"/>
          <w:sz w:val="24"/>
          <w:szCs w:val="24"/>
          <w:highlight w:val="none"/>
          <w:lang w:val="zh-CN"/>
        </w:rPr>
        <w:t>环境准入关。严格控制高耗能、高污染项目建设，</w:t>
      </w:r>
      <w:r>
        <w:rPr>
          <w:rFonts w:hint="eastAsia" w:ascii="Times New Roman" w:hAnsi="Times New Roman" w:eastAsia="宋体" w:cs="Times New Roman"/>
          <w:color w:val="auto"/>
          <w:sz w:val="24"/>
          <w:szCs w:val="24"/>
          <w:highlight w:val="none"/>
          <w:lang w:val="zh-CN"/>
        </w:rPr>
        <w:t>严禁</w:t>
      </w:r>
      <w:r>
        <w:rPr>
          <w:rFonts w:ascii="Times New Roman" w:hAnsi="Times New Roman" w:eastAsia="宋体" w:cs="Times New Roman"/>
          <w:color w:val="auto"/>
          <w:sz w:val="24"/>
          <w:szCs w:val="24"/>
          <w:highlight w:val="none"/>
          <w:lang w:val="zh-CN"/>
        </w:rPr>
        <w:t>核准产能过剩行业新增产能项目，禁止新建不符合国家产业政策和行业准入条件的高污染项目</w:t>
      </w:r>
      <w:r>
        <w:rPr>
          <w:rFonts w:hint="eastAsia" w:ascii="Times New Roman" w:hAnsi="Times New Roman" w:eastAsia="宋体" w:cs="Times New Roman"/>
          <w:color w:val="auto"/>
          <w:sz w:val="24"/>
          <w:szCs w:val="24"/>
          <w:highlight w:val="none"/>
          <w:lang w:val="zh-CN"/>
        </w:rPr>
        <w:t>。</w:t>
      </w:r>
    </w:p>
    <w:p>
      <w:pPr>
        <w:pStyle w:val="24"/>
        <w:adjustRightInd w:val="0"/>
        <w:snapToGrid w:val="0"/>
        <w:spacing w:line="360" w:lineRule="auto"/>
        <w:ind w:firstLine="48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严格</w:t>
      </w:r>
      <w:r>
        <w:rPr>
          <w:rFonts w:ascii="Times New Roman" w:hAnsi="Times New Roman" w:eastAsia="宋体" w:cs="Times New Roman"/>
          <w:color w:val="auto"/>
          <w:sz w:val="24"/>
          <w:szCs w:val="24"/>
          <w:highlight w:val="none"/>
          <w:lang w:val="zh-CN"/>
        </w:rPr>
        <w:t>控制污染物新增排放量。把</w:t>
      </w:r>
      <w:r>
        <w:rPr>
          <w:rFonts w:hint="eastAsia" w:ascii="Times New Roman" w:hAnsi="Times New Roman" w:eastAsia="宋体" w:cs="Times New Roman"/>
          <w:color w:val="auto"/>
          <w:sz w:val="24"/>
          <w:szCs w:val="24"/>
          <w:highlight w:val="none"/>
          <w:lang w:val="zh-CN"/>
        </w:rPr>
        <w:t>能源</w:t>
      </w:r>
      <w:r>
        <w:rPr>
          <w:rFonts w:ascii="Times New Roman" w:hAnsi="Times New Roman" w:eastAsia="宋体" w:cs="Times New Roman"/>
          <w:color w:val="auto"/>
          <w:sz w:val="24"/>
          <w:szCs w:val="24"/>
          <w:highlight w:val="none"/>
          <w:lang w:val="zh-CN"/>
        </w:rPr>
        <w:t>消耗与污染物排放总量指标作为环评审批的前置条件，对新建排放二氧化硫、氮氧化物</w:t>
      </w:r>
      <w:r>
        <w:rPr>
          <w:rFonts w:hint="eastAsia" w:ascii="Times New Roman" w:hAnsi="Times New Roman" w:eastAsia="宋体" w:cs="Times New Roman"/>
          <w:color w:val="auto"/>
          <w:sz w:val="24"/>
          <w:szCs w:val="24"/>
          <w:highlight w:val="none"/>
          <w:lang w:val="zh-CN"/>
        </w:rPr>
        <w:t>和</w:t>
      </w:r>
      <w:r>
        <w:rPr>
          <w:rFonts w:ascii="Times New Roman" w:hAnsi="Times New Roman" w:eastAsia="宋体" w:cs="Times New Roman"/>
          <w:color w:val="auto"/>
          <w:sz w:val="24"/>
          <w:szCs w:val="24"/>
          <w:highlight w:val="none"/>
          <w:lang w:val="zh-CN"/>
        </w:rPr>
        <w:t>挥发性有机物的项目实施现役源等量削减</w:t>
      </w:r>
      <w:r>
        <w:rPr>
          <w:rFonts w:hint="eastAsia" w:ascii="Times New Roman" w:hAnsi="Times New Roman" w:eastAsia="宋体" w:cs="Times New Roman"/>
          <w:color w:val="auto"/>
          <w:sz w:val="24"/>
          <w:szCs w:val="24"/>
          <w:highlight w:val="none"/>
          <w:lang w:val="zh-CN"/>
        </w:rPr>
        <w:t>量</w:t>
      </w:r>
      <w:r>
        <w:rPr>
          <w:rFonts w:ascii="Times New Roman" w:hAnsi="Times New Roman" w:eastAsia="宋体" w:cs="Times New Roman"/>
          <w:color w:val="auto"/>
          <w:sz w:val="24"/>
          <w:szCs w:val="24"/>
          <w:highlight w:val="none"/>
          <w:lang w:val="zh-CN"/>
        </w:rPr>
        <w:t>替代。</w:t>
      </w:r>
    </w:p>
    <w:p>
      <w:pPr>
        <w:pStyle w:val="24"/>
        <w:adjustRightInd w:val="0"/>
        <w:snapToGrid w:val="0"/>
        <w:spacing w:line="360" w:lineRule="auto"/>
        <w:ind w:firstLine="48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提高挥发性有机物污染企业环境准入门槛。按照</w:t>
      </w:r>
      <w:r>
        <w:rPr>
          <w:rFonts w:ascii="Times New Roman" w:hAnsi="Times New Roman" w:eastAsia="宋体" w:cs="Times New Roman"/>
          <w:color w:val="auto"/>
          <w:sz w:val="24"/>
          <w:szCs w:val="24"/>
          <w:highlight w:val="none"/>
          <w:lang w:val="zh-CN"/>
        </w:rPr>
        <w:t>国家和省有</w:t>
      </w:r>
      <w:r>
        <w:rPr>
          <w:rFonts w:hint="eastAsia" w:ascii="Times New Roman" w:hAnsi="Times New Roman" w:eastAsia="宋体" w:cs="Times New Roman"/>
          <w:color w:val="auto"/>
          <w:sz w:val="24"/>
          <w:szCs w:val="24"/>
          <w:highlight w:val="none"/>
          <w:lang w:val="zh-CN"/>
        </w:rPr>
        <w:t>关要求</w:t>
      </w:r>
      <w:r>
        <w:rPr>
          <w:rFonts w:ascii="Times New Roman" w:hAnsi="Times New Roman" w:eastAsia="宋体" w:cs="Times New Roman"/>
          <w:color w:val="auto"/>
          <w:sz w:val="24"/>
          <w:szCs w:val="24"/>
          <w:highlight w:val="none"/>
          <w:lang w:val="zh-CN"/>
        </w:rPr>
        <w:t>，严格挥发性有机物排放类项目建设要求。</w:t>
      </w:r>
      <w:r>
        <w:rPr>
          <w:rFonts w:hint="eastAsia" w:ascii="Times New Roman" w:hAnsi="Times New Roman" w:eastAsia="宋体" w:cs="Times New Roman"/>
          <w:color w:val="auto"/>
          <w:sz w:val="24"/>
          <w:szCs w:val="24"/>
          <w:highlight w:val="none"/>
          <w:lang w:val="zh-CN"/>
        </w:rPr>
        <w:t>对涉VOCs新建项目进行严格把关，要求各类涉VOCs的建设项目在设计、建设中使用先进的清洁生产和密闭化工艺。</w:t>
      </w:r>
    </w:p>
    <w:p>
      <w:pPr>
        <w:pStyle w:val="90"/>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本项目不属于高耗能、高污染项目，本项目为畜禽养殖项目，运行产生的废气主要为恶臭，不产生有机废气，且运行产生的废气经收集处理后严格实现达标排放，经预测项目建设不会突破区域的大气环境质量底线。</w:t>
      </w:r>
    </w:p>
    <w:p>
      <w:pPr>
        <w:pStyle w:val="90"/>
        <w:keepNext w:val="0"/>
        <w:keepLines w:val="0"/>
        <w:pageBreakBefore w:val="0"/>
        <w:widowControl w:val="0"/>
        <w:kinsoku/>
        <w:wordWrap/>
        <w:overflowPunct/>
        <w:topLinePunct w:val="0"/>
        <w:autoSpaceDE/>
        <w:autoSpaceDN/>
        <w:bidi w:val="0"/>
        <w:adjustRightInd/>
        <w:snapToGrid/>
        <w:spacing w:after="0" w:line="360" w:lineRule="auto"/>
        <w:ind w:left="0" w:leftChars="0" w:firstLine="482" w:firstLineChars="200"/>
        <w:textAlignment w:val="auto"/>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eastAsia="宋体" w:cs="Times New Roman"/>
          <w:b/>
          <w:bCs/>
          <w:color w:val="auto"/>
          <w:kern w:val="0"/>
          <w:sz w:val="24"/>
          <w:szCs w:val="24"/>
          <w:highlight w:val="none"/>
          <w:lang w:val="en-US" w:eastAsia="zh-CN" w:bidi="ar"/>
        </w:rPr>
        <w:t>（3）土壤环境质量底线</w:t>
      </w:r>
    </w:p>
    <w:p>
      <w:pPr>
        <w:pStyle w:val="24"/>
        <w:spacing w:line="360" w:lineRule="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w:t>
      </w:r>
      <w:r>
        <w:rPr>
          <w:rFonts w:hint="eastAsia" w:ascii="Times New Roman" w:hAnsi="Times New Roman" w:cs="Times New Roman"/>
          <w:color w:val="auto"/>
          <w:sz w:val="24"/>
          <w:szCs w:val="24"/>
          <w:highlight w:val="none"/>
          <w:lang w:eastAsia="zh-CN"/>
        </w:rPr>
        <w:t>长江经济带战略环境评价四川省巴中市“三线一单”生态环境分区管控优化完善研究报告</w:t>
      </w:r>
      <w:r>
        <w:rPr>
          <w:rFonts w:hint="eastAsia" w:ascii="宋体" w:hAnsi="宋体" w:eastAsia="宋体" w:cs="宋体"/>
          <w:color w:val="auto"/>
          <w:kern w:val="0"/>
          <w:sz w:val="24"/>
          <w:szCs w:val="24"/>
          <w:highlight w:val="none"/>
          <w:lang w:val="en-US" w:eastAsia="zh-CN" w:bidi="ar"/>
        </w:rPr>
        <w:t>》，巴中市土壤环境风险管控分区分为优先保护区、重点管控区及一般管控区。本项目所在区域位于重点管控区内的农用地优先保护区。</w:t>
      </w:r>
    </w:p>
    <w:p>
      <w:pPr>
        <w:pStyle w:val="24"/>
        <w:spacing w:line="360" w:lineRule="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管控要求为：严格落实《中华人民共和国土壤污染防治法》，对永久基本农田，实行严格保护。在永久基本农田集中区域，不得新建可能造成土壤污染的建设项目；已经建成的，应当限期关闭拆除。执行《基本农田保护条例》、《土地管理法》五不准原则、《国土资源部关于全面实行永久基本农田特殊保护的通知》、《农用地土壤环境管理办法（试行）》及《土壤污染防治行动计划四川省工作方案》。对基本农田应实行严格保护，确保面积不减少，土壤环境质量不下降，除法律法规规定的重点建设项目选址确实无法避让外，其他任何建设不得占用；对基本农田外的耕地，不得开展对耕地造成影响的活动，在满足法律法规规定的前提下，符合城乡发展规划、土地利用规划等的要求下，可酌情占用。</w:t>
      </w:r>
    </w:p>
    <w:p>
      <w:pPr>
        <w:pStyle w:val="24"/>
        <w:spacing w:line="360" w:lineRule="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本项目位于巴州区鼎山镇首市村，项目占地为设施农业用地，不占用基本农田，厂区均采取相应防渗措施，阻隔项目运行可能产生的土壤污染，使项目对土壤环境的影响降至最低，因此项目建设不会突破区域的土壤环境质量底线。</w:t>
      </w:r>
    </w:p>
    <w:p>
      <w:pPr>
        <w:spacing w:line="360" w:lineRule="auto"/>
        <w:ind w:firstLine="482" w:firstLineChars="200"/>
        <w:rPr>
          <w:rFonts w:hint="eastAsia" w:ascii="Times New Roman" w:hAnsi="Times New Roman" w:cs="Times New Roman"/>
          <w:b/>
          <w:color w:val="auto"/>
          <w:sz w:val="24"/>
          <w:szCs w:val="24"/>
          <w:highlight w:val="none"/>
          <w:lang w:val="en-US" w:eastAsia="zh-CN"/>
        </w:rPr>
      </w:pPr>
      <w:r>
        <w:rPr>
          <w:rFonts w:hint="eastAsia" w:ascii="Times New Roman" w:hAnsi="Times New Roman" w:cs="Times New Roman"/>
          <w:b/>
          <w:color w:val="auto"/>
          <w:sz w:val="24"/>
          <w:szCs w:val="24"/>
          <w:highlight w:val="none"/>
          <w:lang w:val="en-US" w:eastAsia="zh-CN"/>
        </w:rPr>
        <w:t>3、资源利用上线</w:t>
      </w:r>
    </w:p>
    <w:p>
      <w:pPr>
        <w:pStyle w:val="90"/>
        <w:keepNext w:val="0"/>
        <w:keepLines w:val="0"/>
        <w:pageBreakBefore w:val="0"/>
        <w:widowControl w:val="0"/>
        <w:kinsoku/>
        <w:wordWrap/>
        <w:overflowPunct/>
        <w:topLinePunct w:val="0"/>
        <w:autoSpaceDE/>
        <w:autoSpaceDN/>
        <w:bidi w:val="0"/>
        <w:adjustRightInd/>
        <w:snapToGrid/>
        <w:spacing w:after="0" w:line="360" w:lineRule="auto"/>
        <w:ind w:left="0" w:leftChars="0" w:firstLine="482" w:firstLineChars="200"/>
        <w:textAlignment w:val="auto"/>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eastAsia="宋体" w:cs="Times New Roman"/>
          <w:b/>
          <w:bCs/>
          <w:color w:val="auto"/>
          <w:kern w:val="0"/>
          <w:sz w:val="24"/>
          <w:szCs w:val="24"/>
          <w:highlight w:val="none"/>
          <w:lang w:val="en-US" w:eastAsia="zh-CN" w:bidi="ar"/>
        </w:rPr>
        <w:t>（1）能源利用上线</w:t>
      </w:r>
    </w:p>
    <w:p>
      <w:pPr>
        <w:pStyle w:val="24"/>
        <w:spacing w:line="360" w:lineRule="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根据《</w:t>
      </w:r>
      <w:r>
        <w:rPr>
          <w:rFonts w:hint="default" w:ascii="Times New Roman" w:hAnsi="Times New Roman" w:eastAsia="宋体" w:cs="Times New Roman"/>
          <w:color w:val="auto"/>
          <w:sz w:val="24"/>
          <w:szCs w:val="24"/>
          <w:highlight w:val="none"/>
          <w:lang w:eastAsia="zh-CN"/>
        </w:rPr>
        <w:t>长江经济带战略环境评价四川省巴中市“三线一单”生态环境分区管控优化完善研究报告</w:t>
      </w:r>
      <w:r>
        <w:rPr>
          <w:rFonts w:hint="default"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highlight w:val="none"/>
        </w:rPr>
        <w:t>能源重点管控的划定主要目的是改善大气环境质量，促进大气污染治理与大气环境质量达标。巴中共划分了</w:t>
      </w:r>
      <w:r>
        <w:rPr>
          <w:rFonts w:hint="default" w:ascii="Times New Roman" w:hAnsi="Times New Roman" w:eastAsia="宋体" w:cs="Times New Roman"/>
          <w:color w:val="auto"/>
          <w:highlight w:val="none"/>
          <w:lang w:val="en-US" w:eastAsia="zh-CN"/>
        </w:rPr>
        <w:t>3</w:t>
      </w:r>
      <w:r>
        <w:rPr>
          <w:rFonts w:hint="default" w:ascii="Times New Roman" w:hAnsi="Times New Roman" w:eastAsia="宋体" w:cs="Times New Roman"/>
          <w:color w:val="auto"/>
          <w:highlight w:val="none"/>
        </w:rPr>
        <w:t>个高污染燃料禁燃区。</w:t>
      </w:r>
      <w:r>
        <w:rPr>
          <w:rFonts w:hint="default" w:ascii="Times New Roman" w:hAnsi="Times New Roman" w:eastAsia="宋体" w:cs="Times New Roman"/>
          <w:color w:val="auto"/>
          <w:kern w:val="0"/>
          <w:sz w:val="24"/>
          <w:szCs w:val="24"/>
          <w:highlight w:val="none"/>
          <w:lang w:val="en-US" w:eastAsia="zh-CN" w:bidi="ar"/>
        </w:rPr>
        <w:t>管控要求为：</w:t>
      </w:r>
    </w:p>
    <w:p>
      <w:pPr>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禁燃区内禁止新建、扩建燃用高污染燃料的设施；已建成的，应当于2021年12月31日前改用天然气、页岩气、液化石油气、电或其他清洁能源。现有燃用高污染燃料燃用设施在拆除或改造前，有关单位（企业）应当采取措施，确保大气污染物排放达到国家规定标准。</w:t>
      </w:r>
    </w:p>
    <w:p>
      <w:pPr>
        <w:pStyle w:val="24"/>
        <w:spacing w:line="360" w:lineRule="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本项目位于巴州区鼎山镇首市村，项目不位于</w:t>
      </w:r>
      <w:r>
        <w:rPr>
          <w:rFonts w:hint="default" w:ascii="Times New Roman" w:hAnsi="Times New Roman" w:eastAsia="宋体" w:cs="Times New Roman"/>
          <w:color w:val="auto"/>
          <w:highlight w:val="none"/>
        </w:rPr>
        <w:t>高污染燃料禁燃区</w:t>
      </w:r>
      <w:r>
        <w:rPr>
          <w:rFonts w:hint="default" w:ascii="Times New Roman" w:hAnsi="Times New Roman" w:eastAsia="宋体" w:cs="Times New Roman"/>
          <w:color w:val="auto"/>
          <w:highlight w:val="none"/>
          <w:lang w:eastAsia="zh-CN"/>
        </w:rPr>
        <w:t>管控范围内</w:t>
      </w:r>
      <w:r>
        <w:rPr>
          <w:rFonts w:hint="default" w:ascii="Times New Roman" w:hAnsi="Times New Roman" w:eastAsia="宋体" w:cs="Times New Roman"/>
          <w:color w:val="auto"/>
          <w:kern w:val="0"/>
          <w:sz w:val="24"/>
          <w:szCs w:val="24"/>
          <w:highlight w:val="none"/>
          <w:lang w:val="en-US" w:eastAsia="zh-CN" w:bidi="ar"/>
        </w:rPr>
        <w:t>，本项目使用电能及沼气作为能源为清洁能源，不涉及高污染燃料的使用，项目满足区域的能源利用上限。</w:t>
      </w:r>
    </w:p>
    <w:p>
      <w:pPr>
        <w:pStyle w:val="24"/>
        <w:spacing w:line="360" w:lineRule="auto"/>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eastAsia="宋体" w:cs="Times New Roman"/>
          <w:b/>
          <w:bCs/>
          <w:color w:val="auto"/>
          <w:kern w:val="0"/>
          <w:sz w:val="24"/>
          <w:szCs w:val="24"/>
          <w:highlight w:val="none"/>
          <w:lang w:val="en-US" w:eastAsia="zh-CN" w:bidi="ar"/>
        </w:rPr>
        <w:t>（2）水资源利用上线</w:t>
      </w:r>
    </w:p>
    <w:p>
      <w:pPr>
        <w:widowControl w:val="0"/>
        <w:spacing w:after="0" w:line="360" w:lineRule="auto"/>
        <w:ind w:firstLine="480" w:firstLineChars="200"/>
        <w:jc w:val="both"/>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w:t>
      </w:r>
      <w:r>
        <w:rPr>
          <w:rFonts w:hint="default" w:ascii="Times New Roman" w:hAnsi="Times New Roman" w:eastAsia="宋体" w:cs="Times New Roman"/>
          <w:color w:val="auto"/>
          <w:sz w:val="24"/>
          <w:szCs w:val="24"/>
          <w:highlight w:val="none"/>
          <w:lang w:eastAsia="zh-CN"/>
        </w:rPr>
        <w:t>长江经济带战略环境评价四川省巴中市“三线一单”生态环境分区管控优化完善研究报告》</w:t>
      </w:r>
      <w:r>
        <w:rPr>
          <w:rFonts w:hint="default" w:ascii="Times New Roman" w:hAnsi="Times New Roman" w:eastAsia="宋体" w:cs="Times New Roman"/>
          <w:color w:val="auto"/>
          <w:kern w:val="2"/>
          <w:sz w:val="24"/>
          <w:szCs w:val="24"/>
          <w:highlight w:val="none"/>
          <w:lang w:val="en-US" w:eastAsia="zh-CN" w:bidi="ar-SA"/>
        </w:rPr>
        <w:t>，巴中市各区县水资源承载状况综合评价结果全部为未超载，因此全部划定为一般管控区。农业节水方面要以提高灌溉水有效利用系数为核心，加强灌区配套与节水改造，调整农业种植结构；积极推广和普及田间节水技术。工业节水方面通过加强工业用水和节水的管理，改造用水工艺和技术，提高工业用水的重复利用率，降低单位产品取水量；淘汰落后的用水设施；重点抓好高用水行业的节水工作。按照供需协调、综合平衡、保护生态、厉行节约、合理开源的原则，根据各地的水资源承载能力，优化供水结构，调整产业结构、优化城镇和工农业布局、全面推进节水型社会建设和维护生态平衡。通过跨流域、跨区域的水资源配置，增加水资源的时空调控能力。</w:t>
      </w:r>
    </w:p>
    <w:p>
      <w:pPr>
        <w:pStyle w:val="24"/>
        <w:spacing w:line="360" w:lineRule="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w:t>
      </w:r>
      <w:r>
        <w:rPr>
          <w:rFonts w:hint="default" w:ascii="Times New Roman" w:hAnsi="Times New Roman" w:eastAsia="宋体" w:cs="Times New Roman"/>
          <w:color w:val="auto"/>
          <w:sz w:val="24"/>
          <w:szCs w:val="22"/>
          <w:highlight w:val="none"/>
        </w:rPr>
        <w:t>项目</w:t>
      </w:r>
      <w:r>
        <w:rPr>
          <w:rFonts w:hint="default" w:ascii="Times New Roman" w:hAnsi="Times New Roman" w:eastAsia="宋体" w:cs="Times New Roman"/>
          <w:color w:val="auto"/>
          <w:sz w:val="24"/>
          <w:szCs w:val="22"/>
          <w:highlight w:val="none"/>
          <w:lang w:eastAsia="zh-CN"/>
        </w:rPr>
        <w:t>养殖废水经厂区污水处理站处理</w:t>
      </w:r>
      <w:r>
        <w:rPr>
          <w:rFonts w:hint="default" w:ascii="Times New Roman" w:hAnsi="Times New Roman" w:eastAsia="宋体" w:cs="Times New Roman"/>
          <w:color w:val="auto"/>
          <w:sz w:val="24"/>
          <w:szCs w:val="22"/>
          <w:highlight w:val="none"/>
        </w:rPr>
        <w:t>达标</w:t>
      </w:r>
      <w:r>
        <w:rPr>
          <w:rFonts w:hint="default" w:ascii="Times New Roman" w:hAnsi="Times New Roman" w:eastAsia="宋体" w:cs="Times New Roman"/>
          <w:color w:val="auto"/>
          <w:sz w:val="24"/>
          <w:szCs w:val="22"/>
          <w:highlight w:val="none"/>
          <w:lang w:eastAsia="zh-CN"/>
        </w:rPr>
        <w:t>后用于农田灌溉</w:t>
      </w:r>
      <w:r>
        <w:rPr>
          <w:rFonts w:hint="default" w:ascii="Times New Roman" w:hAnsi="Times New Roman" w:eastAsia="宋体" w:cs="Times New Roman"/>
          <w:color w:val="auto"/>
          <w:sz w:val="24"/>
          <w:szCs w:val="22"/>
          <w:highlight w:val="none"/>
        </w:rPr>
        <w:t>，无废水外排</w:t>
      </w:r>
      <w:r>
        <w:rPr>
          <w:rFonts w:hint="default" w:ascii="Times New Roman" w:hAnsi="Times New Roman" w:eastAsia="宋体" w:cs="Times New Roman"/>
          <w:color w:val="auto"/>
          <w:kern w:val="0"/>
          <w:sz w:val="24"/>
          <w:szCs w:val="24"/>
          <w:highlight w:val="none"/>
          <w:lang w:val="en-US" w:eastAsia="zh-CN" w:bidi="ar"/>
        </w:rPr>
        <w:t>。废水重复利用率100%。项目用水满足区域水资源利用上线的要求。</w:t>
      </w:r>
    </w:p>
    <w:p>
      <w:pPr>
        <w:pStyle w:val="24"/>
        <w:numPr>
          <w:ilvl w:val="0"/>
          <w:numId w:val="0"/>
        </w:numPr>
        <w:spacing w:line="360" w:lineRule="auto"/>
        <w:ind w:firstLine="482" w:firstLineChars="200"/>
        <w:rPr>
          <w:rFonts w:hint="default" w:ascii="Times New Roman" w:hAnsi="Times New Roman" w:eastAsia="宋体" w:cs="Times New Roman"/>
          <w:b/>
          <w:bCs/>
          <w:color w:val="auto"/>
          <w:kern w:val="0"/>
          <w:sz w:val="24"/>
          <w:szCs w:val="24"/>
          <w:highlight w:val="none"/>
          <w:lang w:val="en-US" w:eastAsia="zh-CN" w:bidi="ar"/>
        </w:rPr>
      </w:pPr>
      <w:r>
        <w:rPr>
          <w:rFonts w:hint="eastAsia" w:ascii="Times New Roman" w:hAnsi="Times New Roman" w:eastAsia="宋体" w:cs="Times New Roman"/>
          <w:b/>
          <w:bCs/>
          <w:color w:val="auto"/>
          <w:kern w:val="0"/>
          <w:sz w:val="24"/>
          <w:szCs w:val="24"/>
          <w:highlight w:val="none"/>
          <w:lang w:val="en-US" w:eastAsia="zh-CN" w:bidi="ar"/>
        </w:rPr>
        <w:t>（</w:t>
      </w:r>
      <w:r>
        <w:rPr>
          <w:rFonts w:hint="default" w:ascii="Times New Roman" w:hAnsi="Times New Roman" w:eastAsia="宋体" w:cs="Times New Roman"/>
          <w:b/>
          <w:bCs/>
          <w:color w:val="auto"/>
          <w:kern w:val="0"/>
          <w:sz w:val="24"/>
          <w:szCs w:val="24"/>
          <w:highlight w:val="none"/>
          <w:lang w:val="en-US" w:eastAsia="zh-CN" w:bidi="ar"/>
        </w:rPr>
        <w:t>3</w:t>
      </w:r>
      <w:r>
        <w:rPr>
          <w:rFonts w:hint="eastAsia" w:ascii="Times New Roman" w:hAnsi="Times New Roman" w:eastAsia="宋体" w:cs="Times New Roman"/>
          <w:b/>
          <w:bCs/>
          <w:color w:val="auto"/>
          <w:kern w:val="0"/>
          <w:sz w:val="24"/>
          <w:szCs w:val="24"/>
          <w:highlight w:val="none"/>
          <w:lang w:val="en-US" w:eastAsia="zh-CN" w:bidi="ar"/>
        </w:rPr>
        <w:t>）</w:t>
      </w:r>
      <w:r>
        <w:rPr>
          <w:rFonts w:hint="default" w:ascii="Times New Roman" w:hAnsi="Times New Roman" w:eastAsia="宋体" w:cs="Times New Roman"/>
          <w:b/>
          <w:bCs/>
          <w:color w:val="auto"/>
          <w:kern w:val="0"/>
          <w:sz w:val="24"/>
          <w:szCs w:val="24"/>
          <w:highlight w:val="none"/>
          <w:lang w:val="en-US" w:eastAsia="zh-CN" w:bidi="ar"/>
        </w:rPr>
        <w:t>土地资源利用上线</w:t>
      </w:r>
    </w:p>
    <w:p>
      <w:pPr>
        <w:pStyle w:val="2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根据《</w:t>
      </w:r>
      <w:r>
        <w:rPr>
          <w:rFonts w:hint="default" w:ascii="Times New Roman" w:hAnsi="Times New Roman" w:eastAsia="宋体" w:cs="Times New Roman"/>
          <w:color w:val="auto"/>
          <w:sz w:val="24"/>
          <w:szCs w:val="24"/>
          <w:highlight w:val="none"/>
          <w:lang w:eastAsia="zh-CN"/>
        </w:rPr>
        <w:t>长江经济带战略环境评价四川省巴中市“三线一单”生态环境分区管控优化完善研究报告</w:t>
      </w:r>
      <w:r>
        <w:rPr>
          <w:rFonts w:hint="default" w:ascii="Times New Roman" w:hAnsi="Times New Roman" w:eastAsia="宋体" w:cs="Times New Roman"/>
          <w:color w:val="auto"/>
          <w:kern w:val="0"/>
          <w:sz w:val="24"/>
          <w:szCs w:val="24"/>
          <w:highlight w:val="none"/>
          <w:lang w:val="en-US" w:eastAsia="zh-CN" w:bidi="ar"/>
        </w:rPr>
        <w:t>》，考虑生态环境安全、土地资源节约集约利用，将土地资源开发利用效率低的工业园区、生态保护红线集中、重度污染农用地或污染地块确定为土地资源重点管控区，其他区域划为一般管控区。</w:t>
      </w:r>
    </w:p>
    <w:p>
      <w:pPr>
        <w:pStyle w:val="24"/>
        <w:spacing w:line="360" w:lineRule="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本项目所在区域属</w:t>
      </w:r>
      <w:r>
        <w:rPr>
          <w:rFonts w:hint="eastAsia" w:ascii="Times New Roman" w:hAnsi="Times New Roman" w:eastAsia="宋体" w:cs="Times New Roman"/>
          <w:color w:val="auto"/>
          <w:kern w:val="0"/>
          <w:sz w:val="24"/>
          <w:szCs w:val="24"/>
          <w:highlight w:val="none"/>
          <w:lang w:val="en-US" w:eastAsia="zh-CN" w:bidi="ar"/>
        </w:rPr>
        <w:t>一般管控区</w:t>
      </w:r>
      <w:r>
        <w:rPr>
          <w:rFonts w:hint="default" w:ascii="Times New Roman" w:hAnsi="Times New Roman" w:eastAsia="宋体" w:cs="Times New Roman"/>
          <w:color w:val="auto"/>
          <w:kern w:val="0"/>
          <w:sz w:val="24"/>
          <w:szCs w:val="24"/>
          <w:highlight w:val="none"/>
          <w:lang w:val="en-US" w:eastAsia="zh-CN" w:bidi="ar"/>
        </w:rPr>
        <w:t>，用地符合规划，满足土地资源利用上限的要求。</w:t>
      </w:r>
    </w:p>
    <w:p>
      <w:pPr>
        <w:pStyle w:val="2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0"/>
          <w:sz w:val="24"/>
          <w:szCs w:val="24"/>
          <w:highlight w:val="none"/>
          <w:lang w:val="en-US" w:eastAsia="zh-CN" w:bidi="ar"/>
        </w:rPr>
      </w:pPr>
      <w:r>
        <w:rPr>
          <w:rFonts w:hint="eastAsia" w:ascii="Times New Roman" w:hAnsi="Times New Roman" w:eastAsia="宋体" w:cs="Times New Roman"/>
          <w:b/>
          <w:bCs/>
          <w:color w:val="auto"/>
          <w:kern w:val="0"/>
          <w:sz w:val="24"/>
          <w:szCs w:val="24"/>
          <w:highlight w:val="none"/>
          <w:lang w:val="en-US" w:eastAsia="zh-CN" w:bidi="ar"/>
        </w:rPr>
        <w:t>4、环境准入清单</w:t>
      </w:r>
    </w:p>
    <w:p>
      <w:pPr>
        <w:pStyle w:val="2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color w:val="auto"/>
          <w:highlight w:val="none"/>
        </w:rPr>
        <w:t>根据四川省“三线一单”数据分析系统进行定位（网址：http://103.203.219.138:8083/gis2/n_index.html），</w:t>
      </w:r>
      <w:r>
        <w:rPr>
          <w:rFonts w:hint="eastAsia" w:ascii="Times New Roman" w:hAnsi="Times New Roman" w:eastAsia="宋体" w:cs="Times New Roman"/>
          <w:color w:val="auto"/>
          <w:kern w:val="2"/>
          <w:sz w:val="24"/>
          <w:szCs w:val="24"/>
          <w:highlight w:val="none"/>
          <w:lang w:val="en-US" w:eastAsia="zh-CN" w:bidi="ar-SA"/>
        </w:rPr>
        <w:t>该项目涉及到环境管控单元4个，涉及到管控单元见下表。</w:t>
      </w:r>
      <w:r>
        <w:rPr>
          <w:color w:val="auto"/>
          <w:highlight w:val="none"/>
        </w:rPr>
        <w:t>位置关系如下图所示</w:t>
      </w:r>
    </w:p>
    <w:p>
      <w:pPr>
        <w:numPr>
          <w:ilvl w:val="0"/>
          <w:numId w:val="13"/>
        </w:numPr>
        <w:tabs>
          <w:tab w:val="left" w:pos="0"/>
        </w:tabs>
        <w:ind w:left="425" w:leftChars="0" w:hanging="425" w:firstLineChars="0"/>
        <w:jc w:val="center"/>
        <w:rPr>
          <w:b/>
          <w:bCs/>
          <w:color w:val="auto"/>
          <w:highlight w:val="none"/>
        </w:rPr>
      </w:pPr>
      <w:r>
        <w:rPr>
          <w:rFonts w:hint="eastAsia" w:ascii="Times New Roman" w:hAnsi="Times New Roman" w:eastAsia="宋体" w:cs="Times New Roman"/>
          <w:b/>
          <w:bCs/>
          <w:color w:val="auto"/>
          <w:sz w:val="21"/>
          <w:szCs w:val="21"/>
          <w:highlight w:val="none"/>
          <w:lang w:val="en-US" w:eastAsia="zh-CN"/>
        </w:rPr>
        <w:t xml:space="preserve"> 本项目涉及到环境管控单元表</w:t>
      </w:r>
    </w:p>
    <w:tbl>
      <w:tblPr>
        <w:tblStyle w:val="9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2"/>
        <w:gridCol w:w="1568"/>
        <w:gridCol w:w="1154"/>
        <w:gridCol w:w="860"/>
        <w:gridCol w:w="1491"/>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blHeader/>
        </w:trPr>
        <w:tc>
          <w:tcPr>
            <w:tcW w:w="749" w:type="pct"/>
            <w:tcBorders>
              <w:top w:val="single" w:color="auto" w:sz="12" w:space="0"/>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环境管控单元编码</w:t>
            </w:r>
          </w:p>
        </w:tc>
        <w:tc>
          <w:tcPr>
            <w:tcW w:w="986" w:type="pct"/>
            <w:tcBorders>
              <w:top w:val="single" w:color="auto" w:sz="12"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环境管控单元名称</w:t>
            </w:r>
          </w:p>
        </w:tc>
        <w:tc>
          <w:tcPr>
            <w:tcW w:w="743" w:type="pct"/>
            <w:tcBorders>
              <w:top w:val="single" w:color="auto" w:sz="12" w:space="0"/>
              <w:left w:val="single" w:color="auto" w:sz="8" w:space="0"/>
              <w:bottom w:val="single" w:color="auto" w:sz="8" w:space="0"/>
              <w:right w:val="single" w:color="auto" w:sz="8" w:space="0"/>
            </w:tcBorders>
            <w:noWrap w:val="0"/>
            <w:vAlign w:val="top"/>
          </w:tcPr>
          <w:p>
            <w:pPr>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所属市（州）</w:t>
            </w:r>
          </w:p>
        </w:tc>
        <w:tc>
          <w:tcPr>
            <w:tcW w:w="571" w:type="pct"/>
            <w:tcBorders>
              <w:top w:val="single" w:color="auto" w:sz="12" w:space="0"/>
              <w:left w:val="single" w:color="auto" w:sz="8" w:space="0"/>
              <w:bottom w:val="single" w:color="auto" w:sz="8" w:space="0"/>
              <w:right w:val="single" w:color="auto" w:sz="8" w:space="0"/>
            </w:tcBorders>
            <w:noWrap w:val="0"/>
            <w:vAlign w:val="top"/>
          </w:tcPr>
          <w:p>
            <w:pPr>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所属区县</w:t>
            </w:r>
          </w:p>
        </w:tc>
        <w:tc>
          <w:tcPr>
            <w:tcW w:w="941" w:type="pct"/>
            <w:tcBorders>
              <w:top w:val="single" w:color="auto" w:sz="12"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准入清单类型</w:t>
            </w:r>
          </w:p>
        </w:tc>
        <w:tc>
          <w:tcPr>
            <w:tcW w:w="1009" w:type="pct"/>
            <w:tcBorders>
              <w:top w:val="single" w:color="auto" w:sz="12" w:space="0"/>
              <w:left w:val="single" w:color="auto" w:sz="8" w:space="0"/>
              <w:bottom w:val="single" w:color="auto" w:sz="8" w:space="0"/>
              <w:right w:val="nil"/>
            </w:tcBorders>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管控类型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blHeader/>
        </w:trPr>
        <w:tc>
          <w:tcPr>
            <w:tcW w:w="749" w:type="pct"/>
            <w:tcBorders>
              <w:top w:val="single" w:color="auto" w:sz="8" w:space="0"/>
              <w:left w:val="nil"/>
              <w:bottom w:val="single" w:color="auto" w:sz="8"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ZH51190220007</w:t>
            </w:r>
          </w:p>
        </w:tc>
        <w:tc>
          <w:tcPr>
            <w:tcW w:w="986" w:type="pct"/>
            <w:tcBorders>
              <w:top w:val="single" w:color="auto" w:sz="8" w:space="0"/>
              <w:left w:val="single" w:color="auto" w:sz="8" w:space="0"/>
              <w:bottom w:val="single" w:color="auto" w:sz="8"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巴州区要素重点管控单元</w:t>
            </w:r>
          </w:p>
        </w:tc>
        <w:tc>
          <w:tcPr>
            <w:tcW w:w="743" w:type="pct"/>
            <w:tcBorders>
              <w:top w:val="single" w:color="auto" w:sz="8" w:space="0"/>
              <w:left w:val="single" w:color="auto" w:sz="8" w:space="0"/>
              <w:bottom w:val="single" w:color="auto" w:sz="8" w:space="0"/>
              <w:right w:val="single" w:color="auto" w:sz="8" w:space="0"/>
            </w:tcBorders>
            <w:noWrap w:val="0"/>
            <w:vAlign w:val="top"/>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巴中市</w:t>
            </w:r>
          </w:p>
        </w:tc>
        <w:tc>
          <w:tcPr>
            <w:tcW w:w="571" w:type="pct"/>
            <w:tcBorders>
              <w:top w:val="single" w:color="auto" w:sz="8" w:space="0"/>
              <w:left w:val="single" w:color="auto" w:sz="8" w:space="0"/>
              <w:bottom w:val="single" w:color="auto" w:sz="8" w:space="0"/>
              <w:right w:val="single" w:color="auto" w:sz="8" w:space="0"/>
            </w:tcBorders>
            <w:noWrap w:val="0"/>
            <w:vAlign w:val="top"/>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巴州区</w:t>
            </w:r>
          </w:p>
        </w:tc>
        <w:tc>
          <w:tcPr>
            <w:tcW w:w="941" w:type="pct"/>
            <w:tcBorders>
              <w:top w:val="single" w:color="auto" w:sz="8" w:space="0"/>
              <w:left w:val="single" w:color="auto" w:sz="8" w:space="0"/>
              <w:bottom w:val="single" w:color="auto" w:sz="8"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环境管控单元</w:t>
            </w:r>
          </w:p>
        </w:tc>
        <w:tc>
          <w:tcPr>
            <w:tcW w:w="1009" w:type="pct"/>
            <w:tcBorders>
              <w:top w:val="single" w:color="auto" w:sz="8" w:space="0"/>
              <w:left w:val="single" w:color="auto" w:sz="8" w:space="0"/>
              <w:bottom w:val="single" w:color="auto" w:sz="8" w:space="0"/>
              <w:right w:val="nil"/>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环境综合管控单元要素重点管控单元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blHeader/>
        </w:trPr>
        <w:tc>
          <w:tcPr>
            <w:tcW w:w="749" w:type="pct"/>
            <w:tcBorders>
              <w:top w:val="single" w:color="auto" w:sz="8" w:space="0"/>
              <w:left w:val="nil"/>
              <w:bottom w:val="single" w:color="auto" w:sz="8"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YS5119023210001</w:t>
            </w:r>
          </w:p>
        </w:tc>
        <w:tc>
          <w:tcPr>
            <w:tcW w:w="986" w:type="pct"/>
            <w:tcBorders>
              <w:top w:val="single" w:color="auto" w:sz="8" w:space="0"/>
              <w:left w:val="single" w:color="auto" w:sz="8" w:space="0"/>
              <w:bottom w:val="single" w:color="auto" w:sz="8"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巴河（江陵）-巴州区-控制单元</w:t>
            </w:r>
          </w:p>
        </w:tc>
        <w:tc>
          <w:tcPr>
            <w:tcW w:w="743" w:type="pct"/>
            <w:tcBorders>
              <w:top w:val="single" w:color="auto" w:sz="8" w:space="0"/>
              <w:left w:val="single" w:color="auto" w:sz="8" w:space="0"/>
              <w:bottom w:val="single" w:color="auto" w:sz="8" w:space="0"/>
              <w:right w:val="single" w:color="auto" w:sz="8" w:space="0"/>
            </w:tcBorders>
            <w:noWrap w:val="0"/>
            <w:vAlign w:val="top"/>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巴中市</w:t>
            </w:r>
          </w:p>
        </w:tc>
        <w:tc>
          <w:tcPr>
            <w:tcW w:w="571" w:type="pct"/>
            <w:tcBorders>
              <w:top w:val="single" w:color="auto" w:sz="8" w:space="0"/>
              <w:left w:val="single" w:color="auto" w:sz="8" w:space="0"/>
              <w:bottom w:val="single" w:color="auto" w:sz="8" w:space="0"/>
              <w:right w:val="single" w:color="auto" w:sz="8" w:space="0"/>
            </w:tcBorders>
            <w:noWrap w:val="0"/>
            <w:vAlign w:val="top"/>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巴州区</w:t>
            </w:r>
          </w:p>
        </w:tc>
        <w:tc>
          <w:tcPr>
            <w:tcW w:w="941" w:type="pct"/>
            <w:tcBorders>
              <w:top w:val="single" w:color="auto" w:sz="8" w:space="0"/>
              <w:left w:val="single" w:color="auto" w:sz="8" w:space="0"/>
              <w:bottom w:val="single" w:color="auto" w:sz="8"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水环境管控分区</w:t>
            </w:r>
          </w:p>
        </w:tc>
        <w:tc>
          <w:tcPr>
            <w:tcW w:w="1009" w:type="pct"/>
            <w:tcBorders>
              <w:top w:val="single" w:color="auto" w:sz="8" w:space="0"/>
              <w:left w:val="single" w:color="auto" w:sz="8" w:space="0"/>
              <w:bottom w:val="single" w:color="auto" w:sz="8" w:space="0"/>
              <w:right w:val="nil"/>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水环境一般管控区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blHeader/>
        </w:trPr>
        <w:tc>
          <w:tcPr>
            <w:tcW w:w="749" w:type="pct"/>
            <w:tcBorders>
              <w:top w:val="single" w:color="auto" w:sz="8" w:space="0"/>
              <w:left w:val="nil"/>
              <w:bottom w:val="single" w:color="auto" w:sz="8"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YS5119022320001</w:t>
            </w:r>
          </w:p>
        </w:tc>
        <w:tc>
          <w:tcPr>
            <w:tcW w:w="986" w:type="pct"/>
            <w:tcBorders>
              <w:top w:val="single" w:color="auto" w:sz="8" w:space="0"/>
              <w:left w:val="single" w:color="auto" w:sz="8" w:space="0"/>
              <w:bottom w:val="single" w:color="auto" w:sz="8"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巴州区大气环境布局敏感重点管控区</w:t>
            </w:r>
          </w:p>
        </w:tc>
        <w:tc>
          <w:tcPr>
            <w:tcW w:w="743" w:type="pct"/>
            <w:tcBorders>
              <w:top w:val="single" w:color="auto" w:sz="8" w:space="0"/>
              <w:left w:val="single" w:color="auto" w:sz="8" w:space="0"/>
              <w:bottom w:val="single" w:color="auto" w:sz="8" w:space="0"/>
              <w:right w:val="single" w:color="auto" w:sz="8" w:space="0"/>
            </w:tcBorders>
            <w:noWrap w:val="0"/>
            <w:vAlign w:val="top"/>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巴中市</w:t>
            </w:r>
          </w:p>
        </w:tc>
        <w:tc>
          <w:tcPr>
            <w:tcW w:w="571" w:type="pct"/>
            <w:tcBorders>
              <w:top w:val="single" w:color="auto" w:sz="8" w:space="0"/>
              <w:left w:val="single" w:color="auto" w:sz="8" w:space="0"/>
              <w:bottom w:val="single" w:color="auto" w:sz="8" w:space="0"/>
              <w:right w:val="single" w:color="auto" w:sz="8" w:space="0"/>
            </w:tcBorders>
            <w:noWrap w:val="0"/>
            <w:vAlign w:val="top"/>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巴州区</w:t>
            </w:r>
          </w:p>
        </w:tc>
        <w:tc>
          <w:tcPr>
            <w:tcW w:w="941" w:type="pct"/>
            <w:tcBorders>
              <w:top w:val="single" w:color="auto" w:sz="8" w:space="0"/>
              <w:left w:val="single" w:color="auto" w:sz="8" w:space="0"/>
              <w:bottom w:val="single" w:color="auto" w:sz="8"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大气环境管控分区</w:t>
            </w:r>
          </w:p>
        </w:tc>
        <w:tc>
          <w:tcPr>
            <w:tcW w:w="1009" w:type="pct"/>
            <w:tcBorders>
              <w:top w:val="single" w:color="auto" w:sz="8" w:space="0"/>
              <w:left w:val="single" w:color="auto" w:sz="8" w:space="0"/>
              <w:bottom w:val="single" w:color="auto" w:sz="8" w:space="0"/>
              <w:right w:val="nil"/>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大气环境布局敏感重点管控区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blHeader/>
        </w:trPr>
        <w:tc>
          <w:tcPr>
            <w:tcW w:w="749" w:type="pct"/>
            <w:tcBorders>
              <w:top w:val="single" w:color="auto" w:sz="8" w:space="0"/>
              <w:left w:val="nil"/>
              <w:bottom w:val="single" w:color="auto" w:sz="12"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YS5119021410001</w:t>
            </w:r>
          </w:p>
        </w:tc>
        <w:tc>
          <w:tcPr>
            <w:tcW w:w="986" w:type="pct"/>
            <w:tcBorders>
              <w:top w:val="single" w:color="auto" w:sz="8" w:space="0"/>
              <w:left w:val="single" w:color="auto" w:sz="8" w:space="0"/>
              <w:bottom w:val="single" w:color="auto" w:sz="12"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巴州区土壤优先保护区</w:t>
            </w:r>
          </w:p>
        </w:tc>
        <w:tc>
          <w:tcPr>
            <w:tcW w:w="743" w:type="pct"/>
            <w:tcBorders>
              <w:top w:val="single" w:color="auto" w:sz="8" w:space="0"/>
              <w:left w:val="single" w:color="auto" w:sz="8" w:space="0"/>
              <w:bottom w:val="single" w:color="auto" w:sz="12" w:space="0"/>
              <w:right w:val="single" w:color="auto" w:sz="8" w:space="0"/>
            </w:tcBorders>
            <w:noWrap w:val="0"/>
            <w:vAlign w:val="top"/>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巴中市</w:t>
            </w:r>
          </w:p>
        </w:tc>
        <w:tc>
          <w:tcPr>
            <w:tcW w:w="571" w:type="pct"/>
            <w:tcBorders>
              <w:top w:val="single" w:color="auto" w:sz="8" w:space="0"/>
              <w:left w:val="single" w:color="auto" w:sz="8" w:space="0"/>
              <w:bottom w:val="single" w:color="auto" w:sz="12" w:space="0"/>
              <w:right w:val="single" w:color="auto" w:sz="8" w:space="0"/>
            </w:tcBorders>
            <w:noWrap w:val="0"/>
            <w:vAlign w:val="top"/>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巴州区</w:t>
            </w:r>
          </w:p>
        </w:tc>
        <w:tc>
          <w:tcPr>
            <w:tcW w:w="941" w:type="pct"/>
            <w:tcBorders>
              <w:top w:val="single" w:color="auto" w:sz="8" w:space="0"/>
              <w:left w:val="single" w:color="auto" w:sz="8" w:space="0"/>
              <w:bottom w:val="single" w:color="auto" w:sz="12" w:space="0"/>
              <w:right w:val="single" w:color="auto" w:sz="8" w:space="0"/>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土壤污染风险管控分区</w:t>
            </w:r>
          </w:p>
        </w:tc>
        <w:tc>
          <w:tcPr>
            <w:tcW w:w="1009" w:type="pct"/>
            <w:tcBorders>
              <w:top w:val="single" w:color="auto" w:sz="8" w:space="0"/>
              <w:left w:val="single" w:color="auto" w:sz="8" w:space="0"/>
              <w:bottom w:val="single" w:color="auto" w:sz="12" w:space="0"/>
              <w:right w:val="nil"/>
            </w:tcBorders>
            <w:noWrap w:val="0"/>
            <w:vAlign w:val="center"/>
          </w:tcPr>
          <w:p>
            <w:pPr>
              <w:pStyle w:val="2521"/>
              <w:keepNext w:val="0"/>
              <w:keepLines w:val="0"/>
              <w:widowControl/>
              <w:suppressLineNumbers w:val="0"/>
              <w:spacing w:before="0" w:beforeAutospacing="0" w:after="0" w:afterAutospacing="0" w:line="240" w:lineRule="auto"/>
              <w:ind w:left="0" w:right="0" w:firstLine="0" w:firstLineChars="0"/>
              <w:jc w:val="center"/>
              <w:rPr>
                <w:rStyle w:val="94"/>
                <w:rFonts w:hint="default" w:ascii="Times New Roman" w:hAnsi="Times New Roman" w:eastAsia="宋体" w:cs="Times New Roman"/>
                <w:color w:val="auto"/>
                <w:kern w:val="2"/>
                <w:sz w:val="21"/>
                <w:szCs w:val="21"/>
                <w:highlight w:val="none"/>
                <w:lang w:val="en-US" w:eastAsia="zh-CN" w:bidi="ar-SA"/>
              </w:rPr>
            </w:pPr>
            <w:r>
              <w:rPr>
                <w:rStyle w:val="94"/>
                <w:rFonts w:hint="default" w:ascii="Times New Roman" w:hAnsi="Times New Roman" w:eastAsia="宋体" w:cs="Times New Roman"/>
                <w:color w:val="auto"/>
                <w:kern w:val="2"/>
                <w:sz w:val="21"/>
                <w:szCs w:val="21"/>
                <w:highlight w:val="none"/>
                <w:lang w:val="en-US" w:eastAsia="zh-CN" w:bidi="ar-SA"/>
              </w:rPr>
              <w:t>农用地优先保护区</w:t>
            </w:r>
          </w:p>
        </w:tc>
      </w:tr>
    </w:tbl>
    <w:p>
      <w:pPr>
        <w:rPr>
          <w:color w:val="auto"/>
          <w:highlight w:val="none"/>
        </w:rPr>
      </w:pPr>
    </w:p>
    <w:p>
      <w:pPr>
        <w:pStyle w:val="2"/>
        <w:rPr>
          <w:color w:val="auto"/>
          <w:highlight w:val="none"/>
        </w:rPr>
      </w:pPr>
    </w:p>
    <w:p>
      <w:pPr>
        <w:pStyle w:val="90"/>
        <w:rPr>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rPr>
          <w:color w:val="auto"/>
          <w:highlight w:val="none"/>
        </w:rPr>
      </w:pPr>
      <w:r>
        <w:rPr>
          <w:color w:val="auto"/>
          <w:highlight w:val="none"/>
        </w:rPr>
        <w:drawing>
          <wp:inline distT="0" distB="0" distL="114300" distR="114300">
            <wp:extent cx="8853805" cy="4798695"/>
            <wp:effectExtent l="0" t="0" r="4445" b="1905"/>
            <wp:docPr id="3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2"/>
                    <pic:cNvPicPr>
                      <a:picLocks noChangeAspect="1"/>
                    </pic:cNvPicPr>
                  </pic:nvPicPr>
                  <pic:blipFill>
                    <a:blip r:embed="rId16"/>
                    <a:stretch>
                      <a:fillRect/>
                    </a:stretch>
                  </pic:blipFill>
                  <pic:spPr>
                    <a:xfrm>
                      <a:off x="0" y="0"/>
                      <a:ext cx="8853805" cy="4798695"/>
                    </a:xfrm>
                    <a:prstGeom prst="rect">
                      <a:avLst/>
                    </a:prstGeom>
                    <a:noFill/>
                    <a:ln>
                      <a:noFill/>
                    </a:ln>
                  </pic:spPr>
                </pic:pic>
              </a:graphicData>
            </a:graphic>
          </wp:inline>
        </w:drawing>
      </w:r>
    </w:p>
    <w:p>
      <w:pPr>
        <w:numPr>
          <w:ilvl w:val="0"/>
          <w:numId w:val="14"/>
        </w:numPr>
        <w:ind w:left="425" w:leftChars="0" w:hanging="425" w:firstLineChars="0"/>
        <w:jc w:val="center"/>
        <w:rPr>
          <w:rFonts w:ascii="Times New Roman" w:hAnsi="Times New Roman" w:cs="Times New Roman"/>
          <w:b/>
          <w:bCs w:val="0"/>
          <w:color w:val="auto"/>
          <w:sz w:val="21"/>
          <w:szCs w:val="21"/>
          <w:highlight w:val="none"/>
          <w:lang w:eastAsia="zh-CN"/>
        </w:rPr>
      </w:pPr>
      <w:r>
        <w:rPr>
          <w:rFonts w:hint="eastAsia" w:ascii="Times New Roman" w:hAnsi="Times New Roman" w:cs="Times New Roman"/>
          <w:b/>
          <w:bCs w:val="0"/>
          <w:color w:val="auto"/>
          <w:sz w:val="21"/>
          <w:szCs w:val="21"/>
          <w:highlight w:val="none"/>
          <w:lang w:eastAsia="zh-CN"/>
        </w:rPr>
        <w:t xml:space="preserve"> 四川省“三线一单”数据分析系统图</w:t>
      </w:r>
    </w:p>
    <w:p>
      <w:pPr>
        <w:rPr>
          <w:color w:val="auto"/>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 xml:space="preserve"> 建设项目与“三线一单”相关要求的符合性分析要点</w:t>
      </w:r>
    </w:p>
    <w:tbl>
      <w:tblPr>
        <w:tblStyle w:val="91"/>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
        <w:gridCol w:w="1151"/>
        <w:gridCol w:w="1155"/>
        <w:gridCol w:w="944"/>
        <w:gridCol w:w="695"/>
        <w:gridCol w:w="1684"/>
        <w:gridCol w:w="6116"/>
        <w:gridCol w:w="1485"/>
        <w:gridCol w:w="731"/>
        <w:gridCol w:w="3"/>
        <w:gridCol w:w="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92" w:type="pct"/>
            <w:gridSpan w:val="6"/>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“三线一单”的具体要求</w:t>
            </w:r>
          </w:p>
        </w:tc>
        <w:tc>
          <w:tcPr>
            <w:tcW w:w="530" w:type="pct"/>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项目对应情况介绍</w:t>
            </w:r>
          </w:p>
        </w:tc>
        <w:tc>
          <w:tcPr>
            <w:tcW w:w="274" w:type="pct"/>
            <w:gridSpan w:val="3"/>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符合性分析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1408" w:type="pct"/>
            <w:gridSpan w:val="4"/>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类别</w:t>
            </w:r>
          </w:p>
        </w:tc>
        <w:tc>
          <w:tcPr>
            <w:tcW w:w="2784"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对应管控要求</w:t>
            </w:r>
          </w:p>
        </w:tc>
        <w:tc>
          <w:tcPr>
            <w:tcW w:w="53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274" w:type="pct"/>
            <w:gridSpan w:val="3"/>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3890" w:hRule="atLeast"/>
        </w:trPr>
        <w:tc>
          <w:tcPr>
            <w:tcW w:w="410"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sz w:val="21"/>
                <w:szCs w:val="21"/>
                <w:highlight w:val="none"/>
                <w:lang w:eastAsia="zh-CN"/>
              </w:rPr>
              <w:t>环境管控单元分类：环境综合管控单元要素重点管控单元；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0"/>
                <w:sz w:val="21"/>
                <w:szCs w:val="21"/>
                <w:highlight w:val="none"/>
                <w:lang w:val="en-US" w:eastAsia="zh-CN" w:bidi="ar"/>
              </w:rPr>
            </w:pPr>
            <w:r>
              <w:rPr>
                <w:rFonts w:hint="default" w:ascii="Times New Roman" w:hAnsi="Times New Roman" w:eastAsia="宋体" w:cs="Times New Roman"/>
                <w:b w:val="0"/>
                <w:bCs w:val="0"/>
                <w:i w:val="0"/>
                <w:iCs w:val="0"/>
                <w:color w:val="auto"/>
                <w:sz w:val="21"/>
                <w:szCs w:val="21"/>
                <w:highlight w:val="none"/>
                <w:lang w:eastAsia="zh-CN"/>
              </w:rPr>
              <w:t>编码：ZH51190220007</w:t>
            </w:r>
            <w:r>
              <w:rPr>
                <w:rFonts w:hint="default" w:ascii="Times New Roman" w:hAnsi="Times New Roman" w:eastAsia="宋体" w:cs="Times New Roman"/>
                <w:b w:val="0"/>
                <w:bCs w:val="0"/>
                <w:i w:val="0"/>
                <w:iCs w:val="0"/>
                <w:color w:val="auto"/>
                <w:kern w:val="0"/>
                <w:sz w:val="21"/>
                <w:szCs w:val="21"/>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kern w:val="0"/>
                <w:sz w:val="21"/>
                <w:szCs w:val="21"/>
                <w:highlight w:val="none"/>
                <w:lang w:val="en-US" w:eastAsia="zh-CN" w:bidi="ar"/>
              </w:rPr>
              <w:t>名称：</w:t>
            </w:r>
            <w:r>
              <w:rPr>
                <w:rFonts w:hint="default" w:ascii="Times New Roman" w:hAnsi="Times New Roman" w:eastAsia="宋体" w:cs="Times New Roman"/>
                <w:b w:val="0"/>
                <w:bCs w:val="0"/>
                <w:i w:val="0"/>
                <w:iCs w:val="0"/>
                <w:color w:val="auto"/>
                <w:sz w:val="21"/>
                <w:szCs w:val="21"/>
                <w:highlight w:val="none"/>
                <w:lang w:eastAsia="zh-CN"/>
              </w:rPr>
              <w:t>巴州区要素重点管控单元</w:t>
            </w:r>
          </w:p>
        </w:tc>
        <w:tc>
          <w:tcPr>
            <w:tcW w:w="412" w:type="pct"/>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普适性清单管控要求</w:t>
            </w:r>
          </w:p>
        </w:tc>
        <w:tc>
          <w:tcPr>
            <w:tcW w:w="585" w:type="pct"/>
            <w:gridSpan w:val="2"/>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空间布局约束</w:t>
            </w:r>
          </w:p>
        </w:tc>
        <w:tc>
          <w:tcPr>
            <w:tcW w:w="601"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sz w:val="21"/>
                <w:szCs w:val="21"/>
                <w:highlight w:val="none"/>
                <w:lang w:val="en-US" w:eastAsia="zh-CN"/>
              </w:rPr>
              <w:t>禁止开发建设活动的要求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highlight w:val="none"/>
                <w:lang w:val="en-US" w:eastAsia="zh-CN"/>
              </w:rPr>
              <w:t>-禁止在法律法规规定的禁采区内新建矿山；禁止土法采、选、冶严重污染环境的矿产资源。</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highlight w:val="none"/>
                <w:lang w:val="en-US" w:eastAsia="zh-CN"/>
              </w:rPr>
              <w:t>-涉及基本农田的区域，除法律规定的重点建设项目选址确实无法避让外，其他任何建设不得占用</w:t>
            </w:r>
          </w:p>
          <w:p>
            <w:pPr>
              <w:keepNext w:val="0"/>
              <w:keepLines w:val="0"/>
              <w:suppressLineNumbers w:val="0"/>
              <w:adjustRightInd w:val="0"/>
              <w:snapToGrid w:val="0"/>
              <w:spacing w:before="0" w:beforeAutospacing="0" w:after="0" w:afterAutospacing="0"/>
              <w:ind w:left="0" w:leftChars="0" w:right="0" w:rightChars="0"/>
              <w:jc w:val="both"/>
              <w:rPr>
                <w:rFonts w:hint="default" w:ascii="Times New Roman" w:hAnsi="Times New Roman" w:eastAsia="宋体" w:cs="Times New Roman"/>
                <w:b w:val="0"/>
                <w:bCs w:val="0"/>
                <w:i w:val="0"/>
                <w:iCs w:val="0"/>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highlight w:val="none"/>
                <w:lang w:val="en-US" w:eastAsia="zh-CN"/>
              </w:rPr>
              <w:t>-禁止在长江干支流岸线一公里范围内新建、扩建化工园区和化工项目。</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highlight w:val="none"/>
                <w:lang w:val="en-US" w:eastAsia="zh-CN"/>
              </w:rPr>
              <w:t>-禁止在长江干流岸线三公里范围内和重要支流岸线一公里范围内新建，改建扩建尾矿库；但是以提升安全、生态环境保护水平为目的的改建除外。</w:t>
            </w:r>
          </w:p>
          <w:p>
            <w:pPr>
              <w:keepNext w:val="0"/>
              <w:keepLines w:val="0"/>
              <w:suppressLineNumbers w:val="0"/>
              <w:adjustRightInd w:val="0"/>
              <w:snapToGrid w:val="0"/>
              <w:spacing w:before="0" w:beforeAutospacing="0" w:after="0" w:afterAutospacing="0"/>
              <w:ind w:left="0" w:leftChars="0" w:right="0" w:rightChars="0"/>
              <w:jc w:val="both"/>
              <w:rPr>
                <w:rFonts w:hint="default" w:ascii="Times New Roman" w:hAnsi="Times New Roman" w:eastAsia="宋体" w:cs="Times New Roman"/>
                <w:b w:val="0"/>
                <w:bCs w:val="0"/>
                <w:i w:val="0"/>
                <w:iCs w:val="0"/>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highlight w:val="none"/>
                <w:lang w:val="en-US" w:eastAsia="zh-CN"/>
              </w:rPr>
              <w:t>-禁止在长江流域河湖管理范围内倾倒、填埋、堆放、弃置、处理固体废物。</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highlight w:val="none"/>
                <w:lang w:val="en-US" w:eastAsia="zh-CN"/>
              </w:rPr>
              <w:t>-畜禽养殖严格按照区县畜禽养殖区域划定方案执行，依法关闭或搬迁禁养区内的畜禽养殖场（小区）或养殖专业户。</w:t>
            </w:r>
          </w:p>
        </w:tc>
        <w:tc>
          <w:tcPr>
            <w:tcW w:w="530" w:type="pct"/>
            <w:vMerge w:val="restart"/>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本项目为畜禽养殖项目，严格按照畜禽养殖划分方案执行，项目选址不在禁养区范围内，且不涉及基本农田。</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601"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sz w:val="21"/>
                <w:szCs w:val="21"/>
                <w:highlight w:val="none"/>
                <w:lang w:val="en-US" w:eastAsia="zh-CN"/>
              </w:rPr>
              <w:t>限制开发建设活动的要求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both"/>
              <w:rPr>
                <w:rFonts w:hint="default" w:ascii="Times New Roman" w:hAnsi="Times New Roman" w:eastAsia="宋体" w:cs="Times New Roman"/>
                <w:b w:val="0"/>
                <w:bCs w:val="0"/>
                <w:i w:val="0"/>
                <w:iCs w:val="0"/>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highlight w:val="none"/>
                <w:lang w:val="en-US" w:eastAsia="zh-CN"/>
              </w:rPr>
              <w:t>-单元内若新布局工业园区，应符合巴中市最新的国土空间规划，并结合区域环境特点、三线成果、园区产业类别，充分论证选址的环境合理性；大气布局敏感区应严格限制布设以钢铁、建材、石化、化工、有色等高污染行业为主导产业的园区；水环境城镇生活污染、农业污染重点管控区应严格限制布设以电力、钢铁、造纸、石化、化工、印染、化纤等高耗水行业为主导产业的园区。</w:t>
            </w:r>
          </w:p>
        </w:tc>
        <w:tc>
          <w:tcPr>
            <w:tcW w:w="530" w:type="pct"/>
            <w:vMerge w:val="continue"/>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sz w:val="21"/>
                <w:szCs w:val="21"/>
                <w:highlight w:val="none"/>
              </w:rPr>
            </w:pP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601"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kern w:val="0"/>
                <w:sz w:val="21"/>
                <w:szCs w:val="21"/>
                <w:highlight w:val="none"/>
                <w:lang w:val="en-US" w:eastAsia="zh-CN" w:bidi="ar"/>
              </w:rPr>
              <w:t>不符合空间布局要求活动的退出要求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-全面取缔禁养区内规模化畜禽养殖场。</w:t>
            </w:r>
          </w:p>
          <w:p>
            <w:pPr>
              <w:keepNext w:val="0"/>
              <w:keepLines w:val="0"/>
              <w:suppressLineNumbers w:val="0"/>
              <w:adjustRightInd w:val="0"/>
              <w:snapToGrid w:val="0"/>
              <w:spacing w:before="0" w:beforeAutospacing="0" w:after="0" w:afterAutospacing="0"/>
              <w:ind w:left="0" w:leftChars="0" w:right="0" w:rightChars="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-针对现有水泥企业，强化污染治理和污染物减排，依法依规整治或搬迁。</w:t>
            </w:r>
          </w:p>
          <w:p>
            <w:pPr>
              <w:keepNext w:val="0"/>
              <w:keepLines w:val="0"/>
              <w:suppressLineNumbers w:val="0"/>
              <w:adjustRightInd w:val="0"/>
              <w:snapToGrid w:val="0"/>
              <w:spacing w:before="0" w:beforeAutospacing="0" w:after="0" w:afterAutospacing="0"/>
              <w:ind w:left="0" w:leftChars="0" w:right="0" w:rightChars="0"/>
              <w:jc w:val="both"/>
              <w:rPr>
                <w:rFonts w:hint="default" w:ascii="Times New Roman" w:hAnsi="Times New Roman" w:eastAsia="宋体" w:cs="Times New Roman"/>
                <w:b w:val="0"/>
                <w:bCs w:val="0"/>
                <w:i w:val="0"/>
                <w:iCs w:val="0"/>
                <w:color w:val="auto"/>
                <w:kern w:val="0"/>
                <w:sz w:val="21"/>
                <w:szCs w:val="21"/>
                <w:highlight w:val="none"/>
                <w:lang w:val="en-US" w:eastAsia="zh-CN" w:bidi="ar"/>
              </w:rPr>
            </w:pPr>
            <w:r>
              <w:rPr>
                <w:rFonts w:hint="default" w:ascii="Times New Roman" w:hAnsi="Times New Roman" w:eastAsia="宋体" w:cs="Times New Roman"/>
                <w:color w:val="auto"/>
                <w:sz w:val="21"/>
                <w:szCs w:val="21"/>
                <w:highlight w:val="none"/>
              </w:rPr>
              <w:t>-严格执行《矿产资源开采管理办法》的相关规定</w:t>
            </w:r>
          </w:p>
        </w:tc>
        <w:tc>
          <w:tcPr>
            <w:tcW w:w="530" w:type="pct"/>
            <w:vMerge w:val="continue"/>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sz w:val="21"/>
                <w:szCs w:val="21"/>
                <w:highlight w:val="none"/>
              </w:rPr>
            </w:pP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585" w:type="pct"/>
            <w:gridSpan w:val="2"/>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污染物排放管控</w:t>
            </w: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rPr>
              <w:t>现有源提标升级改造</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-加快现有乡镇污水处理设施升级改造，按要求达《城镇污水处理厂污染物排放标准》一级A标后排放。</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-在矿产资源开发活动集中区域，废水执行重金属污染物排放特别限值。</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-火电、水泥等行业按相关要求推进大气污染物超低排放和深度治理。</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-砖瓦行业实施脱硫、除尘升级改造，污染物排放达到《砖瓦工业大气污染物排放标准》相关要求</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color w:val="auto"/>
                <w:sz w:val="21"/>
                <w:szCs w:val="21"/>
                <w:highlight w:val="none"/>
              </w:rPr>
              <w:t>-调整优化畜禽养殖区域布局，实施规模化畜禽养殖场标准化建设和改造，加强禽畜养殖粪污治理，深入推广畜禽清洁养殖，养殖场的养殖规模要与周边可供消纳的土地量相匹配，并具备完善的雨污分流、粪便污水资源化利用设施。强化畜禽养殖散户管理，禁止畜禽粪污直排。</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color w:val="auto"/>
                <w:sz w:val="21"/>
                <w:szCs w:val="21"/>
                <w:highlight w:val="none"/>
              </w:rPr>
              <w:t>/</w:t>
            </w:r>
          </w:p>
          <w:p>
            <w:pPr>
              <w:keepNext w:val="0"/>
              <w:keepLines w:val="0"/>
              <w:suppressLineNumbers w:val="0"/>
              <w:spacing w:before="0" w:beforeAutospacing="0" w:after="0" w:afterAutospacing="0"/>
              <w:ind w:left="0" w:right="0"/>
              <w:rPr>
                <w:rFonts w:hint="default"/>
                <w:color w:val="auto"/>
                <w:highlight w:val="none"/>
              </w:rPr>
            </w:pP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rPr>
              <w:t>新增源等量或倍量替代</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-若上一年度空气质量年平均浓度不达标、水环境质量未达到要求，则建设项目新增相关污染物按照总量管控要求进行倍量削减替代。</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-若上一年度空气质量、水环境质量达标，则建设项目新增相关污染物按照总量管控要求进行等量替代。</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-新增VOCs排放的建设项目实行等量替代。</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不涉及新增总量排放</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污染物排放绩效水</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平准入要求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-屠宰项目必须配套污水处理设施或进入城市污水管网；</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-到2025年，基本消除城市建成区生活污水直排口和收集处理设施空白区；县城污水处理率达到95%以上；水环境敏感地区污水处理基本达到一级A排放标准；</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-到2035年，城市生活污水收集管网基本全覆盖，城镇污水处理能力全覆盖，全面实现污泥无害化处置。</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-大中型矿山达到绿色矿山标准，引导小型矿山按照绿色矿山标准规范发展；加强矿山采选废水的处理和综合利用，不外排，采矿废水应尽量回用。</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到2021年底，全市生活垃圾收转运处置体系覆盖95%以上行政村，再生资源回收网点覆盖30%以上的行政村，全市95%以上行政村的生活垃圾得到有效治理。到2023年，全市生活垃圾收转运处置体系覆盖所有行政村，再生资源回收网点覆盖60%以上的行政村，实现保洁员配备合理、管理有效，村组保洁工作运转有序。到2025年，乡镇和农村地区生活垃圾分类工作取得明显成效，生活垃圾减量化、无害化、资源化水平显著提高。基本建成垃圾分类有特色、转运设施较齐全。村庄保洁见长效，资金投入有保障、监管制度较完善的农村生活垃圾治理体系。</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-到2025年底，全市有机肥使用面积达到370万亩，平均耕地质量提升一个等级，化肥使用量总体保持零增长；</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-到2025年，主要粮经作物主产区农药包装废弃物回收率达80%。</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本项目畜禽粪便运输至</w:t>
            </w:r>
            <w:r>
              <w:rPr>
                <w:rFonts w:hint="eastAsia" w:ascii="Times New Roman" w:hAnsi="Times New Roman" w:eastAsia="宋体" w:cs="Times New Roman"/>
                <w:color w:val="auto"/>
                <w:sz w:val="21"/>
                <w:szCs w:val="21"/>
                <w:highlight w:val="none"/>
                <w:lang w:eastAsia="zh-CN"/>
              </w:rPr>
              <w:t>南江县万事康生物科技有限公司</w:t>
            </w:r>
            <w:r>
              <w:rPr>
                <w:rFonts w:hint="default" w:ascii="Times New Roman" w:hAnsi="Times New Roman" w:eastAsia="宋体" w:cs="Times New Roman"/>
                <w:color w:val="auto"/>
                <w:sz w:val="21"/>
                <w:szCs w:val="21"/>
                <w:highlight w:val="none"/>
              </w:rPr>
              <w:t>用作生产有机肥原料使用，养殖废水进入污水处理站，可实现畜禽粪便、废水无害化</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585" w:type="pct"/>
            <w:gridSpan w:val="2"/>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环境风险防控</w:t>
            </w: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rPr>
              <w:t>企业环境风险防控要求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-工业企业退出用地，应按相关要求进行评估、修复，满足相应用地功能后，方可改变用途。</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-加强“散乱污”企业环境风险防控。</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-现有涉及五类重金属的企业，严控污染物排放，限时整治或搬迁。</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-加强再生利用行业清理整顿。落实《电子废物、废轮胎、废塑料、废旧衣服、废家电拆解等再生利用行业清理整顿工作方案》，防止污染土壤和地下水。</w:t>
            </w:r>
          </w:p>
        </w:tc>
        <w:tc>
          <w:tcPr>
            <w:tcW w:w="530" w:type="pct"/>
            <w:shd w:val="clear" w:color="auto" w:fill="auto"/>
            <w:vAlign w:val="center"/>
          </w:tcPr>
          <w:p>
            <w:pPr>
              <w:keepNext w:val="0"/>
              <w:keepLines w:val="0"/>
              <w:suppressLineNumbers w:val="0"/>
              <w:adjustRightInd w:val="0"/>
              <w:snapToGrid w:val="0"/>
              <w:spacing w:before="0" w:beforeAutospacing="0" w:after="0" w:afterAutospacing="0" w:line="220" w:lineRule="exact"/>
              <w:ind w:left="0" w:right="0"/>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本项目不涉及</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rPr>
              <w:t>用地环境风险防控要求</w:t>
            </w:r>
          </w:p>
        </w:tc>
        <w:tc>
          <w:tcPr>
            <w:tcW w:w="2183" w:type="pct"/>
            <w:shd w:val="clear" w:color="auto" w:fill="auto"/>
            <w:vAlign w:val="center"/>
          </w:tcPr>
          <w:p>
            <w:pPr>
              <w:pStyle w:val="2518"/>
              <w:keepNext w:val="0"/>
              <w:keepLines w:val="0"/>
              <w:widowControl w:val="0"/>
              <w:suppressLineNumbers w:val="0"/>
              <w:spacing w:before="0" w:beforeAutospacing="0" w:after="0" w:afterAutospacing="0" w:line="360" w:lineRule="auto"/>
              <w:ind w:left="0" w:right="0" w:firstLine="0" w:firstLineChars="0"/>
              <w:jc w:val="both"/>
              <w:rPr>
                <w:rStyle w:val="94"/>
                <w:rFonts w:hint="default" w:ascii="Times New Roman" w:hAnsi="Times New Roman" w:eastAsia="宋体" w:cs="Times New Roman"/>
                <w:color w:val="auto"/>
                <w:kern w:val="0"/>
                <w:sz w:val="21"/>
                <w:szCs w:val="21"/>
                <w:highlight w:val="none"/>
                <w:lang w:val="en-US" w:eastAsia="zh-CN" w:bidi="ar-SA"/>
              </w:rPr>
            </w:pPr>
            <w:r>
              <w:rPr>
                <w:rStyle w:val="94"/>
                <w:rFonts w:hint="default" w:ascii="Times New Roman" w:hAnsi="Times New Roman" w:eastAsia="宋体" w:cs="Times New Roman"/>
                <w:color w:val="auto"/>
                <w:kern w:val="0"/>
                <w:sz w:val="21"/>
                <w:szCs w:val="21"/>
                <w:highlight w:val="none"/>
                <w:lang w:val="en-US" w:eastAsia="zh-CN" w:bidi="ar-SA"/>
              </w:rPr>
              <w:t>-严禁将城镇生活垃圾、污泥、工业废物直接用作肥料，禁止处理不达标的污泥进入耕地；禁止在农用地排放、倾倒、使用污泥、清淤底泥、尾矿（渣）等可能对土壤造成污染的固体废物。</w:t>
            </w:r>
          </w:p>
          <w:p>
            <w:pPr>
              <w:pStyle w:val="2518"/>
              <w:keepNext w:val="0"/>
              <w:keepLines w:val="0"/>
              <w:widowControl w:val="0"/>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b w:val="0"/>
                <w:bCs w:val="0"/>
                <w:i w:val="0"/>
                <w:iCs w:val="0"/>
                <w:color w:val="auto"/>
                <w:sz w:val="21"/>
                <w:szCs w:val="21"/>
                <w:highlight w:val="none"/>
              </w:rPr>
            </w:pPr>
            <w:r>
              <w:rPr>
                <w:rStyle w:val="94"/>
                <w:rFonts w:hint="default" w:ascii="Times New Roman" w:hAnsi="Times New Roman" w:eastAsia="宋体" w:cs="Times New Roman"/>
                <w:color w:val="auto"/>
                <w:kern w:val="0"/>
                <w:sz w:val="21"/>
                <w:szCs w:val="21"/>
                <w:highlight w:val="none"/>
                <w:lang w:val="en-US" w:eastAsia="zh-CN" w:bidi="ar-SA"/>
              </w:rPr>
              <w:t>-严格控制林地、草地、园地的农药使用量，禁止使用高毒、高残留农药。</w:t>
            </w:r>
          </w:p>
        </w:tc>
        <w:tc>
          <w:tcPr>
            <w:tcW w:w="530" w:type="pct"/>
            <w:shd w:val="clear" w:color="auto" w:fill="auto"/>
            <w:vAlign w:val="center"/>
          </w:tcPr>
          <w:p>
            <w:pPr>
              <w:keepNext w:val="0"/>
              <w:keepLines w:val="0"/>
              <w:suppressLineNumbers w:val="0"/>
              <w:adjustRightInd w:val="0"/>
              <w:snapToGrid w:val="0"/>
              <w:spacing w:before="0" w:beforeAutospacing="0" w:after="0" w:afterAutospacing="0" w:line="220" w:lineRule="exact"/>
              <w:ind w:left="0" w:right="0"/>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sz w:val="21"/>
                <w:szCs w:val="21"/>
                <w:highlight w:val="none"/>
                <w:lang w:eastAsia="zh-CN"/>
              </w:rPr>
              <w:t>本项目采取生态循环的模式以及工程处理措施，以废弃物资源化利用为途径，做到畜禽粪污无害化，不会造成土壤污染</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eastAsia"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585" w:type="pct"/>
            <w:gridSpan w:val="2"/>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资源开发利用效率</w:t>
            </w: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rPr>
              <w:t>水资源利用效率要求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到2022年，万元国内生产总值用水量、万元工业增加值用水量较2015年分别降低30%和28%。</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sz w:val="21"/>
                <w:szCs w:val="21"/>
                <w:highlight w:val="none"/>
                <w:lang w:eastAsia="zh-CN"/>
              </w:rPr>
              <w:t>本项目使用电能及沼气作为能源，均为清洁能源</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rPr>
              <w:t>能源利用效率要求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-推进清洁能源的推广使用，全面推进散煤清洁化整治；禁止新建每小时10蒸吨以下的燃煤锅炉及其他燃煤设施。</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-禁止焚烧秸秆和垃圾。</w:t>
            </w:r>
          </w:p>
        </w:tc>
        <w:tc>
          <w:tcPr>
            <w:tcW w:w="530" w:type="pct"/>
            <w:shd w:val="clear" w:color="auto" w:fill="auto"/>
            <w:vAlign w:val="center"/>
          </w:tcPr>
          <w:p>
            <w:pPr>
              <w:keepNext w:val="0"/>
              <w:keepLines w:val="0"/>
              <w:suppressLineNumbers w:val="0"/>
              <w:snapToGrid w:val="0"/>
              <w:spacing w:before="0" w:beforeAutospacing="0" w:after="0" w:afterAutospacing="0" w:line="260" w:lineRule="exact"/>
              <w:ind w:left="0" w:right="0"/>
              <w:jc w:val="left"/>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项目不涉及燃煤使用。</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eastAsia"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rPr>
              <w:t>禁燃区要求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val="en-US" w:eastAsia="zh-CN"/>
              </w:rPr>
              <w:t>-</w:t>
            </w:r>
            <w:r>
              <w:rPr>
                <w:rFonts w:hint="default" w:ascii="Times New Roman" w:hAnsi="Times New Roman" w:eastAsia="宋体" w:cs="Times New Roman"/>
                <w:b w:val="0"/>
                <w:bCs w:val="0"/>
                <w:i w:val="0"/>
                <w:iCs w:val="0"/>
                <w:color w:val="auto"/>
                <w:sz w:val="21"/>
                <w:szCs w:val="21"/>
                <w:highlight w:val="none"/>
              </w:rPr>
              <w:t>在禁燃区内禁止销售、燃用高污染燃料。禁燃区内禁止新建、扩建燃用高污染燃料的设施。已建成的，应当于2021年12月31日前改用天然气、页岩气、液化石油气、电或其他清洁能源。现有燃用高污染燃料燃用设施在拆除或改造前，有关单位（企业）应当采取措施，确保大气污染物排放达到国家规定标准。</w:t>
            </w:r>
          </w:p>
        </w:tc>
        <w:tc>
          <w:tcPr>
            <w:tcW w:w="530" w:type="pct"/>
            <w:shd w:val="clear" w:color="auto" w:fill="auto"/>
            <w:vAlign w:val="center"/>
          </w:tcPr>
          <w:p>
            <w:pPr>
              <w:keepNext w:val="0"/>
              <w:keepLines w:val="0"/>
              <w:suppressLineNumbers w:val="0"/>
              <w:snapToGrid w:val="0"/>
              <w:spacing w:before="0" w:beforeAutospacing="0" w:after="0" w:afterAutospacing="0" w:line="260" w:lineRule="exact"/>
              <w:ind w:left="0" w:right="0"/>
              <w:jc w:val="left"/>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color w:val="auto"/>
                <w:sz w:val="21"/>
                <w:szCs w:val="21"/>
                <w:highlight w:val="none"/>
              </w:rPr>
              <w:t>该项目不涉及燃用高污染燃料。</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sz w:val="21"/>
                <w:szCs w:val="21"/>
                <w:highlight w:val="none"/>
                <w:lang w:eastAsia="zh-CN"/>
              </w:rPr>
              <w:t>环境管控单元分类：环境综合管控单元要素重点管控单元；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0"/>
                <w:sz w:val="21"/>
                <w:szCs w:val="21"/>
                <w:highlight w:val="none"/>
                <w:lang w:val="en-US" w:eastAsia="zh-CN" w:bidi="ar"/>
              </w:rPr>
            </w:pPr>
            <w:r>
              <w:rPr>
                <w:rFonts w:hint="default" w:ascii="Times New Roman" w:hAnsi="Times New Roman" w:eastAsia="宋体" w:cs="Times New Roman"/>
                <w:b w:val="0"/>
                <w:bCs w:val="0"/>
                <w:i w:val="0"/>
                <w:iCs w:val="0"/>
                <w:color w:val="auto"/>
                <w:sz w:val="21"/>
                <w:szCs w:val="21"/>
                <w:highlight w:val="none"/>
                <w:lang w:eastAsia="zh-CN"/>
              </w:rPr>
              <w:t>编码：ZH51190220007</w:t>
            </w:r>
            <w:r>
              <w:rPr>
                <w:rFonts w:hint="default" w:ascii="Times New Roman" w:hAnsi="Times New Roman" w:eastAsia="宋体" w:cs="Times New Roman"/>
                <w:b w:val="0"/>
                <w:bCs w:val="0"/>
                <w:i w:val="0"/>
                <w:iCs w:val="0"/>
                <w:color w:val="auto"/>
                <w:kern w:val="0"/>
                <w:sz w:val="21"/>
                <w:szCs w:val="21"/>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0"/>
                <w:sz w:val="21"/>
                <w:szCs w:val="21"/>
                <w:highlight w:val="none"/>
                <w:lang w:val="en-US" w:eastAsia="zh-CN" w:bidi="ar"/>
              </w:rPr>
            </w:pPr>
            <w:r>
              <w:rPr>
                <w:rFonts w:hint="default" w:ascii="Times New Roman" w:hAnsi="Times New Roman" w:eastAsia="宋体" w:cs="Times New Roman"/>
                <w:b w:val="0"/>
                <w:bCs w:val="0"/>
                <w:i w:val="0"/>
                <w:iCs w:val="0"/>
                <w:color w:val="auto"/>
                <w:kern w:val="0"/>
                <w:sz w:val="21"/>
                <w:szCs w:val="21"/>
                <w:highlight w:val="none"/>
                <w:lang w:val="en-US" w:eastAsia="zh-CN" w:bidi="ar"/>
              </w:rPr>
              <w:t>名称：</w:t>
            </w:r>
            <w:r>
              <w:rPr>
                <w:rFonts w:hint="default" w:ascii="Times New Roman" w:hAnsi="Times New Roman" w:eastAsia="宋体" w:cs="Times New Roman"/>
                <w:b w:val="0"/>
                <w:bCs w:val="0"/>
                <w:i w:val="0"/>
                <w:iCs w:val="0"/>
                <w:color w:val="auto"/>
                <w:sz w:val="21"/>
                <w:szCs w:val="21"/>
                <w:highlight w:val="none"/>
                <w:lang w:eastAsia="zh-CN"/>
              </w:rPr>
              <w:t>巴州区要素重点管控单元</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单元级清单管控要求</w:t>
            </w:r>
          </w:p>
        </w:tc>
        <w:tc>
          <w:tcPr>
            <w:tcW w:w="585" w:type="pct"/>
            <w:gridSpan w:val="2"/>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空间布局约束</w:t>
            </w:r>
          </w:p>
        </w:tc>
        <w:tc>
          <w:tcPr>
            <w:tcW w:w="601"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sz w:val="21"/>
                <w:szCs w:val="21"/>
                <w:highlight w:val="none"/>
                <w:lang w:val="en-US" w:eastAsia="zh-CN"/>
              </w:rPr>
              <w:t>禁止开发建设活动的要求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执行要素重点管控单元总体准入要求</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本项目为畜禽养殖项目，严格按照畜禽养殖划分方案执行，项目选址不在禁养区范围内，且不涉及基本农田。</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601"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sz w:val="21"/>
                <w:szCs w:val="21"/>
                <w:highlight w:val="none"/>
                <w:lang w:val="en-US" w:eastAsia="zh-CN"/>
              </w:rPr>
              <w:t>限制开发建设活动的要求</w:t>
            </w:r>
          </w:p>
        </w:tc>
        <w:tc>
          <w:tcPr>
            <w:tcW w:w="2183" w:type="pct"/>
            <w:shd w:val="clear" w:color="auto" w:fill="auto"/>
            <w:vAlign w:val="center"/>
          </w:tcPr>
          <w:p>
            <w:pPr>
              <w:keepNext w:val="0"/>
              <w:keepLines w:val="0"/>
              <w:numPr>
                <w:ilvl w:val="0"/>
                <w:numId w:val="15"/>
              </w:numPr>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大气布局敏感重点管控区严格项目引入政策，严控新建水泥厂、危废焚烧、砖瓦厂、陶瓷厂、混凝土及制品等以大气污染为主的企业</w:t>
            </w:r>
          </w:p>
          <w:p>
            <w:pPr>
              <w:keepNext w:val="0"/>
              <w:keepLines w:val="0"/>
              <w:numPr>
                <w:ilvl w:val="0"/>
                <w:numId w:val="15"/>
              </w:numPr>
              <w:suppressLineNumbers w:val="0"/>
              <w:adjustRightInd w:val="0"/>
              <w:snapToGrid w:val="0"/>
              <w:spacing w:before="0" w:beforeAutospacing="0" w:after="0" w:afterAutospacing="0"/>
              <w:ind w:left="0" w:leftChars="0" w:right="0" w:rightChars="0"/>
              <w:jc w:val="left"/>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其他执行要素重点管控单元总体准入要求</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本项目为畜禽养殖项目，不属于大气污染为主的企业</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601"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0"/>
                <w:sz w:val="21"/>
                <w:szCs w:val="21"/>
                <w:highlight w:val="none"/>
                <w:lang w:val="en-US" w:eastAsia="zh-CN" w:bidi="ar"/>
              </w:rPr>
              <w:t>不符合空间布局要求活动的退出要求</w:t>
            </w:r>
          </w:p>
        </w:tc>
        <w:tc>
          <w:tcPr>
            <w:tcW w:w="2183" w:type="pct"/>
            <w:shd w:val="clear" w:color="auto" w:fill="auto"/>
            <w:vAlign w:val="center"/>
          </w:tcPr>
          <w:p>
            <w:pPr>
              <w:keepNext w:val="0"/>
              <w:keepLines w:val="0"/>
              <w:numPr>
                <w:ilvl w:val="0"/>
                <w:numId w:val="0"/>
              </w:numPr>
              <w:suppressLineNumbers w:val="0"/>
              <w:adjustRightInd w:val="0"/>
              <w:snapToGrid w:val="0"/>
              <w:spacing w:before="0" w:beforeAutospacing="0" w:after="0" w:afterAutospacing="0"/>
              <w:ind w:left="0" w:right="0" w:rightChars="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位于城镇空间外的工业园区外工业企业：具有合法手续的企业，且污染物排放及环境风险满足管理要求的企业，可继续保留，要求污染物排放只降不增，并进一步加强日常环保监管；严控新（扩）建水泥厂、危废焚烧、陶瓷厂等以大气污染为主的企业；不具备合法手续，或污染物排放超标、环境风险不可控的企业，限期进行整改提升，通过环保、安全、工艺装备升级等落实整改措施并达到相关标准实现合法生产，整改后仍不能达到要求的，属地政府应按相关要求责令关停并退出</w:t>
            </w:r>
          </w:p>
          <w:p>
            <w:pPr>
              <w:keepNext w:val="0"/>
              <w:keepLines w:val="0"/>
              <w:numPr>
                <w:ilvl w:val="0"/>
                <w:numId w:val="0"/>
              </w:numPr>
              <w:suppressLineNumbers w:val="0"/>
              <w:adjustRightInd w:val="0"/>
              <w:snapToGrid w:val="0"/>
              <w:spacing w:before="0" w:beforeAutospacing="0" w:after="0" w:afterAutospacing="0"/>
              <w:ind w:left="0" w:right="0" w:rightChars="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val="0"/>
                <w:i w:val="0"/>
                <w:iCs w:val="0"/>
                <w:color w:val="auto"/>
                <w:kern w:val="2"/>
                <w:sz w:val="21"/>
                <w:szCs w:val="21"/>
                <w:highlight w:val="none"/>
                <w:lang w:val="en-US" w:eastAsia="zh-CN" w:bidi="ar-SA"/>
              </w:rPr>
              <w:t>（2）其他执行要素重点管控单元总体管控要求</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经</w:t>
            </w:r>
            <w:r>
              <w:rPr>
                <w:rFonts w:hint="default" w:ascii="Times New Roman" w:hAnsi="Times New Roman" w:eastAsia="宋体" w:cs="Times New Roman"/>
                <w:color w:val="auto"/>
                <w:sz w:val="21"/>
                <w:szCs w:val="21"/>
                <w:highlight w:val="none"/>
                <w:lang w:eastAsia="zh-CN"/>
              </w:rPr>
              <w:t>本项目不涉及</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污染物排放管控</w:t>
            </w: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现有源提标升级改造</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（1）大气布局敏感重点管控区中的大气污染排放源执行国家、省、行业排放标准中规定的大气污染物特别排放限值。（2）其他执行要素重点管控单元总体准入要求</w:t>
            </w:r>
          </w:p>
        </w:tc>
        <w:tc>
          <w:tcPr>
            <w:tcW w:w="530" w:type="pct"/>
            <w:vMerge w:val="restart"/>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sz w:val="21"/>
                <w:szCs w:val="21"/>
                <w:highlight w:val="none"/>
                <w:lang w:eastAsia="zh-CN"/>
              </w:rPr>
              <w:t>本项目不涉及</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新增源等量或倍量替代</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执行要素重点管控单元总体准入要求</w:t>
            </w:r>
          </w:p>
        </w:tc>
        <w:tc>
          <w:tcPr>
            <w:tcW w:w="53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新增源排放标准限制</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执行要素重点管控单元总体准入要求</w:t>
            </w:r>
          </w:p>
        </w:tc>
        <w:tc>
          <w:tcPr>
            <w:tcW w:w="53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污染物排放绩效水平准入要求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bCs w:val="0"/>
                <w:i w:val="0"/>
                <w:iCs w:val="0"/>
                <w:color w:val="auto"/>
                <w:kern w:val="2"/>
                <w:sz w:val="21"/>
                <w:szCs w:val="21"/>
                <w:highlight w:val="none"/>
                <w:lang w:val="en-US" w:eastAsia="zh-CN" w:bidi="ar-SA"/>
              </w:rPr>
              <w:t>执行要素重点管控单元总体准入要求</w:t>
            </w:r>
          </w:p>
        </w:tc>
        <w:tc>
          <w:tcPr>
            <w:tcW w:w="530" w:type="pct"/>
            <w:vMerge w:val="continue"/>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用地环境风险防控要求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严格管控类农用地管控要求</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1）开展矿区废弃地、尾矿坝生态治理示范，推进工矿废弃地修复和再利用；（2）巴州区凌云乡鼓楼山村二组张家梁砂岩矿重点治理区、巴州区凌云乡柏垭庙村三组立木垭砂岩矿重点治理区、巴州区玉堂办事处登高居委会二组党家湾页岩矿重点治理区需在高陡边坡防护加固，平整土地，种草恢复植被、恢复地貌景观，加强环境监测管理。</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530" w:type="pct"/>
            <w:shd w:val="clear" w:color="auto" w:fill="auto"/>
            <w:vAlign w:val="center"/>
          </w:tcPr>
          <w:p>
            <w:pPr>
              <w:keepNext w:val="0"/>
              <w:keepLines w:val="0"/>
              <w:suppressLineNumbers w:val="0"/>
              <w:adjustRightInd w:val="0"/>
              <w:snapToGrid w:val="0"/>
              <w:spacing w:before="0" w:beforeAutospacing="0" w:after="0" w:afterAutospacing="0" w:line="220" w:lineRule="exact"/>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本项目位于巴州区鼎山镇首市村吗，不涉及上述地点</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安全利用类农用地管控要求</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安全利用类农用地管控要求</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1）开展矿区废弃地、尾矿坝生态治理示范，推进工矿废弃地修复和再利用；（2）巴州区凌云乡鼓楼山村二组张家梁砂岩矿重点治理区、巴州区凌云乡柏垭庙村三组立木垭砂岩矿重点治理区、巴州区玉堂办事处登高居委会二组党家湾页岩矿重点治理区需在高陡边坡防护加固，平整土地，种草恢复植被、恢复地貌景观，加强环境监测管理。</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污染地块管控要求</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本项目位于巴州区鼎山镇首市村吗，不涉及上述地点</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585" w:type="pct"/>
            <w:gridSpan w:val="2"/>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资源开发利用效率</w:t>
            </w: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水资源利用效率要求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-水资源利用效率要求</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执行要素重点管控单元总体准入要求</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地下水开采要求</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执行要素重点管控单元总体准入要求</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本项目废水进污水处理站进行处理，用于绿化及农田灌溉等，无废水排放。回用率100%</w:t>
            </w:r>
          </w:p>
        </w:tc>
        <w:tc>
          <w:tcPr>
            <w:tcW w:w="274" w:type="pct"/>
            <w:gridSpan w:val="3"/>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Before w:val="1"/>
          <w:wBefore w:w="2" w:type="pct"/>
          <w:trHeight w:val="0" w:hRule="atLeast"/>
        </w:trPr>
        <w:tc>
          <w:tcPr>
            <w:tcW w:w="410" w:type="pct"/>
            <w:vMerge w:val="continue"/>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412" w:type="pct"/>
            <w:vMerge w:val="continue"/>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585" w:type="pct"/>
            <w:gridSpan w:val="2"/>
            <w:vMerge w:val="continue"/>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601" w:type="pct"/>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能源利用效率要求</w:t>
            </w:r>
          </w:p>
        </w:tc>
        <w:tc>
          <w:tcPr>
            <w:tcW w:w="2183" w:type="pct"/>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执行要素重点管控单元总体准入要求</w:t>
            </w:r>
          </w:p>
        </w:tc>
        <w:tc>
          <w:tcPr>
            <w:tcW w:w="530" w:type="pct"/>
            <w:vAlign w:val="center"/>
          </w:tcPr>
          <w:p>
            <w:pPr>
              <w:keepNext w:val="0"/>
              <w:keepLines w:val="0"/>
              <w:suppressLineNumbers w:val="0"/>
              <w:snapToGrid w:val="0"/>
              <w:spacing w:before="0" w:beforeAutospacing="0" w:after="0" w:afterAutospacing="0" w:line="260" w:lineRule="exact"/>
              <w:ind w:left="0" w:right="0"/>
              <w:jc w:val="left"/>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项目不涉及燃煤使用。</w:t>
            </w:r>
          </w:p>
        </w:tc>
        <w:tc>
          <w:tcPr>
            <w:tcW w:w="274" w:type="pct"/>
            <w:gridSpan w:val="3"/>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0" w:hRule="atLeast"/>
        </w:trPr>
        <w:tc>
          <w:tcPr>
            <w:tcW w:w="413" w:type="pct"/>
            <w:gridSpan w:val="2"/>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sz w:val="21"/>
                <w:szCs w:val="21"/>
                <w:highlight w:val="none"/>
                <w:lang w:eastAsia="zh-CN"/>
              </w:rPr>
              <w:t>环境管控单元分类：水环境一般管控区；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0"/>
                <w:sz w:val="21"/>
                <w:szCs w:val="21"/>
                <w:highlight w:val="none"/>
                <w:lang w:val="en-US" w:eastAsia="zh-CN" w:bidi="ar"/>
              </w:rPr>
            </w:pPr>
            <w:r>
              <w:rPr>
                <w:rFonts w:hint="default" w:ascii="Times New Roman" w:hAnsi="Times New Roman" w:eastAsia="宋体" w:cs="Times New Roman"/>
                <w:b w:val="0"/>
                <w:bCs w:val="0"/>
                <w:i w:val="0"/>
                <w:iCs w:val="0"/>
                <w:color w:val="auto"/>
                <w:sz w:val="21"/>
                <w:szCs w:val="21"/>
                <w:highlight w:val="none"/>
                <w:lang w:eastAsia="zh-CN"/>
              </w:rPr>
              <w:t>编码：YS5119023210001</w:t>
            </w:r>
            <w:r>
              <w:rPr>
                <w:rFonts w:hint="default" w:ascii="Times New Roman" w:hAnsi="Times New Roman" w:eastAsia="宋体" w:cs="Times New Roman"/>
                <w:b w:val="0"/>
                <w:bCs w:val="0"/>
                <w:i w:val="0"/>
                <w:iCs w:val="0"/>
                <w:color w:val="auto"/>
                <w:kern w:val="0"/>
                <w:sz w:val="21"/>
                <w:szCs w:val="21"/>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0"/>
                <w:sz w:val="21"/>
                <w:szCs w:val="21"/>
                <w:highlight w:val="none"/>
                <w:lang w:val="en-US" w:eastAsia="zh-CN" w:bidi="ar"/>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kern w:val="0"/>
                <w:sz w:val="21"/>
                <w:szCs w:val="21"/>
                <w:highlight w:val="none"/>
                <w:lang w:val="en-US" w:eastAsia="zh-CN" w:bidi="ar"/>
              </w:rPr>
              <w:t>名称：巴河（江陵）-巴州区-控制单元</w:t>
            </w:r>
          </w:p>
        </w:tc>
        <w:tc>
          <w:tcPr>
            <w:tcW w:w="412" w:type="pct"/>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单元级清单管控要求</w:t>
            </w:r>
          </w:p>
        </w:tc>
        <w:tc>
          <w:tcPr>
            <w:tcW w:w="336" w:type="pct"/>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空间布局约束</w:t>
            </w:r>
          </w:p>
        </w:tc>
        <w:tc>
          <w:tcPr>
            <w:tcW w:w="849"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sz w:val="21"/>
                <w:szCs w:val="21"/>
                <w:highlight w:val="none"/>
                <w:lang w:val="en-US" w:eastAsia="zh-CN"/>
              </w:rPr>
              <w:t>禁止开发建设活动的要求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262"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849"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sz w:val="21"/>
                <w:szCs w:val="21"/>
                <w:highlight w:val="none"/>
                <w:lang w:val="en-US" w:eastAsia="zh-CN"/>
              </w:rPr>
              <w:t>限制开发建设活动的要求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262"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849"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0"/>
                <w:sz w:val="21"/>
                <w:szCs w:val="21"/>
                <w:highlight w:val="none"/>
                <w:lang w:val="en-US" w:eastAsia="zh-CN" w:bidi="ar"/>
              </w:rPr>
              <w:t>不符合空间布局要求活动的退出要求</w:t>
            </w:r>
          </w:p>
        </w:tc>
        <w:tc>
          <w:tcPr>
            <w:tcW w:w="2183" w:type="pct"/>
            <w:shd w:val="clear" w:color="auto" w:fill="auto"/>
            <w:vAlign w:val="center"/>
          </w:tcPr>
          <w:p>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262"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污染物排放管控</w:t>
            </w:r>
          </w:p>
        </w:tc>
        <w:tc>
          <w:tcPr>
            <w:tcW w:w="849" w:type="pct"/>
            <w:gridSpan w:val="2"/>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城镇污水污染控制措施要求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vMerge w:val="restar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w:t>
            </w:r>
          </w:p>
        </w:tc>
        <w:tc>
          <w:tcPr>
            <w:tcW w:w="262"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849" w:type="pct"/>
            <w:gridSpan w:val="2"/>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农业面源水污染控制措施要求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262"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849" w:type="pct"/>
            <w:gridSpan w:val="2"/>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工业废水污染控制措施要求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262"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849" w:type="pct"/>
            <w:gridSpan w:val="2"/>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船舶港口水污染控制措施要求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vMerge w:val="continue"/>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262"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849" w:type="pct"/>
            <w:gridSpan w:val="2"/>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饮用水水源和其它特殊水体保护要求准入要求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vMerge w:val="continue"/>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262"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环境风险防控</w:t>
            </w:r>
          </w:p>
        </w:tc>
        <w:tc>
          <w:tcPr>
            <w:tcW w:w="849" w:type="pct"/>
            <w:gridSpan w:val="2"/>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企业环境风险防控要求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进一步完善工业企业和矿山环境风险防范和管理体系建设，开展企业风险隐患排查与风险评估，增强企业的环境风险意识，守住环境安全底线。</w:t>
            </w:r>
          </w:p>
        </w:tc>
        <w:tc>
          <w:tcPr>
            <w:tcW w:w="530" w:type="pct"/>
            <w:shd w:val="clear" w:color="auto" w:fill="auto"/>
            <w:vAlign w:val="center"/>
          </w:tcPr>
          <w:p>
            <w:pPr>
              <w:keepNext w:val="0"/>
              <w:keepLines w:val="0"/>
              <w:suppressLineNumbers w:val="0"/>
              <w:adjustRightInd w:val="0"/>
              <w:snapToGrid w:val="0"/>
              <w:spacing w:before="0" w:beforeAutospacing="0" w:after="0" w:afterAutospacing="0" w:line="220" w:lineRule="exact"/>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本项目不涉及</w:t>
            </w:r>
          </w:p>
        </w:tc>
        <w:tc>
          <w:tcPr>
            <w:tcW w:w="262"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0"/>
                <w:sz w:val="21"/>
                <w:szCs w:val="21"/>
                <w:highlight w:val="none"/>
                <w:lang w:val="en-US" w:eastAsia="zh-CN" w:bidi="ar"/>
              </w:rPr>
            </w:pPr>
            <w:r>
              <w:rPr>
                <w:rFonts w:hint="default" w:ascii="Times New Roman" w:hAnsi="Times New Roman" w:eastAsia="宋体" w:cs="Times New Roman"/>
                <w:b w:val="0"/>
                <w:bCs w:val="0"/>
                <w:i w:val="0"/>
                <w:iCs w:val="0"/>
                <w:color w:val="auto"/>
                <w:sz w:val="21"/>
                <w:szCs w:val="21"/>
                <w:highlight w:val="none"/>
                <w:lang w:eastAsia="zh-CN"/>
              </w:rPr>
              <w:t>环境管控单元分类：巴州区大气环境布局敏感重点管控区：YS5119022320001</w:t>
            </w:r>
            <w:r>
              <w:rPr>
                <w:rFonts w:hint="default" w:ascii="Times New Roman" w:hAnsi="Times New Roman" w:eastAsia="宋体" w:cs="Times New Roman"/>
                <w:b w:val="0"/>
                <w:bCs w:val="0"/>
                <w:i w:val="0"/>
                <w:iCs w:val="0"/>
                <w:color w:val="auto"/>
                <w:kern w:val="0"/>
                <w:sz w:val="21"/>
                <w:szCs w:val="21"/>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0"/>
                <w:sz w:val="21"/>
                <w:szCs w:val="21"/>
                <w:highlight w:val="none"/>
                <w:lang w:val="en-US" w:eastAsia="zh-CN" w:bidi="ar"/>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kern w:val="0"/>
                <w:sz w:val="21"/>
                <w:szCs w:val="21"/>
                <w:highlight w:val="none"/>
                <w:lang w:val="en-US" w:eastAsia="zh-CN" w:bidi="ar"/>
              </w:rPr>
              <w:t>名称：巴州区大气环境布局敏感重点管控区</w:t>
            </w:r>
          </w:p>
        </w:tc>
        <w:tc>
          <w:tcPr>
            <w:tcW w:w="412" w:type="pct"/>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单元级清单管控要求</w:t>
            </w:r>
          </w:p>
        </w:tc>
        <w:tc>
          <w:tcPr>
            <w:tcW w:w="336" w:type="pct"/>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空间布局约束</w:t>
            </w:r>
          </w:p>
        </w:tc>
        <w:tc>
          <w:tcPr>
            <w:tcW w:w="849"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sz w:val="21"/>
                <w:szCs w:val="21"/>
                <w:highlight w:val="none"/>
                <w:lang w:val="en-US" w:eastAsia="zh-CN"/>
              </w:rPr>
              <w:t>禁止开发建设活动的要求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vMerge w:val="restart"/>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本项目不涉及</w:t>
            </w: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849"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sz w:val="21"/>
                <w:szCs w:val="21"/>
                <w:highlight w:val="none"/>
                <w:lang w:val="en-US" w:eastAsia="zh-CN"/>
              </w:rPr>
              <w:t>限制开发建设活动的要求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vMerge w:val="continue"/>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849"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0"/>
                <w:sz w:val="21"/>
                <w:szCs w:val="21"/>
                <w:highlight w:val="none"/>
                <w:lang w:val="en-US" w:eastAsia="zh-CN" w:bidi="ar"/>
              </w:rPr>
              <w:t>不符合空间布局要求活动的退出要求</w:t>
            </w:r>
          </w:p>
        </w:tc>
        <w:tc>
          <w:tcPr>
            <w:tcW w:w="2183" w:type="pct"/>
            <w:shd w:val="clear" w:color="auto" w:fill="auto"/>
            <w:vAlign w:val="center"/>
          </w:tcPr>
          <w:p>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30" w:type="pct"/>
            <w:vMerge w:val="continue"/>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污染物排放管控</w:t>
            </w:r>
          </w:p>
        </w:tc>
        <w:tc>
          <w:tcPr>
            <w:tcW w:w="849" w:type="pct"/>
            <w:gridSpan w:val="2"/>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区域大气污染物削减/替代要求</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大气环境质量执行标准</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《环境空气质量标准》（GB3095-2012）：二级</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区域大气污染物削减/替代要求</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对新建排放二氧化硫、氮氧化物和挥发性有机物的项目实施现役源等量削减量替代。</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highlight w:val="none"/>
                <w:lang w:eastAsia="zh-CN"/>
              </w:rPr>
              <w:t>本项目排放废气为</w:t>
            </w:r>
            <w:r>
              <w:rPr>
                <w:rFonts w:hint="default" w:ascii="Times New Roman" w:hAnsi="Times New Roman" w:eastAsia="宋体" w:cs="Times New Roman"/>
                <w:b w:val="0"/>
                <w:bCs w:val="0"/>
                <w:i w:val="0"/>
                <w:iCs w:val="0"/>
                <w:color w:val="auto"/>
                <w:sz w:val="21"/>
                <w:szCs w:val="21"/>
                <w:highlight w:val="none"/>
                <w:lang w:val="en-US" w:eastAsia="zh-CN"/>
              </w:rPr>
              <w:t>NH</w:t>
            </w:r>
            <w:r>
              <w:rPr>
                <w:rFonts w:hint="default" w:ascii="Times New Roman" w:hAnsi="Times New Roman" w:eastAsia="宋体" w:cs="Times New Roman"/>
                <w:b w:val="0"/>
                <w:bCs w:val="0"/>
                <w:i w:val="0"/>
                <w:iCs w:val="0"/>
                <w:color w:val="auto"/>
                <w:sz w:val="21"/>
                <w:szCs w:val="21"/>
                <w:highlight w:val="none"/>
                <w:vertAlign w:val="subscript"/>
                <w:lang w:val="en-US" w:eastAsia="zh-CN"/>
              </w:rPr>
              <w:t>3</w:t>
            </w:r>
            <w:r>
              <w:rPr>
                <w:rFonts w:hint="default" w:ascii="Times New Roman" w:hAnsi="Times New Roman" w:eastAsia="宋体" w:cs="Times New Roman"/>
                <w:b w:val="0"/>
                <w:bCs w:val="0"/>
                <w:i w:val="0"/>
                <w:iCs w:val="0"/>
                <w:color w:val="auto"/>
                <w:sz w:val="21"/>
                <w:szCs w:val="21"/>
                <w:highlight w:val="none"/>
                <w:lang w:val="en-US" w:eastAsia="zh-CN"/>
              </w:rPr>
              <w:t>-N、H</w:t>
            </w:r>
            <w:r>
              <w:rPr>
                <w:rFonts w:hint="default" w:ascii="Times New Roman" w:hAnsi="Times New Roman" w:eastAsia="宋体" w:cs="Times New Roman"/>
                <w:b w:val="0"/>
                <w:bCs w:val="0"/>
                <w:i w:val="0"/>
                <w:iCs w:val="0"/>
                <w:color w:val="auto"/>
                <w:sz w:val="21"/>
                <w:szCs w:val="21"/>
                <w:highlight w:val="none"/>
                <w:vertAlign w:val="subscript"/>
                <w:lang w:val="en-US" w:eastAsia="zh-CN"/>
              </w:rPr>
              <w:t>2</w:t>
            </w:r>
            <w:r>
              <w:rPr>
                <w:rFonts w:hint="default" w:ascii="Times New Roman" w:hAnsi="Times New Roman" w:eastAsia="宋体" w:cs="Times New Roman"/>
                <w:b w:val="0"/>
                <w:bCs w:val="0"/>
                <w:i w:val="0"/>
                <w:iCs w:val="0"/>
                <w:color w:val="auto"/>
                <w:sz w:val="21"/>
                <w:szCs w:val="21"/>
                <w:highlight w:val="none"/>
                <w:lang w:val="en-US" w:eastAsia="zh-CN"/>
              </w:rPr>
              <w:t>S及臭气，不涉及</w:t>
            </w:r>
            <w:r>
              <w:rPr>
                <w:rFonts w:hint="default" w:ascii="Times New Roman" w:hAnsi="Times New Roman" w:eastAsia="宋体" w:cs="Times New Roman"/>
                <w:b w:val="0"/>
                <w:bCs w:val="0"/>
                <w:i w:val="0"/>
                <w:iCs w:val="0"/>
                <w:color w:val="auto"/>
                <w:kern w:val="2"/>
                <w:sz w:val="21"/>
                <w:szCs w:val="21"/>
                <w:highlight w:val="none"/>
                <w:lang w:val="en-US" w:eastAsia="zh-CN" w:bidi="ar-SA"/>
              </w:rPr>
              <w:t>二氧化硫、氮氧化物和挥发性有机物的排放</w:t>
            </w: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336"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849" w:type="pct"/>
            <w:gridSpan w:val="2"/>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燃煤和其他能源大气污染控制要求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机动车船大气污染控制要求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加强城市交通管理。优化城市功能和布局规划，调整城区路网结构。通过错峰上下班、调整停车费、智能交通管理和服务等手段，提高机动车通行效率。实施公交优先战略，加快公共交通一体化发展，大幅提高公共交通出行分担率，建立公众出行信息服务平台。加快步行和自行车交通系统建设，改善居民步行、自行车出行条件，倡导绿色出行。新建或改扩建的城市主干道、次干道，设置步行道和自行车道，城市支路和居住区道路设置步行道。鼓励燃油机动车驾驶人在不影响道路通行且需停车三分钟以上的情况下熄灭发动机。</w:t>
            </w:r>
          </w:p>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53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sz w:val="21"/>
                <w:szCs w:val="21"/>
                <w:highlight w:val="none"/>
                <w:lang w:eastAsia="zh-CN"/>
              </w:rPr>
              <w:t>本项目不涉及</w:t>
            </w: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扬尘污染控制要求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强化施工扬尘监管。严格执行《四川省建筑工程扬尘污染防治技术导则（试行）》、《四川省施工场地扬尘排放标准》（DB51/2682-2035）、《巴中市扬尘污染防治条例》相关要求。建立和完善扬尘污染防治长效机制，以新区开发建设和旧城改造区域为重点，实施建设工地扬尘精细化管理。推进绿色文明施工，严格落实施工现场扬尘治理“六必须、六不准”的要求。</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本项目严格执行施工扬尘监管。</w:t>
            </w: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农业生产经营活动大气污染控制要求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重点行业企业专项治理要求</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推进重点行业污染治理升级改造。强化工业企业无组织排放管控，推动实施水泥行业超低排放改造。开展砖瓦行业及燃煤锅炉无组织排放排查，建立管理台账，对物料（含废渣）运输、装卸、储存、转移和工艺过程等无组织排放实施有效治理。</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其他大气污染物排放管控要求</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bCs w:val="0"/>
                <w:i w:val="0"/>
                <w:iCs w:val="0"/>
                <w:color w:val="auto"/>
                <w:kern w:val="2"/>
                <w:sz w:val="21"/>
                <w:szCs w:val="21"/>
                <w:highlight w:val="none"/>
                <w:lang w:val="en-US" w:eastAsia="zh-CN" w:bidi="ar-SA"/>
              </w:rPr>
              <w:t>减少工业化、城镇化对大气环境的影响，严格执行国家、省、市下达的相关大气污染防治要求。</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本项目不涉及</w:t>
            </w: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环境风险防控</w:t>
            </w: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企业环境风险防控要求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shd w:val="clear" w:color="auto" w:fill="auto"/>
            <w:vAlign w:val="center"/>
          </w:tcPr>
          <w:p>
            <w:pPr>
              <w:keepNext w:val="0"/>
              <w:keepLines w:val="0"/>
              <w:suppressLineNumbers w:val="0"/>
              <w:adjustRightInd w:val="0"/>
              <w:snapToGrid w:val="0"/>
              <w:spacing w:before="0" w:beforeAutospacing="0" w:after="0" w:afterAutospacing="0" w:line="220" w:lineRule="exact"/>
              <w:ind w:left="0" w:right="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585"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资源开发利用效率</w:t>
            </w:r>
          </w:p>
        </w:tc>
        <w:tc>
          <w:tcPr>
            <w:tcW w:w="601"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0"/>
                <w:sz w:val="21"/>
                <w:szCs w:val="21"/>
                <w:highlight w:val="none"/>
                <w:lang w:val="en-US" w:eastAsia="zh-CN" w:bidi="ar"/>
              </w:rPr>
            </w:pPr>
            <w:r>
              <w:rPr>
                <w:rFonts w:hint="default" w:ascii="Times New Roman" w:hAnsi="Times New Roman" w:eastAsia="宋体" w:cs="Times New Roman"/>
                <w:b w:val="0"/>
                <w:bCs w:val="0"/>
                <w:i w:val="0"/>
                <w:iCs w:val="0"/>
                <w:color w:val="auto"/>
                <w:sz w:val="21"/>
                <w:szCs w:val="21"/>
                <w:highlight w:val="none"/>
                <w:lang w:eastAsia="zh-CN"/>
              </w:rPr>
              <w:t>环境管控单元分类：</w:t>
            </w:r>
            <w:r>
              <w:rPr>
                <w:rStyle w:val="94"/>
                <w:rFonts w:hint="default" w:ascii="Times New Roman" w:hAnsi="Times New Roman" w:eastAsia="宋体" w:cs="Times New Roman"/>
                <w:color w:val="auto"/>
                <w:kern w:val="2"/>
                <w:sz w:val="21"/>
                <w:szCs w:val="21"/>
                <w:highlight w:val="none"/>
                <w:lang w:val="en-US" w:eastAsia="zh-CN" w:bidi="ar-SA"/>
              </w:rPr>
              <w:t>巴州区土壤优先保护区</w:t>
            </w:r>
            <w:r>
              <w:rPr>
                <w:rFonts w:hint="default" w:ascii="Times New Roman" w:hAnsi="Times New Roman" w:eastAsia="宋体" w:cs="Times New Roman"/>
                <w:b w:val="0"/>
                <w:bCs w:val="0"/>
                <w:i w:val="0"/>
                <w:iCs w:val="0"/>
                <w:color w:val="auto"/>
                <w:sz w:val="21"/>
                <w:szCs w:val="21"/>
                <w:highlight w:val="none"/>
                <w:lang w:eastAsia="zh-CN"/>
              </w:rPr>
              <w:t>：YS5119021410001</w:t>
            </w:r>
            <w:r>
              <w:rPr>
                <w:rFonts w:hint="default" w:ascii="Times New Roman" w:hAnsi="Times New Roman" w:eastAsia="宋体" w:cs="Times New Roman"/>
                <w:b w:val="0"/>
                <w:bCs w:val="0"/>
                <w:i w:val="0"/>
                <w:iCs w:val="0"/>
                <w:color w:val="auto"/>
                <w:kern w:val="0"/>
                <w:sz w:val="21"/>
                <w:szCs w:val="21"/>
                <w:highlight w:val="none"/>
                <w:lang w:val="en-US" w:eastAsia="zh-CN" w:bidi="ar"/>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r>
              <w:rPr>
                <w:rFonts w:hint="default" w:ascii="Times New Roman" w:hAnsi="Times New Roman" w:eastAsia="宋体" w:cs="Times New Roman"/>
                <w:b w:val="0"/>
                <w:bCs w:val="0"/>
                <w:i w:val="0"/>
                <w:iCs w:val="0"/>
                <w:color w:val="auto"/>
                <w:kern w:val="0"/>
                <w:sz w:val="21"/>
                <w:szCs w:val="21"/>
                <w:highlight w:val="none"/>
                <w:lang w:val="en-US" w:eastAsia="zh-CN" w:bidi="ar"/>
              </w:rPr>
              <w:t>名称：农用地优先保护区</w:t>
            </w:r>
          </w:p>
        </w:tc>
        <w:tc>
          <w:tcPr>
            <w:tcW w:w="412" w:type="pct"/>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lang w:eastAsia="zh-CN"/>
              </w:rPr>
            </w:pPr>
            <w:r>
              <w:rPr>
                <w:rFonts w:hint="default" w:ascii="Times New Roman" w:hAnsi="Times New Roman" w:eastAsia="宋体" w:cs="Times New Roman"/>
                <w:b/>
                <w:bCs/>
                <w:i w:val="0"/>
                <w:iCs w:val="0"/>
                <w:color w:val="auto"/>
                <w:sz w:val="21"/>
                <w:szCs w:val="21"/>
                <w:highlight w:val="none"/>
                <w:lang w:eastAsia="zh-CN"/>
              </w:rPr>
              <w:t>单元级清单管控要求</w:t>
            </w:r>
          </w:p>
        </w:tc>
        <w:tc>
          <w:tcPr>
            <w:tcW w:w="585" w:type="pct"/>
            <w:gridSpan w:val="2"/>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空间布局约束</w:t>
            </w:r>
          </w:p>
        </w:tc>
        <w:tc>
          <w:tcPr>
            <w:tcW w:w="601"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sz w:val="21"/>
                <w:szCs w:val="21"/>
                <w:highlight w:val="none"/>
                <w:lang w:val="en-US" w:eastAsia="zh-CN"/>
              </w:rPr>
              <w:t>禁止开发建设活动的要求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vMerge w:val="restar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601"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sz w:val="21"/>
                <w:szCs w:val="21"/>
                <w:highlight w:val="none"/>
                <w:lang w:val="en-US" w:eastAsia="zh-CN"/>
              </w:rPr>
              <w:t>限制开发建设活动的要求</w:t>
            </w:r>
          </w:p>
        </w:tc>
        <w:tc>
          <w:tcPr>
            <w:tcW w:w="2183"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vMerge w:val="continue"/>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601"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0"/>
                <w:sz w:val="21"/>
                <w:szCs w:val="21"/>
                <w:highlight w:val="none"/>
                <w:lang w:val="en-US" w:eastAsia="zh-CN" w:bidi="ar"/>
              </w:rPr>
              <w:t>不符合空间布局要求活动的退出要求</w:t>
            </w:r>
          </w:p>
        </w:tc>
        <w:tc>
          <w:tcPr>
            <w:tcW w:w="2183" w:type="pct"/>
            <w:shd w:val="clear" w:color="auto" w:fill="auto"/>
            <w:vAlign w:val="center"/>
          </w:tcPr>
          <w:p>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30" w:type="pct"/>
            <w:vMerge w:val="continue"/>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val="en-US"/>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污染物排放管控</w:t>
            </w:r>
          </w:p>
        </w:tc>
        <w:tc>
          <w:tcPr>
            <w:tcW w:w="2784" w:type="pct"/>
            <w:gridSpan w:val="2"/>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highlight w:val="none"/>
                <w:lang w:val="en-US" w:eastAsia="zh-CN"/>
              </w:rPr>
              <w:t>/</w:t>
            </w: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lang w:eastAsia="zh-CN"/>
              </w:rPr>
            </w:pPr>
          </w:p>
        </w:tc>
        <w:tc>
          <w:tcPr>
            <w:tcW w:w="585"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环境风险防控</w:t>
            </w:r>
          </w:p>
        </w:tc>
        <w:tc>
          <w:tcPr>
            <w:tcW w:w="2784" w:type="pct"/>
            <w:gridSpan w:val="2"/>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shd w:val="clear" w:color="auto" w:fill="auto"/>
            <w:vAlign w:val="center"/>
          </w:tcPr>
          <w:p>
            <w:pPr>
              <w:keepNext w:val="0"/>
              <w:keepLines w:val="0"/>
              <w:suppressLineNumbers w:val="0"/>
              <w:adjustRightInd w:val="0"/>
              <w:snapToGrid w:val="0"/>
              <w:spacing w:before="0" w:beforeAutospacing="0" w:after="0" w:afterAutospacing="0" w:line="220" w:lineRule="exact"/>
              <w:ind w:left="0" w:right="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r>
              <w:rPr>
                <w:rFonts w:hint="eastAsia" w:ascii="Times New Roman" w:hAnsi="Times New Roman" w:eastAsia="宋体" w:cs="Times New Roman"/>
                <w:b w:val="0"/>
                <w:bCs w:val="0"/>
                <w:i w:val="0"/>
                <w:iCs w:val="0"/>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gridAfter w:val="2"/>
          <w:wAfter w:w="13" w:type="pct"/>
          <w:trHeight w:val="0" w:hRule="atLeast"/>
        </w:trPr>
        <w:tc>
          <w:tcPr>
            <w:tcW w:w="413" w:type="pct"/>
            <w:gridSpan w:val="2"/>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412" w:type="pct"/>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sz w:val="21"/>
                <w:szCs w:val="21"/>
                <w:highlight w:val="none"/>
              </w:rPr>
            </w:pPr>
          </w:p>
        </w:tc>
        <w:tc>
          <w:tcPr>
            <w:tcW w:w="585" w:type="pct"/>
            <w:gridSpan w:val="2"/>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lang w:eastAsia="zh-CN"/>
              </w:rPr>
              <w:t>资源开发利用效率</w:t>
            </w:r>
          </w:p>
        </w:tc>
        <w:tc>
          <w:tcPr>
            <w:tcW w:w="2784" w:type="pct"/>
            <w:gridSpan w:val="2"/>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530" w:type="pct"/>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default" w:ascii="Times New Roman" w:hAnsi="Times New Roman" w:eastAsia="宋体" w:cs="Times New Roman"/>
                <w:b w:val="0"/>
                <w:bCs w:val="0"/>
                <w:i w:val="0"/>
                <w:iCs w:val="0"/>
                <w:color w:val="auto"/>
                <w:kern w:val="2"/>
                <w:sz w:val="21"/>
                <w:szCs w:val="21"/>
                <w:highlight w:val="none"/>
                <w:lang w:val="en-US" w:eastAsia="zh-CN" w:bidi="ar-SA"/>
              </w:rPr>
              <w:t>/</w:t>
            </w:r>
          </w:p>
        </w:tc>
        <w:tc>
          <w:tcPr>
            <w:tcW w:w="260"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olor w:val="auto"/>
                <w:kern w:val="2"/>
                <w:sz w:val="21"/>
                <w:szCs w:val="21"/>
                <w:highlight w:val="none"/>
                <w:lang w:val="en-US" w:eastAsia="zh-CN" w:bidi="ar-SA"/>
              </w:rPr>
            </w:pPr>
            <w:r>
              <w:rPr>
                <w:rFonts w:hint="eastAsia" w:ascii="Times New Roman" w:hAnsi="Times New Roman" w:eastAsia="宋体" w:cs="Times New Roman"/>
                <w:b w:val="0"/>
                <w:bCs w:val="0"/>
                <w:i w:val="0"/>
                <w:iCs w:val="0"/>
                <w:color w:val="auto"/>
                <w:sz w:val="21"/>
                <w:szCs w:val="21"/>
                <w:highlight w:val="none"/>
                <w:lang w:val="en-US" w:eastAsia="zh-CN"/>
              </w:rPr>
              <w:t>/</w:t>
            </w:r>
          </w:p>
        </w:tc>
      </w:tr>
    </w:tbl>
    <w:p>
      <w:pPr>
        <w:pStyle w:val="90"/>
        <w:ind w:left="0" w:leftChars="0" w:firstLine="0" w:firstLineChars="0"/>
        <w:rPr>
          <w:rFonts w:hint="eastAsia"/>
          <w:color w:val="auto"/>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napToGrid w:val="0"/>
        <w:ind w:firstLine="480" w:firstLineChars="200"/>
        <w:rPr>
          <w:rFonts w:hint="eastAsia" w:ascii="Times New Roman" w:hAnsi="Times New Roman" w:cs="Times New Roman"/>
          <w:bCs/>
          <w:color w:val="auto"/>
          <w:sz w:val="24"/>
          <w:szCs w:val="24"/>
          <w:highlight w:val="none"/>
        </w:rPr>
      </w:pPr>
      <w:r>
        <w:rPr>
          <w:rFonts w:ascii="Times New Roman" w:hAnsi="Times New Roman" w:cs="Times New Roman"/>
          <w:bCs/>
          <w:color w:val="auto"/>
          <w:sz w:val="24"/>
          <w:szCs w:val="24"/>
          <w:highlight w:val="none"/>
        </w:rPr>
        <w:t>综上</w:t>
      </w:r>
      <w:r>
        <w:rPr>
          <w:rFonts w:hint="eastAsia" w:ascii="Times New Roman" w:hAnsi="Times New Roman" w:cs="Times New Roman"/>
          <w:bCs/>
          <w:color w:val="auto"/>
          <w:sz w:val="24"/>
          <w:szCs w:val="24"/>
          <w:highlight w:val="none"/>
        </w:rPr>
        <w:t>，</w:t>
      </w:r>
      <w:r>
        <w:rPr>
          <w:rFonts w:ascii="Times New Roman" w:hAnsi="Times New Roman" w:cs="Times New Roman"/>
          <w:bCs/>
          <w:color w:val="auto"/>
          <w:sz w:val="24"/>
          <w:szCs w:val="24"/>
          <w:highlight w:val="none"/>
        </w:rPr>
        <w:t>本项目符合</w:t>
      </w:r>
      <w:r>
        <w:rPr>
          <w:rFonts w:hint="eastAsia" w:ascii="Times New Roman" w:hAnsi="Times New Roman" w:cs="Times New Roman"/>
          <w:bCs/>
          <w:color w:val="auto"/>
          <w:sz w:val="24"/>
          <w:szCs w:val="24"/>
          <w:highlight w:val="none"/>
        </w:rPr>
        <w:t>“三线一单”要求，不在生态红线，未突破环境质量底线，未突破资源利用上线，不在环境负面清单内。</w:t>
      </w:r>
    </w:p>
    <w:p>
      <w:pPr>
        <w:pStyle w:val="8"/>
        <w:spacing w:before="0" w:after="0" w:line="360" w:lineRule="auto"/>
        <w:ind w:left="0" w:firstLine="0"/>
        <w:rPr>
          <w:rFonts w:cs="Times New Roman"/>
          <w:color w:val="auto"/>
          <w:highlight w:val="none"/>
        </w:rPr>
      </w:pPr>
      <w:bookmarkStart w:id="104" w:name="_Toc1656"/>
      <w:r>
        <w:rPr>
          <w:rFonts w:hint="eastAsia" w:cs="Times New Roman"/>
          <w:color w:val="auto"/>
          <w:highlight w:val="none"/>
          <w:lang w:eastAsia="zh-CN"/>
        </w:rPr>
        <w:t>技术规范符合性分析</w:t>
      </w:r>
      <w:bookmarkEnd w:id="104"/>
    </w:p>
    <w:p>
      <w:pPr>
        <w:pStyle w:val="9"/>
        <w:bidi w:val="0"/>
        <w:rPr>
          <w:rFonts w:hint="eastAsia" w:cs="Times New Roman"/>
          <w:color w:val="auto"/>
          <w:highlight w:val="none"/>
          <w:lang w:eastAsia="zh-CN"/>
        </w:rPr>
      </w:pPr>
      <w:r>
        <w:rPr>
          <w:rFonts w:hint="eastAsia" w:cs="Times New Roman"/>
          <w:color w:val="auto"/>
          <w:highlight w:val="none"/>
        </w:rPr>
        <w:t xml:space="preserve"> 与《畜禽养殖业污染治理工程技术规范》（HJ497-2009</w:t>
      </w:r>
      <w:r>
        <w:rPr>
          <w:rFonts w:hint="eastAsia" w:cs="Times New Roman"/>
          <w:color w:val="auto"/>
          <w:highlight w:val="none"/>
          <w:lang w:eastAsia="zh-CN"/>
        </w:rPr>
        <w:t>）符合性</w:t>
      </w:r>
    </w:p>
    <w:p>
      <w:pPr>
        <w:snapToGrid w:val="0"/>
        <w:ind w:firstLine="480" w:firstLineChars="200"/>
        <w:rPr>
          <w:rFonts w:hint="eastAsia" w:ascii="Times New Roman" w:hAnsi="Times New Roman" w:eastAsia="宋体" w:cs="Times New Roman"/>
          <w:b/>
          <w:bCs/>
          <w:color w:val="auto"/>
          <w:highlight w:val="none"/>
          <w:lang w:val="en-US" w:eastAsia="zh-CN"/>
        </w:rPr>
      </w:pPr>
      <w:r>
        <w:rPr>
          <w:rFonts w:ascii="Times New Roman" w:hAnsi="Times New Roman" w:cs="Times New Roman"/>
          <w:bCs/>
          <w:color w:val="auto"/>
          <w:sz w:val="24"/>
          <w:szCs w:val="24"/>
          <w:highlight w:val="none"/>
        </w:rPr>
        <w:t>项目</w:t>
      </w:r>
      <w:r>
        <w:rPr>
          <w:rFonts w:hint="eastAsia" w:ascii="Times New Roman" w:hAnsi="Times New Roman" w:cs="Times New Roman"/>
          <w:bCs/>
          <w:color w:val="auto"/>
          <w:sz w:val="24"/>
          <w:szCs w:val="24"/>
          <w:highlight w:val="none"/>
          <w:lang w:eastAsia="zh-CN"/>
        </w:rPr>
        <w:t>与《畜禽养殖业污染治理工程技术规范》（HJ497-2009）的符合性分析见下表。</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 与《畜禽养殖业污染治理工程技术规范》（HJ497-2009）符合情况一览表</w:t>
      </w:r>
    </w:p>
    <w:tbl>
      <w:tblPr>
        <w:tblStyle w:val="91"/>
        <w:tblW w:w="8504"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447"/>
        <w:gridCol w:w="4263"/>
        <w:gridCol w:w="3177"/>
        <w:gridCol w:w="617"/>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jc w:val="center"/>
        </w:trPr>
        <w:tc>
          <w:tcPr>
            <w:tcW w:w="4710" w:type="dxa"/>
            <w:gridSpan w:val="2"/>
            <w:tcBorders>
              <w:tl2br w:val="nil"/>
              <w:tr2bl w:val="nil"/>
            </w:tcBorders>
            <w:vAlign w:val="center"/>
          </w:tcPr>
          <w:p>
            <w:pPr>
              <w:pStyle w:val="945"/>
              <w:keepNext w:val="0"/>
              <w:keepLines w:val="0"/>
              <w:suppressLineNumbers w:val="0"/>
              <w:spacing w:before="0" w:beforeAutospacing="0" w:after="0" w:afterAutospacing="0"/>
              <w:ind w:left="0" w:right="0"/>
              <w:jc w:val="center"/>
              <w:rPr>
                <w:rFonts w:hint="default" w:cs="Times New Roman"/>
                <w:color w:val="auto"/>
                <w:szCs w:val="21"/>
                <w:highlight w:val="none"/>
              </w:rPr>
            </w:pPr>
            <w:r>
              <w:rPr>
                <w:rFonts w:hint="default" w:ascii="Times New Roman" w:hAnsi="Times New Roman" w:eastAsia="宋体" w:cs="Times New Roman"/>
                <w:b/>
                <w:bCs/>
                <w:color w:val="auto"/>
                <w:highlight w:val="none"/>
              </w:rPr>
              <w:t>《畜禽养殖业污染治理工程技术规范》</w:t>
            </w:r>
            <w:r>
              <w:rPr>
                <w:rFonts w:hint="eastAsia" w:cs="Times New Roman"/>
                <w:color w:val="auto"/>
                <w:szCs w:val="21"/>
                <w:highlight w:val="none"/>
              </w:rPr>
              <w:t>相关要求</w:t>
            </w:r>
          </w:p>
        </w:tc>
        <w:tc>
          <w:tcPr>
            <w:tcW w:w="3177" w:type="dxa"/>
            <w:tcBorders>
              <w:tl2br w:val="nil"/>
              <w:tr2bl w:val="nil"/>
            </w:tcBorders>
            <w:vAlign w:val="center"/>
          </w:tcPr>
          <w:p>
            <w:pPr>
              <w:pStyle w:val="945"/>
              <w:keepNext w:val="0"/>
              <w:keepLines w:val="0"/>
              <w:suppressLineNumbers w:val="0"/>
              <w:spacing w:before="0" w:beforeAutospacing="0" w:after="0" w:afterAutospacing="0"/>
              <w:ind w:left="0" w:right="0"/>
              <w:jc w:val="center"/>
              <w:rPr>
                <w:rFonts w:hint="default" w:cs="Times New Roman"/>
                <w:color w:val="auto"/>
                <w:szCs w:val="21"/>
                <w:highlight w:val="none"/>
              </w:rPr>
            </w:pPr>
            <w:r>
              <w:rPr>
                <w:rFonts w:hint="eastAsia" w:cs="Times New Roman"/>
                <w:color w:val="auto"/>
                <w:szCs w:val="21"/>
                <w:highlight w:val="none"/>
              </w:rPr>
              <w:t>本项目情况</w:t>
            </w:r>
          </w:p>
        </w:tc>
        <w:tc>
          <w:tcPr>
            <w:tcW w:w="617" w:type="dxa"/>
            <w:tcBorders>
              <w:tl2br w:val="nil"/>
              <w:tr2bl w:val="nil"/>
            </w:tcBorders>
            <w:vAlign w:val="center"/>
          </w:tcPr>
          <w:p>
            <w:pPr>
              <w:pStyle w:val="945"/>
              <w:keepNext w:val="0"/>
              <w:keepLines w:val="0"/>
              <w:suppressLineNumbers w:val="0"/>
              <w:spacing w:before="0" w:beforeAutospacing="0" w:after="0" w:afterAutospacing="0"/>
              <w:ind w:left="0" w:right="0"/>
              <w:jc w:val="center"/>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lang w:eastAsia="zh-CN"/>
              </w:rPr>
            </w:pP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lang w:eastAsia="zh-CN"/>
              </w:rPr>
            </w:pPr>
          </w:p>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lang w:eastAsia="zh-CN"/>
              </w:rPr>
              <w:t>选址要求</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畜禽养殖业污染治理工程应与养殖场生产区、居民区等建筑保持一定的卫生防护距离，设置在畜禽养殖场的生产区、生活区主导风向的下风向或侧风向处</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eastAsia="宋体"/>
                <w:color w:val="auto"/>
                <w:sz w:val="21"/>
                <w:highlight w:val="none"/>
                <w:lang w:val="en-US" w:eastAsia="zh-CN"/>
              </w:rPr>
            </w:pPr>
            <w:r>
              <w:rPr>
                <w:rFonts w:hint="eastAsia" w:ascii="Times New Roman" w:hAnsi="Times New Roman"/>
                <w:color w:val="auto"/>
                <w:sz w:val="21"/>
                <w:highlight w:val="none"/>
              </w:rPr>
              <w:t>本项目污染治理工程设置在生产区、生活区主导风向的下风向，并保持了</w:t>
            </w:r>
            <w:r>
              <w:rPr>
                <w:rFonts w:hint="eastAsia" w:ascii="Times New Roman" w:hAnsi="Times New Roman"/>
                <w:color w:val="auto"/>
                <w:sz w:val="21"/>
                <w:highlight w:val="none"/>
                <w:lang w:val="en-US" w:eastAsia="zh-CN"/>
              </w:rPr>
              <w:t>200m</w:t>
            </w:r>
            <w:r>
              <w:rPr>
                <w:rFonts w:hint="eastAsia" w:ascii="Times New Roman" w:hAnsi="Times New Roman"/>
                <w:color w:val="auto"/>
                <w:sz w:val="21"/>
                <w:highlight w:val="none"/>
              </w:rPr>
              <w:t>的卫生防护距离</w:t>
            </w:r>
            <w:r>
              <w:rPr>
                <w:rFonts w:hint="eastAsia" w:ascii="Times New Roman" w:hAnsi="Times New Roman"/>
                <w:color w:val="auto"/>
                <w:sz w:val="21"/>
                <w:highlight w:val="none"/>
                <w:lang w:eastAsia="zh-CN"/>
              </w:rPr>
              <w:t>。</w:t>
            </w:r>
            <w:r>
              <w:rPr>
                <w:rFonts w:hint="eastAsia"/>
                <w:color w:val="auto"/>
                <w:sz w:val="21"/>
                <w:szCs w:val="21"/>
                <w:highlight w:val="none"/>
                <w:lang w:val="en-US" w:eastAsia="zh-CN"/>
              </w:rPr>
              <w:t>且</w:t>
            </w:r>
            <w:r>
              <w:rPr>
                <w:rFonts w:hint="eastAsia" w:ascii="Times New Roman" w:hAnsi="Times New Roman"/>
                <w:color w:val="auto"/>
                <w:sz w:val="21"/>
                <w:szCs w:val="21"/>
                <w:highlight w:val="none"/>
                <w:lang w:val="en-US" w:eastAsia="zh-CN"/>
              </w:rPr>
              <w:t>居民区</w:t>
            </w:r>
            <w:r>
              <w:rPr>
                <w:rFonts w:hint="eastAsia" w:ascii="Times New Roman" w:hAnsi="Times New Roman"/>
                <w:color w:val="auto"/>
                <w:sz w:val="21"/>
                <w:highlight w:val="none"/>
                <w:lang w:val="en-US" w:eastAsia="zh-CN"/>
              </w:rPr>
              <w:t>位于侧风向。</w:t>
            </w:r>
          </w:p>
        </w:tc>
        <w:tc>
          <w:tcPr>
            <w:tcW w:w="617"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p>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畜禽养殖业污染治理工程的位置应有利于</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排放、资源化利用和运输，并留有扩建的余</w:t>
            </w:r>
          </w:p>
          <w:p>
            <w:pPr>
              <w:pStyle w:val="267"/>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rPr>
              <w:t>地，方便施工、运行和维护</w:t>
            </w:r>
            <w:r>
              <w:rPr>
                <w:rFonts w:hint="eastAsia" w:ascii="Times New Roman" w:hAnsi="Times New Roman"/>
                <w:color w:val="auto"/>
                <w:sz w:val="21"/>
                <w:highlight w:val="none"/>
                <w:lang w:eastAsia="zh-CN"/>
              </w:rPr>
              <w:t>。</w:t>
            </w:r>
          </w:p>
        </w:tc>
        <w:tc>
          <w:tcPr>
            <w:tcW w:w="3177" w:type="dxa"/>
            <w:tcBorders>
              <w:bottom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本项目污染治理工程位置利于运输，留有扩建余地。</w:t>
            </w:r>
          </w:p>
        </w:tc>
        <w:tc>
          <w:tcPr>
            <w:tcW w:w="617" w:type="dxa"/>
            <w:vMerge w:val="continue"/>
            <w:tcBorders>
              <w:bottom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jc w:val="center"/>
        </w:trPr>
        <w:tc>
          <w:tcPr>
            <w:tcW w:w="447"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粪污收集</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新建、改建、扩建的畜禽养殖场宜采用干清粪工艺。现采用水冲粪、水泡粪清粪工艺的养殖场，应逐步改为干清粪工艺。</w:t>
            </w:r>
          </w:p>
        </w:tc>
        <w:tc>
          <w:tcPr>
            <w:tcW w:w="3177" w:type="dxa"/>
            <w:tcBorders>
              <w:top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采用干清粪工艺</w:t>
            </w:r>
          </w:p>
        </w:tc>
        <w:tc>
          <w:tcPr>
            <w:tcW w:w="617" w:type="dxa"/>
            <w:vMerge w:val="restart"/>
            <w:tcBorders>
              <w:top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lang w:eastAsia="zh-CN"/>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畜禽粪污应日产日清</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牛</w:t>
            </w:r>
            <w:r>
              <w:rPr>
                <w:rFonts w:hint="eastAsia" w:ascii="Times New Roman" w:hAnsi="Times New Roman"/>
                <w:color w:val="auto"/>
                <w:sz w:val="21"/>
                <w:highlight w:val="none"/>
              </w:rPr>
              <w:t xml:space="preserve">粪日产日清 </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lang w:eastAsia="zh-CN"/>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畜禽养殖场应建立排水系统，并实现雨污分</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流</w:t>
            </w:r>
          </w:p>
        </w:tc>
        <w:tc>
          <w:tcPr>
            <w:tcW w:w="3177" w:type="dxa"/>
            <w:tcBorders>
              <w:bottom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实行雨污分流，建立污水收集系统</w:t>
            </w:r>
          </w:p>
        </w:tc>
        <w:tc>
          <w:tcPr>
            <w:tcW w:w="617" w:type="dxa"/>
            <w:vMerge w:val="continue"/>
            <w:tcBorders>
              <w:bottom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病死畜禽</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尸体处理</w:t>
            </w:r>
          </w:p>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与处置</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病死畜禽尸体应及时处理，不得随意丢弃，不得出售或作为饲料再利用。畜禽尸体的处理与处置应符合 HJ/T81-2001 第 9 章的规定</w:t>
            </w:r>
          </w:p>
        </w:tc>
        <w:tc>
          <w:tcPr>
            <w:tcW w:w="3177" w:type="dxa"/>
            <w:tcBorders>
              <w:top w:val="single" w:color="000000" w:sz="8" w:space="0"/>
              <w:bottom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宋体" w:hAnsi="宋体" w:cs="宋体"/>
                <w:color w:val="auto"/>
                <w:sz w:val="21"/>
                <w:highlight w:val="none"/>
              </w:rPr>
              <w:t>病死</w:t>
            </w:r>
            <w:r>
              <w:rPr>
                <w:rFonts w:hint="eastAsia" w:ascii="宋体" w:hAnsi="宋体" w:cs="宋体"/>
                <w:color w:val="auto"/>
                <w:sz w:val="21"/>
                <w:highlight w:val="none"/>
                <w:lang w:eastAsia="zh-CN"/>
              </w:rPr>
              <w:t>牛</w:t>
            </w:r>
            <w:r>
              <w:rPr>
                <w:rFonts w:hint="eastAsia" w:ascii="宋体" w:hAnsi="宋体" w:cs="宋体"/>
                <w:color w:val="auto"/>
                <w:sz w:val="21"/>
                <w:highlight w:val="none"/>
              </w:rPr>
              <w:t>采用无害化降解处理机进行处理</w:t>
            </w:r>
          </w:p>
        </w:tc>
        <w:tc>
          <w:tcPr>
            <w:tcW w:w="617" w:type="dxa"/>
            <w:tcBorders>
              <w:top w:val="single" w:color="000000" w:sz="8" w:space="0"/>
              <w:bottom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jc w:val="center"/>
        </w:trPr>
        <w:tc>
          <w:tcPr>
            <w:tcW w:w="447"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恶臭控制</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养殖场区应通过控制饲养密度、加强舍内通风、采用节水型饮水器、及时清粪、绿化等措施抑制或减少臭气的产生</w:t>
            </w:r>
          </w:p>
        </w:tc>
        <w:tc>
          <w:tcPr>
            <w:tcW w:w="3177" w:type="dxa"/>
            <w:vMerge w:val="restart"/>
            <w:tcBorders>
              <w:top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eastAsia="宋体"/>
                <w:color w:val="auto"/>
                <w:sz w:val="21"/>
                <w:highlight w:val="none"/>
                <w:lang w:val="en-US" w:eastAsia="zh-CN"/>
              </w:rPr>
            </w:pPr>
            <w:r>
              <w:rPr>
                <w:rFonts w:hint="eastAsia" w:ascii="Times New Roman" w:hAnsi="Times New Roman"/>
                <w:color w:val="auto"/>
                <w:sz w:val="21"/>
                <w:highlight w:val="none"/>
              </w:rPr>
              <w:t>本项目粪污处理各工艺单</w:t>
            </w:r>
            <w:r>
              <w:rPr>
                <w:rFonts w:hint="eastAsia" w:ascii="Times New Roman" w:hAnsi="Times New Roman"/>
                <w:color w:val="auto"/>
                <w:sz w:val="21"/>
                <w:highlight w:val="none"/>
                <w:lang w:eastAsia="zh-CN"/>
              </w:rPr>
              <w:t>元</w:t>
            </w:r>
            <w:r>
              <w:rPr>
                <w:rFonts w:hint="eastAsia" w:ascii="Times New Roman" w:hAnsi="Times New Roman"/>
                <w:color w:val="auto"/>
                <w:sz w:val="21"/>
                <w:highlight w:val="none"/>
              </w:rPr>
              <w:t>设计为密闭形式，</w:t>
            </w:r>
            <w:r>
              <w:rPr>
                <w:rFonts w:hint="eastAsia" w:ascii="Times New Roman" w:hAnsi="Times New Roman"/>
                <w:color w:val="auto"/>
                <w:sz w:val="21"/>
                <w:highlight w:val="none"/>
                <w:lang w:eastAsia="zh-CN"/>
              </w:rPr>
              <w:t>牛</w:t>
            </w:r>
            <w:r>
              <w:rPr>
                <w:rFonts w:hint="eastAsia" w:ascii="Times New Roman" w:hAnsi="Times New Roman"/>
                <w:color w:val="auto"/>
                <w:sz w:val="21"/>
                <w:highlight w:val="none"/>
              </w:rPr>
              <w:t>舍采用机械通风、加强管理、日产日清、定期消毒，投洒除臭剂、EM菌液等措施除臭</w:t>
            </w:r>
            <w:r>
              <w:rPr>
                <w:rFonts w:hint="eastAsia" w:ascii="Times New Roman" w:hAnsi="Times New Roman"/>
                <w:color w:val="auto"/>
                <w:sz w:val="21"/>
                <w:highlight w:val="none"/>
                <w:lang w:eastAsia="zh-CN"/>
              </w:rPr>
              <w:t>。</w:t>
            </w:r>
            <w:r>
              <w:rPr>
                <w:rFonts w:hint="eastAsia" w:ascii="Times New Roman" w:hAnsi="Times New Roman"/>
                <w:color w:val="auto"/>
                <w:sz w:val="21"/>
                <w:highlight w:val="none"/>
                <w:lang w:val="en-US" w:eastAsia="zh-CN"/>
              </w:rPr>
              <w:t>同时干粪棚产生的恶臭</w:t>
            </w:r>
            <w:r>
              <w:rPr>
                <w:rFonts w:hint="default" w:ascii="Times New Roman" w:hAnsi="Times New Roman" w:eastAsia="宋体" w:cs="Times New Roman"/>
                <w:color w:val="auto"/>
                <w:sz w:val="21"/>
                <w:szCs w:val="21"/>
                <w:highlight w:val="none"/>
                <w:lang w:val="en-US" w:eastAsia="zh-CN"/>
              </w:rPr>
              <w:t>负压收集后的废气经生物滤池处理后经15m高排气筒</w:t>
            </w:r>
            <w:r>
              <w:rPr>
                <w:rFonts w:hint="default" w:ascii="Times New Roman" w:hAnsi="Times New Roman" w:eastAsia="宋体" w:cs="Times New Roman"/>
                <w:color w:val="auto"/>
                <w:sz w:val="21"/>
                <w:szCs w:val="21"/>
                <w:highlight w:val="none"/>
                <w:lang w:eastAsia="zh-CN"/>
              </w:rPr>
              <w:t>（DA00</w:t>
            </w:r>
            <w:r>
              <w:rPr>
                <w:rFonts w:hint="default" w:ascii="Times New Roman" w:hAnsi="Times New Roman" w:eastAsia="宋体" w:cs="Times New Roman"/>
                <w:color w:val="auto"/>
                <w:sz w:val="21"/>
                <w:szCs w:val="21"/>
                <w:highlight w:val="none"/>
                <w:lang w:val="en-US" w:eastAsia="zh-CN"/>
              </w:rPr>
              <w:t>1）排放</w:t>
            </w:r>
            <w:r>
              <w:rPr>
                <w:rFonts w:hint="eastAsia" w:ascii="Times New Roman" w:hAnsi="Times New Roman" w:cs="Times New Roman"/>
                <w:color w:val="auto"/>
                <w:sz w:val="21"/>
                <w:szCs w:val="21"/>
                <w:highlight w:val="none"/>
                <w:lang w:val="en-US" w:eastAsia="zh-CN"/>
              </w:rPr>
              <w:t>，污水处理系统产生的恶臭经</w:t>
            </w:r>
            <w:r>
              <w:rPr>
                <w:rFonts w:hint="default" w:ascii="Times New Roman" w:hAnsi="Times New Roman" w:eastAsia="宋体" w:cs="Times New Roman"/>
                <w:color w:val="auto"/>
                <w:sz w:val="21"/>
                <w:szCs w:val="21"/>
                <w:highlight w:val="none"/>
              </w:rPr>
              <w:t>“碱液喷淋+生物过滤法”处理后经15m高排气筒</w:t>
            </w:r>
            <w:r>
              <w:rPr>
                <w:rFonts w:hint="default" w:ascii="Times New Roman" w:hAnsi="Times New Roman" w:eastAsia="宋体" w:cs="Times New Roman"/>
                <w:color w:val="auto"/>
                <w:sz w:val="21"/>
                <w:szCs w:val="21"/>
                <w:highlight w:val="none"/>
                <w:lang w:eastAsia="zh-CN"/>
              </w:rPr>
              <w:t>（DA002</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排放</w:t>
            </w:r>
          </w:p>
        </w:tc>
        <w:tc>
          <w:tcPr>
            <w:tcW w:w="617" w:type="dxa"/>
            <w:vMerge w:val="restart"/>
            <w:tcBorders>
              <w:top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粪污处理各工艺单元宜设计为密闭形式，减少恶臭对周围环境的污染</w:t>
            </w:r>
          </w:p>
        </w:tc>
        <w:tc>
          <w:tcPr>
            <w:tcW w:w="317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可采用物理除臭方式，向粪便或舍内投（铺）</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放吸附剂减少臭气的散发，宜采用的吸附剂有沸石、锯末、膨润土以及秸秆、泥炭等含纤维素和木质素较多的材料。</w:t>
            </w:r>
          </w:p>
        </w:tc>
        <w:tc>
          <w:tcPr>
            <w:tcW w:w="317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可采用化学除臭方式，向养殖场区和粪污处</w:t>
            </w:r>
            <w:r>
              <w:rPr>
                <w:rFonts w:hint="eastAsia" w:ascii="Times New Roman" w:hAnsi="Times New Roman"/>
                <w:color w:val="auto"/>
                <w:sz w:val="21"/>
                <w:highlight w:val="none"/>
                <w:lang w:eastAsia="zh-CN"/>
              </w:rPr>
              <w:t>水</w:t>
            </w:r>
            <w:r>
              <w:rPr>
                <w:rFonts w:hint="eastAsia" w:ascii="Times New Roman" w:hAnsi="Times New Roman"/>
                <w:color w:val="auto"/>
                <w:sz w:val="21"/>
                <w:highlight w:val="none"/>
              </w:rPr>
              <w:t>理厂（站）投加或喷洒化学除臭剂消除或减</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少臭气的产生。宜采用的化学氧化剂有高锰酸钾、重铬酸钾、双氧水、次氯酸钾、臭氧等</w:t>
            </w:r>
          </w:p>
        </w:tc>
        <w:tc>
          <w:tcPr>
            <w:tcW w:w="317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可采用生物除臭方式，如生物过滤法和生物洗涤法等</w:t>
            </w:r>
          </w:p>
        </w:tc>
        <w:tc>
          <w:tcPr>
            <w:tcW w:w="317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bl>
    <w:p>
      <w:pPr>
        <w:adjustRightInd w:val="0"/>
        <w:snapToGrid w:val="0"/>
        <w:ind w:firstLine="518" w:firstLineChars="216"/>
        <w:rPr>
          <w:rFonts w:hint="eastAsia" w:ascii="Times New Roman" w:hAnsi="Times New Roman" w:cs="Times New Roman"/>
          <w:bCs/>
          <w:color w:val="auto"/>
          <w:sz w:val="24"/>
          <w:szCs w:val="24"/>
          <w:highlight w:val="none"/>
          <w:lang w:eastAsia="zh-CN"/>
        </w:rPr>
      </w:pPr>
      <w:r>
        <w:rPr>
          <w:rFonts w:hint="eastAsia" w:ascii="Times New Roman" w:hAnsi="Times New Roman" w:cs="Times New Roman"/>
          <w:bCs/>
          <w:color w:val="auto"/>
          <w:sz w:val="24"/>
          <w:szCs w:val="24"/>
          <w:highlight w:val="none"/>
          <w:lang w:eastAsia="zh-CN"/>
        </w:rPr>
        <w:t>由上表可知，项目满足《畜禽养殖业污染治理工程技术规范》（HJ497－2009）要求。</w:t>
      </w:r>
    </w:p>
    <w:p>
      <w:pPr>
        <w:pStyle w:val="9"/>
        <w:bidi w:val="0"/>
        <w:rPr>
          <w:rFonts w:hint="eastAsia" w:cs="Times New Roman"/>
          <w:color w:val="auto"/>
          <w:highlight w:val="none"/>
          <w:lang w:eastAsia="zh-CN"/>
        </w:rPr>
      </w:pPr>
      <w:r>
        <w:rPr>
          <w:rFonts w:hint="eastAsia" w:cs="Times New Roman"/>
          <w:color w:val="auto"/>
          <w:highlight w:val="none"/>
        </w:rPr>
        <w:t xml:space="preserve"> 与《农产品安全质量—无公害畜禽肉产地环境要求</w:t>
      </w:r>
      <w:r>
        <w:rPr>
          <w:rFonts w:hint="eastAsia" w:cs="Times New Roman"/>
          <w:color w:val="auto"/>
          <w:highlight w:val="none"/>
          <w:lang w:eastAsia="zh-CN"/>
        </w:rPr>
        <w:t>》</w:t>
      </w:r>
      <w:r>
        <w:rPr>
          <w:rFonts w:hint="eastAsia" w:cs="Times New Roman"/>
          <w:color w:val="auto"/>
          <w:highlight w:val="none"/>
        </w:rPr>
        <w:t>（GB/T18407.3—2001</w:t>
      </w:r>
      <w:r>
        <w:rPr>
          <w:rFonts w:hint="eastAsia" w:cs="Times New Roman"/>
          <w:color w:val="auto"/>
          <w:highlight w:val="none"/>
          <w:lang w:eastAsia="zh-CN"/>
        </w:rPr>
        <w:t>）符合性分析</w:t>
      </w:r>
    </w:p>
    <w:p>
      <w:pPr>
        <w:adjustRightInd w:val="0"/>
        <w:snapToGrid w:val="0"/>
        <w:spacing w:line="360" w:lineRule="auto"/>
        <w:ind w:firstLine="518" w:firstLineChars="216"/>
        <w:rPr>
          <w:rFonts w:hint="eastAsia" w:ascii="宋体" w:hAnsi="宋体" w:eastAsia="宋体" w:cs="宋体"/>
          <w:b/>
          <w:bCs/>
          <w:color w:val="auto"/>
          <w:sz w:val="24"/>
          <w:szCs w:val="24"/>
          <w:highlight w:val="none"/>
          <w:lang w:val="en-US" w:eastAsia="zh-CN"/>
        </w:rPr>
      </w:pPr>
      <w:r>
        <w:rPr>
          <w:rFonts w:hint="eastAsia" w:ascii="宋体" w:hAnsi="宋体" w:eastAsia="宋体" w:cs="宋体"/>
          <w:bCs/>
          <w:color w:val="auto"/>
          <w:sz w:val="24"/>
          <w:szCs w:val="24"/>
          <w:highlight w:val="none"/>
          <w:lang w:eastAsia="zh-CN"/>
        </w:rPr>
        <w:t>本项目与《农产品安全质量—无公害畜禽肉产地环境要求》（</w:t>
      </w:r>
      <w:r>
        <w:rPr>
          <w:rFonts w:hint="default" w:ascii="Times New Roman" w:hAnsi="Times New Roman" w:eastAsia="宋体" w:cs="Times New Roman"/>
          <w:bCs/>
          <w:color w:val="auto"/>
          <w:sz w:val="24"/>
          <w:szCs w:val="24"/>
          <w:highlight w:val="none"/>
          <w:lang w:eastAsia="zh-CN"/>
        </w:rPr>
        <w:t>GB/T18407.3—2001</w:t>
      </w:r>
      <w:r>
        <w:rPr>
          <w:rFonts w:hint="eastAsia" w:ascii="宋体" w:hAnsi="宋体" w:eastAsia="宋体" w:cs="宋体"/>
          <w:bCs/>
          <w:color w:val="auto"/>
          <w:sz w:val="24"/>
          <w:szCs w:val="24"/>
          <w:highlight w:val="none"/>
          <w:lang w:eastAsia="zh-CN"/>
        </w:rPr>
        <w:t>）符合性分析见下表。</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 项目与《农产品安全质量</w:t>
      </w:r>
      <w:r>
        <w:rPr>
          <w:rFonts w:hint="eastAsia" w:ascii="Times New Roman" w:hAnsi="Times New Roman" w:eastAsia="宋体" w:cs="Times New Roman"/>
          <w:b/>
          <w:bCs/>
          <w:color w:val="auto"/>
          <w:sz w:val="21"/>
          <w:szCs w:val="21"/>
          <w:highlight w:val="none"/>
          <w:lang w:val="en-US" w:eastAsia="zh-CN"/>
        </w:rPr>
        <w:t>—</w:t>
      </w:r>
      <w:r>
        <w:rPr>
          <w:rFonts w:hint="default" w:ascii="Times New Roman" w:hAnsi="Times New Roman" w:eastAsia="宋体" w:cs="Times New Roman"/>
          <w:b/>
          <w:bCs/>
          <w:color w:val="auto"/>
          <w:sz w:val="21"/>
          <w:szCs w:val="21"/>
          <w:highlight w:val="none"/>
          <w:lang w:val="en-US" w:eastAsia="zh-CN"/>
        </w:rPr>
        <w:t>无公害畜禽肉产地环境要求》符合情况一览表</w:t>
      </w:r>
    </w:p>
    <w:tbl>
      <w:tblPr>
        <w:tblStyle w:val="91"/>
        <w:tblW w:w="8504"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447"/>
        <w:gridCol w:w="4263"/>
        <w:gridCol w:w="3177"/>
        <w:gridCol w:w="617"/>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序号</w:t>
            </w:r>
          </w:p>
        </w:tc>
        <w:tc>
          <w:tcPr>
            <w:tcW w:w="4263"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《农产品安全质量—无公害畜禽肉产地环境要求》的内容</w:t>
            </w:r>
          </w:p>
        </w:tc>
        <w:tc>
          <w:tcPr>
            <w:tcW w:w="3177"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本项目情况</w:t>
            </w:r>
          </w:p>
        </w:tc>
        <w:tc>
          <w:tcPr>
            <w:tcW w:w="617"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1</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畜禽养殖地必须选择在生态环境良好、无或不直接受工业“三废”及农业、城镇生活、医疗废弃物污染的生产区域。选址应参照国家相关标准的规定，避开水源保护区、风景名胜区、人口密集区等环境敏感地区，符合环境保护、兽医防疫要求。</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本项目周围为农村环境，生态环境良好，且周边无水源保护区、风景名胜区、人口密集区等环境敏感区</w:t>
            </w:r>
          </w:p>
        </w:tc>
        <w:tc>
          <w:tcPr>
            <w:tcW w:w="617"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2</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养殖区周围500m范围内</w:t>
            </w:r>
            <w:r>
              <w:rPr>
                <w:rFonts w:hint="eastAsia" w:ascii="Times New Roman" w:hAnsi="Times New Roman"/>
                <w:color w:val="auto"/>
                <w:sz w:val="21"/>
                <w:highlight w:val="none"/>
                <w:lang w:eastAsia="zh-CN"/>
              </w:rPr>
              <w:t>、</w:t>
            </w:r>
            <w:r>
              <w:rPr>
                <w:rFonts w:hint="eastAsia" w:ascii="Times New Roman" w:hAnsi="Times New Roman"/>
                <w:color w:val="auto"/>
                <w:sz w:val="21"/>
                <w:highlight w:val="none"/>
              </w:rPr>
              <w:t>水源</w:t>
            </w:r>
            <w:r>
              <w:rPr>
                <w:rFonts w:hint="eastAsia" w:ascii="Times New Roman" w:hAnsi="Times New Roman"/>
                <w:color w:val="auto"/>
                <w:sz w:val="21"/>
                <w:highlight w:val="none"/>
                <w:lang w:val="en-US" w:eastAsia="zh-CN"/>
              </w:rPr>
              <w:t>上游没有对产地环境构成威胁的污染源</w:t>
            </w:r>
            <w:r>
              <w:rPr>
                <w:rFonts w:hint="eastAsia" w:ascii="Times New Roman" w:hAnsi="Times New Roman"/>
                <w:color w:val="auto"/>
                <w:sz w:val="21"/>
                <w:highlight w:val="none"/>
              </w:rPr>
              <w:t>，包括工业“三废”、农业废弃物、医院污水及废弃物、城市垃圾和生活污水等污染物。</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val="en-US" w:eastAsia="zh-CN"/>
              </w:rPr>
              <w:t>根据调查，</w:t>
            </w:r>
            <w:r>
              <w:rPr>
                <w:rFonts w:hint="eastAsia" w:ascii="Times New Roman" w:hAnsi="Times New Roman"/>
                <w:color w:val="auto"/>
                <w:sz w:val="21"/>
                <w:highlight w:val="none"/>
              </w:rPr>
              <w:t>本项目</w:t>
            </w:r>
            <w:r>
              <w:rPr>
                <w:rFonts w:hint="eastAsia" w:ascii="Times New Roman" w:hAnsi="Times New Roman"/>
                <w:color w:val="auto"/>
                <w:sz w:val="21"/>
                <w:highlight w:val="none"/>
                <w:lang w:val="en-US" w:eastAsia="zh-CN"/>
              </w:rPr>
              <w:t>周围500m范围内、水源上游无</w:t>
            </w:r>
            <w:r>
              <w:rPr>
                <w:rFonts w:hint="eastAsia" w:ascii="Times New Roman" w:hAnsi="Times New Roman"/>
                <w:color w:val="auto"/>
                <w:sz w:val="21"/>
                <w:highlight w:val="none"/>
              </w:rPr>
              <w:t>对产地环境构成威胁的污染源</w:t>
            </w:r>
            <w:r>
              <w:rPr>
                <w:rFonts w:hint="eastAsia" w:ascii="Times New Roman" w:hAnsi="Times New Roman"/>
                <w:color w:val="auto"/>
                <w:sz w:val="21"/>
                <w:highlight w:val="none"/>
                <w:lang w:eastAsia="zh-CN"/>
              </w:rPr>
              <w:t>。</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3</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与水源有关的地方病高发区，不能作为无公害畜禽肉类产品生产、加工地。</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rPr>
              <w:t>项目用地不属于地方病高发</w:t>
            </w:r>
            <w:r>
              <w:rPr>
                <w:rFonts w:hint="eastAsia" w:ascii="Times New Roman" w:hAnsi="Times New Roman"/>
                <w:color w:val="auto"/>
                <w:sz w:val="21"/>
                <w:highlight w:val="none"/>
                <w:lang w:eastAsia="zh-CN"/>
              </w:rPr>
              <w:t>区</w:t>
            </w:r>
          </w:p>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val="en-US" w:eastAsia="zh-CN"/>
              </w:rPr>
              <w:t>4</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养殖地应设置防止渗漏、径流、飞扬且具一定容量的专用储存设施和场所，设有粪尿污水处理设施，畜禽粪便处理后应符合GB7959和 GB14554的规定，畜禽病害肉尸及其产品无害化处理应符合GB16548的有关规定，排放的生产和加工废水应符合 GB8978 的有关规定。</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宋体" w:hAnsi="宋体" w:cs="宋体"/>
                <w:color w:val="auto"/>
                <w:sz w:val="21"/>
                <w:highlight w:val="none"/>
              </w:rPr>
              <w:t>本项目污染治理设施均按规范进行设计</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val="en-US" w:eastAsia="zh-CN"/>
              </w:rPr>
              <w:t>5</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饲养和加工场地应设有与生产相适应的消毒设施、更衣室、兽医室等，并配备工作所需的仪器设备，肉类加工厂卫生应符合GB12694 的有关规定</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项目设置了相应的消毒室、更衣室等</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bl>
    <w:p>
      <w:pPr>
        <w:pStyle w:val="2"/>
        <w:rPr>
          <w:rFonts w:hint="default" w:ascii="Times New Roman" w:hAnsi="Times New Roman" w:cs="Times New Roman"/>
          <w:color w:val="auto"/>
          <w:highlight w:val="none"/>
        </w:rPr>
      </w:pPr>
      <w:r>
        <w:rPr>
          <w:rFonts w:hint="default" w:ascii="Times New Roman" w:hAnsi="Times New Roman" w:cs="Times New Roman"/>
          <w:color w:val="auto"/>
          <w:highlight w:val="none"/>
        </w:rPr>
        <w:t>由表</w:t>
      </w:r>
      <w:r>
        <w:rPr>
          <w:rFonts w:hint="default" w:ascii="Times New Roman" w:hAnsi="Times New Roman" w:cs="Times New Roman"/>
          <w:color w:val="auto"/>
          <w:highlight w:val="none"/>
          <w:lang w:val="en-US" w:eastAsia="zh-CN"/>
        </w:rPr>
        <w:t>2.6-9</w:t>
      </w:r>
      <w:r>
        <w:rPr>
          <w:rFonts w:hint="default" w:ascii="Times New Roman" w:hAnsi="Times New Roman" w:cs="Times New Roman"/>
          <w:color w:val="auto"/>
          <w:highlight w:val="none"/>
        </w:rPr>
        <w:t>可知，项目满足《农产品安全质量—无公害畜禽肉产地环境要求》（GB/T18407.3—2001）要求。</w:t>
      </w:r>
    </w:p>
    <w:p>
      <w:pPr>
        <w:pStyle w:val="9"/>
        <w:bidi w:val="0"/>
        <w:rPr>
          <w:rFonts w:hint="eastAsia" w:cs="Times New Roman"/>
          <w:color w:val="auto"/>
          <w:highlight w:val="none"/>
          <w:lang w:eastAsia="zh-CN"/>
        </w:rPr>
      </w:pPr>
      <w:r>
        <w:rPr>
          <w:rFonts w:hint="eastAsia" w:cs="Times New Roman"/>
          <w:color w:val="auto"/>
          <w:highlight w:val="none"/>
        </w:rPr>
        <w:t xml:space="preserve"> 与《畜禽养殖业污染防治技术规范》（HJ/T81-2001）</w:t>
      </w:r>
      <w:r>
        <w:rPr>
          <w:rFonts w:hint="eastAsia" w:cs="Times New Roman"/>
          <w:color w:val="auto"/>
          <w:highlight w:val="none"/>
          <w:lang w:eastAsia="zh-CN"/>
        </w:rPr>
        <w:t>符合性分析</w:t>
      </w:r>
    </w:p>
    <w:p>
      <w:pPr>
        <w:adjustRightInd w:val="0"/>
        <w:snapToGrid w:val="0"/>
        <w:ind w:firstLine="518" w:firstLineChars="216"/>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Cs/>
          <w:color w:val="auto"/>
          <w:sz w:val="24"/>
          <w:szCs w:val="24"/>
          <w:highlight w:val="none"/>
          <w:lang w:eastAsia="zh-CN"/>
        </w:rPr>
        <w:t>项目与《畜禽养殖业污染防治技术规范》（HJ/T81-2001）符合性分析见下表。</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 项目与《畜禽养殖业污染防治技术规范》（HJ/T81-2001 ）符合情况一览表</w:t>
      </w:r>
    </w:p>
    <w:tbl>
      <w:tblPr>
        <w:tblStyle w:val="91"/>
        <w:tblW w:w="8504"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447"/>
        <w:gridCol w:w="4263"/>
        <w:gridCol w:w="3177"/>
        <w:gridCol w:w="617"/>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710" w:type="dxa"/>
            <w:gridSpan w:val="2"/>
            <w:tcBorders>
              <w:tl2br w:val="nil"/>
              <w:tr2bl w:val="nil"/>
            </w:tcBorders>
            <w:vAlign w:val="center"/>
          </w:tcPr>
          <w:p>
            <w:pPr>
              <w:pStyle w:val="945"/>
              <w:keepNext w:val="0"/>
              <w:keepLines w:val="0"/>
              <w:suppressLineNumbers w:val="0"/>
              <w:spacing w:before="0" w:beforeAutospacing="0" w:after="0" w:afterAutospacing="0"/>
              <w:ind w:left="0" w:right="0"/>
              <w:jc w:val="center"/>
              <w:rPr>
                <w:rFonts w:hint="default" w:cs="Times New Roman"/>
                <w:color w:val="auto"/>
                <w:szCs w:val="21"/>
                <w:highlight w:val="none"/>
              </w:rPr>
            </w:pPr>
            <w:r>
              <w:rPr>
                <w:rFonts w:hint="eastAsia"/>
                <w:color w:val="auto"/>
                <w:highlight w:val="none"/>
              </w:rPr>
              <w:t>《畜禽养殖业污染防治技术规范》的要求</w:t>
            </w:r>
          </w:p>
        </w:tc>
        <w:tc>
          <w:tcPr>
            <w:tcW w:w="3177" w:type="dxa"/>
            <w:tcBorders>
              <w:tl2br w:val="nil"/>
              <w:tr2bl w:val="nil"/>
            </w:tcBorders>
            <w:vAlign w:val="center"/>
          </w:tcPr>
          <w:p>
            <w:pPr>
              <w:pStyle w:val="945"/>
              <w:keepNext w:val="0"/>
              <w:keepLines w:val="0"/>
              <w:suppressLineNumbers w:val="0"/>
              <w:spacing w:before="0" w:beforeAutospacing="0" w:after="0" w:afterAutospacing="0"/>
              <w:ind w:left="0" w:right="0"/>
              <w:jc w:val="center"/>
              <w:rPr>
                <w:rFonts w:hint="default" w:cs="Times New Roman"/>
                <w:color w:val="auto"/>
                <w:szCs w:val="21"/>
                <w:highlight w:val="none"/>
              </w:rPr>
            </w:pPr>
            <w:r>
              <w:rPr>
                <w:rFonts w:hint="eastAsia" w:cs="Times New Roman"/>
                <w:color w:val="auto"/>
                <w:szCs w:val="21"/>
                <w:highlight w:val="none"/>
              </w:rPr>
              <w:t>本项目情况</w:t>
            </w:r>
          </w:p>
        </w:tc>
        <w:tc>
          <w:tcPr>
            <w:tcW w:w="617" w:type="dxa"/>
            <w:tcBorders>
              <w:tl2br w:val="nil"/>
              <w:tr2bl w:val="nil"/>
            </w:tcBorders>
            <w:vAlign w:val="center"/>
          </w:tcPr>
          <w:p>
            <w:pPr>
              <w:pStyle w:val="945"/>
              <w:keepNext w:val="0"/>
              <w:keepLines w:val="0"/>
              <w:suppressLineNumbers w:val="0"/>
              <w:spacing w:before="0" w:beforeAutospacing="0" w:after="0" w:afterAutospacing="0"/>
              <w:ind w:left="0" w:right="0"/>
              <w:jc w:val="center"/>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选址要求</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畜禽养殖场应避开以下禁建区域：生活饮用水</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水源保护区、风景名胜区、自然保护区的核心区及缓冲区；城市和城镇居民区，包括文教科</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研区、医疗区、商业区、工业区、游览区等人</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口集中地区；县级人民政府依法划定的禁养区</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域；国家或地方法律、法规规定需特殊保护的</w:t>
            </w:r>
          </w:p>
          <w:p>
            <w:pPr>
              <w:pStyle w:val="267"/>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rPr>
              <w:t>其他区域</w:t>
            </w:r>
            <w:r>
              <w:rPr>
                <w:rFonts w:hint="eastAsia" w:ascii="Times New Roman" w:hAnsi="Times New Roman"/>
                <w:color w:val="auto"/>
                <w:sz w:val="21"/>
                <w:highlight w:val="none"/>
                <w:lang w:eastAsia="zh-CN"/>
              </w:rPr>
              <w:t>。</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本项目不在禁养区域内</w:t>
            </w:r>
          </w:p>
        </w:tc>
        <w:tc>
          <w:tcPr>
            <w:tcW w:w="617"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1486"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新建改建、扩建的畜禽养殖场选址应避开规定</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的禁建区域，在禁建区域附近建设的，应设在</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上述禁建区域常年主导风向的下风向或侧风向</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处，场界与禁建区域边界的最小距离不得小于</w:t>
            </w:r>
          </w:p>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500m。</w:t>
            </w:r>
          </w:p>
        </w:tc>
        <w:tc>
          <w:tcPr>
            <w:tcW w:w="3177" w:type="dxa"/>
            <w:tcBorders>
              <w:bottom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eastAsia="宋体"/>
                <w:color w:val="auto"/>
                <w:sz w:val="24"/>
                <w:szCs w:val="24"/>
                <w:highlight w:val="none"/>
                <w:lang w:val="en-US" w:eastAsia="zh-CN"/>
              </w:rPr>
            </w:pPr>
            <w:r>
              <w:rPr>
                <w:rFonts w:hint="default" w:ascii="Times New Roman" w:hAnsi="Times New Roman" w:eastAsia="宋体" w:cs="Times New Roman"/>
                <w:color w:val="auto"/>
                <w:sz w:val="21"/>
                <w:szCs w:val="21"/>
                <w:highlight w:val="none"/>
                <w:lang w:eastAsia="zh-CN"/>
              </w:rPr>
              <w:t>本项目不在</w:t>
            </w:r>
            <w:r>
              <w:rPr>
                <w:rFonts w:hint="default" w:ascii="Times New Roman" w:hAnsi="Times New Roman" w:eastAsia="宋体" w:cs="Times New Roman"/>
                <w:color w:val="auto"/>
                <w:sz w:val="21"/>
                <w:szCs w:val="21"/>
                <w:highlight w:val="none"/>
              </w:rPr>
              <w:t>禁建区域</w:t>
            </w:r>
            <w:r>
              <w:rPr>
                <w:rFonts w:hint="default" w:ascii="Times New Roman" w:hAnsi="Times New Roman" w:eastAsia="宋体" w:cs="Times New Roman"/>
                <w:color w:val="auto"/>
                <w:sz w:val="21"/>
                <w:szCs w:val="21"/>
                <w:highlight w:val="none"/>
                <w:lang w:eastAsia="zh-CN"/>
              </w:rPr>
              <w:t>，距离</w:t>
            </w:r>
            <w:r>
              <w:rPr>
                <w:rFonts w:hint="eastAsia" w:ascii="Times New Roman" w:hAnsi="Times New Roman" w:eastAsia="宋体" w:cs="Times New Roman"/>
                <w:color w:val="auto"/>
                <w:sz w:val="21"/>
                <w:szCs w:val="21"/>
                <w:highlight w:val="none"/>
                <w:lang w:eastAsia="zh-CN"/>
              </w:rPr>
              <w:t>最近的</w:t>
            </w:r>
            <w:r>
              <w:rPr>
                <w:rFonts w:hint="default" w:ascii="Times New Roman" w:hAnsi="Times New Roman" w:eastAsia="宋体" w:cs="Times New Roman"/>
                <w:color w:val="auto"/>
                <w:sz w:val="21"/>
                <w:szCs w:val="21"/>
                <w:highlight w:val="none"/>
                <w:lang w:eastAsia="zh-CN"/>
              </w:rPr>
              <w:t>禁建区约</w:t>
            </w:r>
            <w:r>
              <w:rPr>
                <w:rFonts w:hint="default" w:ascii="Times New Roman" w:hAnsi="Times New Roman" w:eastAsia="宋体" w:cs="Times New Roman"/>
                <w:color w:val="auto"/>
                <w:sz w:val="21"/>
                <w:szCs w:val="21"/>
                <w:highlight w:val="none"/>
                <w:lang w:val="en-US" w:eastAsia="zh-CN"/>
              </w:rPr>
              <w:t>3.6km</w:t>
            </w:r>
          </w:p>
        </w:tc>
        <w:tc>
          <w:tcPr>
            <w:tcW w:w="617" w:type="dxa"/>
            <w:vMerge w:val="continue"/>
            <w:tcBorders>
              <w:bottom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厂区布局与清粪工艺</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新建、改建、扩建的畜禽养殖场应实现生产区、</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生活管理区的隔离，粪便污水处理设施和畜禽</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尸体焚烧炉应设在养殖场的生产区、生活管理</w:t>
            </w:r>
          </w:p>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区的常年主导风向的下风向或侧风向。</w:t>
            </w:r>
          </w:p>
        </w:tc>
        <w:tc>
          <w:tcPr>
            <w:tcW w:w="3177" w:type="dxa"/>
            <w:tcBorders>
              <w:top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本项目生产区、生活管理区进行了分区</w:t>
            </w:r>
          </w:p>
        </w:tc>
        <w:tc>
          <w:tcPr>
            <w:tcW w:w="617" w:type="dxa"/>
            <w:vMerge w:val="restart"/>
            <w:tcBorders>
              <w:top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养殖场的排水系统应实行雨水和污水收集输送</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系统分离，在厂区内外设置的污水收集输送系</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统，不得采取明沟布设。</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本工程排水实行雨污分离</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新建、改建、扩建的畜禽养殖场应采取干清粪</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工艺，采取有效措施将粪及时、单独清出，不</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可与尿、污水混合排出，并将产生的粪渣及时</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运至贮存或处理场所，实现日产日清。采用水</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冲粪、水泡粪湿法清粪工艺的养殖场，要逐步</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改为干清粪工艺。</w:t>
            </w:r>
          </w:p>
        </w:tc>
        <w:tc>
          <w:tcPr>
            <w:tcW w:w="3177" w:type="dxa"/>
            <w:tcBorders>
              <w:bottom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本项目采用干清粪工艺</w:t>
            </w:r>
          </w:p>
        </w:tc>
        <w:tc>
          <w:tcPr>
            <w:tcW w:w="617" w:type="dxa"/>
            <w:vMerge w:val="continue"/>
            <w:tcBorders>
              <w:bottom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畜禽粪便的贮存</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畜禽养殖场产生的畜禽粪便应设置专门的贮存</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设施，其恶臭及污染物排放应符合《畜禽养殖</w:t>
            </w:r>
          </w:p>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业污染物排放标准》。</w:t>
            </w:r>
          </w:p>
        </w:tc>
        <w:tc>
          <w:tcPr>
            <w:tcW w:w="3177" w:type="dxa"/>
            <w:tcBorders>
              <w:top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宋体" w:hAnsi="宋体" w:cs="宋体"/>
                <w:color w:val="auto"/>
                <w:sz w:val="21"/>
                <w:highlight w:val="none"/>
              </w:rPr>
              <w:t>畜禽粪便设置了专门的贮存设施</w:t>
            </w:r>
            <w:r>
              <w:rPr>
                <w:rFonts w:hint="eastAsia" w:ascii="宋体" w:hAnsi="宋体" w:cs="宋体"/>
                <w:color w:val="auto"/>
                <w:sz w:val="21"/>
                <w:highlight w:val="none"/>
                <w:lang w:val="en-US" w:eastAsia="zh-CN"/>
              </w:rPr>
              <w:t>(干粪棚）</w:t>
            </w:r>
            <w:r>
              <w:rPr>
                <w:rFonts w:hint="eastAsia" w:ascii="宋体" w:hAnsi="宋体" w:cs="宋体"/>
                <w:color w:val="auto"/>
                <w:sz w:val="21"/>
                <w:highlight w:val="none"/>
              </w:rPr>
              <w:t>，恶臭及污染物经处理后满足排放要求</w:t>
            </w:r>
          </w:p>
        </w:tc>
        <w:tc>
          <w:tcPr>
            <w:tcW w:w="617" w:type="dxa"/>
            <w:vMerge w:val="restart"/>
            <w:tcBorders>
              <w:top w:val="single" w:color="000000" w:sz="8" w:space="0"/>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1"/>
                <w:highlight w:val="none"/>
                <w:lang w:eastAsia="zh-CN"/>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eastAsia" w:ascii="Times New Roman" w:hAnsi="Times New Roman"/>
                <w:color w:val="auto"/>
                <w:sz w:val="21"/>
                <w:highlight w:val="none"/>
              </w:rPr>
              <w:t>贮存设施的位置必须远离各类功能地表水体</w:t>
            </w:r>
            <w:r>
              <w:rPr>
                <w:rFonts w:hint="eastAsia" w:ascii="Times New Roman" w:hAnsi="Times New Roman"/>
                <w:color w:val="auto"/>
                <w:sz w:val="21"/>
                <w:highlight w:val="none"/>
                <w:lang w:eastAsia="zh-CN"/>
              </w:rPr>
              <w:t>（</w:t>
            </w:r>
            <w:r>
              <w:rPr>
                <w:rFonts w:hint="eastAsia" w:ascii="Times New Roman" w:hAnsi="Times New Roman"/>
                <w:color w:val="auto"/>
                <w:sz w:val="21"/>
                <w:highlight w:val="none"/>
              </w:rPr>
              <w:t>距离不得小于400m），并应设在养殖场生产及生活管理区的常年主导风的下风向或侧风向处。</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r>
              <w:rPr>
                <w:rFonts w:hint="default" w:ascii="Times New Roman" w:hAnsi="Times New Roman"/>
                <w:color w:val="auto"/>
                <w:sz w:val="21"/>
                <w:highlight w:val="none"/>
              </w:rPr>
              <w:t>本项目畜禽粪便运输至</w:t>
            </w:r>
            <w:r>
              <w:rPr>
                <w:rFonts w:hint="eastAsia" w:ascii="Times New Roman" w:hAnsi="Times New Roman"/>
                <w:color w:val="auto"/>
                <w:sz w:val="21"/>
                <w:highlight w:val="none"/>
                <w:lang w:eastAsia="zh-CN"/>
              </w:rPr>
              <w:t>南江县万事康生物科技有限公司</w:t>
            </w:r>
            <w:r>
              <w:rPr>
                <w:rFonts w:hint="default" w:ascii="Times New Roman" w:hAnsi="Times New Roman"/>
                <w:color w:val="auto"/>
                <w:sz w:val="21"/>
                <w:highlight w:val="none"/>
              </w:rPr>
              <w:t>用作生产有机肥原料使用，</w:t>
            </w:r>
            <w:r>
              <w:rPr>
                <w:rFonts w:hint="eastAsia" w:ascii="Times New Roman" w:hAnsi="Times New Roman"/>
                <w:color w:val="auto"/>
                <w:sz w:val="21"/>
                <w:highlight w:val="none"/>
                <w:lang w:eastAsia="zh-CN"/>
              </w:rPr>
              <w:t>干粪棚距离最近地表水油坊沟（</w:t>
            </w:r>
            <w:r>
              <w:rPr>
                <w:rFonts w:hint="eastAsia" w:ascii="宋体" w:hAnsi="宋体" w:eastAsia="宋体" w:cs="宋体"/>
                <w:color w:val="auto"/>
                <w:sz w:val="21"/>
                <w:highlight w:val="none"/>
                <w:lang w:eastAsia="zh-CN"/>
              </w:rPr>
              <w:t>Ⅲ</w:t>
            </w:r>
            <w:r>
              <w:rPr>
                <w:rFonts w:hint="eastAsia" w:ascii="Times New Roman" w:hAnsi="Times New Roman"/>
                <w:color w:val="auto"/>
                <w:sz w:val="21"/>
                <w:highlight w:val="none"/>
                <w:lang w:eastAsia="zh-CN"/>
              </w:rPr>
              <w:t>类水域）约</w:t>
            </w:r>
            <w:r>
              <w:rPr>
                <w:rFonts w:hint="eastAsia" w:ascii="Times New Roman" w:hAnsi="Times New Roman"/>
                <w:color w:val="auto"/>
                <w:sz w:val="21"/>
                <w:highlight w:val="none"/>
                <w:lang w:val="en-US" w:eastAsia="zh-CN"/>
              </w:rPr>
              <w:t>446m，</w:t>
            </w:r>
            <w:r>
              <w:rPr>
                <w:rFonts w:hint="eastAsia" w:ascii="Times New Roman" w:hAnsi="Times New Roman"/>
                <w:color w:val="auto"/>
                <w:sz w:val="21"/>
                <w:highlight w:val="none"/>
                <w:lang w:eastAsia="zh-CN"/>
              </w:rPr>
              <w:t>罗地沟水库（</w:t>
            </w:r>
            <w:r>
              <w:rPr>
                <w:rFonts w:hint="eastAsia" w:ascii="宋体" w:hAnsi="宋体" w:eastAsia="宋体" w:cs="宋体"/>
                <w:color w:val="auto"/>
                <w:sz w:val="21"/>
                <w:highlight w:val="none"/>
                <w:lang w:eastAsia="zh-CN"/>
              </w:rPr>
              <w:t>Ⅲ</w:t>
            </w:r>
            <w:r>
              <w:rPr>
                <w:rFonts w:hint="eastAsia" w:ascii="Times New Roman" w:hAnsi="Times New Roman"/>
                <w:color w:val="auto"/>
                <w:sz w:val="21"/>
                <w:highlight w:val="none"/>
                <w:lang w:eastAsia="zh-CN"/>
              </w:rPr>
              <w:t>类水域）距离约</w:t>
            </w:r>
            <w:r>
              <w:rPr>
                <w:rFonts w:hint="eastAsia" w:ascii="Times New Roman" w:hAnsi="Times New Roman"/>
                <w:color w:val="auto"/>
                <w:sz w:val="21"/>
                <w:highlight w:val="none"/>
                <w:lang w:val="en-US" w:eastAsia="zh-CN"/>
              </w:rPr>
              <w:t>411</w:t>
            </w:r>
            <w:r>
              <w:rPr>
                <w:rFonts w:hint="default" w:ascii="Times New Roman" w:hAnsi="Times New Roman"/>
                <w:color w:val="auto"/>
                <w:sz w:val="21"/>
                <w:highlight w:val="none"/>
              </w:rPr>
              <w:t>m，位于养殖场生产及生活管理区的常年主导风的</w:t>
            </w:r>
            <w:r>
              <w:rPr>
                <w:rFonts w:hint="eastAsia" w:ascii="Times New Roman" w:hAnsi="Times New Roman"/>
                <w:color w:val="auto"/>
                <w:sz w:val="21"/>
                <w:highlight w:val="none"/>
                <w:lang w:eastAsia="zh-CN"/>
              </w:rPr>
              <w:t>侧</w:t>
            </w:r>
            <w:r>
              <w:rPr>
                <w:rFonts w:hint="default" w:ascii="Times New Roman" w:hAnsi="Times New Roman"/>
                <w:color w:val="auto"/>
                <w:sz w:val="21"/>
                <w:highlight w:val="none"/>
              </w:rPr>
              <w:t>风向。</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44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lang w:val="en-US" w:eastAsia="zh-CN"/>
              </w:rPr>
            </w:pP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贮存设施应采取有效的防渗处理工艺，防止畜</w:t>
            </w:r>
          </w:p>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禽粪便污染地下水。</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eastAsia" w:ascii="Times New Roman" w:hAnsi="Times New Roman"/>
                <w:color w:val="auto"/>
                <w:sz w:val="21"/>
                <w:highlight w:val="none"/>
              </w:rPr>
            </w:pPr>
            <w:r>
              <w:rPr>
                <w:rFonts w:hint="eastAsia" w:ascii="Times New Roman" w:hAnsi="Times New Roman"/>
                <w:color w:val="auto"/>
                <w:sz w:val="21"/>
                <w:highlight w:val="none"/>
              </w:rPr>
              <w:t>贮存设施采取了重点防渗</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jc w:val="center"/>
              <w:rPr>
                <w:rFonts w:hint="default" w:ascii="Times New Roman" w:hAnsi="Times New Roman"/>
                <w:color w:val="auto"/>
                <w:sz w:val="21"/>
                <w:highlight w:val="none"/>
              </w:rPr>
            </w:pPr>
          </w:p>
        </w:tc>
      </w:tr>
    </w:tbl>
    <w:p>
      <w:pPr>
        <w:adjustRightInd w:val="0"/>
        <w:snapToGrid w:val="0"/>
        <w:spacing w:line="360" w:lineRule="auto"/>
        <w:ind w:firstLine="518" w:firstLineChars="216"/>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由表</w:t>
      </w:r>
      <w:r>
        <w:rPr>
          <w:rFonts w:hint="default" w:ascii="Times New Roman" w:hAnsi="Times New Roman" w:eastAsia="宋体" w:cs="Times New Roman"/>
          <w:color w:val="auto"/>
          <w:sz w:val="24"/>
          <w:szCs w:val="24"/>
          <w:highlight w:val="none"/>
          <w:lang w:val="en-US" w:eastAsia="zh-CN"/>
        </w:rPr>
        <w:t>2.6-10</w:t>
      </w:r>
      <w:r>
        <w:rPr>
          <w:rFonts w:hint="default" w:ascii="Times New Roman" w:hAnsi="Times New Roman" w:eastAsia="宋体" w:cs="Times New Roman"/>
          <w:color w:val="auto"/>
          <w:sz w:val="24"/>
          <w:szCs w:val="24"/>
          <w:highlight w:val="none"/>
        </w:rPr>
        <w:t>可知，项目满足《农产品安全质量—无公害畜禽肉产地环境要求》（GB/T18407.3—2001）要求。</w:t>
      </w:r>
    </w:p>
    <w:p>
      <w:pPr>
        <w:pStyle w:val="9"/>
        <w:bidi w:val="0"/>
        <w:spacing w:line="360" w:lineRule="auto"/>
        <w:rPr>
          <w:rFonts w:hint="eastAsia" w:cs="Times New Roman"/>
          <w:color w:val="auto"/>
          <w:highlight w:val="none"/>
          <w:lang w:eastAsia="zh-CN"/>
        </w:rPr>
      </w:pPr>
      <w:r>
        <w:rPr>
          <w:rFonts w:hint="eastAsia" w:cs="Times New Roman"/>
          <w:color w:val="auto"/>
          <w:highlight w:val="none"/>
        </w:rPr>
        <w:t xml:space="preserve"> 与《动物防疫条件审查办法》</w:t>
      </w:r>
      <w:r>
        <w:rPr>
          <w:rFonts w:hint="eastAsia" w:cs="Times New Roman"/>
          <w:color w:val="auto"/>
          <w:highlight w:val="none"/>
          <w:lang w:eastAsia="zh-CN"/>
        </w:rPr>
        <w:t>（</w:t>
      </w:r>
      <w:r>
        <w:rPr>
          <w:rFonts w:hint="eastAsia" w:cs="Times New Roman"/>
          <w:color w:val="auto"/>
          <w:highlight w:val="none"/>
        </w:rPr>
        <w:t>农业部，2010年第</w:t>
      </w:r>
      <w:r>
        <w:rPr>
          <w:rFonts w:hint="eastAsia" w:cs="Times New Roman"/>
          <w:color w:val="auto"/>
          <w:highlight w:val="none"/>
          <w:lang w:val="en-US" w:eastAsia="zh-CN"/>
        </w:rPr>
        <w:t>7</w:t>
      </w:r>
      <w:r>
        <w:rPr>
          <w:rFonts w:hint="eastAsia" w:cs="Times New Roman"/>
          <w:color w:val="auto"/>
          <w:highlight w:val="none"/>
        </w:rPr>
        <w:t>号令）的</w:t>
      </w:r>
      <w:r>
        <w:rPr>
          <w:rFonts w:hint="eastAsia" w:cs="Times New Roman"/>
          <w:color w:val="auto"/>
          <w:highlight w:val="none"/>
          <w:lang w:eastAsia="zh-CN"/>
        </w:rPr>
        <w:t>符合性分析</w:t>
      </w:r>
    </w:p>
    <w:p>
      <w:pPr>
        <w:adjustRightInd w:val="0"/>
        <w:snapToGrid w:val="0"/>
        <w:spacing w:line="360" w:lineRule="auto"/>
        <w:ind w:firstLine="518" w:firstLineChars="216"/>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本项目选址与《动物防疫条件审查办法》中动物饲养场、养殖小区</w:t>
      </w:r>
      <w:r>
        <w:rPr>
          <w:rFonts w:hint="eastAsia" w:ascii="Times New Roman" w:hAnsi="Times New Roman" w:eastAsia="宋体" w:cs="Times New Roman"/>
          <w:color w:val="auto"/>
          <w:sz w:val="24"/>
          <w:szCs w:val="24"/>
          <w:highlight w:val="none"/>
          <w:lang w:eastAsia="zh-CN"/>
        </w:rPr>
        <w:t>选址</w:t>
      </w:r>
      <w:r>
        <w:rPr>
          <w:rFonts w:hint="default" w:ascii="Times New Roman" w:hAnsi="Times New Roman" w:eastAsia="宋体" w:cs="Times New Roman"/>
          <w:color w:val="auto"/>
          <w:sz w:val="24"/>
          <w:szCs w:val="24"/>
          <w:highlight w:val="none"/>
          <w:lang w:eastAsia="zh-CN"/>
        </w:rPr>
        <w:t>要求符合性分析见表</w:t>
      </w:r>
      <w:r>
        <w:rPr>
          <w:rFonts w:hint="eastAsia" w:ascii="Times New Roman" w:hAnsi="Times New Roman" w:eastAsia="宋体" w:cs="Times New Roman"/>
          <w:color w:val="auto"/>
          <w:sz w:val="24"/>
          <w:szCs w:val="24"/>
          <w:highlight w:val="none"/>
          <w:lang w:val="en-US" w:eastAsia="zh-CN"/>
        </w:rPr>
        <w:t>2.7-16.</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 项目与《动物防疫条件审查办法》符合情况一览表</w:t>
      </w:r>
    </w:p>
    <w:tbl>
      <w:tblPr>
        <w:tblStyle w:val="91"/>
        <w:tblW w:w="8504"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447"/>
        <w:gridCol w:w="4263"/>
        <w:gridCol w:w="3177"/>
        <w:gridCol w:w="617"/>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序号</w:t>
            </w:r>
          </w:p>
        </w:tc>
        <w:tc>
          <w:tcPr>
            <w:tcW w:w="4263" w:type="dxa"/>
            <w:tcBorders>
              <w:tl2br w:val="nil"/>
              <w:tr2bl w:val="nil"/>
            </w:tcBorders>
            <w:vAlign w:val="center"/>
          </w:tcPr>
          <w:p>
            <w:pPr>
              <w:pStyle w:val="945"/>
              <w:keepNext w:val="0"/>
              <w:keepLines w:val="0"/>
              <w:suppressLineNumbers w:val="0"/>
              <w:spacing w:before="0" w:beforeAutospacing="0" w:after="0" w:afterAutospacing="0"/>
              <w:ind w:left="0" w:right="0"/>
              <w:rPr>
                <w:rFonts w:hint="eastAsia" w:eastAsia="宋体" w:cs="Times New Roman"/>
                <w:color w:val="auto"/>
                <w:szCs w:val="21"/>
                <w:highlight w:val="none"/>
                <w:lang w:eastAsia="zh-CN"/>
              </w:rPr>
            </w:pPr>
            <w:r>
              <w:rPr>
                <w:rFonts w:hint="eastAsia" w:cs="Times New Roman"/>
                <w:color w:val="auto"/>
                <w:highlight w:val="none"/>
              </w:rPr>
              <w:t>《动物防疫条件审查办法》</w:t>
            </w:r>
            <w:r>
              <w:rPr>
                <w:rFonts w:hint="eastAsia" w:cs="Times New Roman"/>
                <w:color w:val="auto"/>
                <w:highlight w:val="none"/>
                <w:lang w:eastAsia="zh-CN"/>
              </w:rPr>
              <w:t>的相关要求</w:t>
            </w:r>
          </w:p>
        </w:tc>
        <w:tc>
          <w:tcPr>
            <w:tcW w:w="3177"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本项目情况</w:t>
            </w:r>
          </w:p>
        </w:tc>
        <w:tc>
          <w:tcPr>
            <w:tcW w:w="617"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1</w:t>
            </w:r>
          </w:p>
        </w:tc>
        <w:tc>
          <w:tcPr>
            <w:tcW w:w="4263" w:type="dxa"/>
            <w:tcBorders>
              <w:tl2br w:val="nil"/>
              <w:tr2bl w:val="nil"/>
            </w:tcBorders>
            <w:vAlign w:val="center"/>
          </w:tcPr>
          <w:p>
            <w:pPr>
              <w:pStyle w:val="267"/>
              <w:keepNext w:val="0"/>
              <w:keepLines w:val="0"/>
              <w:widowControl/>
              <w:numPr>
                <w:ilvl w:val="0"/>
                <w:numId w:val="16"/>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距离生活饮用水源地、动物屠宰加工场所、动物和动物产品集贸市场</w:t>
            </w:r>
            <w:r>
              <w:rPr>
                <w:rFonts w:hint="eastAsia" w:ascii="Times New Roman" w:hAnsi="Times New Roman"/>
                <w:color w:val="auto"/>
                <w:sz w:val="21"/>
                <w:highlight w:val="none"/>
                <w:lang w:val="en-US" w:eastAsia="zh-CN"/>
              </w:rPr>
              <w:t>500</w:t>
            </w:r>
            <w:r>
              <w:rPr>
                <w:rFonts w:hint="eastAsia" w:ascii="Times New Roman" w:hAnsi="Times New Roman"/>
                <w:color w:val="auto"/>
                <w:sz w:val="21"/>
                <w:highlight w:val="none"/>
              </w:rPr>
              <w:t>米以上；距离种畜禽场1000米以上；距离动物诊疗场所200米以上；动物饲养场（养殖小区）之间距离不少于</w:t>
            </w:r>
            <w:r>
              <w:rPr>
                <w:rFonts w:hint="eastAsia" w:ascii="Times New Roman" w:hAnsi="Times New Roman"/>
                <w:color w:val="auto"/>
                <w:sz w:val="21"/>
                <w:highlight w:val="none"/>
                <w:lang w:val="en-US" w:eastAsia="zh-CN"/>
              </w:rPr>
              <w:t>500</w:t>
            </w:r>
            <w:r>
              <w:rPr>
                <w:rFonts w:hint="eastAsia" w:ascii="Times New Roman" w:hAnsi="Times New Roman"/>
                <w:color w:val="auto"/>
                <w:sz w:val="21"/>
                <w:highlight w:val="none"/>
              </w:rPr>
              <w:t>米。</w:t>
            </w:r>
          </w:p>
          <w:p>
            <w:pPr>
              <w:pStyle w:val="267"/>
              <w:keepNext w:val="0"/>
              <w:keepLines w:val="0"/>
              <w:widowControl/>
              <w:numPr>
                <w:ilvl w:val="0"/>
                <w:numId w:val="16"/>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距离动物隔离场所、无害化处理场所 3000米以上。</w:t>
            </w:r>
          </w:p>
          <w:p>
            <w:pPr>
              <w:pStyle w:val="267"/>
              <w:keepNext w:val="0"/>
              <w:keepLines w:val="0"/>
              <w:widowControl/>
              <w:numPr>
                <w:ilvl w:val="0"/>
                <w:numId w:val="16"/>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距离城镇居民区、文化教育科研等人口集中区域及公路、铁路等主要交通干线500 米以上。</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eastAsia="宋体"/>
                <w:color w:val="auto"/>
                <w:sz w:val="21"/>
                <w:highlight w:val="none"/>
                <w:lang w:val="en-US" w:eastAsia="zh-CN"/>
              </w:rPr>
            </w:pPr>
            <w:r>
              <w:rPr>
                <w:rFonts w:hint="default" w:ascii="Times New Roman" w:hAnsi="Times New Roman" w:eastAsia="宋体" w:cs="Times New Roman"/>
                <w:color w:val="auto"/>
                <w:sz w:val="21"/>
                <w:highlight w:val="none"/>
              </w:rPr>
              <w:t>项目周边1000m范围内无生活饮用水源地、动物屠宰加工场所、动物和动物产品集贸市场、城镇居民区、文化教育科研等人口集中区域及铁路等主要交通干线。</w:t>
            </w:r>
            <w:r>
              <w:rPr>
                <w:rFonts w:hint="eastAsia" w:ascii="Times New Roman" w:hAnsi="Times New Roman" w:cs="Times New Roman"/>
                <w:color w:val="auto"/>
                <w:sz w:val="21"/>
                <w:highlight w:val="none"/>
                <w:lang w:eastAsia="zh-CN"/>
              </w:rPr>
              <w:t>在本项目的西南侧直线距离约</w:t>
            </w:r>
            <w:r>
              <w:rPr>
                <w:rFonts w:hint="eastAsia" w:ascii="Times New Roman" w:hAnsi="Times New Roman" w:cs="Times New Roman"/>
                <w:color w:val="auto"/>
                <w:sz w:val="21"/>
                <w:highlight w:val="none"/>
                <w:lang w:val="en-US" w:eastAsia="zh-CN"/>
              </w:rPr>
              <w:t>330m有一养猪场，位于罗地沟水库南侧的一山顶上，两养殖场高差约33m，且两养殖周边均有林地做为防护带，且有山谷相隔，能够满足防疫要求。</w:t>
            </w:r>
          </w:p>
        </w:tc>
        <w:tc>
          <w:tcPr>
            <w:tcW w:w="617"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2</w:t>
            </w:r>
          </w:p>
        </w:tc>
        <w:tc>
          <w:tcPr>
            <w:tcW w:w="4263" w:type="dxa"/>
            <w:tcBorders>
              <w:tl2br w:val="nil"/>
              <w:tr2bl w:val="nil"/>
            </w:tcBorders>
            <w:vAlign w:val="center"/>
          </w:tcPr>
          <w:p>
            <w:pPr>
              <w:pStyle w:val="267"/>
              <w:keepNext w:val="0"/>
              <w:keepLines w:val="0"/>
              <w:widowControl/>
              <w:numPr>
                <w:ilvl w:val="0"/>
                <w:numId w:val="17"/>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场区周围建有围墙；</w:t>
            </w:r>
          </w:p>
          <w:p>
            <w:pPr>
              <w:pStyle w:val="267"/>
              <w:keepNext w:val="0"/>
              <w:keepLines w:val="0"/>
              <w:widowControl/>
              <w:numPr>
                <w:ilvl w:val="0"/>
                <w:numId w:val="17"/>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场区出入口处设置与门同宽，长</w:t>
            </w:r>
            <w:r>
              <w:rPr>
                <w:rFonts w:hint="eastAsia" w:ascii="Times New Roman" w:hAnsi="Times New Roman"/>
                <w:color w:val="auto"/>
                <w:sz w:val="21"/>
                <w:highlight w:val="none"/>
                <w:lang w:val="en-US" w:eastAsia="zh-CN"/>
              </w:rPr>
              <w:t>4</w:t>
            </w:r>
            <w:r>
              <w:rPr>
                <w:rFonts w:hint="eastAsia" w:ascii="Times New Roman" w:hAnsi="Times New Roman"/>
                <w:color w:val="auto"/>
                <w:sz w:val="21"/>
                <w:highlight w:val="none"/>
              </w:rPr>
              <w:t>米、深</w:t>
            </w:r>
            <w:r>
              <w:rPr>
                <w:rFonts w:hint="eastAsia" w:ascii="Times New Roman" w:hAnsi="Times New Roman"/>
                <w:color w:val="auto"/>
                <w:sz w:val="21"/>
                <w:highlight w:val="none"/>
                <w:lang w:val="en-US" w:eastAsia="zh-CN"/>
              </w:rPr>
              <w:t>0.3</w:t>
            </w:r>
            <w:r>
              <w:rPr>
                <w:rFonts w:hint="eastAsia" w:ascii="Times New Roman" w:hAnsi="Times New Roman"/>
                <w:color w:val="auto"/>
                <w:sz w:val="21"/>
                <w:highlight w:val="none"/>
              </w:rPr>
              <w:t>米以上的消毒池；</w:t>
            </w:r>
          </w:p>
          <w:p>
            <w:pPr>
              <w:pStyle w:val="267"/>
              <w:keepNext w:val="0"/>
              <w:keepLines w:val="0"/>
              <w:widowControl/>
              <w:numPr>
                <w:ilvl w:val="0"/>
                <w:numId w:val="17"/>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生产区与生活办公区分开，并有隔离设施；</w:t>
            </w:r>
          </w:p>
          <w:p>
            <w:pPr>
              <w:pStyle w:val="267"/>
              <w:keepNext w:val="0"/>
              <w:keepLines w:val="0"/>
              <w:widowControl/>
              <w:numPr>
                <w:ilvl w:val="0"/>
                <w:numId w:val="17"/>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生产区入口处设置更衣消毒室，各养殖栋舍出入口设置消毒池或者消毒垫；</w:t>
            </w:r>
          </w:p>
          <w:p>
            <w:pPr>
              <w:pStyle w:val="267"/>
              <w:keepNext w:val="0"/>
              <w:keepLines w:val="0"/>
              <w:widowControl/>
              <w:numPr>
                <w:ilvl w:val="0"/>
                <w:numId w:val="17"/>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生产区内清洁道、污染道分设；</w:t>
            </w:r>
          </w:p>
          <w:p>
            <w:pPr>
              <w:pStyle w:val="267"/>
              <w:keepNext w:val="0"/>
              <w:keepLines w:val="0"/>
              <w:widowControl/>
              <w:numPr>
                <w:ilvl w:val="0"/>
                <w:numId w:val="17"/>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生产区内各养殖栋舍之间距离在</w:t>
            </w:r>
            <w:r>
              <w:rPr>
                <w:rFonts w:hint="eastAsia" w:ascii="Times New Roman" w:hAnsi="Times New Roman"/>
                <w:color w:val="auto"/>
                <w:sz w:val="21"/>
                <w:highlight w:val="none"/>
                <w:lang w:val="en-US" w:eastAsia="zh-CN"/>
              </w:rPr>
              <w:t>5</w:t>
            </w:r>
            <w:r>
              <w:rPr>
                <w:rFonts w:hint="eastAsia" w:ascii="Times New Roman" w:hAnsi="Times New Roman"/>
                <w:color w:val="auto"/>
                <w:sz w:val="21"/>
                <w:highlight w:val="none"/>
              </w:rPr>
              <w:t>米以上或者有隔离设施。禽类饲养场、养殖小区内的孵化间与养殖区之间应当设置隔离设施，并配备种蛋熏蒸消毒设施，孵化间的流程应当单向，不得交叉或者回流。</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color w:val="auto"/>
                <w:sz w:val="21"/>
                <w:highlight w:val="none"/>
              </w:rPr>
            </w:pPr>
            <w:r>
              <w:rPr>
                <w:rFonts w:hint="eastAsia" w:ascii="Times New Roman" w:hAnsi="Times New Roman" w:eastAsia="宋体" w:cs="Times New Roman"/>
                <w:color w:val="auto"/>
                <w:sz w:val="21"/>
                <w:highlight w:val="none"/>
              </w:rPr>
              <w:t>场区建有围墙,出入口按规范设置了消毒池、生产区与生活办公区进</w:t>
            </w:r>
          </w:p>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eastAsia="宋体" w:cs="Times New Roman"/>
                <w:color w:val="auto"/>
                <w:sz w:val="21"/>
                <w:highlight w:val="none"/>
              </w:rPr>
              <w:t>行了分区，建筑距离</w:t>
            </w:r>
            <w:r>
              <w:rPr>
                <w:rFonts w:hint="eastAsia" w:ascii="Times New Roman" w:hAnsi="Times New Roman"/>
                <w:color w:val="auto"/>
                <w:sz w:val="21"/>
                <w:highlight w:val="none"/>
              </w:rPr>
              <w:t>满足规范要求。</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3</w:t>
            </w:r>
          </w:p>
        </w:tc>
        <w:tc>
          <w:tcPr>
            <w:tcW w:w="4263" w:type="dxa"/>
            <w:tcBorders>
              <w:tl2br w:val="nil"/>
              <w:tr2bl w:val="nil"/>
            </w:tcBorders>
            <w:vAlign w:val="center"/>
          </w:tcPr>
          <w:p>
            <w:pPr>
              <w:pStyle w:val="267"/>
              <w:keepNext w:val="0"/>
              <w:keepLines w:val="0"/>
              <w:widowControl/>
              <w:numPr>
                <w:ilvl w:val="0"/>
                <w:numId w:val="18"/>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场区入口处配置消毒设备；</w:t>
            </w:r>
          </w:p>
          <w:p>
            <w:pPr>
              <w:pStyle w:val="267"/>
              <w:keepNext w:val="0"/>
              <w:keepLines w:val="0"/>
              <w:widowControl/>
              <w:numPr>
                <w:ilvl w:val="0"/>
                <w:numId w:val="18"/>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生产区有良好的采光、通风设施设备；</w:t>
            </w:r>
          </w:p>
          <w:p>
            <w:pPr>
              <w:pStyle w:val="267"/>
              <w:keepNext w:val="0"/>
              <w:keepLines w:val="0"/>
              <w:widowControl/>
              <w:numPr>
                <w:ilvl w:val="0"/>
                <w:numId w:val="18"/>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圈舍地面和墙壁选用适宜材料，以便清洗消毒；</w:t>
            </w:r>
          </w:p>
          <w:p>
            <w:pPr>
              <w:pStyle w:val="267"/>
              <w:keepNext w:val="0"/>
              <w:keepLines w:val="0"/>
              <w:widowControl/>
              <w:numPr>
                <w:ilvl w:val="0"/>
                <w:numId w:val="18"/>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配备疫苗冷冻（冷藏）设备、消毒和诊疗等防疫设备的兽医室，或者有兽医机构为其提供相应服务；</w:t>
            </w:r>
          </w:p>
          <w:p>
            <w:pPr>
              <w:pStyle w:val="267"/>
              <w:keepNext w:val="0"/>
              <w:keepLines w:val="0"/>
              <w:widowControl/>
              <w:numPr>
                <w:ilvl w:val="0"/>
                <w:numId w:val="18"/>
              </w:numPr>
              <w:suppressLineNumbers w:val="0"/>
              <w:spacing w:before="0" w:beforeAutospacing="0" w:after="0" w:afterAutospacing="0"/>
              <w:ind w:left="0" w:leftChars="0" w:right="0" w:firstLine="0" w:firstLineChars="0"/>
              <w:jc w:val="both"/>
              <w:rPr>
                <w:rFonts w:hint="eastAsia" w:ascii="Times New Roman" w:hAnsi="Times New Roman"/>
                <w:color w:val="auto"/>
                <w:sz w:val="21"/>
                <w:highlight w:val="none"/>
              </w:rPr>
            </w:pPr>
            <w:r>
              <w:rPr>
                <w:rFonts w:hint="eastAsia" w:ascii="Times New Roman" w:hAnsi="Times New Roman"/>
                <w:color w:val="auto"/>
                <w:sz w:val="21"/>
                <w:highlight w:val="none"/>
              </w:rPr>
              <w:t>有与生产规模相适应的无害化处理、污水污物处理设施设备；</w:t>
            </w:r>
          </w:p>
          <w:p>
            <w:pPr>
              <w:pStyle w:val="267"/>
              <w:keepNext w:val="0"/>
              <w:keepLines w:val="0"/>
              <w:widowControl/>
              <w:numPr>
                <w:ilvl w:val="0"/>
                <w:numId w:val="18"/>
              </w:numPr>
              <w:suppressLineNumbers w:val="0"/>
              <w:spacing w:before="0" w:beforeAutospacing="0" w:after="0" w:afterAutospacing="0"/>
              <w:ind w:left="0" w:leftChars="0" w:right="0" w:firstLine="0" w:firstLineChars="0"/>
              <w:jc w:val="both"/>
              <w:rPr>
                <w:rFonts w:hint="default" w:ascii="Times New Roman" w:hAnsi="Times New Roman"/>
                <w:color w:val="auto"/>
                <w:sz w:val="21"/>
                <w:highlight w:val="none"/>
              </w:rPr>
            </w:pPr>
            <w:r>
              <w:rPr>
                <w:rFonts w:hint="eastAsia" w:ascii="Times New Roman" w:hAnsi="Times New Roman"/>
                <w:color w:val="auto"/>
                <w:sz w:val="21"/>
                <w:highlight w:val="none"/>
              </w:rPr>
              <w:t>有相对独立的引入动物隔离舍和患病动物隔离舍</w:t>
            </w:r>
            <w:r>
              <w:rPr>
                <w:rFonts w:hint="eastAsia" w:ascii="Times New Roman" w:hAnsi="Times New Roman"/>
                <w:color w:val="auto"/>
                <w:sz w:val="21"/>
                <w:highlight w:val="none"/>
                <w:lang w:eastAsia="zh-CN"/>
              </w:rPr>
              <w:t>。</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场区入口处配置消毒设备；生产区</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有采光、通风设施；有兽医机构为</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其提供相应服务；有与生产规模相</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适应的无害化处理、污水污物处理</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设施设备；设置了隔离舍和患病动</w:t>
            </w:r>
          </w:p>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物隔离舍。</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val="en-US" w:eastAsia="zh-CN"/>
              </w:rPr>
              <w:t>4</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厂区周围不宜有虫害大量孳生的潜在场所，难以避开时应设计必要的防范措施。</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厂区周围无虫害大量孳生的潜在场</w:t>
            </w:r>
          </w:p>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所</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val="en-US" w:eastAsia="zh-CN"/>
              </w:rPr>
              <w:t>5</w:t>
            </w:r>
          </w:p>
        </w:tc>
        <w:tc>
          <w:tcPr>
            <w:tcW w:w="4263"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饲养和加工场地应设有与生产相适应的消毒设施、更衣室、兽医室等，并配备工作所需的仪器设备，肉类加工厂卫生应符合 GB12694 的有关规定</w:t>
            </w:r>
          </w:p>
        </w:tc>
        <w:tc>
          <w:tcPr>
            <w:tcW w:w="3177"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项目设置相应的消毒房及消毒设施，并配备相应工作所需的仪器设备。</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bl>
    <w:p>
      <w:pPr>
        <w:adjustRightInd w:val="0"/>
        <w:snapToGrid w:val="0"/>
        <w:spacing w:line="360" w:lineRule="auto"/>
        <w:ind w:firstLine="518" w:firstLineChars="216"/>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由表</w:t>
      </w:r>
      <w:r>
        <w:rPr>
          <w:rFonts w:hint="default" w:ascii="Times New Roman" w:hAnsi="Times New Roman" w:eastAsia="宋体" w:cs="Times New Roman"/>
          <w:color w:val="auto"/>
          <w:sz w:val="24"/>
          <w:szCs w:val="24"/>
          <w:highlight w:val="none"/>
          <w:lang w:val="en-US" w:eastAsia="zh-CN"/>
        </w:rPr>
        <w:t>2.6-1</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可知，项目选址符合《动物防疫条件审查办法》（农业部，2010年第</w:t>
      </w:r>
      <w:r>
        <w:rPr>
          <w:rFonts w:hint="default"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eastAsia="zh-CN"/>
        </w:rPr>
        <w:t>号令）选址要求。</w:t>
      </w:r>
    </w:p>
    <w:p>
      <w:pPr>
        <w:pStyle w:val="9"/>
        <w:bidi w:val="0"/>
        <w:spacing w:line="360" w:lineRule="auto"/>
        <w:rPr>
          <w:rFonts w:hint="eastAsia" w:cs="Times New Roman"/>
          <w:color w:val="auto"/>
          <w:highlight w:val="none"/>
          <w:lang w:eastAsia="zh-CN"/>
        </w:rPr>
      </w:pPr>
      <w:r>
        <w:rPr>
          <w:rFonts w:hint="eastAsia" w:cs="Times New Roman"/>
          <w:color w:val="auto"/>
          <w:highlight w:val="none"/>
        </w:rPr>
        <w:t xml:space="preserve"> 与</w:t>
      </w:r>
      <w:r>
        <w:rPr>
          <w:rFonts w:hint="eastAsia" w:cs="Times New Roman"/>
          <w:color w:val="auto"/>
          <w:highlight w:val="none"/>
          <w:lang w:eastAsia="zh-CN"/>
        </w:rPr>
        <w:t>《排污许可证申请与核发技术规范畜禽养殖行业》（HJ 1029—2019）</w:t>
      </w:r>
      <w:r>
        <w:rPr>
          <w:rFonts w:hint="eastAsia" w:cs="Times New Roman"/>
          <w:color w:val="auto"/>
          <w:highlight w:val="none"/>
        </w:rPr>
        <w:t>的</w:t>
      </w:r>
      <w:r>
        <w:rPr>
          <w:rFonts w:hint="eastAsia" w:cs="Times New Roman"/>
          <w:color w:val="auto"/>
          <w:highlight w:val="none"/>
          <w:lang w:eastAsia="zh-CN"/>
        </w:rPr>
        <w:t>符合性分析</w:t>
      </w:r>
    </w:p>
    <w:p>
      <w:pPr>
        <w:adjustRightInd w:val="0"/>
        <w:snapToGrid w:val="0"/>
        <w:spacing w:line="360" w:lineRule="auto"/>
        <w:ind w:firstLine="518" w:firstLineChars="216"/>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本项目从污染防治可行技术要求分析与《排污许可证申请与核发技术规范畜禽养殖行业》（HJ 1029—2019）的符合性。</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 与《排污许可证申请与核发技术规范畜禽养殖行业》（HJ1029—2019</w:t>
      </w:r>
      <w:r>
        <w:rPr>
          <w:rFonts w:hint="eastAsia" w:ascii="Times New Roman" w:hAnsi="Times New Roman" w:eastAsia="宋体" w:cs="Times New Roman"/>
          <w:b/>
          <w:bCs/>
          <w:color w:val="auto"/>
          <w:sz w:val="21"/>
          <w:szCs w:val="21"/>
          <w:highlight w:val="none"/>
          <w:lang w:val="en-US" w:eastAsia="zh-CN"/>
        </w:rPr>
        <w:t>）</w:t>
      </w:r>
      <w:r>
        <w:rPr>
          <w:rFonts w:hint="default" w:ascii="Times New Roman" w:hAnsi="Times New Roman" w:eastAsia="宋体" w:cs="Times New Roman"/>
          <w:b/>
          <w:bCs/>
          <w:color w:val="auto"/>
          <w:sz w:val="21"/>
          <w:szCs w:val="21"/>
          <w:highlight w:val="none"/>
          <w:lang w:val="en-US" w:eastAsia="zh-CN"/>
        </w:rPr>
        <w:t>的符合性</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435"/>
        <w:gridCol w:w="4163"/>
        <w:gridCol w:w="3103"/>
        <w:gridCol w:w="602"/>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2" w:type="pct"/>
            <w:tcBorders>
              <w:tl2br w:val="nil"/>
              <w:tr2bl w:val="nil"/>
            </w:tcBorders>
            <w:vAlign w:val="center"/>
          </w:tcPr>
          <w:p>
            <w:pPr>
              <w:pStyle w:val="945"/>
              <w:keepNext w:val="0"/>
              <w:keepLines w:val="0"/>
              <w:suppressLineNumbers w:val="0"/>
              <w:spacing w:before="0" w:beforeAutospacing="0" w:after="0" w:afterAutospacing="0"/>
              <w:ind w:left="0" w:right="0"/>
              <w:rPr>
                <w:rFonts w:hint="eastAsia" w:eastAsia="宋体" w:cs="Times New Roman"/>
                <w:color w:val="auto"/>
                <w:szCs w:val="21"/>
                <w:highlight w:val="none"/>
                <w:lang w:eastAsia="zh-CN"/>
              </w:rPr>
            </w:pPr>
            <w:r>
              <w:rPr>
                <w:rFonts w:hint="eastAsia" w:cs="Times New Roman"/>
                <w:color w:val="auto"/>
                <w:szCs w:val="21"/>
                <w:highlight w:val="none"/>
                <w:lang w:eastAsia="zh-CN"/>
              </w:rPr>
              <w:t>类别</w:t>
            </w:r>
          </w:p>
        </w:tc>
        <w:tc>
          <w:tcPr>
            <w:tcW w:w="2506" w:type="pct"/>
            <w:tcBorders>
              <w:tl2br w:val="nil"/>
              <w:tr2bl w:val="nil"/>
            </w:tcBorders>
            <w:vAlign w:val="center"/>
          </w:tcPr>
          <w:p>
            <w:pPr>
              <w:pStyle w:val="945"/>
              <w:keepNext w:val="0"/>
              <w:keepLines w:val="0"/>
              <w:suppressLineNumbers w:val="0"/>
              <w:spacing w:before="0" w:beforeAutospacing="0" w:after="0" w:afterAutospacing="0"/>
              <w:ind w:left="0" w:right="0"/>
              <w:rPr>
                <w:rFonts w:hint="eastAsia" w:eastAsia="宋体" w:cs="Times New Roman"/>
                <w:color w:val="auto"/>
                <w:szCs w:val="21"/>
                <w:highlight w:val="none"/>
                <w:lang w:eastAsia="zh-CN"/>
              </w:rPr>
            </w:pPr>
            <w:r>
              <w:rPr>
                <w:rFonts w:hint="eastAsia" w:eastAsia="宋体" w:cs="Times New Roman"/>
                <w:color w:val="auto"/>
                <w:szCs w:val="21"/>
                <w:highlight w:val="none"/>
                <w:lang w:eastAsia="zh-CN"/>
              </w:rPr>
              <w:t>《排污许可证申请与核发技术规范畜禽养殖行业》</w:t>
            </w:r>
          </w:p>
        </w:tc>
        <w:tc>
          <w:tcPr>
            <w:tcW w:w="1868"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本项目情况</w:t>
            </w:r>
          </w:p>
        </w:tc>
        <w:tc>
          <w:tcPr>
            <w:tcW w:w="362"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931" w:hRule="atLeast"/>
        </w:trPr>
        <w:tc>
          <w:tcPr>
            <w:tcW w:w="262" w:type="pct"/>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废水</w:t>
            </w:r>
          </w:p>
        </w:tc>
        <w:tc>
          <w:tcPr>
            <w:tcW w:w="2506" w:type="pct"/>
            <w:tcBorders>
              <w:bottom w:val="single" w:color="auto" w:sz="4" w:space="0"/>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大型养殖场推荐采用：干清粪+固液分离+厌氧（UASB、CSTR）+好氧（SBR、接触氧化、MBR）</w:t>
            </w:r>
          </w:p>
        </w:tc>
        <w:tc>
          <w:tcPr>
            <w:tcW w:w="1868" w:type="pct"/>
            <w:tcBorders>
              <w:bottom w:val="single" w:color="auto" w:sz="4" w:space="0"/>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本项目采用干清粪工艺，</w:t>
            </w:r>
            <w:r>
              <w:rPr>
                <w:rFonts w:hint="default" w:ascii="Times New Roman" w:hAnsi="Times New Roman" w:eastAsia="宋体" w:cs="Times New Roman"/>
                <w:color w:val="auto"/>
                <w:sz w:val="21"/>
                <w:szCs w:val="21"/>
                <w:highlight w:val="none"/>
              </w:rPr>
              <w:t>“固液分离+UASB厌氧+絮凝沉淀+两级A/O系统+混凝絮凝沉淀+消毒”工艺</w:t>
            </w:r>
            <w:r>
              <w:rPr>
                <w:rFonts w:hint="default" w:ascii="Times New Roman" w:hAnsi="Times New Roman" w:eastAsia="宋体" w:cs="Times New Roman"/>
                <w:color w:val="auto"/>
                <w:sz w:val="21"/>
                <w:szCs w:val="21"/>
                <w:highlight w:val="none"/>
                <w:lang w:eastAsia="zh-CN"/>
              </w:rPr>
              <w:t>。</w:t>
            </w:r>
          </w:p>
        </w:tc>
        <w:tc>
          <w:tcPr>
            <w:tcW w:w="362" w:type="pct"/>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58" w:hRule="atLeast"/>
        </w:trPr>
        <w:tc>
          <w:tcPr>
            <w:tcW w:w="26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lang w:eastAsia="zh-CN"/>
              </w:rPr>
            </w:pPr>
          </w:p>
        </w:tc>
        <w:tc>
          <w:tcPr>
            <w:tcW w:w="2506" w:type="pct"/>
            <w:tcBorders>
              <w:top w:val="single" w:color="auto" w:sz="4" w:space="0"/>
              <w:bottom w:val="single" w:color="auto" w:sz="4" w:space="0"/>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畜禽养殖行业排污单位必须实行严格的雨污分流措施。</w:t>
            </w:r>
          </w:p>
        </w:tc>
        <w:tc>
          <w:tcPr>
            <w:tcW w:w="1868" w:type="pct"/>
            <w:tcBorders>
              <w:top w:val="single" w:color="auto" w:sz="4" w:space="0"/>
              <w:bottom w:val="single" w:color="auto" w:sz="4" w:space="0"/>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w:t>
            </w:r>
            <w:r>
              <w:rPr>
                <w:rFonts w:hint="default" w:ascii="Times New Roman" w:hAnsi="Times New Roman" w:eastAsia="宋体" w:cs="Times New Roman"/>
                <w:color w:val="auto"/>
                <w:sz w:val="21"/>
                <w:szCs w:val="21"/>
                <w:highlight w:val="none"/>
                <w:lang w:eastAsia="zh-CN"/>
              </w:rPr>
              <w:t>项目</w:t>
            </w:r>
            <w:r>
              <w:rPr>
                <w:rFonts w:hint="default" w:ascii="Times New Roman" w:hAnsi="Times New Roman" w:eastAsia="宋体" w:cs="Times New Roman"/>
                <w:color w:val="auto"/>
                <w:sz w:val="21"/>
                <w:szCs w:val="21"/>
                <w:highlight w:val="none"/>
              </w:rPr>
              <w:t>排水实行雨污分离</w:t>
            </w:r>
          </w:p>
        </w:tc>
        <w:tc>
          <w:tcPr>
            <w:tcW w:w="36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26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lang w:eastAsia="zh-CN"/>
              </w:rPr>
            </w:pPr>
          </w:p>
        </w:tc>
        <w:tc>
          <w:tcPr>
            <w:tcW w:w="2506" w:type="pct"/>
            <w:tcBorders>
              <w:top w:val="single" w:color="auto" w:sz="4" w:space="0"/>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畜禽养殖行业排污单位应加强生产节水管理，提高废水的循环利用率，减少污水排放量。采用水冲粪、水泡粪清粪工艺的规模化养殖场（小区），宜逐步改为干清粪工艺。</w:t>
            </w:r>
          </w:p>
        </w:tc>
        <w:tc>
          <w:tcPr>
            <w:tcW w:w="1868" w:type="pct"/>
            <w:tcBorders>
              <w:top w:val="single" w:color="auto" w:sz="4" w:space="0"/>
              <w:bottom w:val="single" w:color="auto" w:sz="4" w:space="0"/>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本项目采用干清粪工艺</w:t>
            </w:r>
          </w:p>
        </w:tc>
        <w:tc>
          <w:tcPr>
            <w:tcW w:w="362" w:type="pct"/>
            <w:vMerge w:val="continue"/>
            <w:tcBorders>
              <w:bottom w:val="single" w:color="auto" w:sz="4" w:space="0"/>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2" w:type="pct"/>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废气</w:t>
            </w:r>
          </w:p>
        </w:tc>
        <w:tc>
          <w:tcPr>
            <w:tcW w:w="250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养殖栏舍：</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（1）选用益生菌配方饲料；</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（2）及时清运粪污；</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（3）向粪便或舍内投（铺）放吸附剂减少臭气的散发；</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（4）投加或喷洒除臭剂；</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（5）集中通风排气经处理（喷淋法、生物洗涤法、吸收法等）后排放；</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rPr>
              <w:t>（6）集中收集气体经处理（生物过滤法、生物洗涤法、吸收法等）后由排气筒排放。</w:t>
            </w:r>
          </w:p>
        </w:tc>
        <w:tc>
          <w:tcPr>
            <w:tcW w:w="1868" w:type="pct"/>
            <w:tcBorders>
              <w:top w:val="single" w:color="auto" w:sz="4" w:space="0"/>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（1）选用益生菌配方饲料；</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（2）及时清运粪污；</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（3）向粪便投（铺）放吸附剂</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减少臭气的散发；</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（4）养殖大棚周边喷洒除臭剂；</w:t>
            </w:r>
          </w:p>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（5）集中通风排气经处理（喷淋法）后排放。</w:t>
            </w:r>
          </w:p>
        </w:tc>
        <w:tc>
          <w:tcPr>
            <w:tcW w:w="362" w:type="pct"/>
            <w:vMerge w:val="restart"/>
            <w:tcBorders>
              <w:top w:val="single" w:color="auto" w:sz="4" w:space="0"/>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lang w:eastAsia="zh-CN"/>
              </w:rPr>
            </w:pPr>
          </w:p>
        </w:tc>
        <w:tc>
          <w:tcPr>
            <w:tcW w:w="250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固体粪污处理工程：</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（1）定期喷洒除臭剂；</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（2）及时清运固体粪污；</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（3）采用厌氧或好氧堆肥方式；</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（4）集中收集气体经处理（生物过滤法、生物洗涤法、吸收法等）后由排气筒排放</w:t>
            </w:r>
          </w:p>
        </w:tc>
        <w:tc>
          <w:tcPr>
            <w:tcW w:w="1868"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宋体" w:hAnsi="宋体" w:eastAsia="宋体" w:cs="宋体"/>
                <w:color w:val="auto"/>
                <w:sz w:val="21"/>
                <w:szCs w:val="21"/>
                <w:highlight w:val="none"/>
              </w:rPr>
              <w:t>本项目</w:t>
            </w:r>
            <w:r>
              <w:rPr>
                <w:rFonts w:hint="eastAsia" w:ascii="Times New Roman" w:hAnsi="Times New Roman" w:cs="Times New Roman"/>
                <w:bCs/>
                <w:color w:val="auto"/>
                <w:sz w:val="21"/>
                <w:szCs w:val="21"/>
                <w:highlight w:val="none"/>
              </w:rPr>
              <w:t>畜禽粪便运输至</w:t>
            </w:r>
            <w:r>
              <w:rPr>
                <w:rFonts w:hint="eastAsia" w:ascii="Times New Roman" w:hAnsi="Times New Roman" w:cs="Times New Roman"/>
                <w:bCs/>
                <w:color w:val="auto"/>
                <w:sz w:val="21"/>
                <w:szCs w:val="21"/>
                <w:highlight w:val="none"/>
                <w:lang w:eastAsia="zh-CN"/>
              </w:rPr>
              <w:t>南江县万事康生物科技有限公司</w:t>
            </w:r>
            <w:r>
              <w:rPr>
                <w:rFonts w:hint="eastAsia" w:ascii="Times New Roman" w:hAnsi="Times New Roman" w:cs="Times New Roman"/>
                <w:bCs/>
                <w:color w:val="auto"/>
                <w:sz w:val="21"/>
                <w:szCs w:val="21"/>
                <w:highlight w:val="none"/>
              </w:rPr>
              <w:t>用作生产有机肥原料使用</w:t>
            </w:r>
          </w:p>
        </w:tc>
        <w:tc>
          <w:tcPr>
            <w:tcW w:w="36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lang w:eastAsia="zh-CN"/>
              </w:rPr>
            </w:pPr>
          </w:p>
        </w:tc>
        <w:tc>
          <w:tcPr>
            <w:tcW w:w="250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全场：</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（1）固体粪污规范还田利用；</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（2）场区运输道路全硬化、及时清扫、无积灰扬尘、定期洒水抑尘；</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（3）加强场区绿化。</w:t>
            </w:r>
          </w:p>
        </w:tc>
        <w:tc>
          <w:tcPr>
            <w:tcW w:w="1868"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（1）粪便、无害化废渣、污水处理站污泥全部还田利用；</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（2）场区运输道路全硬化、及时清扫；</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（3）加强场区绿化。</w:t>
            </w:r>
          </w:p>
        </w:tc>
        <w:tc>
          <w:tcPr>
            <w:tcW w:w="36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2"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固体废物</w:t>
            </w:r>
          </w:p>
        </w:tc>
        <w:tc>
          <w:tcPr>
            <w:tcW w:w="250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固体粪污管理要求：</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a）固体粪污外销处理与利用的畜禽养殖行业排污单位，应达到以下要求：</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1）具备粪污临时储存设施，储存设施满足《畜禽规模养殖场粪污资源化利用设施建设规范（试行）》中的相关要求。</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2）具备稳定、合理、正规的粪便外销途径（如有机肥加工厂、农业生产基地等），且有具体的外销合同或协议。</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b）固体粪污自身资源化利用的畜禽养殖行业排污单位，应达到以下要求：</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1）具备与其养殖规模相匹配的粪污临时储存设施，储存设施满足《畜禽规模养殖场粪污资源化利用设施建设规范（试行）中的相关要求。</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2）还田利用的固体粪污满足 GB/T 25246中无害化要求。</w:t>
            </w:r>
          </w:p>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3）配套与养殖规模相匹配的固体粪污消纳土地，配套消纳土地的具体规模应根据《畜禽粪污土地承载力测算技术指南》中相关规定测算。</w:t>
            </w:r>
          </w:p>
        </w:tc>
        <w:tc>
          <w:tcPr>
            <w:tcW w:w="1868"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本项目畜禽粪便</w:t>
            </w:r>
            <w:r>
              <w:rPr>
                <w:rFonts w:hint="eastAsia" w:ascii="宋体" w:hAnsi="宋体" w:cs="宋体"/>
                <w:color w:val="auto"/>
                <w:sz w:val="21"/>
                <w:szCs w:val="21"/>
                <w:highlight w:val="none"/>
                <w:lang w:eastAsia="zh-CN"/>
              </w:rPr>
              <w:t>、病死牛处理后的残渣以及污水处理站的污泥残渣运输至南江县万事康生物科技有限公司用作生产有机肥原料使用；</w:t>
            </w:r>
            <w:r>
              <w:rPr>
                <w:rFonts w:hint="eastAsia" w:ascii="宋体" w:hAnsi="宋体" w:eastAsia="宋体" w:cs="宋体"/>
                <w:color w:val="auto"/>
                <w:sz w:val="21"/>
                <w:szCs w:val="21"/>
                <w:highlight w:val="none"/>
                <w:lang w:eastAsia="zh-CN"/>
              </w:rPr>
              <w:t>养殖废水进入污水处理站，</w:t>
            </w:r>
            <w:r>
              <w:rPr>
                <w:rFonts w:hint="eastAsia" w:ascii="宋体" w:hAnsi="宋体" w:eastAsia="宋体" w:cs="宋体"/>
                <w:color w:val="auto"/>
                <w:sz w:val="21"/>
                <w:szCs w:val="21"/>
                <w:highlight w:val="none"/>
              </w:rPr>
              <w:t>可实现畜禽粪便、废水无害化。</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根据《畜禽粪污土地承载力测算技术指南》中相关规定测算，本项目需配套</w:t>
            </w:r>
            <w:r>
              <w:rPr>
                <w:rFonts w:hint="eastAsia" w:ascii="Times New Roman" w:hAnsi="Times New Roman"/>
                <w:color w:val="auto"/>
                <w:sz w:val="21"/>
                <w:highlight w:val="none"/>
                <w:lang w:val="en-US" w:eastAsia="zh-CN"/>
              </w:rPr>
              <w:t>272.66</w:t>
            </w:r>
            <w:r>
              <w:rPr>
                <w:rFonts w:hint="eastAsia" w:ascii="Times New Roman" w:hAnsi="Times New Roman"/>
                <w:color w:val="auto"/>
                <w:sz w:val="21"/>
                <w:highlight w:val="none"/>
              </w:rPr>
              <w:t>亩消纳土地，</w:t>
            </w:r>
            <w:r>
              <w:rPr>
                <w:rFonts w:hint="eastAsia" w:ascii="Times New Roman" w:hAnsi="Times New Roman"/>
                <w:color w:val="auto"/>
                <w:sz w:val="21"/>
                <w:highlight w:val="none"/>
                <w:lang w:eastAsia="zh-CN"/>
              </w:rPr>
              <w:t>现</w:t>
            </w:r>
            <w:r>
              <w:rPr>
                <w:rFonts w:hint="eastAsia" w:ascii="Times New Roman" w:hAnsi="Times New Roman"/>
                <w:color w:val="auto"/>
                <w:sz w:val="21"/>
                <w:highlight w:val="none"/>
              </w:rPr>
              <w:t>配套</w:t>
            </w:r>
            <w:r>
              <w:rPr>
                <w:rFonts w:hint="eastAsia" w:ascii="Times New Roman" w:hAnsi="Times New Roman"/>
                <w:color w:val="auto"/>
                <w:sz w:val="21"/>
                <w:highlight w:val="none"/>
                <w:lang w:val="en-US" w:eastAsia="zh-CN"/>
              </w:rPr>
              <w:t>2800</w:t>
            </w:r>
            <w:r>
              <w:rPr>
                <w:rFonts w:hint="eastAsia" w:ascii="Times New Roman" w:hAnsi="Times New Roman"/>
                <w:color w:val="auto"/>
                <w:sz w:val="21"/>
                <w:highlight w:val="none"/>
              </w:rPr>
              <w:t>亩消纳土地，</w:t>
            </w:r>
            <w:r>
              <w:rPr>
                <w:rFonts w:hint="eastAsia" w:ascii="Times New Roman" w:hAnsi="Times New Roman"/>
                <w:color w:val="auto"/>
                <w:sz w:val="21"/>
                <w:highlight w:val="none"/>
                <w:lang w:eastAsia="zh-CN"/>
              </w:rPr>
              <w:t>已远远超过理论需求量</w:t>
            </w:r>
            <w:r>
              <w:rPr>
                <w:rFonts w:hint="eastAsia" w:ascii="Times New Roman" w:hAnsi="Times New Roman"/>
                <w:color w:val="auto"/>
                <w:sz w:val="21"/>
                <w:highlight w:val="none"/>
              </w:rPr>
              <w:t>。</w:t>
            </w:r>
          </w:p>
        </w:tc>
        <w:tc>
          <w:tcPr>
            <w:tcW w:w="362"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bl>
    <w:p>
      <w:pPr>
        <w:adjustRightInd w:val="0"/>
        <w:snapToGrid w:val="0"/>
        <w:spacing w:line="360" w:lineRule="auto"/>
        <w:ind w:firstLine="518" w:firstLineChars="216"/>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本项目符合《排污许可证申请与核发技术规范畜禽养殖行业》（HJ1029—2019）。</w:t>
      </w:r>
    </w:p>
    <w:p>
      <w:pPr>
        <w:pStyle w:val="9"/>
        <w:bidi w:val="0"/>
        <w:spacing w:line="360" w:lineRule="auto"/>
        <w:rPr>
          <w:rFonts w:hint="eastAsia" w:cs="Times New Roman"/>
          <w:color w:val="auto"/>
          <w:highlight w:val="none"/>
          <w:lang w:eastAsia="zh-CN"/>
        </w:rPr>
      </w:pPr>
      <w:r>
        <w:rPr>
          <w:rFonts w:hint="eastAsia" w:cs="Times New Roman"/>
          <w:color w:val="auto"/>
          <w:highlight w:val="none"/>
        </w:rPr>
        <w:t xml:space="preserve"> 与</w:t>
      </w:r>
      <w:r>
        <w:rPr>
          <w:rFonts w:hint="eastAsia" w:cs="Times New Roman"/>
          <w:color w:val="auto"/>
          <w:highlight w:val="none"/>
          <w:lang w:eastAsia="zh-CN"/>
        </w:rPr>
        <w:t>《畜禽养殖产地环境评价规范》（HJ568-2010）</w:t>
      </w:r>
      <w:r>
        <w:rPr>
          <w:rFonts w:hint="eastAsia" w:cs="Times New Roman"/>
          <w:color w:val="auto"/>
          <w:highlight w:val="none"/>
        </w:rPr>
        <w:t>的</w:t>
      </w:r>
      <w:r>
        <w:rPr>
          <w:rFonts w:hint="eastAsia" w:cs="Times New Roman"/>
          <w:color w:val="auto"/>
          <w:highlight w:val="none"/>
          <w:lang w:eastAsia="zh-CN"/>
        </w:rPr>
        <w:t>符合性分析</w:t>
      </w:r>
    </w:p>
    <w:p>
      <w:pPr>
        <w:adjustRightInd w:val="0"/>
        <w:snapToGrid w:val="0"/>
        <w:ind w:firstLine="518" w:firstLineChars="216"/>
        <w:rPr>
          <w:rFonts w:hint="default" w:ascii="Times New Roman" w:hAnsi="Times New Roman" w:eastAsia="宋体" w:cs="Times New Roman"/>
          <w:bCs/>
          <w:color w:val="auto"/>
          <w:sz w:val="24"/>
          <w:szCs w:val="24"/>
          <w:highlight w:val="none"/>
          <w:lang w:eastAsia="zh-CN"/>
        </w:rPr>
      </w:pPr>
      <w:r>
        <w:rPr>
          <w:rFonts w:hint="default" w:ascii="Times New Roman" w:hAnsi="Times New Roman" w:eastAsia="宋体" w:cs="Times New Roman"/>
          <w:bCs/>
          <w:color w:val="auto"/>
          <w:sz w:val="24"/>
          <w:szCs w:val="24"/>
          <w:highlight w:val="none"/>
          <w:lang w:eastAsia="zh-CN"/>
        </w:rPr>
        <w:t>项目与《畜禽养殖产地环境评价规范》（HJ568-2010）符合性分析见下表。</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val="en-US" w:eastAsia="zh-CN"/>
        </w:rPr>
        <w:t>与《畜禽养殖产地环境评价规范》（HJ568-2010）的符合性</w:t>
      </w:r>
    </w:p>
    <w:tbl>
      <w:tblPr>
        <w:tblStyle w:val="91"/>
        <w:tblW w:w="4735"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4163"/>
        <w:gridCol w:w="3102"/>
        <w:gridCol w:w="60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46" w:type="pct"/>
            <w:tcBorders>
              <w:tl2br w:val="nil"/>
              <w:tr2bl w:val="nil"/>
            </w:tcBorders>
            <w:vAlign w:val="center"/>
          </w:tcPr>
          <w:p>
            <w:pPr>
              <w:pStyle w:val="945"/>
              <w:keepNext w:val="0"/>
              <w:keepLines w:val="0"/>
              <w:suppressLineNumbers w:val="0"/>
              <w:spacing w:before="0" w:beforeAutospacing="0" w:after="0" w:afterAutospacing="0"/>
              <w:ind w:left="0" w:right="0"/>
              <w:rPr>
                <w:rFonts w:hint="eastAsia" w:eastAsia="宋体" w:cs="Times New Roman"/>
                <w:color w:val="auto"/>
                <w:szCs w:val="21"/>
                <w:highlight w:val="none"/>
                <w:lang w:eastAsia="zh-CN"/>
              </w:rPr>
            </w:pPr>
            <w:r>
              <w:rPr>
                <w:rFonts w:hint="default" w:ascii="Times New Roman" w:hAnsi="Times New Roman" w:eastAsia="宋体" w:cs="Times New Roman"/>
                <w:b/>
                <w:bCs/>
                <w:color w:val="auto"/>
                <w:highlight w:val="none"/>
                <w:lang w:val="en-US" w:eastAsia="zh-CN"/>
              </w:rPr>
              <w:t>《畜禽养殖产地环境评价规范》</w:t>
            </w:r>
          </w:p>
        </w:tc>
        <w:tc>
          <w:tcPr>
            <w:tcW w:w="1971"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本项目情况</w:t>
            </w:r>
          </w:p>
        </w:tc>
        <w:tc>
          <w:tcPr>
            <w:tcW w:w="382"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931"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default" w:ascii="Times New Roman" w:hAnsi="Times New Roman"/>
                <w:color w:val="auto"/>
                <w:sz w:val="21"/>
                <w:highlight w:val="none"/>
              </w:rPr>
              <w:t>土壤质量评价指标限制应执行表4中规定。</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eastAsia="宋体"/>
                <w:color w:val="auto"/>
                <w:sz w:val="21"/>
                <w:highlight w:val="none"/>
                <w:lang w:eastAsia="zh-CN"/>
              </w:rPr>
              <w:t>本项目所在地土壤各项指标均能满足</w:t>
            </w:r>
            <w:r>
              <w:rPr>
                <w:rFonts w:hint="eastAsia" w:ascii="Times New Roman" w:hAnsi="Times New Roman"/>
                <w:color w:val="auto"/>
                <w:sz w:val="21"/>
                <w:highlight w:val="none"/>
                <w:lang w:eastAsia="zh-CN"/>
              </w:rPr>
              <w:t>（</w:t>
            </w:r>
            <w:r>
              <w:rPr>
                <w:rFonts w:hint="eastAsia" w:ascii="Times New Roman" w:hAnsi="Times New Roman" w:eastAsia="宋体"/>
                <w:color w:val="auto"/>
                <w:sz w:val="21"/>
                <w:highlight w:val="none"/>
                <w:lang w:eastAsia="zh-CN"/>
              </w:rPr>
              <w:t>HJ568-2010)表4中限值。</w:t>
            </w:r>
          </w:p>
        </w:tc>
        <w:tc>
          <w:tcPr>
            <w:tcW w:w="382" w:type="pct"/>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58"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环境空气质量评价指标限制应执行表5中规定。</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根据对选址区域环境空气质量的补充监测，NH</w:t>
            </w:r>
            <w:r>
              <w:rPr>
                <w:rFonts w:hint="eastAsia" w:ascii="Times New Roman" w:hAnsi="Times New Roman"/>
                <w:color w:val="auto"/>
                <w:sz w:val="21"/>
                <w:highlight w:val="none"/>
                <w:vertAlign w:val="subscript"/>
              </w:rPr>
              <w:t>3</w:t>
            </w:r>
            <w:r>
              <w:rPr>
                <w:rFonts w:hint="eastAsia" w:ascii="Times New Roman" w:hAnsi="Times New Roman"/>
                <w:color w:val="auto"/>
                <w:sz w:val="21"/>
                <w:highlight w:val="none"/>
              </w:rPr>
              <w:t>和H</w:t>
            </w:r>
            <w:r>
              <w:rPr>
                <w:rFonts w:hint="eastAsia" w:ascii="Times New Roman" w:hAnsi="Times New Roman"/>
                <w:color w:val="auto"/>
                <w:sz w:val="21"/>
                <w:highlight w:val="none"/>
                <w:vertAlign w:val="subscript"/>
              </w:rPr>
              <w:t>2</w:t>
            </w:r>
            <w:r>
              <w:rPr>
                <w:rFonts w:hint="eastAsia" w:ascii="Times New Roman" w:hAnsi="Times New Roman"/>
                <w:color w:val="auto"/>
                <w:sz w:val="21"/>
                <w:highlight w:val="none"/>
              </w:rPr>
              <w:t>S均符合(HJ568-2010)表5中限值(NH</w:t>
            </w:r>
            <w:r>
              <w:rPr>
                <w:rFonts w:hint="eastAsia" w:ascii="Times New Roman" w:hAnsi="Times New Roman"/>
                <w:color w:val="auto"/>
                <w:sz w:val="21"/>
                <w:highlight w:val="none"/>
                <w:vertAlign w:val="subscript"/>
              </w:rPr>
              <w:t>3</w:t>
            </w:r>
            <w:r>
              <w:rPr>
                <w:rFonts w:hint="eastAsia" w:ascii="Times New Roman" w:hAnsi="Times New Roman"/>
                <w:color w:val="auto"/>
                <w:sz w:val="21"/>
                <w:highlight w:val="none"/>
              </w:rPr>
              <w:t>：5mg/m</w:t>
            </w:r>
            <w:r>
              <w:rPr>
                <w:rFonts w:hint="eastAsia" w:ascii="Times New Roman" w:hAnsi="Times New Roman"/>
                <w:color w:val="auto"/>
                <w:sz w:val="21"/>
                <w:highlight w:val="none"/>
                <w:vertAlign w:val="superscript"/>
              </w:rPr>
              <w:t>3</w:t>
            </w:r>
            <w:r>
              <w:rPr>
                <w:rFonts w:hint="eastAsia" w:ascii="Times New Roman" w:hAnsi="Times New Roman"/>
                <w:color w:val="auto"/>
                <w:sz w:val="21"/>
                <w:highlight w:val="none"/>
              </w:rPr>
              <w:t>，H</w:t>
            </w:r>
            <w:r>
              <w:rPr>
                <w:rFonts w:hint="eastAsia" w:ascii="Times New Roman" w:hAnsi="Times New Roman"/>
                <w:color w:val="auto"/>
                <w:sz w:val="21"/>
                <w:highlight w:val="none"/>
                <w:vertAlign w:val="subscript"/>
              </w:rPr>
              <w:t>2</w:t>
            </w:r>
            <w:r>
              <w:rPr>
                <w:rFonts w:hint="eastAsia" w:ascii="Times New Roman" w:hAnsi="Times New Roman"/>
                <w:color w:val="auto"/>
                <w:sz w:val="21"/>
                <w:highlight w:val="none"/>
              </w:rPr>
              <w:t>S：2mg/m</w:t>
            </w:r>
            <w:r>
              <w:rPr>
                <w:rFonts w:hint="eastAsia" w:ascii="Times New Roman" w:hAnsi="Times New Roman"/>
                <w:color w:val="auto"/>
                <w:sz w:val="21"/>
                <w:highlight w:val="none"/>
                <w:vertAlign w:val="superscript"/>
              </w:rPr>
              <w:t>3</w:t>
            </w:r>
            <w:r>
              <w:rPr>
                <w:rFonts w:hint="eastAsia" w:ascii="Times New Roman" w:hAnsi="Times New Roman"/>
                <w:color w:val="auto"/>
                <w:sz w:val="21"/>
                <w:highlight w:val="none"/>
              </w:rPr>
              <w:t>)</w:t>
            </w:r>
          </w:p>
        </w:tc>
        <w:tc>
          <w:tcPr>
            <w:tcW w:w="38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声质量评价指标限制应执行表6中规定。</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eastAsia="宋体"/>
                <w:color w:val="auto"/>
                <w:sz w:val="21"/>
                <w:highlight w:val="none"/>
                <w:lang w:eastAsia="zh-CN"/>
              </w:rPr>
              <w:t>根据对项目场界噪声现状监测结果，噪声符合</w:t>
            </w:r>
            <w:r>
              <w:rPr>
                <w:rFonts w:hint="eastAsia" w:ascii="Times New Roman" w:hAnsi="Times New Roman"/>
                <w:color w:val="auto"/>
                <w:sz w:val="21"/>
                <w:highlight w:val="none"/>
                <w:lang w:eastAsia="zh-CN"/>
              </w:rPr>
              <w:t>（</w:t>
            </w:r>
            <w:r>
              <w:rPr>
                <w:rFonts w:hint="eastAsia" w:ascii="Times New Roman" w:hAnsi="Times New Roman" w:eastAsia="宋体"/>
                <w:color w:val="auto"/>
                <w:sz w:val="21"/>
                <w:highlight w:val="none"/>
                <w:lang w:eastAsia="zh-CN"/>
              </w:rPr>
              <w:t>HJ568-2010)表6中限值（昼：60dB(A)；夜：50dB(A)）。</w:t>
            </w:r>
          </w:p>
        </w:tc>
        <w:tc>
          <w:tcPr>
            <w:tcW w:w="38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rPr>
            </w:pPr>
          </w:p>
        </w:tc>
      </w:tr>
    </w:tbl>
    <w:p>
      <w:pPr>
        <w:adjustRightInd w:val="0"/>
        <w:snapToGrid w:val="0"/>
        <w:spacing w:line="360" w:lineRule="auto"/>
        <w:ind w:firstLine="518" w:firstLineChars="216"/>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本项目符合</w:t>
      </w:r>
      <w:r>
        <w:rPr>
          <w:rFonts w:hint="default" w:ascii="Times New Roman" w:hAnsi="Times New Roman" w:eastAsia="宋体" w:cs="Times New Roman"/>
          <w:bCs/>
          <w:color w:val="auto"/>
          <w:sz w:val="24"/>
          <w:szCs w:val="24"/>
          <w:highlight w:val="none"/>
          <w:lang w:eastAsia="zh-CN"/>
        </w:rPr>
        <w:t>《畜禽养殖产地环境评价规范》（HJ568-2010）</w:t>
      </w:r>
      <w:r>
        <w:rPr>
          <w:rFonts w:hint="eastAsia" w:ascii="Times New Roman" w:hAnsi="Times New Roman" w:eastAsia="宋体" w:cs="Times New Roman"/>
          <w:bCs/>
          <w:color w:val="auto"/>
          <w:sz w:val="24"/>
          <w:szCs w:val="24"/>
          <w:highlight w:val="none"/>
          <w:lang w:eastAsia="zh-CN"/>
        </w:rPr>
        <w:t>的相关要求</w:t>
      </w:r>
      <w:r>
        <w:rPr>
          <w:rFonts w:hint="eastAsia" w:ascii="Times New Roman" w:hAnsi="Times New Roman" w:eastAsia="宋体" w:cs="Times New Roman"/>
          <w:color w:val="auto"/>
          <w:sz w:val="24"/>
          <w:szCs w:val="24"/>
          <w:highlight w:val="none"/>
          <w:lang w:eastAsia="zh-CN"/>
        </w:rPr>
        <w:t>。</w:t>
      </w:r>
    </w:p>
    <w:p>
      <w:pPr>
        <w:pStyle w:val="9"/>
        <w:bidi w:val="0"/>
        <w:spacing w:line="360" w:lineRule="auto"/>
        <w:rPr>
          <w:rFonts w:hint="eastAsia" w:cs="Times New Roman"/>
          <w:color w:val="auto"/>
          <w:highlight w:val="none"/>
          <w:lang w:eastAsia="zh-CN"/>
        </w:rPr>
      </w:pPr>
      <w:r>
        <w:rPr>
          <w:rFonts w:hint="eastAsia" w:cs="Times New Roman"/>
          <w:color w:val="auto"/>
          <w:highlight w:val="none"/>
        </w:rPr>
        <w:t xml:space="preserve"> 与</w:t>
      </w:r>
      <w:r>
        <w:rPr>
          <w:rFonts w:hint="eastAsia" w:cs="Times New Roman"/>
          <w:color w:val="auto"/>
          <w:highlight w:val="none"/>
          <w:lang w:eastAsia="zh-CN"/>
        </w:rPr>
        <w:t>《畜禽养殖场(户)粪污处理设施建设技术指南》</w:t>
      </w:r>
      <w:r>
        <w:rPr>
          <w:rFonts w:hint="eastAsia" w:cs="Times New Roman"/>
          <w:color w:val="auto"/>
          <w:highlight w:val="none"/>
        </w:rPr>
        <w:t>的</w:t>
      </w:r>
      <w:r>
        <w:rPr>
          <w:rFonts w:hint="eastAsia" w:cs="Times New Roman"/>
          <w:color w:val="auto"/>
          <w:highlight w:val="none"/>
          <w:lang w:eastAsia="zh-CN"/>
        </w:rPr>
        <w:t>符合性分析</w:t>
      </w:r>
    </w:p>
    <w:p>
      <w:pPr>
        <w:adjustRightInd w:val="0"/>
        <w:snapToGrid w:val="0"/>
        <w:ind w:firstLine="518" w:firstLineChars="216"/>
        <w:rPr>
          <w:rFonts w:hint="eastAsia" w:ascii="Times New Roman" w:hAnsi="Times New Roman" w:cs="Times New Roman"/>
          <w:bCs/>
          <w:color w:val="auto"/>
          <w:sz w:val="24"/>
          <w:szCs w:val="24"/>
          <w:highlight w:val="none"/>
          <w:lang w:eastAsia="zh-CN"/>
        </w:rPr>
      </w:pPr>
      <w:r>
        <w:rPr>
          <w:rFonts w:hint="eastAsia" w:ascii="Times New Roman" w:hAnsi="Times New Roman" w:cs="Times New Roman"/>
          <w:bCs/>
          <w:color w:val="auto"/>
          <w:sz w:val="24"/>
          <w:szCs w:val="24"/>
          <w:highlight w:val="none"/>
          <w:lang w:eastAsia="zh-CN"/>
        </w:rPr>
        <w:t>根据《农业农村部办公厅 生态环境部办公厅关于印发</w:t>
      </w:r>
      <w:r>
        <w:rPr>
          <w:rFonts w:hint="eastAsia" w:ascii="Times New Roman" w:hAnsi="Times New Roman" w:cs="Times New Roman"/>
          <w:bCs/>
          <w:color w:val="auto"/>
          <w:sz w:val="24"/>
          <w:szCs w:val="24"/>
          <w:highlight w:val="none"/>
          <w:lang w:val="en-US" w:eastAsia="zh-CN"/>
        </w:rPr>
        <w:t>&lt;</w:t>
      </w:r>
      <w:r>
        <w:rPr>
          <w:rFonts w:hint="eastAsia" w:ascii="Times New Roman" w:hAnsi="Times New Roman" w:cs="Times New Roman"/>
          <w:bCs/>
          <w:color w:val="auto"/>
          <w:sz w:val="24"/>
          <w:szCs w:val="24"/>
          <w:highlight w:val="none"/>
          <w:lang w:eastAsia="zh-CN"/>
        </w:rPr>
        <w:t>畜禽养殖场(户)粪污处理设施建设技术指南</w:t>
      </w:r>
      <w:r>
        <w:rPr>
          <w:rFonts w:hint="eastAsia" w:ascii="Times New Roman" w:hAnsi="Times New Roman" w:cs="Times New Roman"/>
          <w:bCs/>
          <w:color w:val="auto"/>
          <w:sz w:val="24"/>
          <w:szCs w:val="24"/>
          <w:highlight w:val="none"/>
          <w:lang w:val="en-US" w:eastAsia="zh-CN"/>
        </w:rPr>
        <w:t>&gt;</w:t>
      </w:r>
      <w:r>
        <w:rPr>
          <w:rFonts w:hint="eastAsia" w:ascii="Times New Roman" w:hAnsi="Times New Roman" w:cs="Times New Roman"/>
          <w:bCs/>
          <w:color w:val="auto"/>
          <w:sz w:val="24"/>
          <w:szCs w:val="24"/>
          <w:highlight w:val="none"/>
          <w:lang w:eastAsia="zh-CN"/>
        </w:rPr>
        <w:t>的通知》（农办牧【2022】19号），本项目与《畜禽养殖场(户)粪污处理设施建设技术指南》符合性分析见下表。</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与《畜禽养殖场(户)粪污处理设施建设技术指南》的符合性</w:t>
      </w:r>
    </w:p>
    <w:tbl>
      <w:tblPr>
        <w:tblStyle w:val="91"/>
        <w:tblW w:w="4735"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4163"/>
        <w:gridCol w:w="3102"/>
        <w:gridCol w:w="60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46" w:type="pct"/>
            <w:tcBorders>
              <w:tl2br w:val="nil"/>
              <w:tr2bl w:val="nil"/>
            </w:tcBorders>
            <w:vAlign w:val="center"/>
          </w:tcPr>
          <w:p>
            <w:pPr>
              <w:pStyle w:val="945"/>
              <w:keepNext w:val="0"/>
              <w:keepLines w:val="0"/>
              <w:suppressLineNumbers w:val="0"/>
              <w:spacing w:before="0" w:beforeAutospacing="0" w:after="0" w:afterAutospacing="0"/>
              <w:ind w:left="0" w:right="0"/>
              <w:rPr>
                <w:rFonts w:hint="eastAsia" w:eastAsia="宋体" w:cs="Times New Roman"/>
                <w:color w:val="auto"/>
                <w:szCs w:val="21"/>
                <w:highlight w:val="none"/>
                <w:lang w:eastAsia="zh-CN"/>
              </w:rPr>
            </w:pPr>
            <w:r>
              <w:rPr>
                <w:rFonts w:hint="default" w:ascii="Times New Roman" w:hAnsi="Times New Roman" w:eastAsia="宋体" w:cs="Times New Roman"/>
                <w:b/>
                <w:bCs/>
                <w:color w:val="auto"/>
                <w:highlight w:val="none"/>
                <w:lang w:val="en-US" w:eastAsia="zh-CN"/>
              </w:rPr>
              <w:t>《畜禽养殖场(户)粪污处理设施建设技术指南》</w:t>
            </w:r>
          </w:p>
        </w:tc>
        <w:tc>
          <w:tcPr>
            <w:tcW w:w="1971"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本项目情况</w:t>
            </w:r>
          </w:p>
        </w:tc>
        <w:tc>
          <w:tcPr>
            <w:tcW w:w="382"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931"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default" w:ascii="Times New Roman" w:hAnsi="Times New Roman"/>
                <w:color w:val="auto"/>
                <w:sz w:val="21"/>
                <w:highlight w:val="none"/>
              </w:rPr>
              <w:t xml:space="preserve">畜禽养殖场（户）宜采用干清粪、水泡粪、地面垫料、床（网）下垫料等清粪工艺，逐步淘汰水冲粪工艺，合理控制清粪环节用水量。新建养殖场采用干清粪工艺的，鼓励进行机械干清粪。鼓励畜禽养殖场采用碗式或液位控制等防溢漏饮水器，减少饮水漏水。新建猪、鸡等养殖场宜采取圈舍封闭半封闭管理，鼓励有条件的现有畜禽养殖场开展圈舍封闭改造，对恶臭气体进行收集处理。 </w:t>
            </w:r>
          </w:p>
          <w:p>
            <w:pPr>
              <w:pStyle w:val="267"/>
              <w:keepNext w:val="0"/>
              <w:keepLines w:val="0"/>
              <w:widowControl/>
              <w:numPr>
                <w:ilvl w:val="0"/>
                <w:numId w:val="0"/>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default" w:ascii="Times New Roman" w:hAnsi="Times New Roman"/>
                <w:color w:val="auto"/>
                <w:sz w:val="21"/>
                <w:highlight w:val="none"/>
              </w:rPr>
              <w:t>畜禽养殖场（户）应保持合理的清粪频次，及时收集圈舍和运动场的粪污。鼓励畜禽养殖场做好运动场的防雨、防渗和防溢流，降低环境污染风险。</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本项目采用干清粪工艺，采用液位控制饮水槽，粪便日产日清，不在厂内暂存</w:t>
            </w:r>
            <w:r>
              <w:rPr>
                <w:rFonts w:hint="default" w:ascii="Times New Roman" w:hAnsi="Times New Roman"/>
                <w:color w:val="auto"/>
                <w:sz w:val="21"/>
                <w:highlight w:val="none"/>
              </w:rPr>
              <w:t>（</w:t>
            </w:r>
            <w:r>
              <w:rPr>
                <w:rFonts w:hint="eastAsia" w:ascii="Times New Roman" w:hAnsi="Times New Roman"/>
                <w:color w:val="auto"/>
                <w:sz w:val="21"/>
                <w:highlight w:val="none"/>
                <w:lang w:eastAsia="zh-CN"/>
              </w:rPr>
              <w:t>每天定时清理，暂存时间</w:t>
            </w:r>
            <w:r>
              <w:rPr>
                <w:rFonts w:hint="eastAsia" w:ascii="Times New Roman" w:hAnsi="Times New Roman"/>
                <w:color w:val="auto"/>
                <w:sz w:val="21"/>
                <w:highlight w:val="none"/>
                <w:lang w:val="en-US" w:eastAsia="zh-CN"/>
              </w:rPr>
              <w:t>&lt;1天</w:t>
            </w:r>
            <w:r>
              <w:rPr>
                <w:rFonts w:hint="default" w:ascii="Times New Roman" w:hAnsi="Times New Roman"/>
                <w:color w:val="auto"/>
                <w:sz w:val="21"/>
                <w:highlight w:val="none"/>
              </w:rPr>
              <w:t>）</w:t>
            </w:r>
            <w:r>
              <w:rPr>
                <w:rFonts w:hint="eastAsia" w:ascii="Times New Roman" w:hAnsi="Times New Roman"/>
                <w:color w:val="auto"/>
                <w:sz w:val="21"/>
                <w:highlight w:val="none"/>
                <w:lang w:eastAsia="zh-CN"/>
              </w:rPr>
              <w:t>，</w:t>
            </w:r>
            <w:r>
              <w:rPr>
                <w:rFonts w:hint="default" w:ascii="Times New Roman" w:hAnsi="Times New Roman"/>
                <w:color w:val="auto"/>
                <w:sz w:val="21"/>
                <w:highlight w:val="none"/>
              </w:rPr>
              <w:t>由车辆清运至</w:t>
            </w:r>
            <w:r>
              <w:rPr>
                <w:rFonts w:hint="eastAsia" w:ascii="Times New Roman" w:hAnsi="Times New Roman"/>
                <w:color w:val="auto"/>
                <w:sz w:val="21"/>
                <w:highlight w:val="none"/>
                <w:lang w:eastAsia="zh-CN"/>
              </w:rPr>
              <w:t>南江县万事康生物科技有限公司</w:t>
            </w:r>
            <w:r>
              <w:rPr>
                <w:rFonts w:hint="default" w:ascii="Times New Roman" w:hAnsi="Times New Roman"/>
                <w:color w:val="auto"/>
                <w:sz w:val="21"/>
                <w:highlight w:val="none"/>
              </w:rPr>
              <w:t>用作生产有机肥原料使用</w:t>
            </w:r>
          </w:p>
        </w:tc>
        <w:tc>
          <w:tcPr>
            <w:tcW w:w="382" w:type="pct"/>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58"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畜禽养殖场（户）应建设雨污分流设施，液体粪污应采用暗沟或管道输送，采取密闭措施，做好安全防护，输送管路要合理设置检查口，检查口应加盖且一般高于地面5厘米以上，防止雨水倒灌。</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rPr>
              <w:t>厂内雨污分流，</w:t>
            </w:r>
            <w:r>
              <w:rPr>
                <w:rFonts w:hint="eastAsia" w:ascii="Times New Roman" w:hAnsi="Times New Roman"/>
                <w:color w:val="auto"/>
                <w:sz w:val="21"/>
                <w:highlight w:val="none"/>
                <w:lang w:eastAsia="zh-CN"/>
              </w:rPr>
              <w:t>污水经地埋式污水管道送入污水处理站，经污水处理站处理后尾水用于农灌。污水管网按要求设置检查口，</w:t>
            </w:r>
            <w:r>
              <w:rPr>
                <w:rFonts w:hint="eastAsia" w:ascii="Times New Roman" w:hAnsi="Times New Roman"/>
                <w:color w:val="auto"/>
                <w:sz w:val="21"/>
                <w:highlight w:val="none"/>
              </w:rPr>
              <w:t>检查口加盖且一般高于地面5厘米以上，防止雨水倒灌</w:t>
            </w:r>
            <w:r>
              <w:rPr>
                <w:rFonts w:hint="eastAsia" w:ascii="Times New Roman" w:hAnsi="Times New Roman"/>
                <w:color w:val="auto"/>
                <w:sz w:val="21"/>
                <w:highlight w:val="none"/>
                <w:lang w:eastAsia="zh-CN"/>
              </w:rPr>
              <w:t>。</w:t>
            </w:r>
          </w:p>
        </w:tc>
        <w:tc>
          <w:tcPr>
            <w:tcW w:w="38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 xml:space="preserve">畜禽养殖场（户）建设畜禽粪污暂存池（场）的，液体粪污暂存池容积不小于单位畜禽液体粪污日产生量（立方米/天·头、只、羽）×暂存周期（天）×设计存栏量（头、只、羽），固体粪污暂存场容积不小于单位畜禽固体粪污日产生量（立方米/天·头、只、羽）×暂存周期（天）×设计存栏量（头、只、羽），暂存周期按转运处理最大时间间隔确定。鼓励采取加盖等措施，减少恶臭气体排放和雨水进入。 </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lang w:val="en-US" w:eastAsia="zh-CN"/>
              </w:rPr>
            </w:pPr>
            <w:r>
              <w:rPr>
                <w:rFonts w:hint="eastAsia" w:ascii="Times New Roman" w:hAnsi="Times New Roman"/>
                <w:color w:val="auto"/>
                <w:sz w:val="21"/>
                <w:highlight w:val="none"/>
                <w:lang w:eastAsia="zh-CN"/>
              </w:rPr>
              <w:t>本项目设置粪污暂存池采用密闭贮存设施，暂存时间为</w:t>
            </w:r>
            <w:r>
              <w:rPr>
                <w:rFonts w:hint="eastAsia" w:ascii="Times New Roman" w:hAnsi="Times New Roman"/>
                <w:color w:val="auto"/>
                <w:sz w:val="21"/>
                <w:highlight w:val="none"/>
                <w:lang w:val="en-US" w:eastAsia="zh-CN"/>
              </w:rPr>
              <w:t>2天，本项目存栏量为12500头肉牛，故暂存池大小应不小于250m</w:t>
            </w:r>
            <w:r>
              <w:rPr>
                <w:rFonts w:hint="eastAsia" w:ascii="Times New Roman" w:hAnsi="Times New Roman"/>
                <w:color w:val="auto"/>
                <w:sz w:val="21"/>
                <w:highlight w:val="none"/>
                <w:vertAlign w:val="superscript"/>
                <w:lang w:val="en-US" w:eastAsia="zh-CN"/>
              </w:rPr>
              <w:t>3</w:t>
            </w:r>
            <w:r>
              <w:rPr>
                <w:rFonts w:hint="eastAsia" w:ascii="Times New Roman" w:hAnsi="Times New Roman"/>
                <w:color w:val="auto"/>
                <w:sz w:val="21"/>
                <w:highlight w:val="none"/>
                <w:lang w:val="en-US" w:eastAsia="zh-CN"/>
              </w:rPr>
              <w:t>，本项目设置</w:t>
            </w:r>
            <w:r>
              <w:rPr>
                <w:rFonts w:hint="eastAsia" w:ascii="Times New Roman" w:hAnsi="Times New Roman"/>
                <w:color w:val="auto"/>
                <w:sz w:val="21"/>
                <w:highlight w:val="none"/>
                <w:lang w:eastAsia="zh-CN"/>
              </w:rPr>
              <w:t>粪污暂存池容积为</w:t>
            </w:r>
            <w:r>
              <w:rPr>
                <w:rFonts w:hint="eastAsia" w:ascii="Times New Roman" w:hAnsi="Times New Roman"/>
                <w:color w:val="auto"/>
                <w:sz w:val="21"/>
                <w:highlight w:val="none"/>
                <w:lang w:val="en-US" w:eastAsia="zh-CN"/>
              </w:rPr>
              <w:t>400m</w:t>
            </w:r>
            <w:r>
              <w:rPr>
                <w:rFonts w:hint="eastAsia" w:ascii="Times New Roman" w:hAnsi="Times New Roman"/>
                <w:color w:val="auto"/>
                <w:sz w:val="21"/>
                <w:highlight w:val="none"/>
                <w:vertAlign w:val="superscript"/>
                <w:lang w:val="en-US" w:eastAsia="zh-CN"/>
              </w:rPr>
              <w:t>3</w:t>
            </w:r>
            <w:r>
              <w:rPr>
                <w:rFonts w:hint="eastAsia" w:ascii="Times New Roman" w:hAnsi="Times New Roman"/>
                <w:color w:val="auto"/>
                <w:sz w:val="21"/>
                <w:highlight w:val="none"/>
                <w:lang w:val="en-US" w:eastAsia="zh-CN"/>
              </w:rPr>
              <w:t>&gt;250m</w:t>
            </w:r>
            <w:r>
              <w:rPr>
                <w:rFonts w:hint="eastAsia" w:ascii="Times New Roman" w:hAnsi="Times New Roman"/>
                <w:color w:val="auto"/>
                <w:sz w:val="21"/>
                <w:highlight w:val="none"/>
                <w:vertAlign w:val="superscript"/>
                <w:lang w:val="en-US" w:eastAsia="zh-CN"/>
              </w:rPr>
              <w:t>3</w:t>
            </w:r>
            <w:r>
              <w:rPr>
                <w:rFonts w:hint="eastAsia" w:ascii="Times New Roman" w:hAnsi="Times New Roman"/>
                <w:color w:val="auto"/>
                <w:sz w:val="21"/>
                <w:highlight w:val="none"/>
                <w:lang w:val="en-US" w:eastAsia="zh-CN"/>
              </w:rPr>
              <w:t>满足要求。</w:t>
            </w:r>
          </w:p>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vertAlign w:val="baseline"/>
                <w:lang w:val="en-US" w:eastAsia="zh-CN"/>
              </w:rPr>
            </w:pPr>
            <w:r>
              <w:rPr>
                <w:rFonts w:hint="eastAsia" w:ascii="Times New Roman" w:hAnsi="Times New Roman"/>
                <w:color w:val="auto"/>
                <w:sz w:val="21"/>
                <w:highlight w:val="none"/>
                <w:lang w:val="en-US" w:eastAsia="zh-CN"/>
              </w:rPr>
              <w:t>本项目设置干粪棚用于暂存固液分离后的粪便，密闭设置，</w:t>
            </w:r>
            <w:r>
              <w:rPr>
                <w:rFonts w:hint="eastAsia" w:ascii="Times New Roman" w:hAnsi="Times New Roman"/>
                <w:color w:val="auto"/>
                <w:sz w:val="21"/>
                <w:highlight w:val="none"/>
                <w:lang w:eastAsia="zh-CN"/>
              </w:rPr>
              <w:t>每天定时清理，暂存时间</w:t>
            </w:r>
            <w:r>
              <w:rPr>
                <w:rFonts w:hint="eastAsia" w:ascii="Times New Roman" w:hAnsi="Times New Roman"/>
                <w:color w:val="auto"/>
                <w:sz w:val="21"/>
                <w:highlight w:val="none"/>
                <w:lang w:val="en-US" w:eastAsia="zh-CN"/>
              </w:rPr>
              <w:t>&lt;1天，根据计算干粪棚的容积不小于187.5m</w:t>
            </w:r>
            <w:r>
              <w:rPr>
                <w:rFonts w:hint="eastAsia" w:ascii="Times New Roman" w:hAnsi="Times New Roman"/>
                <w:color w:val="auto"/>
                <w:sz w:val="21"/>
                <w:highlight w:val="none"/>
                <w:vertAlign w:val="superscript"/>
                <w:lang w:val="en-US" w:eastAsia="zh-CN"/>
              </w:rPr>
              <w:t>3</w:t>
            </w:r>
            <w:r>
              <w:rPr>
                <w:rFonts w:hint="eastAsia" w:ascii="Times New Roman" w:hAnsi="Times New Roman"/>
                <w:color w:val="auto"/>
                <w:sz w:val="21"/>
                <w:highlight w:val="none"/>
                <w:lang w:val="en-US" w:eastAsia="zh-CN"/>
              </w:rPr>
              <w:t>，本项目设置干粪棚可容纳300m</w:t>
            </w:r>
            <w:r>
              <w:rPr>
                <w:rFonts w:hint="eastAsia" w:ascii="Times New Roman" w:hAnsi="Times New Roman"/>
                <w:color w:val="auto"/>
                <w:sz w:val="21"/>
                <w:highlight w:val="none"/>
                <w:vertAlign w:val="superscript"/>
                <w:lang w:val="en-US" w:eastAsia="zh-CN"/>
              </w:rPr>
              <w:t>3</w:t>
            </w:r>
            <w:r>
              <w:rPr>
                <w:rFonts w:hint="eastAsia" w:ascii="Times New Roman" w:hAnsi="Times New Roman"/>
                <w:color w:val="auto"/>
                <w:sz w:val="21"/>
                <w:highlight w:val="none"/>
                <w:vertAlign w:val="baseline"/>
                <w:lang w:val="en-US" w:eastAsia="zh-CN"/>
              </w:rPr>
              <w:t>，满足要求。</w:t>
            </w:r>
          </w:p>
        </w:tc>
        <w:tc>
          <w:tcPr>
            <w:tcW w:w="38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固液分离后的液体粪污进行深度处理的，根据不同工艺可配套集水池、曝气池、沉淀池、高效固液分离机、厌氧反应池、好氧反应池、高效脱氮除磷、膜生物反应器、膜分离浓缩、机械排泥、臭气处理等设施设备，做好防渗、防溢流。处理后排入环境水体的，出水水质不得超过国家或地方规定的水污染物排放标准和重点水污染物排放总量控制指标；排入农田灌溉渠道的，还应保证其下游最近的灌溉取水点水质符合《农田灌溉水质标准》。</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本项目养殖废水进行深度处理，采用固液分离+UASB厌氧+絮凝沉淀+两级A/O系统+混凝絮凝沉淀+消毒”工艺，废水经污水处理站处理后达到</w:t>
            </w:r>
            <w:r>
              <w:rPr>
                <w:rFonts w:hint="default" w:ascii="Times New Roman" w:hAnsi="Times New Roman" w:eastAsia="宋体" w:cs="Times New Roman"/>
                <w:color w:val="auto"/>
                <w:sz w:val="21"/>
                <w:highlight w:val="none"/>
              </w:rPr>
              <w:t>《农田灌溉水质标准》（GB5084</w:t>
            </w:r>
            <w:r>
              <w:rPr>
                <w:rFonts w:hint="eastAsia" w:ascii="Times New Roman" w:hAnsi="Times New Roman" w:cs="Times New Roman"/>
                <w:color w:val="auto"/>
                <w:sz w:val="21"/>
                <w:highlight w:val="none"/>
                <w:lang w:val="en-US" w:eastAsia="zh-CN"/>
              </w:rPr>
              <w:t>-2021</w:t>
            </w:r>
            <w:r>
              <w:rPr>
                <w:rFonts w:hint="default"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eastAsia="zh-CN"/>
              </w:rPr>
              <w:t>用于</w:t>
            </w:r>
            <w:r>
              <w:rPr>
                <w:rFonts w:hint="eastAsia" w:ascii="Times New Roman" w:hAnsi="Times New Roman" w:cs="Times New Roman"/>
                <w:color w:val="auto"/>
                <w:sz w:val="21"/>
                <w:highlight w:val="none"/>
                <w:lang w:eastAsia="zh-CN"/>
              </w:rPr>
              <w:t>农田</w:t>
            </w:r>
            <w:r>
              <w:rPr>
                <w:rFonts w:hint="eastAsia" w:ascii="Times New Roman" w:hAnsi="Times New Roman" w:eastAsia="宋体" w:cs="Times New Roman"/>
                <w:color w:val="auto"/>
                <w:sz w:val="21"/>
                <w:highlight w:val="none"/>
                <w:lang w:eastAsia="zh-CN"/>
              </w:rPr>
              <w:t>灌溉</w:t>
            </w:r>
          </w:p>
        </w:tc>
        <w:tc>
          <w:tcPr>
            <w:tcW w:w="382"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符合</w:t>
            </w:r>
          </w:p>
        </w:tc>
      </w:tr>
    </w:tbl>
    <w:p>
      <w:pPr>
        <w:pStyle w:val="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本项目符合</w:t>
      </w:r>
      <w:r>
        <w:rPr>
          <w:rFonts w:hint="default" w:ascii="Times New Roman" w:hAnsi="Times New Roman" w:eastAsia="宋体" w:cs="Times New Roman"/>
          <w:bCs/>
          <w:color w:val="auto"/>
          <w:sz w:val="24"/>
          <w:szCs w:val="24"/>
          <w:highlight w:val="none"/>
          <w:lang w:eastAsia="zh-CN"/>
        </w:rPr>
        <w:t>《畜禽养殖场(户)粪污处理设施建设技术指南》</w:t>
      </w:r>
      <w:r>
        <w:rPr>
          <w:rFonts w:hint="eastAsia" w:ascii="Times New Roman" w:hAnsi="Times New Roman" w:eastAsia="宋体" w:cs="Times New Roman"/>
          <w:bCs/>
          <w:color w:val="auto"/>
          <w:sz w:val="24"/>
          <w:szCs w:val="24"/>
          <w:highlight w:val="none"/>
          <w:lang w:eastAsia="zh-CN"/>
        </w:rPr>
        <w:t>的相关要求</w:t>
      </w:r>
      <w:r>
        <w:rPr>
          <w:rFonts w:hint="eastAsia" w:ascii="Times New Roman" w:hAnsi="Times New Roman" w:eastAsia="宋体" w:cs="Times New Roman"/>
          <w:color w:val="auto"/>
          <w:sz w:val="24"/>
          <w:szCs w:val="24"/>
          <w:highlight w:val="none"/>
          <w:lang w:eastAsia="zh-CN"/>
        </w:rPr>
        <w:t>。</w:t>
      </w:r>
    </w:p>
    <w:p>
      <w:pPr>
        <w:pStyle w:val="9"/>
        <w:bidi w:val="0"/>
        <w:spacing w:line="360" w:lineRule="auto"/>
        <w:rPr>
          <w:rFonts w:hint="eastAsia" w:cs="Times New Roman"/>
          <w:color w:val="auto"/>
          <w:highlight w:val="none"/>
          <w:lang w:eastAsia="zh-CN"/>
        </w:rPr>
      </w:pPr>
      <w:r>
        <w:rPr>
          <w:rFonts w:hint="eastAsia" w:cs="Times New Roman"/>
          <w:color w:val="auto"/>
          <w:highlight w:val="none"/>
        </w:rPr>
        <w:t xml:space="preserve"> 与</w:t>
      </w:r>
      <w:r>
        <w:rPr>
          <w:rFonts w:hint="eastAsia" w:cs="Times New Roman"/>
          <w:color w:val="auto"/>
          <w:highlight w:val="none"/>
          <w:lang w:eastAsia="zh-CN"/>
        </w:rPr>
        <w:t>《</w:t>
      </w:r>
      <w:r>
        <w:rPr>
          <w:rFonts w:hint="eastAsia"/>
          <w:color w:val="auto"/>
          <w:highlight w:val="none"/>
          <w:lang w:val="en-US" w:eastAsia="zh-CN"/>
        </w:rPr>
        <w:t xml:space="preserve"> </w:t>
      </w:r>
      <w:r>
        <w:rPr>
          <w:rFonts w:hint="eastAsia"/>
          <w:color w:val="auto"/>
          <w:highlight w:val="none"/>
        </w:rPr>
        <w:t>四川省畜禽养殖污染防治技术指南（试行）</w:t>
      </w:r>
      <w:r>
        <w:rPr>
          <w:rFonts w:hint="eastAsia" w:cs="Times New Roman"/>
          <w:color w:val="auto"/>
          <w:highlight w:val="none"/>
          <w:lang w:eastAsia="zh-CN"/>
        </w:rPr>
        <w:t>》</w:t>
      </w:r>
      <w:r>
        <w:rPr>
          <w:rFonts w:hint="eastAsia" w:cs="Times New Roman"/>
          <w:color w:val="auto"/>
          <w:highlight w:val="none"/>
        </w:rPr>
        <w:t>的</w:t>
      </w:r>
      <w:r>
        <w:rPr>
          <w:rFonts w:hint="eastAsia" w:cs="Times New Roman"/>
          <w:color w:val="auto"/>
          <w:highlight w:val="none"/>
          <w:lang w:eastAsia="zh-CN"/>
        </w:rPr>
        <w:t>符合性分析</w:t>
      </w:r>
    </w:p>
    <w:p>
      <w:pPr>
        <w:adjustRightInd w:val="0"/>
        <w:snapToGrid w:val="0"/>
        <w:ind w:firstLine="518" w:firstLineChars="216"/>
        <w:rPr>
          <w:rFonts w:hint="eastAsia" w:ascii="Times New Roman" w:hAnsi="Times New Roman" w:cs="Times New Roman"/>
          <w:bCs/>
          <w:color w:val="auto"/>
          <w:sz w:val="24"/>
          <w:szCs w:val="24"/>
          <w:highlight w:val="none"/>
          <w:lang w:eastAsia="zh-CN"/>
        </w:rPr>
      </w:pPr>
      <w:r>
        <w:rPr>
          <w:rFonts w:hint="eastAsia" w:ascii="Times New Roman" w:hAnsi="Times New Roman" w:cs="Times New Roman"/>
          <w:bCs/>
          <w:color w:val="auto"/>
          <w:sz w:val="24"/>
          <w:szCs w:val="24"/>
          <w:highlight w:val="none"/>
          <w:lang w:eastAsia="zh-CN"/>
        </w:rPr>
        <w:t>根据《</w:t>
      </w:r>
      <w:r>
        <w:rPr>
          <w:rFonts w:hint="eastAsia" w:ascii="Times New Roman" w:hAnsi="Times New Roman" w:cs="Times New Roman"/>
          <w:bCs/>
          <w:color w:val="auto"/>
          <w:sz w:val="24"/>
          <w:szCs w:val="24"/>
          <w:highlight w:val="none"/>
          <w:lang w:val="en-US" w:eastAsia="zh-CN"/>
        </w:rPr>
        <w:t>四川省</w:t>
      </w:r>
      <w:r>
        <w:rPr>
          <w:rFonts w:hint="eastAsia" w:ascii="Times New Roman" w:hAnsi="Times New Roman" w:cs="Times New Roman"/>
          <w:bCs/>
          <w:color w:val="auto"/>
          <w:sz w:val="24"/>
          <w:szCs w:val="24"/>
          <w:highlight w:val="none"/>
          <w:lang w:eastAsia="zh-CN"/>
        </w:rPr>
        <w:t xml:space="preserve">农业厅 </w:t>
      </w:r>
      <w:r>
        <w:rPr>
          <w:rFonts w:hint="eastAsia" w:ascii="Times New Roman" w:hAnsi="Times New Roman" w:cs="Times New Roman"/>
          <w:bCs/>
          <w:color w:val="auto"/>
          <w:sz w:val="24"/>
          <w:szCs w:val="24"/>
          <w:highlight w:val="none"/>
          <w:lang w:val="en-US" w:eastAsia="zh-CN"/>
        </w:rPr>
        <w:t>四川省环境保护</w:t>
      </w:r>
      <w:r>
        <w:rPr>
          <w:rFonts w:hint="eastAsia" w:ascii="Times New Roman" w:hAnsi="Times New Roman" w:cs="Times New Roman"/>
          <w:bCs/>
          <w:color w:val="auto"/>
          <w:sz w:val="24"/>
          <w:szCs w:val="24"/>
          <w:highlight w:val="none"/>
          <w:lang w:eastAsia="zh-CN"/>
        </w:rPr>
        <w:t>厅关于印发</w:t>
      </w:r>
      <w:r>
        <w:rPr>
          <w:rFonts w:hint="eastAsia" w:ascii="Times New Roman" w:hAnsi="Times New Roman" w:cs="Times New Roman"/>
          <w:bCs/>
          <w:color w:val="auto"/>
          <w:sz w:val="24"/>
          <w:szCs w:val="24"/>
          <w:highlight w:val="none"/>
          <w:lang w:val="en-US" w:eastAsia="zh-CN"/>
        </w:rPr>
        <w:t>&lt;</w:t>
      </w:r>
      <w:r>
        <w:rPr>
          <w:rFonts w:hint="eastAsia"/>
          <w:color w:val="auto"/>
          <w:highlight w:val="none"/>
        </w:rPr>
        <w:t>《</w:t>
      </w:r>
      <w:r>
        <w:rPr>
          <w:rFonts w:hint="eastAsia" w:ascii="Times New Roman" w:hAnsi="Times New Roman" w:cs="Times New Roman"/>
          <w:bCs/>
          <w:color w:val="auto"/>
          <w:sz w:val="24"/>
          <w:szCs w:val="24"/>
          <w:highlight w:val="none"/>
          <w:lang w:eastAsia="zh-CN"/>
        </w:rPr>
        <w:t>四川省畜禽养殖污染防治技术指南（试行）</w:t>
      </w:r>
      <w:r>
        <w:rPr>
          <w:rFonts w:hint="eastAsia" w:ascii="Times New Roman" w:hAnsi="Times New Roman" w:cs="Times New Roman"/>
          <w:bCs/>
          <w:color w:val="auto"/>
          <w:sz w:val="24"/>
          <w:szCs w:val="24"/>
          <w:highlight w:val="none"/>
          <w:lang w:val="en-US" w:eastAsia="zh-CN"/>
        </w:rPr>
        <w:t>&gt;</w:t>
      </w:r>
      <w:r>
        <w:rPr>
          <w:rFonts w:hint="eastAsia" w:ascii="Times New Roman" w:hAnsi="Times New Roman" w:cs="Times New Roman"/>
          <w:bCs/>
          <w:color w:val="auto"/>
          <w:sz w:val="24"/>
          <w:szCs w:val="24"/>
          <w:highlight w:val="none"/>
          <w:lang w:eastAsia="zh-CN"/>
        </w:rPr>
        <w:t>的通知》（（川农业函〔2017〕647号）），本项目与《四川省畜禽养殖污染防治技术指南（试行）》符合性分析见下表。</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与《 四川省畜禽养殖污染防治技术指南（试行）》的符合性</w:t>
      </w:r>
    </w:p>
    <w:tbl>
      <w:tblPr>
        <w:tblStyle w:val="91"/>
        <w:tblW w:w="4735"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4163"/>
        <w:gridCol w:w="3102"/>
        <w:gridCol w:w="60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46" w:type="pct"/>
            <w:tcBorders>
              <w:tl2br w:val="nil"/>
              <w:tr2bl w:val="nil"/>
            </w:tcBorders>
            <w:vAlign w:val="center"/>
          </w:tcPr>
          <w:p>
            <w:pPr>
              <w:pStyle w:val="945"/>
              <w:keepNext w:val="0"/>
              <w:keepLines w:val="0"/>
              <w:suppressLineNumbers w:val="0"/>
              <w:spacing w:before="0" w:beforeAutospacing="0" w:after="0" w:afterAutospacing="0"/>
              <w:ind w:left="0" w:right="0"/>
              <w:rPr>
                <w:rFonts w:hint="eastAsia" w:eastAsia="宋体" w:cs="Times New Roman"/>
                <w:color w:val="auto"/>
                <w:szCs w:val="21"/>
                <w:highlight w:val="none"/>
                <w:lang w:eastAsia="zh-CN"/>
              </w:rPr>
            </w:pPr>
            <w:r>
              <w:rPr>
                <w:rFonts w:hint="default" w:ascii="Times New Roman" w:hAnsi="Times New Roman" w:eastAsia="宋体" w:cs="Times New Roman"/>
                <w:b/>
                <w:bCs/>
                <w:color w:val="auto"/>
                <w:highlight w:val="none"/>
                <w:lang w:val="en-US" w:eastAsia="zh-CN"/>
              </w:rPr>
              <w:t>《</w:t>
            </w:r>
            <w:r>
              <w:rPr>
                <w:rFonts w:hint="eastAsia"/>
                <w:color w:val="auto"/>
                <w:highlight w:val="none"/>
                <w:lang w:val="en-US" w:eastAsia="zh-CN"/>
              </w:rPr>
              <w:t xml:space="preserve"> </w:t>
            </w:r>
            <w:r>
              <w:rPr>
                <w:rFonts w:hint="eastAsia"/>
                <w:color w:val="auto"/>
                <w:highlight w:val="none"/>
              </w:rPr>
              <w:t>四川省畜禽养殖污染防治技术指南（试行）</w:t>
            </w:r>
            <w:r>
              <w:rPr>
                <w:rFonts w:hint="default" w:ascii="Times New Roman" w:hAnsi="Times New Roman" w:eastAsia="宋体" w:cs="Times New Roman"/>
                <w:b/>
                <w:bCs/>
                <w:color w:val="auto"/>
                <w:highlight w:val="none"/>
                <w:lang w:val="en-US" w:eastAsia="zh-CN"/>
              </w:rPr>
              <w:t>》</w:t>
            </w:r>
          </w:p>
        </w:tc>
        <w:tc>
          <w:tcPr>
            <w:tcW w:w="1971"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本项目情况</w:t>
            </w:r>
          </w:p>
        </w:tc>
        <w:tc>
          <w:tcPr>
            <w:tcW w:w="382"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931"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default" w:ascii="Times New Roman" w:hAnsi="Times New Roman"/>
                <w:color w:val="auto"/>
                <w:sz w:val="21"/>
                <w:highlight w:val="none"/>
              </w:rPr>
            </w:pPr>
            <w:r>
              <w:rPr>
                <w:rFonts w:hint="default" w:ascii="Times New Roman" w:hAnsi="Times New Roman"/>
                <w:color w:val="auto"/>
                <w:sz w:val="21"/>
                <w:highlight w:val="none"/>
              </w:rPr>
              <w:t>养殖场（小区）应布局生活管理区、生产区、辅助生产区和资源化利用区（含隔离区）。粪便污水处理设施和畜禽尸体焚烧炉应在养殖场的常年主导风向的下风向或侧风向处；养殖场的排水系统应实行雨水和污水收集输送系统分离，在场区内外设置的污水收集输送系统，不得采取明沟布设。</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本项目已合理分区，污水处理设施位于主导风向下风向，病死牛无害化处理车间位于主导风向的侧风向，且厂内实行雨污分流，厂区内外设置污水收集输送系统采用地埋式污水管道。</w:t>
            </w:r>
          </w:p>
        </w:tc>
        <w:tc>
          <w:tcPr>
            <w:tcW w:w="382" w:type="pct"/>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58"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养殖场（小区）宜采取干法清粪工艺，采取有效措施将粪便和粪渣及时运至贮存或处理场所。粪便和粪渣单独清出，不可与尿、污水混合排出。养殖场（小区）应配套与养殖规模和处理工艺相适应的粪污消纳用地，配备必要的粪污收集、贮存、处理、利用和无害化处理设施。对于种养结合的养殖场，畜禽粪便贮存设施的总容积不得低于配套农林作物生产用肥的最大间隔时间内养殖场所产生粪便的总量</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本项目采用干清粪工艺，粪便日产日清，不在厂内暂存</w:t>
            </w:r>
            <w:r>
              <w:rPr>
                <w:rFonts w:hint="default" w:ascii="Times New Roman" w:hAnsi="Times New Roman"/>
                <w:color w:val="auto"/>
                <w:sz w:val="21"/>
                <w:highlight w:val="none"/>
              </w:rPr>
              <w:t>（</w:t>
            </w:r>
            <w:r>
              <w:rPr>
                <w:rFonts w:hint="eastAsia" w:ascii="Times New Roman" w:hAnsi="Times New Roman"/>
                <w:color w:val="auto"/>
                <w:sz w:val="21"/>
                <w:highlight w:val="none"/>
                <w:lang w:eastAsia="zh-CN"/>
              </w:rPr>
              <w:t>每天定时清理，暂存时间</w:t>
            </w:r>
            <w:r>
              <w:rPr>
                <w:rFonts w:hint="eastAsia" w:ascii="Times New Roman" w:hAnsi="Times New Roman"/>
                <w:color w:val="auto"/>
                <w:sz w:val="21"/>
                <w:highlight w:val="none"/>
                <w:lang w:val="en-US" w:eastAsia="zh-CN"/>
              </w:rPr>
              <w:t>&lt;1天</w:t>
            </w:r>
            <w:r>
              <w:rPr>
                <w:rFonts w:hint="default" w:ascii="Times New Roman" w:hAnsi="Times New Roman"/>
                <w:color w:val="auto"/>
                <w:sz w:val="21"/>
                <w:highlight w:val="none"/>
              </w:rPr>
              <w:t>）</w:t>
            </w:r>
            <w:r>
              <w:rPr>
                <w:rFonts w:hint="eastAsia" w:ascii="Times New Roman" w:hAnsi="Times New Roman"/>
                <w:color w:val="auto"/>
                <w:sz w:val="21"/>
                <w:highlight w:val="none"/>
                <w:lang w:eastAsia="zh-CN"/>
              </w:rPr>
              <w:t>，</w:t>
            </w:r>
            <w:r>
              <w:rPr>
                <w:rFonts w:hint="default" w:ascii="Times New Roman" w:hAnsi="Times New Roman"/>
                <w:color w:val="auto"/>
                <w:sz w:val="21"/>
                <w:highlight w:val="none"/>
              </w:rPr>
              <w:t>由车辆清运至</w:t>
            </w:r>
            <w:r>
              <w:rPr>
                <w:rFonts w:hint="eastAsia" w:ascii="Times New Roman" w:hAnsi="Times New Roman"/>
                <w:color w:val="auto"/>
                <w:sz w:val="21"/>
                <w:highlight w:val="none"/>
                <w:lang w:eastAsia="zh-CN"/>
              </w:rPr>
              <w:t>南江县万事康生物科技有限公司</w:t>
            </w:r>
            <w:r>
              <w:rPr>
                <w:rFonts w:hint="default" w:ascii="Times New Roman" w:hAnsi="Times New Roman"/>
                <w:color w:val="auto"/>
                <w:sz w:val="21"/>
                <w:highlight w:val="none"/>
              </w:rPr>
              <w:t>用作生产有机肥原料使用</w:t>
            </w:r>
            <w:r>
              <w:rPr>
                <w:rFonts w:hint="eastAsia" w:ascii="Times New Roman" w:hAnsi="Times New Roman"/>
                <w:color w:val="auto"/>
                <w:sz w:val="21"/>
                <w:highlight w:val="none"/>
                <w:lang w:eastAsia="zh-CN"/>
              </w:rPr>
              <w:t>。</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宋体" w:hAnsi="宋体" w:eastAsia="宋体" w:cs="宋体"/>
                <w:color w:val="auto"/>
                <w:sz w:val="21"/>
                <w:szCs w:val="21"/>
                <w:highlight w:val="none"/>
                <w:lang w:eastAsia="zh-CN"/>
              </w:rPr>
              <w:t>养殖废水进入污水处理站，</w:t>
            </w:r>
            <w:r>
              <w:rPr>
                <w:rFonts w:hint="eastAsia" w:ascii="宋体" w:hAnsi="宋体" w:eastAsia="宋体" w:cs="宋体"/>
                <w:color w:val="auto"/>
                <w:sz w:val="21"/>
                <w:szCs w:val="21"/>
                <w:highlight w:val="none"/>
              </w:rPr>
              <w:t>可实现畜禽粪便、废水无害化。</w:t>
            </w:r>
            <w:r>
              <w:rPr>
                <w:rFonts w:hint="eastAsia" w:ascii="Times New Roman" w:hAnsi="Times New Roman"/>
                <w:color w:val="auto"/>
                <w:sz w:val="21"/>
                <w:highlight w:val="none"/>
              </w:rPr>
              <w:t>根据《畜禽粪污土地承载力测算技术指南》中相关规定测算，本项目需配套</w:t>
            </w:r>
            <w:r>
              <w:rPr>
                <w:rFonts w:hint="eastAsia" w:ascii="Times New Roman" w:hAnsi="Times New Roman"/>
                <w:color w:val="auto"/>
                <w:sz w:val="21"/>
                <w:highlight w:val="none"/>
                <w:lang w:val="en-US" w:eastAsia="zh-CN"/>
              </w:rPr>
              <w:t>272.66</w:t>
            </w:r>
            <w:r>
              <w:rPr>
                <w:rFonts w:hint="eastAsia" w:ascii="Times New Roman" w:hAnsi="Times New Roman"/>
                <w:color w:val="auto"/>
                <w:sz w:val="21"/>
                <w:highlight w:val="none"/>
              </w:rPr>
              <w:t>亩消纳土地，</w:t>
            </w:r>
            <w:r>
              <w:rPr>
                <w:rFonts w:hint="eastAsia" w:ascii="Times New Roman" w:hAnsi="Times New Roman"/>
                <w:color w:val="auto"/>
                <w:sz w:val="21"/>
                <w:highlight w:val="none"/>
                <w:lang w:eastAsia="zh-CN"/>
              </w:rPr>
              <w:t>现</w:t>
            </w:r>
            <w:r>
              <w:rPr>
                <w:rFonts w:hint="eastAsia" w:ascii="Times New Roman" w:hAnsi="Times New Roman"/>
                <w:color w:val="auto"/>
                <w:sz w:val="21"/>
                <w:highlight w:val="none"/>
              </w:rPr>
              <w:t>配套</w:t>
            </w:r>
            <w:r>
              <w:rPr>
                <w:rFonts w:hint="eastAsia" w:ascii="Times New Roman" w:hAnsi="Times New Roman"/>
                <w:color w:val="auto"/>
                <w:sz w:val="21"/>
                <w:highlight w:val="none"/>
                <w:lang w:val="en-US" w:eastAsia="zh-CN"/>
              </w:rPr>
              <w:t>2800</w:t>
            </w:r>
            <w:r>
              <w:rPr>
                <w:rFonts w:hint="eastAsia" w:ascii="Times New Roman" w:hAnsi="Times New Roman"/>
                <w:color w:val="auto"/>
                <w:sz w:val="21"/>
                <w:highlight w:val="none"/>
              </w:rPr>
              <w:t>亩消纳土地，</w:t>
            </w:r>
            <w:r>
              <w:rPr>
                <w:rFonts w:hint="eastAsia" w:ascii="Times New Roman" w:hAnsi="Times New Roman"/>
                <w:color w:val="auto"/>
                <w:sz w:val="21"/>
                <w:highlight w:val="none"/>
                <w:lang w:eastAsia="zh-CN"/>
              </w:rPr>
              <w:t>已远远超过理论需求量</w:t>
            </w:r>
            <w:r>
              <w:rPr>
                <w:rFonts w:hint="eastAsia" w:ascii="Times New Roman" w:hAnsi="Times New Roman"/>
                <w:color w:val="auto"/>
                <w:sz w:val="21"/>
                <w:highlight w:val="none"/>
              </w:rPr>
              <w:t>。</w:t>
            </w:r>
          </w:p>
        </w:tc>
        <w:tc>
          <w:tcPr>
            <w:tcW w:w="38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养殖场臭气的处理可采用物理、化学、生物除臭等多种方式进行处理。</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vertAlign w:val="baseline"/>
                <w:lang w:val="en-US" w:eastAsia="zh-CN"/>
              </w:rPr>
            </w:pPr>
            <w:r>
              <w:rPr>
                <w:rFonts w:hint="eastAsia" w:ascii="Times New Roman" w:hAnsi="Times New Roman"/>
                <w:color w:val="auto"/>
                <w:sz w:val="21"/>
                <w:highlight w:val="none"/>
                <w:lang w:val="en-US" w:eastAsia="zh-CN"/>
              </w:rPr>
              <w:t>本项目采用（</w:t>
            </w:r>
            <w:r>
              <w:rPr>
                <w:rFonts w:hint="eastAsia" w:ascii="Times New Roman" w:hAnsi="Times New Roman"/>
                <w:color w:val="auto"/>
                <w:sz w:val="21"/>
                <w:highlight w:val="none"/>
              </w:rPr>
              <w:t>1）选用益生菌配方饲料；（2）及时清运粪污；（3）向粪便投（铺）放吸附剂减少臭气的散发；（4）养殖大棚周边喷洒除臭剂；（5）集中通风排气经处理（喷淋法）后排放。</w:t>
            </w:r>
          </w:p>
        </w:tc>
        <w:tc>
          <w:tcPr>
            <w:tcW w:w="38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畜禽养殖过程中产生的污水应坚持种养结合的原则，经无害化处理后尽量充分还田，实现污水资源化利用。畜禽养殖场污水引入农田前必须进行预处理（采用格栅、厌氧、沉淀等工艺流程），应配套设置田间储存池，解决农田在非施肥期间的污水出路问题。田间储存池的总容积不得低于当地农林作物生产用肥的最大间隔时间内畜禽养殖场排放污水的总量。在畜禽养殖场与还田利用的农田之间应建立有效的输送网络，通过车载或管道形式将处理（置）后的污水输送至农田。</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本项目养殖废水进行深度处理，采用固液分离+UASB厌氧+絮凝沉淀+两级A/O系统+混凝絮凝沉淀+消毒”工艺，废水经污水处理站处理后达到</w:t>
            </w:r>
            <w:r>
              <w:rPr>
                <w:rFonts w:hint="default" w:ascii="Times New Roman" w:hAnsi="Times New Roman"/>
                <w:color w:val="auto"/>
                <w:sz w:val="21"/>
                <w:highlight w:val="none"/>
                <w:lang w:eastAsia="zh-CN"/>
              </w:rPr>
              <w:t>《农田灌溉水质标准》（GB5084</w:t>
            </w:r>
            <w:r>
              <w:rPr>
                <w:rFonts w:hint="eastAsia" w:ascii="Times New Roman" w:hAnsi="Times New Roman"/>
                <w:color w:val="auto"/>
                <w:sz w:val="21"/>
                <w:highlight w:val="none"/>
                <w:lang w:val="en-US" w:eastAsia="zh-CN"/>
              </w:rPr>
              <w:t>-2021</w:t>
            </w:r>
            <w:r>
              <w:rPr>
                <w:rFonts w:hint="default" w:ascii="Times New Roman" w:hAnsi="Times New Roman"/>
                <w:color w:val="auto"/>
                <w:sz w:val="21"/>
                <w:highlight w:val="none"/>
                <w:lang w:eastAsia="zh-CN"/>
              </w:rPr>
              <w:t>）</w:t>
            </w:r>
            <w:r>
              <w:rPr>
                <w:rFonts w:hint="eastAsia" w:ascii="Times New Roman" w:hAnsi="Times New Roman"/>
                <w:color w:val="auto"/>
                <w:sz w:val="21"/>
                <w:highlight w:val="none"/>
                <w:lang w:eastAsia="zh-CN"/>
              </w:rPr>
              <w:t>用于农田灌溉。本项目配套建设农灌系统，农灌系统主要由废水储存池、恒压供水系统、阀门、田间管道等组成。</w:t>
            </w:r>
          </w:p>
        </w:tc>
        <w:tc>
          <w:tcPr>
            <w:tcW w:w="382"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411"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b w:val="0"/>
                <w:bCs w:val="0"/>
                <w:color w:val="auto"/>
                <w:sz w:val="21"/>
                <w:highlight w:val="none"/>
              </w:rPr>
            </w:pPr>
            <w:r>
              <w:rPr>
                <w:rFonts w:hint="eastAsia" w:ascii="Times New Roman" w:hAnsi="Times New Roman"/>
                <w:b w:val="0"/>
                <w:bCs w:val="0"/>
                <w:color w:val="auto"/>
                <w:sz w:val="21"/>
                <w:highlight w:val="none"/>
              </w:rPr>
              <w:t>养殖场经过粪便收集、干燥、发酵、添加、制粒、灌装等过程，可根据用户需求生产专用有机肥，有机肥生产可实现商品化，便于长距离运输。</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b w:val="0"/>
                <w:bCs w:val="0"/>
                <w:color w:val="auto"/>
                <w:sz w:val="21"/>
                <w:highlight w:val="none"/>
                <w:lang w:eastAsia="zh-CN"/>
              </w:rPr>
            </w:pPr>
            <w:r>
              <w:rPr>
                <w:rFonts w:hint="eastAsia" w:ascii="宋体" w:hAnsi="宋体" w:eastAsia="宋体" w:cs="宋体"/>
                <w:b w:val="0"/>
                <w:bCs w:val="0"/>
                <w:color w:val="auto"/>
                <w:sz w:val="21"/>
                <w:szCs w:val="21"/>
                <w:highlight w:val="none"/>
              </w:rPr>
              <w:t>本项目畜禽粪便</w:t>
            </w:r>
            <w:r>
              <w:rPr>
                <w:rFonts w:hint="eastAsia" w:ascii="宋体" w:hAnsi="宋体" w:cs="宋体"/>
                <w:b w:val="0"/>
                <w:bCs w:val="0"/>
                <w:color w:val="auto"/>
                <w:sz w:val="21"/>
                <w:szCs w:val="21"/>
                <w:highlight w:val="none"/>
                <w:lang w:eastAsia="zh-CN"/>
              </w:rPr>
              <w:t>、病死牛处理后的残渣以及污水处理站的污泥残渣</w:t>
            </w:r>
            <w:r>
              <w:rPr>
                <w:rFonts w:hint="eastAsia" w:ascii="宋体" w:hAnsi="宋体" w:cs="宋体"/>
                <w:b w:val="0"/>
                <w:bCs w:val="0"/>
                <w:color w:val="auto"/>
                <w:sz w:val="21"/>
                <w:szCs w:val="21"/>
                <w:highlight w:val="none"/>
                <w:lang w:val="en-US" w:eastAsia="zh-CN"/>
              </w:rPr>
              <w:t>经收集后</w:t>
            </w:r>
            <w:r>
              <w:rPr>
                <w:rFonts w:hint="eastAsia" w:ascii="宋体" w:hAnsi="宋体" w:cs="宋体"/>
                <w:b w:val="0"/>
                <w:bCs w:val="0"/>
                <w:color w:val="auto"/>
                <w:sz w:val="21"/>
                <w:szCs w:val="21"/>
                <w:highlight w:val="none"/>
                <w:lang w:eastAsia="zh-CN"/>
              </w:rPr>
              <w:t>运输至南江县万事康生物科技有限公司用作生产有机肥原料使用；</w:t>
            </w:r>
          </w:p>
        </w:tc>
        <w:tc>
          <w:tcPr>
            <w:tcW w:w="382"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b w:val="0"/>
                <w:bCs w:val="0"/>
                <w:color w:val="auto"/>
                <w:sz w:val="21"/>
                <w:highlight w:val="none"/>
                <w:lang w:val="en-US" w:eastAsia="zh-CN"/>
              </w:rPr>
            </w:pPr>
            <w:r>
              <w:rPr>
                <w:rFonts w:hint="eastAsia" w:ascii="Times New Roman" w:hAnsi="Times New Roman"/>
                <w:b w:val="0"/>
                <w:bCs w:val="0"/>
                <w:color w:val="auto"/>
                <w:sz w:val="21"/>
                <w:highlight w:val="none"/>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2646"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b w:val="0"/>
                <w:bCs w:val="0"/>
                <w:color w:val="auto"/>
                <w:sz w:val="21"/>
                <w:highlight w:val="none"/>
              </w:rPr>
            </w:pPr>
            <w:r>
              <w:rPr>
                <w:rFonts w:hint="eastAsia" w:ascii="Times New Roman" w:hAnsi="Times New Roman"/>
                <w:b w:val="0"/>
                <w:bCs w:val="0"/>
                <w:color w:val="auto"/>
                <w:sz w:val="21"/>
                <w:highlight w:val="none"/>
              </w:rPr>
              <w:t>农村畜禽养殖产生的大量粪便，利用沼气技术处理生产沼气，用于照明和生活用气，沼液沼渣经处理后还田利用。</w:t>
            </w:r>
          </w:p>
        </w:tc>
        <w:tc>
          <w:tcPr>
            <w:tcW w:w="1971" w:type="pct"/>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b w:val="0"/>
                <w:bCs w:val="0"/>
                <w:color w:val="auto"/>
                <w:sz w:val="21"/>
                <w:highlight w:val="none"/>
                <w:lang w:val="en-US" w:eastAsia="zh-CN"/>
              </w:rPr>
            </w:pPr>
            <w:r>
              <w:rPr>
                <w:rFonts w:hint="eastAsia" w:ascii="Times New Roman" w:hAnsi="Times New Roman"/>
                <w:b w:val="0"/>
                <w:bCs w:val="0"/>
                <w:color w:val="auto"/>
                <w:sz w:val="21"/>
                <w:highlight w:val="none"/>
                <w:lang w:val="en-US" w:eastAsia="zh-CN"/>
              </w:rPr>
              <w:t>本项目污水处理站产生的沼气用于生活用气及照明。</w:t>
            </w:r>
          </w:p>
        </w:tc>
        <w:tc>
          <w:tcPr>
            <w:tcW w:w="382"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b w:val="0"/>
                <w:bCs w:val="0"/>
                <w:color w:val="auto"/>
                <w:sz w:val="21"/>
                <w:highlight w:val="none"/>
                <w:lang w:val="en-US" w:eastAsia="zh-CN"/>
              </w:rPr>
            </w:pPr>
            <w:r>
              <w:rPr>
                <w:rFonts w:hint="eastAsia" w:ascii="Times New Roman" w:hAnsi="Times New Roman"/>
                <w:b w:val="0"/>
                <w:bCs w:val="0"/>
                <w:color w:val="auto"/>
                <w:sz w:val="21"/>
                <w:highlight w:val="none"/>
                <w:lang w:val="en-US" w:eastAsia="zh-CN"/>
              </w:rPr>
              <w:t>符合</w:t>
            </w:r>
          </w:p>
        </w:tc>
      </w:tr>
    </w:tbl>
    <w:p>
      <w:pPr>
        <w:keepNext w:val="0"/>
        <w:keepLines w:val="0"/>
        <w:pageBreakBefore w:val="0"/>
        <w:widowControl w:val="0"/>
        <w:kinsoku/>
        <w:wordWrap/>
        <w:overflowPunct/>
        <w:topLinePunct w:val="0"/>
        <w:autoSpaceDE/>
        <w:autoSpaceDN/>
        <w:bidi w:val="0"/>
        <w:adjustRightInd w:val="0"/>
        <w:snapToGrid w:val="0"/>
        <w:spacing w:before="157" w:beforeLines="50"/>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本项目符合</w:t>
      </w:r>
      <w:r>
        <w:rPr>
          <w:rFonts w:hint="default" w:ascii="Times New Roman" w:hAnsi="Times New Roman" w:eastAsia="宋体" w:cs="Times New Roman"/>
          <w:color w:val="auto"/>
          <w:kern w:val="2"/>
          <w:sz w:val="24"/>
          <w:szCs w:val="24"/>
          <w:highlight w:val="none"/>
          <w:lang w:val="en-US" w:eastAsia="zh-CN" w:bidi="ar-SA"/>
        </w:rPr>
        <w:t>《四川省畜禽养殖污染防治技术指南（试行）》</w:t>
      </w:r>
      <w:r>
        <w:rPr>
          <w:rFonts w:hint="eastAsia" w:ascii="Times New Roman" w:hAnsi="Times New Roman" w:eastAsia="宋体" w:cs="Times New Roman"/>
          <w:color w:val="auto"/>
          <w:kern w:val="2"/>
          <w:sz w:val="24"/>
          <w:szCs w:val="24"/>
          <w:highlight w:val="none"/>
          <w:lang w:val="en-US" w:eastAsia="zh-CN" w:bidi="ar-SA"/>
        </w:rPr>
        <w:t>的相关要求。</w:t>
      </w:r>
    </w:p>
    <w:p>
      <w:pPr>
        <w:pStyle w:val="9"/>
        <w:bidi w:val="0"/>
        <w:spacing w:line="360" w:lineRule="auto"/>
        <w:rPr>
          <w:rFonts w:hint="eastAsia" w:ascii="Times New Roman" w:hAnsi="Times New Roman" w:cs="Times New Roman"/>
          <w:color w:val="auto"/>
          <w:highlight w:val="none"/>
        </w:rPr>
      </w:pPr>
      <w:r>
        <w:rPr>
          <w:rFonts w:hint="eastAsia" w:ascii="Times New Roman" w:hAnsi="Times New Roman" w:cs="Times New Roman"/>
          <w:color w:val="auto"/>
          <w:highlight w:val="none"/>
        </w:rPr>
        <w:t>与《畜禽规模养殖场粪污资源化利用设施建设规范（试行）》的符合性分析</w:t>
      </w:r>
    </w:p>
    <w:p>
      <w:pPr>
        <w:spacing w:line="360" w:lineRule="auto"/>
        <w:ind w:firstLine="482"/>
        <w:rPr>
          <w:color w:val="auto"/>
          <w:sz w:val="24"/>
          <w:highlight w:val="none"/>
        </w:rPr>
      </w:pPr>
      <w:r>
        <w:rPr>
          <w:color w:val="auto"/>
          <w:sz w:val="24"/>
          <w:highlight w:val="none"/>
        </w:rPr>
        <w:t>本项目选址与《畜禽规模养殖场粪污资源化利用设施建设规范（试行）》中选址要求符合性分析见</w:t>
      </w:r>
      <w:r>
        <w:rPr>
          <w:rFonts w:hint="eastAsia"/>
          <w:color w:val="auto"/>
          <w:sz w:val="24"/>
          <w:highlight w:val="none"/>
          <w:lang w:eastAsia="zh-CN"/>
        </w:rPr>
        <w:t>下</w:t>
      </w:r>
      <w:r>
        <w:rPr>
          <w:color w:val="auto"/>
          <w:sz w:val="24"/>
          <w:highlight w:val="none"/>
        </w:rPr>
        <w:t>表。</w:t>
      </w:r>
    </w:p>
    <w:p>
      <w:pPr>
        <w:numPr>
          <w:ilvl w:val="0"/>
          <w:numId w:val="13"/>
        </w:numPr>
        <w:tabs>
          <w:tab w:val="left" w:pos="0"/>
        </w:tabs>
        <w:ind w:left="425" w:leftChars="0" w:hanging="425"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与《畜禽规模养殖场粪污资源化利用设施建设规范（试行）》符合性</w:t>
      </w:r>
      <w:r>
        <w:rPr>
          <w:rFonts w:hint="eastAsia" w:ascii="Times New Roman" w:hAnsi="Times New Roman" w:eastAsia="宋体" w:cs="Times New Roman"/>
          <w:b/>
          <w:bCs/>
          <w:color w:val="auto"/>
          <w:sz w:val="21"/>
          <w:szCs w:val="21"/>
          <w:highlight w:val="none"/>
          <w:lang w:val="en-US" w:eastAsia="zh-CN"/>
        </w:rPr>
        <w:t>分析</w:t>
      </w:r>
    </w:p>
    <w:tbl>
      <w:tblPr>
        <w:tblStyle w:val="91"/>
        <w:tblW w:w="4735"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4163"/>
        <w:gridCol w:w="3102"/>
        <w:gridCol w:w="60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2646" w:type="pct"/>
            <w:tcBorders>
              <w:tl2br w:val="nil"/>
              <w:tr2bl w:val="nil"/>
            </w:tcBorders>
            <w:vAlign w:val="center"/>
          </w:tcPr>
          <w:p>
            <w:pPr>
              <w:pStyle w:val="945"/>
              <w:keepNext w:val="0"/>
              <w:keepLines w:val="0"/>
              <w:suppressLineNumbers w:val="0"/>
              <w:spacing w:before="0" w:beforeAutospacing="0" w:after="0" w:afterAutospacing="0"/>
              <w:ind w:left="0" w:right="0"/>
              <w:rPr>
                <w:rFonts w:hint="eastAsia" w:eastAsia="宋体" w:cs="Times New Roman"/>
                <w:color w:val="auto"/>
                <w:szCs w:val="21"/>
                <w:highlight w:val="none"/>
                <w:lang w:eastAsia="zh-CN"/>
              </w:rPr>
            </w:pPr>
            <w:r>
              <w:rPr>
                <w:rFonts w:hint="default" w:ascii="Times New Roman" w:hAnsi="Times New Roman" w:eastAsia="宋体" w:cs="Times New Roman"/>
                <w:b/>
                <w:bCs/>
                <w:color w:val="auto"/>
                <w:highlight w:val="none"/>
                <w:lang w:val="en-US" w:eastAsia="zh-CN"/>
              </w:rPr>
              <w:t>《</w:t>
            </w:r>
            <w:r>
              <w:rPr>
                <w:rFonts w:hint="eastAsia"/>
                <w:color w:val="auto"/>
                <w:highlight w:val="none"/>
                <w:lang w:val="en-US" w:eastAsia="zh-CN"/>
              </w:rPr>
              <w:t xml:space="preserve"> </w:t>
            </w:r>
            <w:r>
              <w:rPr>
                <w:rFonts w:hint="default" w:ascii="Times New Roman" w:hAnsi="Times New Roman" w:eastAsia="宋体" w:cs="Times New Roman"/>
                <w:b/>
                <w:bCs/>
                <w:color w:val="auto"/>
                <w:sz w:val="21"/>
                <w:szCs w:val="21"/>
                <w:highlight w:val="none"/>
                <w:lang w:val="en-US" w:eastAsia="zh-CN"/>
              </w:rPr>
              <w:t>畜禽规模养殖场粪污资源化利用设施建设规范（试行）</w:t>
            </w:r>
            <w:r>
              <w:rPr>
                <w:rFonts w:hint="default" w:ascii="Times New Roman" w:hAnsi="Times New Roman" w:eastAsia="宋体" w:cs="Times New Roman"/>
                <w:b/>
                <w:bCs/>
                <w:color w:val="auto"/>
                <w:highlight w:val="none"/>
                <w:lang w:val="en-US" w:eastAsia="zh-CN"/>
              </w:rPr>
              <w:t>》</w:t>
            </w:r>
          </w:p>
        </w:tc>
        <w:tc>
          <w:tcPr>
            <w:tcW w:w="1971"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本项目情况</w:t>
            </w:r>
          </w:p>
        </w:tc>
        <w:tc>
          <w:tcPr>
            <w:tcW w:w="382" w:type="pct"/>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931" w:hRule="atLeast"/>
        </w:trPr>
        <w:tc>
          <w:tcPr>
            <w:tcW w:w="4163"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default" w:ascii="Times New Roman" w:hAnsi="Times New Roman" w:cs="Times New Roman"/>
                <w:b w:val="0"/>
                <w:bCs w:val="0"/>
                <w:color w:val="auto"/>
                <w:sz w:val="21"/>
                <w:highlight w:val="none"/>
              </w:rPr>
            </w:pPr>
            <w:r>
              <w:rPr>
                <w:rFonts w:hint="default" w:ascii="Times New Roman" w:hAnsi="Times New Roman" w:cs="Times New Roman"/>
                <w:b w:val="0"/>
                <w:bCs w:val="0"/>
                <w:color w:val="auto"/>
                <w:sz w:val="21"/>
                <w:highlight w:val="none"/>
              </w:rPr>
              <w:t>第二条畜禽粪污资源化利用是指在畜禽粪污处理过程中，通过生产沼气、堆肥、沤肥、沼肥、肥水、商品有机肥、垫料、基质等方式进行合理利用。</w:t>
            </w:r>
          </w:p>
        </w:tc>
        <w:tc>
          <w:tcPr>
            <w:tcW w:w="1971"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default" w:ascii="Times New Roman" w:hAnsi="Times New Roman" w:cs="Times New Roman"/>
                <w:b w:val="0"/>
                <w:bCs w:val="0"/>
                <w:color w:val="auto"/>
                <w:sz w:val="21"/>
                <w:highlight w:val="none"/>
                <w:lang w:val="en-US" w:eastAsia="zh-CN"/>
              </w:rPr>
            </w:pPr>
            <w:r>
              <w:rPr>
                <w:rFonts w:hint="default"/>
                <w:snapToGrid w:val="0"/>
                <w:color w:val="auto"/>
                <w:sz w:val="21"/>
                <w:szCs w:val="21"/>
                <w:highlight w:val="none"/>
              </w:rPr>
              <w:t>本项目</w:t>
            </w:r>
            <w:r>
              <w:rPr>
                <w:rFonts w:hint="eastAsia"/>
                <w:snapToGrid w:val="0"/>
                <w:color w:val="auto"/>
                <w:sz w:val="21"/>
                <w:szCs w:val="21"/>
                <w:highlight w:val="none"/>
              </w:rPr>
              <w:t>采用“固液分离+UASB厌氧+絮凝沉淀+两级A/O系统+混凝絮凝沉淀+消毒”</w:t>
            </w:r>
            <w:r>
              <w:rPr>
                <w:rFonts w:hint="eastAsia"/>
                <w:snapToGrid w:val="0"/>
                <w:color w:val="auto"/>
                <w:sz w:val="21"/>
                <w:szCs w:val="21"/>
                <w:highlight w:val="none"/>
                <w:lang w:val="en-US" w:eastAsia="zh-CN"/>
              </w:rPr>
              <w:t>工艺</w:t>
            </w:r>
            <w:r>
              <w:rPr>
                <w:rFonts w:hint="eastAsia"/>
                <w:snapToGrid w:val="0"/>
                <w:color w:val="auto"/>
                <w:sz w:val="21"/>
                <w:szCs w:val="21"/>
                <w:highlight w:val="none"/>
              </w:rPr>
              <w:t>，废水经污水站处理后用于消纳地</w:t>
            </w:r>
            <w:r>
              <w:rPr>
                <w:rFonts w:hint="default"/>
                <w:snapToGrid w:val="0"/>
                <w:color w:val="auto"/>
                <w:sz w:val="21"/>
                <w:szCs w:val="21"/>
                <w:highlight w:val="none"/>
              </w:rPr>
              <w:t>内灌溉。</w:t>
            </w:r>
            <w:r>
              <w:rPr>
                <w:rFonts w:hint="eastAsia"/>
                <w:snapToGrid w:val="0"/>
                <w:color w:val="auto"/>
                <w:sz w:val="21"/>
                <w:szCs w:val="21"/>
                <w:highlight w:val="none"/>
                <w:lang w:val="en-US" w:eastAsia="zh-CN"/>
              </w:rPr>
              <w:t>牛粪经干湿分离机脱水后，外售做有机肥原料。</w:t>
            </w:r>
          </w:p>
        </w:tc>
        <w:tc>
          <w:tcPr>
            <w:tcW w:w="382" w:type="pct"/>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58" w:hRule="atLeast"/>
        </w:trPr>
        <w:tc>
          <w:tcPr>
            <w:tcW w:w="4163" w:type="dxa"/>
            <w:tcBorders>
              <w:tl2br w:val="nil"/>
              <w:tr2bl w:val="nil"/>
            </w:tcBorders>
            <w:vAlign w:val="top"/>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s="Times New Roman"/>
                <w:b w:val="0"/>
                <w:bCs w:val="0"/>
                <w:color w:val="auto"/>
                <w:sz w:val="21"/>
                <w:highlight w:val="none"/>
              </w:rPr>
            </w:pPr>
            <w:r>
              <w:rPr>
                <w:rFonts w:hint="default" w:ascii="Times New Roman" w:hAnsi="Times New Roman" w:cs="Times New Roman"/>
                <w:b w:val="0"/>
                <w:bCs w:val="0"/>
                <w:color w:val="auto"/>
                <w:sz w:val="21"/>
                <w:highlight w:val="none"/>
              </w:rPr>
              <w:t>第三条畜禽规模养殖场粪污资源化利用应坚持农牧结合、种养平衡，按照资源化、减量化、无害化的原则，对源头减量、过程控制和末端利用各环节进行全程管理，提高粪污综合利用率和设施装备配套率。</w:t>
            </w:r>
          </w:p>
        </w:tc>
        <w:tc>
          <w:tcPr>
            <w:tcW w:w="1971"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s="Times New Roman"/>
                <w:b w:val="0"/>
                <w:bCs w:val="0"/>
                <w:color w:val="auto"/>
                <w:sz w:val="21"/>
                <w:highlight w:val="none"/>
                <w:lang w:eastAsia="zh-CN"/>
              </w:rPr>
            </w:pPr>
            <w:r>
              <w:rPr>
                <w:rFonts w:hint="eastAsia" w:ascii="Times New Roman" w:hAnsi="Times New Roman" w:cs="Times New Roman"/>
                <w:b w:val="0"/>
                <w:bCs w:val="0"/>
                <w:color w:val="auto"/>
                <w:sz w:val="21"/>
                <w:highlight w:val="none"/>
                <w:lang w:eastAsia="zh-CN"/>
              </w:rPr>
              <w:t>本项目将同步配套建设污水处理站，对项目产生的污染物按照相关要求进行规范化、无害化、资源化处理。</w:t>
            </w:r>
          </w:p>
        </w:tc>
        <w:tc>
          <w:tcPr>
            <w:tcW w:w="38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411" w:hRule="atLeast"/>
        </w:trPr>
        <w:tc>
          <w:tcPr>
            <w:tcW w:w="4163" w:type="dxa"/>
            <w:tcBorders>
              <w:tl2br w:val="nil"/>
              <w:tr2bl w:val="nil"/>
            </w:tcBorders>
            <w:vAlign w:val="top"/>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s="Times New Roman"/>
                <w:b w:val="0"/>
                <w:bCs w:val="0"/>
                <w:color w:val="auto"/>
                <w:sz w:val="21"/>
                <w:highlight w:val="none"/>
              </w:rPr>
            </w:pPr>
            <w:r>
              <w:rPr>
                <w:rFonts w:hint="default" w:ascii="Times New Roman" w:hAnsi="Times New Roman" w:cs="Times New Roman"/>
                <w:b w:val="0"/>
                <w:bCs w:val="0"/>
                <w:color w:val="auto"/>
                <w:sz w:val="21"/>
                <w:highlight w:val="none"/>
              </w:rPr>
              <w:t>第四条畜禽规模养殖场应根据养殖污染防治要求，建设与养殖规模相配套的粪污资源化利用设施设备，并确保正常运行</w:t>
            </w:r>
          </w:p>
        </w:tc>
        <w:tc>
          <w:tcPr>
            <w:tcW w:w="1971"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s="Times New Roman"/>
                <w:b w:val="0"/>
                <w:bCs w:val="0"/>
                <w:color w:val="auto"/>
                <w:sz w:val="21"/>
                <w:highlight w:val="none"/>
                <w:lang w:val="en-US" w:eastAsia="zh-CN"/>
              </w:rPr>
            </w:pPr>
            <w:r>
              <w:rPr>
                <w:rFonts w:hint="default"/>
                <w:color w:val="auto"/>
                <w:sz w:val="21"/>
                <w:szCs w:val="21"/>
                <w:highlight w:val="none"/>
              </w:rPr>
              <w:t>本</w:t>
            </w:r>
            <w:r>
              <w:rPr>
                <w:rFonts w:hint="default" w:ascii="Times New Roman" w:hAnsi="Times New Roman" w:cs="Times New Roman"/>
                <w:b w:val="0"/>
                <w:bCs w:val="0"/>
                <w:color w:val="auto"/>
                <w:sz w:val="21"/>
                <w:highlight w:val="none"/>
                <w:lang w:eastAsia="zh-CN"/>
              </w:rPr>
              <w:t>项目</w:t>
            </w:r>
            <w:r>
              <w:rPr>
                <w:rFonts w:hint="eastAsia" w:ascii="Times New Roman" w:hAnsi="Times New Roman" w:cs="Times New Roman"/>
                <w:b w:val="0"/>
                <w:bCs w:val="0"/>
                <w:color w:val="auto"/>
                <w:sz w:val="21"/>
                <w:highlight w:val="none"/>
                <w:lang w:eastAsia="zh-CN"/>
              </w:rPr>
              <w:t>建设</w:t>
            </w:r>
            <w:r>
              <w:rPr>
                <w:rFonts w:hint="eastAsia" w:ascii="Times New Roman" w:hAnsi="Times New Roman" w:cs="Times New Roman"/>
                <w:b w:val="0"/>
                <w:bCs w:val="0"/>
                <w:color w:val="auto"/>
                <w:sz w:val="21"/>
                <w:highlight w:val="none"/>
                <w:lang w:val="en-US" w:eastAsia="zh-CN"/>
              </w:rPr>
              <w:t>污水处理站</w:t>
            </w:r>
            <w:r>
              <w:rPr>
                <w:rFonts w:hint="eastAsia" w:ascii="Times New Roman" w:hAnsi="Times New Roman" w:cs="Times New Roman"/>
                <w:b w:val="0"/>
                <w:bCs w:val="0"/>
                <w:color w:val="auto"/>
                <w:sz w:val="21"/>
                <w:highlight w:val="none"/>
                <w:lang w:eastAsia="zh-CN"/>
              </w:rPr>
              <w:t>，</w:t>
            </w:r>
            <w:r>
              <w:rPr>
                <w:rFonts w:hint="eastAsia" w:ascii="Times New Roman" w:hAnsi="Times New Roman" w:cs="Times New Roman"/>
                <w:b w:val="0"/>
                <w:bCs w:val="0"/>
                <w:color w:val="auto"/>
                <w:sz w:val="21"/>
                <w:highlight w:val="none"/>
                <w:lang w:val="en-US" w:eastAsia="zh-CN"/>
              </w:rPr>
              <w:t>设计</w:t>
            </w:r>
            <w:r>
              <w:rPr>
                <w:rFonts w:hint="eastAsia" w:ascii="Times New Roman" w:hAnsi="Times New Roman" w:cs="Times New Roman"/>
                <w:b w:val="0"/>
                <w:bCs w:val="0"/>
                <w:color w:val="auto"/>
                <w:sz w:val="21"/>
                <w:highlight w:val="none"/>
                <w:lang w:eastAsia="zh-CN"/>
              </w:rPr>
              <w:t>日处理粪污</w:t>
            </w:r>
            <w:r>
              <w:rPr>
                <w:rFonts w:hint="eastAsia" w:ascii="Times New Roman" w:hAnsi="Times New Roman" w:cs="Times New Roman"/>
                <w:b w:val="0"/>
                <w:bCs w:val="0"/>
                <w:color w:val="auto"/>
                <w:sz w:val="21"/>
                <w:highlight w:val="none"/>
                <w:lang w:val="en-US" w:eastAsia="zh-CN"/>
              </w:rPr>
              <w:t>300m</w:t>
            </w:r>
            <w:r>
              <w:rPr>
                <w:rFonts w:hint="eastAsia" w:ascii="Times New Roman" w:hAnsi="Times New Roman" w:cs="Times New Roman"/>
                <w:b w:val="0"/>
                <w:bCs w:val="0"/>
                <w:color w:val="auto"/>
                <w:sz w:val="21"/>
                <w:highlight w:val="none"/>
                <w:vertAlign w:val="superscript"/>
                <w:lang w:val="en-US" w:eastAsia="zh-CN"/>
              </w:rPr>
              <w:t>3</w:t>
            </w:r>
            <w:r>
              <w:rPr>
                <w:rFonts w:hint="eastAsia" w:ascii="Times New Roman" w:hAnsi="Times New Roman" w:cs="Times New Roman"/>
                <w:b w:val="0"/>
                <w:bCs w:val="0"/>
                <w:color w:val="auto"/>
                <w:sz w:val="21"/>
                <w:highlight w:val="none"/>
                <w:lang w:val="en-US" w:eastAsia="zh-CN"/>
              </w:rPr>
              <w:t>/d</w:t>
            </w:r>
            <w:r>
              <w:rPr>
                <w:rFonts w:hint="eastAsia" w:ascii="Times New Roman" w:hAnsi="Times New Roman" w:cs="Times New Roman"/>
                <w:b w:val="0"/>
                <w:bCs w:val="0"/>
                <w:color w:val="auto"/>
                <w:sz w:val="21"/>
                <w:highlight w:val="none"/>
                <w:lang w:eastAsia="zh-CN"/>
              </w:rPr>
              <w:t>，项目运营期将将加强粪污处理设备巡检维修，确保处理设施正常运行。</w:t>
            </w:r>
          </w:p>
        </w:tc>
        <w:tc>
          <w:tcPr>
            <w:tcW w:w="382" w:type="pct"/>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4163" w:type="dxa"/>
            <w:tcBorders>
              <w:tl2br w:val="nil"/>
              <w:tr2bl w:val="nil"/>
            </w:tcBorders>
            <w:vAlign w:val="top"/>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s="Times New Roman"/>
                <w:b w:val="0"/>
                <w:bCs w:val="0"/>
                <w:color w:val="auto"/>
                <w:sz w:val="21"/>
                <w:highlight w:val="none"/>
              </w:rPr>
            </w:pPr>
            <w:r>
              <w:rPr>
                <w:rFonts w:hint="default" w:ascii="Times New Roman" w:hAnsi="Times New Roman" w:cs="Times New Roman"/>
                <w:b w:val="0"/>
                <w:bCs w:val="0"/>
                <w:color w:val="auto"/>
                <w:sz w:val="21"/>
                <w:highlight w:val="none"/>
              </w:rPr>
              <w:t>第五条畜禽规模养殖场宜采用干清粪工艺。采用水泡粪工艺的，要控制用水量，减少粪污产生总量。鼓励水冲粪工艺改造为干清粪或水泡粪。不同畜种不同清粪工艺最高允许排水量按照 GB18596 执行</w:t>
            </w:r>
          </w:p>
        </w:tc>
        <w:tc>
          <w:tcPr>
            <w:tcW w:w="1971"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s="Times New Roman"/>
                <w:b w:val="0"/>
                <w:bCs w:val="0"/>
                <w:color w:val="auto"/>
                <w:sz w:val="21"/>
                <w:highlight w:val="none"/>
                <w:lang w:eastAsia="zh-CN"/>
              </w:rPr>
            </w:pPr>
            <w:r>
              <w:rPr>
                <w:rFonts w:hint="eastAsia" w:ascii="Times New Roman" w:hAnsi="Times New Roman" w:cs="Times New Roman"/>
                <w:b w:val="0"/>
                <w:bCs w:val="0"/>
                <w:color w:val="auto"/>
                <w:sz w:val="21"/>
                <w:highlight w:val="none"/>
                <w:lang w:eastAsia="zh-CN"/>
              </w:rPr>
              <w:t>本项目采用干清粪工艺。</w:t>
            </w:r>
          </w:p>
        </w:tc>
        <w:tc>
          <w:tcPr>
            <w:tcW w:w="382"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4163" w:type="dxa"/>
            <w:tcBorders>
              <w:tl2br w:val="nil"/>
              <w:tr2bl w:val="nil"/>
            </w:tcBorders>
            <w:vAlign w:val="top"/>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s="Times New Roman"/>
                <w:b w:val="0"/>
                <w:bCs w:val="0"/>
                <w:color w:val="auto"/>
                <w:sz w:val="21"/>
                <w:highlight w:val="none"/>
              </w:rPr>
            </w:pPr>
            <w:r>
              <w:rPr>
                <w:rFonts w:hint="default" w:ascii="Times New Roman" w:hAnsi="Times New Roman" w:cs="Times New Roman"/>
                <w:b w:val="0"/>
                <w:bCs w:val="0"/>
                <w:color w:val="auto"/>
                <w:sz w:val="21"/>
                <w:highlight w:val="none"/>
              </w:rPr>
              <w:t>第六条畜禽规模养殖场应及时对粪污进行收集、贮存，粪污暂存池(场)应满足防渗、防雨、防溢流等要求。固体粪便暂存池(场)的设计按照GB/T 27622 执行。污水暂存池的设计按照 GB/T 26624 执行。</w:t>
            </w:r>
          </w:p>
        </w:tc>
        <w:tc>
          <w:tcPr>
            <w:tcW w:w="1971"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s="Times New Roman"/>
                <w:b w:val="0"/>
                <w:bCs w:val="0"/>
                <w:color w:val="auto"/>
                <w:sz w:val="21"/>
                <w:highlight w:val="none"/>
                <w:lang w:eastAsia="zh-CN"/>
              </w:rPr>
            </w:pPr>
            <w:r>
              <w:rPr>
                <w:rFonts w:hint="eastAsia" w:ascii="Times New Roman" w:hAnsi="Times New Roman" w:cs="Times New Roman"/>
                <w:b w:val="0"/>
                <w:bCs w:val="0"/>
                <w:color w:val="auto"/>
                <w:sz w:val="21"/>
                <w:highlight w:val="none"/>
                <w:lang w:eastAsia="zh-CN"/>
              </w:rPr>
              <w:t>本项目对粪污进行收集贮存</w:t>
            </w:r>
          </w:p>
        </w:tc>
        <w:tc>
          <w:tcPr>
            <w:tcW w:w="382"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b w:val="0"/>
                <w:bCs w:val="0"/>
                <w:color w:val="auto"/>
                <w:sz w:val="21"/>
                <w:highlight w:val="none"/>
                <w:lang w:val="en-US" w:eastAsia="zh-CN"/>
              </w:rPr>
            </w:pPr>
            <w:r>
              <w:rPr>
                <w:rFonts w:hint="eastAsia" w:ascii="Times New Roman" w:hAnsi="Times New Roman"/>
                <w:b w:val="0"/>
                <w:bCs w:val="0"/>
                <w:color w:val="auto"/>
                <w:sz w:val="21"/>
                <w:highlight w:val="none"/>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4163" w:type="dxa"/>
            <w:tcBorders>
              <w:tl2br w:val="nil"/>
              <w:tr2bl w:val="nil"/>
            </w:tcBorders>
            <w:vAlign w:val="top"/>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s="Times New Roman"/>
                <w:b w:val="0"/>
                <w:bCs w:val="0"/>
                <w:color w:val="auto"/>
                <w:sz w:val="21"/>
                <w:highlight w:val="none"/>
              </w:rPr>
            </w:pPr>
            <w:r>
              <w:rPr>
                <w:rFonts w:hint="default" w:ascii="Times New Roman" w:hAnsi="Times New Roman" w:cs="Times New Roman"/>
                <w:b w:val="0"/>
                <w:bCs w:val="0"/>
                <w:color w:val="auto"/>
                <w:sz w:val="21"/>
                <w:highlight w:val="none"/>
              </w:rPr>
              <w:t>第七条畜禽规模养殖场应建设雨污分离设施，污水宜采用暗沟或管道输送。</w:t>
            </w:r>
          </w:p>
        </w:tc>
        <w:tc>
          <w:tcPr>
            <w:tcW w:w="1971"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default" w:ascii="Times New Roman" w:hAnsi="Times New Roman" w:cs="Times New Roman"/>
                <w:b w:val="0"/>
                <w:bCs w:val="0"/>
                <w:color w:val="auto"/>
                <w:sz w:val="21"/>
                <w:highlight w:val="none"/>
                <w:lang w:val="en-US" w:eastAsia="zh-CN"/>
              </w:rPr>
            </w:pPr>
            <w:r>
              <w:rPr>
                <w:rFonts w:hint="default" w:ascii="Times New Roman" w:hAnsi="Times New Roman" w:cs="Times New Roman"/>
                <w:b w:val="0"/>
                <w:bCs w:val="0"/>
                <w:color w:val="auto"/>
                <w:sz w:val="21"/>
                <w:highlight w:val="none"/>
                <w:lang w:val="en-US" w:eastAsia="zh-CN"/>
              </w:rPr>
              <w:t>本项目将设置雨污分流设施，厂区设置雨水收集系统，污水收集采用管道方式输送。</w:t>
            </w:r>
          </w:p>
        </w:tc>
        <w:tc>
          <w:tcPr>
            <w:tcW w:w="382"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b w:val="0"/>
                <w:bCs w:val="0"/>
                <w:color w:val="auto"/>
                <w:sz w:val="21"/>
                <w:highlight w:val="none"/>
                <w:lang w:val="en-US" w:eastAsia="zh-CN"/>
              </w:rPr>
            </w:pPr>
            <w:r>
              <w:rPr>
                <w:rFonts w:hint="eastAsia" w:ascii="Times New Roman" w:hAnsi="Times New Roman"/>
                <w:b w:val="0"/>
                <w:bCs w:val="0"/>
                <w:color w:val="auto"/>
                <w:sz w:val="21"/>
                <w:highlight w:val="none"/>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4163" w:type="dxa"/>
            <w:tcBorders>
              <w:tl2br w:val="nil"/>
              <w:tr2bl w:val="nil"/>
            </w:tcBorders>
            <w:vAlign w:val="top"/>
          </w:tcPr>
          <w:p>
            <w:pPr>
              <w:pStyle w:val="267"/>
              <w:keepNext w:val="0"/>
              <w:keepLines w:val="0"/>
              <w:widowControl/>
              <w:numPr>
                <w:ilvl w:val="0"/>
                <w:numId w:val="0"/>
              </w:numPr>
              <w:suppressLineNumbers w:val="0"/>
              <w:spacing w:before="0" w:beforeAutospacing="0" w:after="0" w:afterAutospacing="0"/>
              <w:ind w:left="0" w:right="0"/>
              <w:jc w:val="both"/>
              <w:rPr>
                <w:rFonts w:hint="default" w:ascii="Times New Roman" w:hAnsi="Times New Roman" w:cs="Times New Roman"/>
                <w:b w:val="0"/>
                <w:bCs w:val="0"/>
                <w:color w:val="auto"/>
                <w:sz w:val="21"/>
                <w:highlight w:val="none"/>
              </w:rPr>
            </w:pPr>
            <w:r>
              <w:rPr>
                <w:rFonts w:hint="default" w:ascii="Times New Roman" w:hAnsi="Times New Roman" w:cs="Times New Roman"/>
                <w:b w:val="0"/>
                <w:bCs w:val="0"/>
                <w:color w:val="auto"/>
                <w:sz w:val="21"/>
                <w:highlight w:val="none"/>
              </w:rPr>
              <w:t>第八条规模养殖场干清粪或固液分离后的固体粪便可采用堆肥、沤肥、生产垫料等方式进行处理利用。固体粪便堆肥(生产垫料)宜采用条垛式、槽式、发酵仓、强制通风静态垛等好氧工艺，或其他适用技术，同时配套必要的混合、输送、搅拌、供氧等设施设备。猪场堆肥设施发酵容积不小于0.002m3×发酵周期(天)×设计存栏量(头)，其它畜禽按 GB 18596 折算</w:t>
            </w:r>
          </w:p>
          <w:p>
            <w:pPr>
              <w:pStyle w:val="267"/>
              <w:keepNext w:val="0"/>
              <w:keepLines w:val="0"/>
              <w:widowControl/>
              <w:numPr>
                <w:ilvl w:val="0"/>
                <w:numId w:val="0"/>
              </w:numPr>
              <w:suppressLineNumbers w:val="0"/>
              <w:spacing w:before="0" w:beforeAutospacing="0" w:after="0" w:afterAutospacing="0"/>
              <w:ind w:left="0" w:right="0"/>
              <w:jc w:val="both"/>
              <w:rPr>
                <w:rFonts w:hint="default" w:ascii="Times New Roman" w:hAnsi="Times New Roman" w:cs="Times New Roman"/>
                <w:b w:val="0"/>
                <w:bCs w:val="0"/>
                <w:color w:val="auto"/>
                <w:sz w:val="21"/>
                <w:highlight w:val="none"/>
              </w:rPr>
            </w:pPr>
            <w:r>
              <w:rPr>
                <w:rFonts w:hint="default" w:ascii="Times New Roman" w:hAnsi="Times New Roman" w:cs="Times New Roman"/>
                <w:b w:val="0"/>
                <w:bCs w:val="0"/>
                <w:color w:val="auto"/>
                <w:sz w:val="21"/>
                <w:highlight w:val="none"/>
              </w:rPr>
              <w:t>成猪的存栏量计算。</w:t>
            </w:r>
          </w:p>
        </w:tc>
        <w:tc>
          <w:tcPr>
            <w:tcW w:w="1971"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s="Times New Roman"/>
                <w:b w:val="0"/>
                <w:bCs w:val="0"/>
                <w:color w:val="auto"/>
                <w:sz w:val="21"/>
                <w:highlight w:val="none"/>
                <w:lang w:val="en-US" w:eastAsia="zh-CN"/>
              </w:rPr>
            </w:pPr>
            <w:r>
              <w:rPr>
                <w:rFonts w:hint="eastAsia" w:ascii="宋体" w:hAnsi="宋体" w:eastAsia="宋体" w:cs="宋体"/>
                <w:b w:val="0"/>
                <w:bCs w:val="0"/>
                <w:color w:val="auto"/>
                <w:sz w:val="21"/>
                <w:szCs w:val="21"/>
                <w:highlight w:val="none"/>
              </w:rPr>
              <w:t>本项目畜禽粪便</w:t>
            </w:r>
            <w:r>
              <w:rPr>
                <w:rFonts w:hint="eastAsia" w:ascii="宋体" w:hAnsi="宋体" w:cs="宋体"/>
                <w:b w:val="0"/>
                <w:bCs w:val="0"/>
                <w:color w:val="auto"/>
                <w:sz w:val="21"/>
                <w:szCs w:val="21"/>
                <w:highlight w:val="none"/>
                <w:lang w:eastAsia="zh-CN"/>
              </w:rPr>
              <w:t>、病死牛处理后的残渣以及污水处理站的污泥残渣</w:t>
            </w:r>
            <w:r>
              <w:rPr>
                <w:rFonts w:hint="eastAsia" w:ascii="宋体" w:hAnsi="宋体" w:cs="宋体"/>
                <w:b w:val="0"/>
                <w:bCs w:val="0"/>
                <w:color w:val="auto"/>
                <w:sz w:val="21"/>
                <w:szCs w:val="21"/>
                <w:highlight w:val="none"/>
                <w:lang w:val="en-US" w:eastAsia="zh-CN"/>
              </w:rPr>
              <w:t>经收集后</w:t>
            </w:r>
            <w:r>
              <w:rPr>
                <w:rFonts w:hint="eastAsia" w:ascii="宋体" w:hAnsi="宋体" w:cs="宋体"/>
                <w:b w:val="0"/>
                <w:bCs w:val="0"/>
                <w:color w:val="auto"/>
                <w:sz w:val="21"/>
                <w:szCs w:val="21"/>
                <w:highlight w:val="none"/>
                <w:lang w:eastAsia="zh-CN"/>
              </w:rPr>
              <w:t>运输至南江县万事康生物科技有限公司用作生产有机肥原料使用；</w:t>
            </w:r>
          </w:p>
        </w:tc>
        <w:tc>
          <w:tcPr>
            <w:tcW w:w="382"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b w:val="0"/>
                <w:bCs w:val="0"/>
                <w:color w:val="auto"/>
                <w:sz w:val="21"/>
                <w:highlight w:val="none"/>
                <w:lang w:val="en-US" w:eastAsia="zh-CN"/>
              </w:rPr>
            </w:pPr>
            <w:r>
              <w:rPr>
                <w:rFonts w:hint="eastAsia" w:ascii="Times New Roman" w:hAnsi="Times New Roman"/>
                <w:b w:val="0"/>
                <w:bCs w:val="0"/>
                <w:color w:val="auto"/>
                <w:sz w:val="21"/>
                <w:highlight w:val="none"/>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11" w:hRule="atLeast"/>
        </w:trPr>
        <w:tc>
          <w:tcPr>
            <w:tcW w:w="4163" w:type="dxa"/>
            <w:tcBorders>
              <w:tl2br w:val="nil"/>
              <w:tr2bl w:val="nil"/>
            </w:tcBorders>
            <w:vAlign w:val="top"/>
          </w:tcPr>
          <w:p>
            <w:pPr>
              <w:pStyle w:val="267"/>
              <w:keepNext w:val="0"/>
              <w:keepLines w:val="0"/>
              <w:widowControl/>
              <w:numPr>
                <w:ilvl w:val="0"/>
                <w:numId w:val="0"/>
              </w:numPr>
              <w:suppressLineNumbers w:val="0"/>
              <w:spacing w:before="0" w:beforeAutospacing="0" w:after="0" w:afterAutospacing="0"/>
              <w:ind w:left="0" w:right="0"/>
              <w:jc w:val="both"/>
              <w:rPr>
                <w:rFonts w:hint="default" w:ascii="Times New Roman" w:hAnsi="Times New Roman" w:cs="Times New Roman"/>
                <w:b w:val="0"/>
                <w:bCs w:val="0"/>
                <w:color w:val="auto"/>
                <w:sz w:val="21"/>
                <w:highlight w:val="none"/>
              </w:rPr>
            </w:pPr>
            <w:r>
              <w:rPr>
                <w:rFonts w:hint="default" w:ascii="Times New Roman" w:hAnsi="Times New Roman" w:cs="Times New Roman"/>
                <w:b w:val="0"/>
                <w:bCs w:val="0"/>
                <w:color w:val="auto"/>
                <w:sz w:val="21"/>
                <w:highlight w:val="none"/>
              </w:rPr>
              <w:t>第九条液体或全量粪污通过氧化塘、沉淀池等进行无害化处理的，氧化塘、贮存池容积不小于单位畜禽日粪污产生量(m3 )×贮存周期(天) ×设计存栏量(头)。单位畜禽粪污日产生量推荐值为：生猪0.01m3 ，奶牛0.045m3，肉牛 0.017m3，家禽0.0002m3，具体可根据养殖场实际情况核定。</w:t>
            </w:r>
          </w:p>
        </w:tc>
        <w:tc>
          <w:tcPr>
            <w:tcW w:w="1971" w:type="pct"/>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s="Times New Roman"/>
                <w:b w:val="0"/>
                <w:bCs w:val="0"/>
                <w:color w:val="auto"/>
                <w:sz w:val="21"/>
                <w:highlight w:val="none"/>
                <w:lang w:val="en-US" w:eastAsia="zh-CN"/>
              </w:rPr>
            </w:pPr>
            <w:r>
              <w:rPr>
                <w:rFonts w:hint="eastAsia" w:ascii="Times New Roman" w:hAnsi="Times New Roman" w:cs="Times New Roman"/>
                <w:b w:val="0"/>
                <w:bCs w:val="0"/>
                <w:color w:val="auto"/>
                <w:sz w:val="21"/>
                <w:highlight w:val="none"/>
                <w:lang w:val="en-US" w:eastAsia="zh-CN"/>
              </w:rPr>
              <w:t>采用干清粪方式收集后，暂存于干粪棚内，（每天定时清理，暂存时间&lt;1天），由车辆清运至南江县万事康生物科技有限公司用作生产有机肥原料使用。</w:t>
            </w:r>
          </w:p>
        </w:tc>
        <w:tc>
          <w:tcPr>
            <w:tcW w:w="382" w:type="pc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b w:val="0"/>
                <w:bCs w:val="0"/>
                <w:color w:val="auto"/>
                <w:sz w:val="21"/>
                <w:highlight w:val="none"/>
                <w:lang w:val="en-US" w:eastAsia="zh-CN"/>
              </w:rPr>
            </w:pPr>
            <w:r>
              <w:rPr>
                <w:rFonts w:hint="eastAsia" w:ascii="Times New Roman" w:hAnsi="Times New Roman"/>
                <w:b w:val="0"/>
                <w:bCs w:val="0"/>
                <w:color w:val="auto"/>
                <w:sz w:val="21"/>
                <w:highlight w:val="none"/>
                <w:lang w:val="en-US" w:eastAsia="zh-CN"/>
              </w:rPr>
              <w:t>符合</w:t>
            </w:r>
          </w:p>
        </w:tc>
      </w:tr>
    </w:tbl>
    <w:p>
      <w:pPr>
        <w:adjustRightInd w:val="0"/>
        <w:snapToGrid w:val="0"/>
        <w:ind w:firstLine="518" w:firstLineChars="216"/>
        <w:rPr>
          <w:rFonts w:hint="default"/>
          <w:color w:val="auto"/>
          <w:highlight w:val="none"/>
          <w:lang w:val="en-US" w:eastAsia="zh-CN"/>
        </w:rPr>
      </w:pPr>
      <w:r>
        <w:rPr>
          <w:rFonts w:ascii="Times New Roman" w:hAnsi="Times New Roman" w:cs="Times New Roman"/>
          <w:bCs/>
          <w:color w:val="auto"/>
          <w:sz w:val="24"/>
          <w:szCs w:val="24"/>
          <w:highlight w:val="none"/>
        </w:rPr>
        <w:t>由</w:t>
      </w:r>
      <w:r>
        <w:rPr>
          <w:rFonts w:hint="eastAsia" w:ascii="Times New Roman" w:hAnsi="Times New Roman" w:cs="Times New Roman"/>
          <w:bCs/>
          <w:color w:val="auto"/>
          <w:sz w:val="24"/>
          <w:szCs w:val="24"/>
          <w:highlight w:val="none"/>
          <w:lang w:eastAsia="zh-CN"/>
        </w:rPr>
        <w:t>上表</w:t>
      </w:r>
      <w:r>
        <w:rPr>
          <w:rFonts w:ascii="Times New Roman" w:hAnsi="Times New Roman" w:cs="Times New Roman"/>
          <w:bCs/>
          <w:color w:val="auto"/>
          <w:sz w:val="24"/>
          <w:szCs w:val="24"/>
          <w:highlight w:val="none"/>
        </w:rPr>
        <w:t>可知，项目粪污资源化利用设施符合《畜禽规模养殖场粪污资源化利用设施建设规范（试行）》选址要求。</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default" w:ascii="Times New Roman" w:hAnsi="Times New Roman" w:eastAsia="宋体" w:cs="Times New Roman"/>
          <w:color w:val="auto"/>
          <w:highlight w:val="none"/>
        </w:rPr>
      </w:pPr>
      <w:bookmarkStart w:id="105" w:name="_Toc27855"/>
      <w:r>
        <w:rPr>
          <w:rFonts w:hint="default" w:ascii="Times New Roman" w:hAnsi="Times New Roman" w:eastAsia="宋体" w:cs="Times New Roman"/>
          <w:color w:val="auto"/>
          <w:highlight w:val="none"/>
        </w:rPr>
        <w:t>选址合理性</w:t>
      </w:r>
      <w:bookmarkEnd w:id="105"/>
    </w:p>
    <w:p>
      <w:pPr>
        <w:pStyle w:val="8"/>
        <w:spacing w:before="0" w:after="0" w:line="360" w:lineRule="auto"/>
        <w:ind w:left="0" w:firstLine="0"/>
        <w:rPr>
          <w:rFonts w:cs="Times New Roman"/>
          <w:color w:val="auto"/>
          <w:highlight w:val="none"/>
        </w:rPr>
      </w:pPr>
      <w:bookmarkStart w:id="106" w:name="_Toc10224"/>
      <w:r>
        <w:rPr>
          <w:rFonts w:hint="eastAsia" w:cs="Times New Roman"/>
          <w:color w:val="auto"/>
          <w:highlight w:val="none"/>
        </w:rPr>
        <w:t>与</w:t>
      </w:r>
      <w:r>
        <w:rPr>
          <w:rFonts w:hint="eastAsia" w:cs="Times New Roman"/>
          <w:color w:val="auto"/>
          <w:highlight w:val="none"/>
          <w:lang w:eastAsia="zh-CN"/>
        </w:rPr>
        <w:t>巴州区</w:t>
      </w:r>
      <w:r>
        <w:rPr>
          <w:rFonts w:hint="eastAsia" w:cs="Times New Roman"/>
          <w:color w:val="auto"/>
          <w:highlight w:val="none"/>
        </w:rPr>
        <w:t>畜禽养殖规划符合性分析</w:t>
      </w:r>
      <w:bookmarkEnd w:id="106"/>
    </w:p>
    <w:p>
      <w:pPr>
        <w:adjustRightInd w:val="0"/>
        <w:snapToGrid w:val="0"/>
        <w:ind w:firstLine="518" w:firstLineChars="216"/>
        <w:rPr>
          <w:rFonts w:ascii="Times New Roman" w:hAnsi="Times New Roman" w:cs="Times New Roman"/>
          <w:bCs/>
          <w:color w:val="auto"/>
          <w:sz w:val="24"/>
          <w:highlight w:val="none"/>
        </w:rPr>
      </w:pPr>
      <w:r>
        <w:rPr>
          <w:rFonts w:ascii="Times New Roman" w:hAnsi="Times New Roman" w:cs="Times New Roman"/>
          <w:bCs/>
          <w:color w:val="auto"/>
          <w:sz w:val="24"/>
          <w:szCs w:val="24"/>
          <w:highlight w:val="none"/>
        </w:rPr>
        <w:t>本项目选址于</w:t>
      </w:r>
      <w:r>
        <w:rPr>
          <w:rFonts w:hint="eastAsia" w:ascii="Times New Roman" w:hAnsi="Times New Roman" w:cs="Times New Roman"/>
          <w:bCs/>
          <w:color w:val="auto"/>
          <w:sz w:val="24"/>
          <w:szCs w:val="24"/>
          <w:highlight w:val="none"/>
          <w:lang w:eastAsia="zh-CN"/>
        </w:rPr>
        <w:t>四川省巴中市巴州区鼎山镇首市村</w:t>
      </w:r>
      <w:r>
        <w:rPr>
          <w:rFonts w:hint="eastAsia" w:ascii="Times New Roman" w:hAnsi="Times New Roman" w:cs="Times New Roman"/>
          <w:bCs/>
          <w:color w:val="auto"/>
          <w:sz w:val="24"/>
          <w:szCs w:val="24"/>
          <w:highlight w:val="none"/>
        </w:rPr>
        <w:t>，建设单位同</w:t>
      </w:r>
      <w:r>
        <w:rPr>
          <w:rFonts w:hint="eastAsia" w:ascii="Times New Roman" w:hAnsi="Times New Roman" w:cs="Times New Roman"/>
          <w:bCs/>
          <w:color w:val="auto"/>
          <w:sz w:val="24"/>
          <w:szCs w:val="24"/>
          <w:highlight w:val="none"/>
          <w:lang w:eastAsia="zh-CN"/>
        </w:rPr>
        <w:t>首市村</w:t>
      </w:r>
      <w:r>
        <w:rPr>
          <w:rFonts w:hint="eastAsia" w:ascii="Times New Roman" w:hAnsi="Times New Roman" w:cs="Times New Roman"/>
          <w:bCs/>
          <w:color w:val="auto"/>
          <w:sz w:val="24"/>
          <w:szCs w:val="24"/>
          <w:highlight w:val="none"/>
        </w:rPr>
        <w:t>签订了土地</w:t>
      </w:r>
      <w:r>
        <w:rPr>
          <w:rFonts w:hint="eastAsia" w:ascii="Times New Roman" w:hAnsi="Times New Roman" w:cs="Times New Roman"/>
          <w:bCs/>
          <w:color w:val="auto"/>
          <w:sz w:val="24"/>
          <w:szCs w:val="24"/>
          <w:highlight w:val="none"/>
          <w:lang w:eastAsia="zh-CN"/>
        </w:rPr>
        <w:t>流转合同</w:t>
      </w:r>
      <w:r>
        <w:rPr>
          <w:rFonts w:hint="eastAsia" w:ascii="Times New Roman" w:hAnsi="Times New Roman" w:cs="Times New Roman"/>
          <w:bCs/>
          <w:color w:val="auto"/>
          <w:sz w:val="24"/>
          <w:szCs w:val="24"/>
          <w:highlight w:val="none"/>
        </w:rPr>
        <w:t>，用地</w:t>
      </w:r>
      <w:r>
        <w:rPr>
          <w:rFonts w:hint="eastAsia" w:ascii="Times New Roman" w:hAnsi="Times New Roman" w:cs="Times New Roman"/>
          <w:bCs/>
          <w:color w:val="auto"/>
          <w:sz w:val="24"/>
          <w:szCs w:val="24"/>
          <w:highlight w:val="none"/>
          <w:lang w:val="en-US" w:eastAsia="zh-CN"/>
        </w:rPr>
        <w:t>512.52</w:t>
      </w:r>
      <w:r>
        <w:rPr>
          <w:rFonts w:hint="eastAsia" w:ascii="Times New Roman" w:hAnsi="Times New Roman" w:cs="Times New Roman"/>
          <w:bCs/>
          <w:color w:val="auto"/>
          <w:sz w:val="24"/>
          <w:szCs w:val="24"/>
          <w:highlight w:val="none"/>
        </w:rPr>
        <w:t>亩（详见附件</w:t>
      </w:r>
      <w:r>
        <w:rPr>
          <w:rFonts w:hint="eastAsia" w:ascii="Times New Roman" w:hAnsi="Times New Roman" w:cs="Times New Roman"/>
          <w:bCs/>
          <w:color w:val="auto"/>
          <w:sz w:val="24"/>
          <w:szCs w:val="24"/>
          <w:highlight w:val="none"/>
          <w:lang w:val="en-US" w:eastAsia="zh-CN"/>
        </w:rPr>
        <w:t>4</w:t>
      </w:r>
      <w:r>
        <w:rPr>
          <w:rFonts w:hint="eastAsia" w:ascii="Times New Roman" w:hAnsi="Times New Roman" w:cs="Times New Roman"/>
          <w:bCs/>
          <w:color w:val="auto"/>
          <w:sz w:val="24"/>
          <w:szCs w:val="24"/>
          <w:highlight w:val="none"/>
        </w:rPr>
        <w:t>）。</w:t>
      </w:r>
    </w:p>
    <w:p>
      <w:pPr>
        <w:pStyle w:val="1386"/>
        <w:ind w:firstLine="480"/>
        <w:rPr>
          <w:color w:val="auto"/>
          <w:highlight w:val="none"/>
        </w:rPr>
      </w:pPr>
      <w:r>
        <w:rPr>
          <w:rFonts w:hint="eastAsia"/>
          <w:bCs/>
          <w:color w:val="auto"/>
          <w:highlight w:val="none"/>
        </w:rPr>
        <w:t>根据</w:t>
      </w:r>
      <w:r>
        <w:rPr>
          <w:rFonts w:hint="eastAsia"/>
          <w:bCs/>
          <w:color w:val="auto"/>
          <w:highlight w:val="none"/>
          <w:lang w:eastAsia="zh-CN"/>
        </w:rPr>
        <w:t>巴州区</w:t>
      </w:r>
      <w:r>
        <w:rPr>
          <w:rFonts w:hint="eastAsia"/>
          <w:bCs/>
          <w:color w:val="auto"/>
          <w:highlight w:val="none"/>
        </w:rPr>
        <w:t>人民政府办公室关于印发《</w:t>
      </w:r>
      <w:r>
        <w:rPr>
          <w:rFonts w:hint="eastAsia"/>
          <w:bCs/>
          <w:color w:val="auto"/>
          <w:highlight w:val="none"/>
          <w:lang w:eastAsia="zh-CN"/>
        </w:rPr>
        <w:t>巴中市巴州区</w:t>
      </w:r>
      <w:r>
        <w:rPr>
          <w:rFonts w:hint="eastAsia"/>
          <w:bCs/>
          <w:color w:val="auto"/>
          <w:highlight w:val="none"/>
        </w:rPr>
        <w:t>畜禽养殖区</w:t>
      </w:r>
      <w:r>
        <w:rPr>
          <w:rFonts w:hint="eastAsia"/>
          <w:bCs/>
          <w:color w:val="auto"/>
          <w:highlight w:val="none"/>
          <w:lang w:eastAsia="zh-CN"/>
        </w:rPr>
        <w:t>调整后</w:t>
      </w:r>
      <w:r>
        <w:rPr>
          <w:rFonts w:hint="eastAsia"/>
          <w:bCs/>
          <w:color w:val="auto"/>
          <w:highlight w:val="none"/>
        </w:rPr>
        <w:t>划定方案》的通知（</w:t>
      </w:r>
      <w:r>
        <w:rPr>
          <w:rFonts w:hint="eastAsia" w:ascii="Times New Roman" w:hAnsi="Times New Roman" w:cs="Times New Roman"/>
          <w:color w:val="auto"/>
          <w:sz w:val="24"/>
          <w:szCs w:val="24"/>
          <w:highlight w:val="none"/>
          <w:lang w:eastAsia="zh-CN"/>
        </w:rPr>
        <w:t>巴州府办〔201</w:t>
      </w:r>
      <w:r>
        <w:rPr>
          <w:rFonts w:hint="eastAsia" w:ascii="Times New Roman" w:hAnsi="Times New Roman" w:cs="Times New Roman"/>
          <w:color w:val="auto"/>
          <w:sz w:val="24"/>
          <w:szCs w:val="24"/>
          <w:highlight w:val="none"/>
          <w:lang w:val="en-US" w:eastAsia="zh-CN"/>
        </w:rPr>
        <w:t>9</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56</w:t>
      </w:r>
      <w:r>
        <w:rPr>
          <w:rFonts w:hint="eastAsia" w:ascii="Times New Roman" w:hAnsi="Times New Roman" w:cs="Times New Roman"/>
          <w:color w:val="auto"/>
          <w:sz w:val="24"/>
          <w:szCs w:val="24"/>
          <w:highlight w:val="none"/>
          <w:lang w:eastAsia="zh-CN"/>
        </w:rPr>
        <w:t>号</w:t>
      </w:r>
      <w:r>
        <w:rPr>
          <w:rFonts w:hint="eastAsia"/>
          <w:bCs/>
          <w:color w:val="auto"/>
          <w:highlight w:val="none"/>
        </w:rPr>
        <w:t>），</w:t>
      </w:r>
      <w:r>
        <w:rPr>
          <w:rFonts w:hint="eastAsia"/>
          <w:color w:val="auto"/>
          <w:highlight w:val="none"/>
        </w:rPr>
        <w:t>结合本项目的实际情况，其选址与《巴中市巴州区畜禽养殖区调整后划定方案》符合性分析如下表所示。</w:t>
      </w:r>
    </w:p>
    <w:p>
      <w:pPr>
        <w:numPr>
          <w:ilvl w:val="0"/>
          <w:numId w:val="19"/>
        </w:numPr>
        <w:tabs>
          <w:tab w:val="left" w:pos="0"/>
        </w:tabs>
        <w:ind w:left="425" w:leftChars="0" w:hanging="425" w:firstLineChars="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与《巴中市巴州区畜禽养殖区调整后划定方案》符合情况一览表</w:t>
      </w:r>
    </w:p>
    <w:tbl>
      <w:tblPr>
        <w:tblStyle w:val="91"/>
        <w:tblW w:w="5000"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958"/>
        <w:gridCol w:w="2978"/>
        <w:gridCol w:w="3403"/>
        <w:gridCol w:w="118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2309" w:type="pct"/>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val="0"/>
                <w:color w:val="auto"/>
                <w:highlight w:val="none"/>
              </w:rPr>
            </w:pPr>
            <w:r>
              <w:rPr>
                <w:rFonts w:hint="eastAsia" w:ascii="Times New Roman" w:hAnsi="Times New Roman" w:cs="Times New Roman"/>
                <w:b/>
                <w:bCs w:val="0"/>
                <w:color w:val="auto"/>
                <w:highlight w:val="none"/>
              </w:rPr>
              <w:t>《</w:t>
            </w:r>
            <w:r>
              <w:rPr>
                <w:rFonts w:hint="eastAsia" w:ascii="Times New Roman" w:hAnsi="Times New Roman" w:cs="Times New Roman"/>
                <w:b/>
                <w:bCs w:val="0"/>
                <w:color w:val="auto"/>
                <w:highlight w:val="none"/>
                <w:lang w:eastAsia="zh-CN"/>
              </w:rPr>
              <w:t>巴州区</w:t>
            </w:r>
            <w:r>
              <w:rPr>
                <w:rFonts w:hint="eastAsia" w:ascii="Times New Roman" w:hAnsi="Times New Roman" w:cs="Times New Roman"/>
                <w:b/>
                <w:bCs w:val="0"/>
                <w:color w:val="auto"/>
                <w:highlight w:val="none"/>
              </w:rPr>
              <w:t>畜禽养殖禁养区划定方案》</w:t>
            </w:r>
          </w:p>
        </w:tc>
        <w:tc>
          <w:tcPr>
            <w:tcW w:w="199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val="0"/>
                <w:color w:val="auto"/>
                <w:highlight w:val="none"/>
              </w:rPr>
            </w:pPr>
            <w:r>
              <w:rPr>
                <w:rFonts w:hint="eastAsia" w:ascii="Times New Roman" w:hAnsi="Times New Roman" w:cs="Times New Roman"/>
                <w:b/>
                <w:bCs w:val="0"/>
                <w:color w:val="auto"/>
                <w:highlight w:val="none"/>
              </w:rPr>
              <w:t>本项目情况</w:t>
            </w:r>
          </w:p>
        </w:tc>
        <w:tc>
          <w:tcPr>
            <w:tcW w:w="694"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val="0"/>
                <w:color w:val="auto"/>
                <w:highlight w:val="none"/>
              </w:rPr>
            </w:pPr>
            <w:r>
              <w:rPr>
                <w:rFonts w:hint="eastAsia" w:ascii="Times New Roman" w:hAnsi="Times New Roman" w:cs="Times New Roman"/>
                <w:b/>
                <w:bCs w:val="0"/>
                <w:color w:val="auto"/>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62"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禁养区</w:t>
            </w:r>
          </w:p>
        </w:tc>
        <w:tc>
          <w:tcPr>
            <w:tcW w:w="1747"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cs="Times New Roman" w:eastAsiaTheme="minorEastAsia"/>
                <w:bCs/>
                <w:color w:val="auto"/>
                <w:highlight w:val="none"/>
                <w:lang w:val="en-US" w:eastAsia="zh-CN"/>
              </w:rPr>
            </w:pPr>
            <w:r>
              <w:rPr>
                <w:rFonts w:hint="default" w:ascii="Times New Roman" w:hAnsi="Times New Roman" w:cs="Times New Roman" w:eastAsiaTheme="minorEastAsia"/>
                <w:bCs/>
                <w:color w:val="auto"/>
                <w:highlight w:val="none"/>
                <w:lang w:val="en-US" w:eastAsia="zh-CN"/>
              </w:rPr>
              <w:t>1.</w:t>
            </w:r>
            <w:r>
              <w:rPr>
                <w:rFonts w:hint="eastAsia" w:ascii="Times New Roman" w:hAnsi="Times New Roman" w:cs="Times New Roman"/>
                <w:bCs/>
                <w:color w:val="auto"/>
                <w:highlight w:val="none"/>
                <w:lang w:val="en-US" w:eastAsia="zh-CN"/>
              </w:rPr>
              <w:t>巴州区县城水源保护区二级保护区为边界，划定巴中区县城生活饮用水水源保护区的畜禽养殖区，农村集中式饮用水水源地一级保护区为禁养区。</w:t>
            </w:r>
          </w:p>
        </w:tc>
        <w:tc>
          <w:tcPr>
            <w:tcW w:w="199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cs="Times New Roman" w:eastAsiaTheme="minorEastAsia"/>
                <w:bCs/>
                <w:color w:val="auto"/>
                <w:highlight w:val="none"/>
                <w:lang w:val="en-US" w:eastAsia="zh-CN"/>
              </w:rPr>
            </w:pPr>
            <w:r>
              <w:rPr>
                <w:rFonts w:hint="eastAsia" w:ascii="Times New Roman" w:hAnsi="Times New Roman" w:cs="Times New Roman"/>
                <w:bCs/>
                <w:color w:val="auto"/>
                <w:highlight w:val="none"/>
                <w:lang w:eastAsia="zh-CN"/>
              </w:rPr>
              <w:t>本项目不在县城饮用水源一级保护区和二级保护区内，也不在</w:t>
            </w:r>
            <w:r>
              <w:rPr>
                <w:rFonts w:hint="eastAsia" w:ascii="Times New Roman" w:hAnsi="Times New Roman" w:cs="Times New Roman"/>
                <w:bCs/>
                <w:color w:val="auto"/>
                <w:highlight w:val="none"/>
                <w:lang w:val="en-US" w:eastAsia="zh-CN"/>
              </w:rPr>
              <w:t>乡镇饮用水源的以及保护区一级保护区内。</w:t>
            </w:r>
          </w:p>
        </w:tc>
        <w:tc>
          <w:tcPr>
            <w:tcW w:w="694"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62"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p>
        </w:tc>
        <w:tc>
          <w:tcPr>
            <w:tcW w:w="1747"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left"/>
              <w:rPr>
                <w:rFonts w:hint="eastAsia" w:ascii="Times New Roman" w:hAnsi="Times New Roman" w:cs="Times New Roman" w:eastAsiaTheme="minorEastAsia"/>
                <w:bCs/>
                <w:color w:val="auto"/>
                <w:highlight w:val="none"/>
                <w:lang w:eastAsia="zh-CN"/>
              </w:rPr>
            </w:pPr>
            <w:r>
              <w:rPr>
                <w:rFonts w:hint="default" w:ascii="Times New Roman" w:hAnsi="Times New Roman" w:cs="Times New Roman"/>
                <w:bCs/>
                <w:color w:val="auto"/>
                <w:highlight w:val="none"/>
              </w:rPr>
              <w:t>2.</w:t>
            </w:r>
            <w:r>
              <w:rPr>
                <w:rFonts w:hint="eastAsia" w:ascii="Times New Roman" w:hAnsi="Times New Roman" w:cs="Times New Roman"/>
                <w:bCs/>
                <w:color w:val="auto"/>
                <w:highlight w:val="none"/>
                <w:lang w:eastAsia="zh-CN"/>
              </w:rPr>
              <w:t>将</w:t>
            </w:r>
            <w:r>
              <w:rPr>
                <w:rFonts w:hint="eastAsia" w:ascii="Times New Roman" w:hAnsi="Times New Roman" w:cs="Times New Roman"/>
                <w:color w:val="auto"/>
                <w:sz w:val="21"/>
                <w:szCs w:val="21"/>
                <w:highlight w:val="none"/>
                <w:lang w:eastAsia="zh-CN"/>
              </w:rPr>
              <w:t>巴州区境内的省级森林公园划定为畜禽禁养区：巴州区天马山省级森林公园禁养区面积为</w:t>
            </w:r>
            <w:r>
              <w:rPr>
                <w:rFonts w:hint="eastAsia" w:ascii="Times New Roman" w:hAnsi="Times New Roman" w:cs="Times New Roman"/>
                <w:color w:val="auto"/>
                <w:sz w:val="21"/>
                <w:szCs w:val="21"/>
                <w:highlight w:val="none"/>
                <w:lang w:val="en-US" w:eastAsia="zh-CN"/>
              </w:rPr>
              <w:t>4.8727</w:t>
            </w:r>
            <w:r>
              <w:rPr>
                <w:rFonts w:hint="eastAsia" w:ascii="Times New Roman" w:hAnsi="Times New Roman" w:cs="Times New Roman"/>
                <w:color w:val="auto"/>
                <w:sz w:val="21"/>
                <w:szCs w:val="21"/>
                <w:highlight w:val="none"/>
                <w:lang w:eastAsia="zh-CN"/>
              </w:rPr>
              <w:t>km</w:t>
            </w:r>
            <w:r>
              <w:rPr>
                <w:rFonts w:hint="eastAsia" w:ascii="Times New Roman" w:hAnsi="Times New Roman" w:cs="Times New Roman"/>
                <w:color w:val="auto"/>
                <w:sz w:val="21"/>
                <w:szCs w:val="21"/>
                <w:highlight w:val="none"/>
                <w:vertAlign w:val="superscript"/>
                <w:lang w:eastAsia="zh-CN"/>
              </w:rPr>
              <w:t>2</w:t>
            </w:r>
            <w:r>
              <w:rPr>
                <w:rFonts w:hint="eastAsia" w:ascii="Times New Roman" w:hAnsi="Times New Roman" w:cs="Times New Roman"/>
                <w:color w:val="auto"/>
                <w:sz w:val="21"/>
                <w:szCs w:val="21"/>
                <w:highlight w:val="none"/>
                <w:lang w:eastAsia="zh-CN"/>
              </w:rPr>
              <w:t>。</w:t>
            </w:r>
          </w:p>
        </w:tc>
        <w:tc>
          <w:tcPr>
            <w:tcW w:w="199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cs="Times New Roman"/>
                <w:bCs/>
                <w:color w:val="auto"/>
                <w:highlight w:val="none"/>
              </w:rPr>
            </w:pPr>
            <w:r>
              <w:rPr>
                <w:rFonts w:hint="eastAsia" w:ascii="Times New Roman" w:hAnsi="Times New Roman" w:cs="Times New Roman"/>
                <w:bCs/>
                <w:color w:val="auto"/>
                <w:highlight w:val="none"/>
                <w:lang w:eastAsia="zh-CN"/>
              </w:rPr>
              <w:t>本项目不</w:t>
            </w:r>
            <w:r>
              <w:rPr>
                <w:rFonts w:hint="eastAsia"/>
                <w:color w:val="auto"/>
                <w:highlight w:val="none"/>
                <w:lang w:eastAsia="zh-CN"/>
              </w:rPr>
              <w:t>在天马山</w:t>
            </w:r>
            <w:r>
              <w:rPr>
                <w:rFonts w:hint="eastAsia" w:ascii="Times New Roman" w:hAnsi="Times New Roman" w:cs="Times New Roman"/>
                <w:color w:val="auto"/>
                <w:sz w:val="21"/>
                <w:szCs w:val="21"/>
                <w:highlight w:val="none"/>
                <w:lang w:eastAsia="zh-CN"/>
              </w:rPr>
              <w:t>省级森林公园</w:t>
            </w:r>
            <w:r>
              <w:rPr>
                <w:rFonts w:hint="eastAsia" w:ascii="Times New Roman" w:hAnsi="Times New Roman" w:cs="Times New Roman"/>
                <w:bCs/>
                <w:color w:val="auto"/>
                <w:highlight w:val="none"/>
                <w:lang w:eastAsia="zh-CN"/>
              </w:rPr>
              <w:t>范围内</w:t>
            </w:r>
          </w:p>
        </w:tc>
        <w:tc>
          <w:tcPr>
            <w:tcW w:w="694"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562"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p>
        </w:tc>
        <w:tc>
          <w:tcPr>
            <w:tcW w:w="1747"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3.2、城镇居民区和文化教育科学研究区：</w:t>
            </w:r>
          </w:p>
          <w:p>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cs="Times New Roman" w:eastAsiaTheme="minorEastAsia"/>
                <w:bCs/>
                <w:color w:val="auto"/>
                <w:highlight w:val="none"/>
                <w:lang w:val="en-US" w:eastAsia="zh-CN"/>
              </w:rPr>
            </w:pPr>
            <w:r>
              <w:rPr>
                <w:rFonts w:hint="default" w:ascii="Times New Roman" w:hAnsi="Times New Roman" w:cs="Times New Roman"/>
                <w:bCs/>
                <w:color w:val="auto"/>
                <w:highlight w:val="none"/>
              </w:rPr>
              <w:t>将巴州区城镇居民区分为主城区居民区（包括规划城镇建设用地，以及规划外的建制镇现状建成区）、特色乡镇居民区、一般乡镇居民区、撤乡并镇后的原乡镇居民区的范围，作为城镇居民区畜禽禁养区的边界。</w:t>
            </w:r>
          </w:p>
        </w:tc>
        <w:tc>
          <w:tcPr>
            <w:tcW w:w="199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cs="Times New Roman"/>
                <w:bCs/>
                <w:color w:val="auto"/>
                <w:highlight w:val="none"/>
              </w:rPr>
            </w:pPr>
            <w:r>
              <w:rPr>
                <w:rFonts w:hint="eastAsia" w:ascii="Times New Roman" w:hAnsi="Times New Roman" w:cs="Times New Roman"/>
                <w:bCs/>
                <w:color w:val="auto"/>
                <w:highlight w:val="none"/>
                <w:lang w:eastAsia="zh-CN"/>
              </w:rPr>
              <w:t>本</w:t>
            </w:r>
            <w:r>
              <w:rPr>
                <w:rFonts w:hint="eastAsia" w:ascii="Times New Roman" w:hAnsi="Times New Roman" w:cs="Times New Roman"/>
                <w:bCs/>
                <w:color w:val="auto"/>
                <w:highlight w:val="none"/>
              </w:rPr>
              <w:t>项目不在</w:t>
            </w:r>
            <w:r>
              <w:rPr>
                <w:rFonts w:hint="eastAsia" w:ascii="Times New Roman" w:hAnsi="Times New Roman" w:cs="Times New Roman"/>
                <w:bCs/>
                <w:color w:val="auto"/>
                <w:highlight w:val="none"/>
                <w:lang w:eastAsia="zh-CN"/>
              </w:rPr>
              <w:t>城镇居民区规划范围内。</w:t>
            </w:r>
          </w:p>
        </w:tc>
        <w:tc>
          <w:tcPr>
            <w:tcW w:w="694"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Cs/>
                <w:color w:val="auto"/>
                <w:highlight w:val="none"/>
              </w:rPr>
            </w:pPr>
            <w:r>
              <w:rPr>
                <w:rFonts w:hint="eastAsia" w:ascii="Times New Roman" w:hAnsi="Times New Roman" w:cs="Times New Roman"/>
                <w:bCs/>
                <w:color w:val="auto"/>
                <w:highlight w:val="none"/>
              </w:rPr>
              <w:t>符合</w:t>
            </w:r>
          </w:p>
        </w:tc>
      </w:tr>
    </w:tbl>
    <w:p>
      <w:pPr>
        <w:pStyle w:val="1386"/>
        <w:ind w:firstLine="480"/>
        <w:rPr>
          <w:rFonts w:hint="eastAsia"/>
          <w:bCs/>
          <w:color w:val="auto"/>
          <w:highlight w:val="none"/>
        </w:rPr>
      </w:pPr>
      <w:r>
        <w:rPr>
          <w:rFonts w:hint="eastAsia"/>
          <w:bCs/>
          <w:color w:val="auto"/>
          <w:highlight w:val="none"/>
        </w:rPr>
        <w:t>本项目</w:t>
      </w:r>
      <w:r>
        <w:rPr>
          <w:rFonts w:hint="eastAsia"/>
          <w:bCs/>
          <w:color w:val="auto"/>
          <w:highlight w:val="none"/>
          <w:lang w:eastAsia="zh-CN"/>
        </w:rPr>
        <w:t>不在</w:t>
      </w:r>
      <w:r>
        <w:rPr>
          <w:rFonts w:hint="eastAsia"/>
          <w:bCs/>
          <w:color w:val="auto"/>
          <w:highlight w:val="none"/>
        </w:rPr>
        <w:t>《</w:t>
      </w:r>
      <w:r>
        <w:rPr>
          <w:rFonts w:hint="eastAsia"/>
          <w:color w:val="auto"/>
          <w:highlight w:val="none"/>
        </w:rPr>
        <w:t>巴中市巴州区畜禽养殖区调整后划定方案</w:t>
      </w:r>
      <w:r>
        <w:rPr>
          <w:rFonts w:hint="eastAsia"/>
          <w:bCs/>
          <w:color w:val="auto"/>
          <w:highlight w:val="none"/>
        </w:rPr>
        <w:t>》规定的</w:t>
      </w:r>
      <w:r>
        <w:rPr>
          <w:rFonts w:hint="eastAsia"/>
          <w:bCs/>
          <w:color w:val="auto"/>
          <w:highlight w:val="none"/>
          <w:lang w:eastAsia="zh-CN"/>
        </w:rPr>
        <w:t>禁养</w:t>
      </w:r>
      <w:r>
        <w:rPr>
          <w:rFonts w:hint="eastAsia"/>
          <w:bCs/>
          <w:color w:val="auto"/>
          <w:highlight w:val="none"/>
        </w:rPr>
        <w:t>区，符合</w:t>
      </w:r>
      <w:r>
        <w:rPr>
          <w:rFonts w:hint="eastAsia"/>
          <w:bCs/>
          <w:color w:val="auto"/>
          <w:highlight w:val="none"/>
          <w:lang w:eastAsia="zh-CN"/>
        </w:rPr>
        <w:t>通江县</w:t>
      </w:r>
      <w:r>
        <w:rPr>
          <w:rFonts w:hint="eastAsia"/>
          <w:bCs/>
          <w:color w:val="auto"/>
          <w:highlight w:val="none"/>
        </w:rPr>
        <w:t>养殖规划。</w:t>
      </w:r>
    </w:p>
    <w:p>
      <w:pPr>
        <w:pStyle w:val="8"/>
        <w:spacing w:before="0" w:after="0" w:line="360" w:lineRule="auto"/>
        <w:ind w:left="0" w:firstLine="0"/>
        <w:rPr>
          <w:rFonts w:cs="Times New Roman"/>
          <w:color w:val="auto"/>
          <w:highlight w:val="none"/>
        </w:rPr>
      </w:pPr>
      <w:bookmarkStart w:id="107" w:name="_Toc22096"/>
      <w:r>
        <w:rPr>
          <w:rFonts w:hint="eastAsia" w:cs="Times New Roman"/>
          <w:color w:val="auto"/>
          <w:highlight w:val="none"/>
        </w:rPr>
        <w:t>与《村镇规划卫生规范》符合性分析</w:t>
      </w:r>
      <w:bookmarkEnd w:id="107"/>
    </w:p>
    <w:p>
      <w:pPr>
        <w:adjustRightInd w:val="0"/>
        <w:snapToGrid w:val="0"/>
        <w:ind w:firstLine="518" w:firstLineChars="216"/>
        <w:rPr>
          <w:color w:val="auto"/>
          <w:highlight w:val="none"/>
        </w:rPr>
      </w:pPr>
      <w:r>
        <w:rPr>
          <w:rFonts w:hint="eastAsia" w:ascii="Times New Roman" w:hAnsi="Times New Roman" w:cs="Times New Roman"/>
          <w:color w:val="auto"/>
          <w:sz w:val="24"/>
          <w:highlight w:val="none"/>
        </w:rPr>
        <w:t>《村镇规划卫生规范》（</w:t>
      </w:r>
      <w:r>
        <w:rPr>
          <w:rFonts w:ascii="Times New Roman" w:hAnsi="Times New Roman" w:cs="Times New Roman"/>
          <w:color w:val="auto"/>
          <w:sz w:val="24"/>
          <w:highlight w:val="none"/>
        </w:rPr>
        <w:t>GB18055-20</w:t>
      </w:r>
      <w:r>
        <w:rPr>
          <w:rFonts w:hint="eastAsia" w:ascii="Times New Roman" w:hAnsi="Times New Roman" w:cs="Times New Roman"/>
          <w:color w:val="auto"/>
          <w:sz w:val="24"/>
          <w:highlight w:val="none"/>
        </w:rPr>
        <w:t>12）中规定：在复杂地形条件下的住宅区与产生有害因素场所之间的卫生防护距离，应根据环境影响报告，由建设单位主管部门与项目所在省、市、自治区的卫生、环境保护部门共同确定。本项目区属复杂地形，经过计算，</w:t>
      </w:r>
      <w:r>
        <w:rPr>
          <w:rFonts w:hint="eastAsia" w:ascii="Times New Roman" w:hAnsi="Times New Roman" w:eastAsia="宋体" w:cs="Times New Roman"/>
          <w:color w:val="auto"/>
          <w:sz w:val="24"/>
          <w:szCs w:val="24"/>
          <w:highlight w:val="none"/>
        </w:rPr>
        <w:t>本次评价确定本项目以牛舍、污水处理站、干粪棚边界为起点，在</w:t>
      </w:r>
      <w:r>
        <w:rPr>
          <w:rFonts w:hint="eastAsia" w:ascii="Times New Roman" w:hAnsi="Times New Roman" w:eastAsia="宋体" w:cs="Times New Roman"/>
          <w:color w:val="auto"/>
          <w:sz w:val="24"/>
          <w:szCs w:val="24"/>
          <w:highlight w:val="none"/>
          <w:lang w:eastAsia="zh-CN"/>
        </w:rPr>
        <w:t>四周</w:t>
      </w:r>
      <w:r>
        <w:rPr>
          <w:rFonts w:hint="eastAsia" w:ascii="Times New Roman" w:hAnsi="Times New Roman" w:eastAsia="宋体" w:cs="Times New Roman"/>
          <w:color w:val="auto"/>
          <w:sz w:val="24"/>
          <w:szCs w:val="24"/>
          <w:highlight w:val="none"/>
        </w:rPr>
        <w:t>均设置</w:t>
      </w:r>
      <w:r>
        <w:rPr>
          <w:rFonts w:ascii="Times New Roman" w:hAnsi="Times New Roman" w:eastAsia="宋体" w:cs="Times New Roman"/>
          <w:color w:val="auto"/>
          <w:sz w:val="24"/>
          <w:szCs w:val="24"/>
          <w:highlight w:val="none"/>
        </w:rPr>
        <w:t>200m</w:t>
      </w:r>
      <w:r>
        <w:rPr>
          <w:rFonts w:hint="eastAsia" w:ascii="Times New Roman" w:hAnsi="Times New Roman" w:eastAsia="宋体" w:cs="Times New Roman"/>
          <w:color w:val="auto"/>
          <w:sz w:val="24"/>
          <w:szCs w:val="24"/>
          <w:highlight w:val="none"/>
        </w:rPr>
        <w:t>的卫生防护距离</w:t>
      </w:r>
      <w:r>
        <w:rPr>
          <w:rFonts w:hint="eastAsia" w:ascii="Times New Roman" w:hAnsi="Times New Roman" w:cs="Times New Roman"/>
          <w:color w:val="auto"/>
          <w:sz w:val="24"/>
          <w:highlight w:val="none"/>
        </w:rPr>
        <w:t>）。本项目卫生防护距离范围内有</w:t>
      </w:r>
      <w:r>
        <w:rPr>
          <w:rFonts w:hint="eastAsia" w:ascii="Times New Roman" w:hAnsi="Times New Roman" w:cs="Times New Roman"/>
          <w:color w:val="auto"/>
          <w:sz w:val="24"/>
          <w:highlight w:val="none"/>
          <w:lang w:val="en-US" w:eastAsia="zh-CN"/>
        </w:rPr>
        <w:t>3</w:t>
      </w:r>
      <w:r>
        <w:rPr>
          <w:rFonts w:hint="eastAsia" w:ascii="Times New Roman" w:hAnsi="Times New Roman" w:cs="Times New Roman"/>
          <w:color w:val="auto"/>
          <w:sz w:val="24"/>
          <w:highlight w:val="none"/>
        </w:rPr>
        <w:t>栋农户自用房，拟由公司长期租赁用作项目</w:t>
      </w:r>
      <w:r>
        <w:rPr>
          <w:rFonts w:hint="eastAsia" w:ascii="Times New Roman" w:hAnsi="Times New Roman" w:cs="Times New Roman"/>
          <w:color w:val="auto"/>
          <w:sz w:val="24"/>
          <w:highlight w:val="none"/>
          <w:lang w:eastAsia="zh-CN"/>
        </w:rPr>
        <w:t>生产管理用房</w:t>
      </w:r>
      <w:r>
        <w:rPr>
          <w:rFonts w:hint="eastAsia" w:ascii="Times New Roman" w:hAnsi="Times New Roman" w:cs="Times New Roman"/>
          <w:color w:val="auto"/>
          <w:sz w:val="24"/>
          <w:highlight w:val="none"/>
        </w:rPr>
        <w:t>，项目建成后，卫生防护距离范围内无学校、居民、医疗卫生、行政办公等环境敏感目标，</w:t>
      </w:r>
      <w:r>
        <w:rPr>
          <w:rFonts w:hint="eastAsia" w:ascii="Times New Roman" w:hAnsi="Times New Roman" w:cs="Times New Roman"/>
          <w:b/>
          <w:bCs/>
          <w:color w:val="auto"/>
          <w:sz w:val="24"/>
          <w:highlight w:val="none"/>
        </w:rPr>
        <w:t>本项目无环保搬迁</w:t>
      </w:r>
      <w:r>
        <w:rPr>
          <w:rFonts w:hint="eastAsia" w:ascii="Times New Roman" w:hAnsi="Times New Roman" w:cs="Times New Roman"/>
          <w:color w:val="auto"/>
          <w:sz w:val="24"/>
          <w:highlight w:val="none"/>
        </w:rPr>
        <w:t>。</w:t>
      </w:r>
      <w:r>
        <w:rPr>
          <w:rFonts w:hint="eastAsia" w:ascii="Times New Roman" w:hAnsi="Times New Roman" w:cs="Times New Roman"/>
          <w:color w:val="auto"/>
          <w:sz w:val="24"/>
          <w:highlight w:val="none"/>
          <w:lang w:eastAsia="zh-CN"/>
        </w:rPr>
        <w:t>故</w:t>
      </w:r>
      <w:r>
        <w:rPr>
          <w:rFonts w:hint="eastAsia" w:ascii="Times New Roman" w:hAnsi="Times New Roman" w:cs="Times New Roman"/>
          <w:color w:val="auto"/>
          <w:sz w:val="24"/>
          <w:highlight w:val="none"/>
        </w:rPr>
        <w:t>本项目选址符合《村镇规划卫生规范》（</w:t>
      </w:r>
      <w:r>
        <w:rPr>
          <w:rFonts w:ascii="Times New Roman" w:hAnsi="Times New Roman" w:cs="Times New Roman"/>
          <w:color w:val="auto"/>
          <w:sz w:val="24"/>
          <w:highlight w:val="none"/>
        </w:rPr>
        <w:t>GB18055-20</w:t>
      </w:r>
      <w:r>
        <w:rPr>
          <w:rFonts w:hint="eastAsia" w:ascii="Times New Roman" w:hAnsi="Times New Roman" w:cs="Times New Roman"/>
          <w:color w:val="auto"/>
          <w:sz w:val="24"/>
          <w:highlight w:val="none"/>
        </w:rPr>
        <w:t>12）要求。</w:t>
      </w:r>
    </w:p>
    <w:p>
      <w:pPr>
        <w:pStyle w:val="8"/>
        <w:spacing w:before="0" w:after="0" w:line="360" w:lineRule="auto"/>
        <w:ind w:left="0" w:firstLine="0"/>
        <w:rPr>
          <w:rFonts w:cs="Times New Roman"/>
          <w:color w:val="auto"/>
          <w:highlight w:val="none"/>
        </w:rPr>
      </w:pPr>
      <w:bookmarkStart w:id="108" w:name="_Toc27994"/>
      <w:r>
        <w:rPr>
          <w:rFonts w:hint="eastAsia" w:cs="Times New Roman"/>
          <w:color w:val="auto"/>
          <w:highlight w:val="none"/>
        </w:rPr>
        <w:t>与其他相关规范选址符合性分析</w:t>
      </w:r>
      <w:bookmarkEnd w:id="108"/>
    </w:p>
    <w:p>
      <w:pPr>
        <w:adjustRightInd w:val="0"/>
        <w:snapToGrid w:val="0"/>
        <w:ind w:firstLine="518" w:firstLineChars="216"/>
        <w:rPr>
          <w:rFonts w:ascii="Times New Roman" w:hAnsi="Times New Roman" w:cs="Times New Roman"/>
          <w:bCs/>
          <w:color w:val="auto"/>
          <w:sz w:val="24"/>
          <w:highlight w:val="none"/>
        </w:rPr>
      </w:pPr>
      <w:r>
        <w:rPr>
          <w:rFonts w:hint="eastAsia" w:ascii="Times New Roman" w:hAnsi="Times New Roman" w:cs="Times New Roman"/>
          <w:bCs/>
          <w:color w:val="auto"/>
          <w:sz w:val="24"/>
          <w:highlight w:val="none"/>
        </w:rPr>
        <w:t>对照《</w:t>
      </w:r>
      <w:r>
        <w:rPr>
          <w:rFonts w:hint="eastAsia" w:ascii="Times New Roman" w:hAnsi="Times New Roman" w:cs="Times New Roman"/>
          <w:color w:val="auto"/>
          <w:sz w:val="24"/>
          <w:highlight w:val="none"/>
        </w:rPr>
        <w:t>畜禽规模养殖污染防治条例</w:t>
      </w:r>
      <w:r>
        <w:rPr>
          <w:rFonts w:hint="eastAsia" w:ascii="Times New Roman" w:hAnsi="Times New Roman" w:cs="Times New Roman"/>
          <w:bCs/>
          <w:color w:val="auto"/>
          <w:sz w:val="24"/>
          <w:highlight w:val="none"/>
        </w:rPr>
        <w:t>》（</w:t>
      </w:r>
      <w:r>
        <w:rPr>
          <w:rFonts w:hint="eastAsia" w:ascii="Times New Roman" w:hAnsi="Times New Roman" w:cs="Times New Roman"/>
          <w:color w:val="auto"/>
          <w:sz w:val="24"/>
          <w:highlight w:val="none"/>
        </w:rPr>
        <w:t>国务院令</w:t>
      </w:r>
      <w:r>
        <w:rPr>
          <w:rFonts w:hint="eastAsia" w:ascii="Times New Roman" w:hAnsi="Times New Roman" w:cs="Times New Roman"/>
          <w:bCs/>
          <w:color w:val="auto"/>
          <w:sz w:val="24"/>
          <w:highlight w:val="none"/>
        </w:rPr>
        <w:t>第643号）、《畜禽养殖业污染防治技术规范》（HJ/T81-2001）的要求，畜禽养殖业项目选址的环境制约因素有以下几点：</w:t>
      </w:r>
    </w:p>
    <w:p>
      <w:pPr>
        <w:adjustRightInd w:val="0"/>
        <w:snapToGrid w:val="0"/>
        <w:ind w:firstLine="518" w:firstLineChars="216"/>
        <w:rPr>
          <w:rFonts w:ascii="Times New Roman" w:hAnsi="Times New Roman" w:cs="Times New Roman"/>
          <w:bCs/>
          <w:color w:val="auto"/>
          <w:sz w:val="24"/>
          <w:highlight w:val="none"/>
        </w:rPr>
      </w:pPr>
      <w:r>
        <w:rPr>
          <w:rFonts w:hint="eastAsia" w:ascii="Times New Roman" w:hAnsi="Times New Roman" w:cs="Times New Roman"/>
          <w:bCs/>
          <w:color w:val="auto"/>
          <w:sz w:val="24"/>
          <w:highlight w:val="none"/>
        </w:rPr>
        <w:t>禁止在下列区域内建设畜禽养殖场：</w:t>
      </w:r>
    </w:p>
    <w:p>
      <w:pPr>
        <w:adjustRightInd w:val="0"/>
        <w:snapToGrid w:val="0"/>
        <w:ind w:firstLine="518" w:firstLineChars="216"/>
        <w:rPr>
          <w:rFonts w:ascii="Times New Roman" w:hAnsi="Times New Roman" w:cs="Times New Roman"/>
          <w:bCs/>
          <w:color w:val="auto"/>
          <w:sz w:val="24"/>
          <w:highlight w:val="none"/>
        </w:rPr>
      </w:pPr>
      <w:r>
        <w:rPr>
          <w:rFonts w:hint="eastAsia" w:ascii="Times New Roman" w:hAnsi="Times New Roman" w:cs="Times New Roman"/>
          <w:bCs/>
          <w:color w:val="auto"/>
          <w:sz w:val="24"/>
          <w:highlight w:val="none"/>
        </w:rPr>
        <w:t>1、饮用水水源保护区，风景名胜区</w:t>
      </w:r>
    </w:p>
    <w:p>
      <w:pPr>
        <w:adjustRightInd w:val="0"/>
        <w:snapToGrid w:val="0"/>
        <w:ind w:firstLine="518" w:firstLineChars="216"/>
        <w:rPr>
          <w:rFonts w:ascii="Times New Roman" w:hAnsi="Times New Roman" w:cs="Times New Roman"/>
          <w:bCs/>
          <w:color w:val="auto"/>
          <w:sz w:val="24"/>
          <w:highlight w:val="none"/>
        </w:rPr>
      </w:pPr>
      <w:r>
        <w:rPr>
          <w:rFonts w:hint="eastAsia" w:ascii="Times New Roman" w:hAnsi="Times New Roman" w:cs="Times New Roman"/>
          <w:bCs/>
          <w:color w:val="auto"/>
          <w:sz w:val="24"/>
          <w:highlight w:val="none"/>
        </w:rPr>
        <w:t>2、自然保护区的核心区和缓冲区；</w:t>
      </w:r>
    </w:p>
    <w:p>
      <w:pPr>
        <w:adjustRightInd w:val="0"/>
        <w:snapToGrid w:val="0"/>
        <w:ind w:firstLine="518" w:firstLineChars="216"/>
        <w:rPr>
          <w:rFonts w:ascii="Times New Roman" w:hAnsi="Times New Roman" w:cs="Times New Roman"/>
          <w:bCs/>
          <w:color w:val="auto"/>
          <w:sz w:val="24"/>
          <w:highlight w:val="none"/>
        </w:rPr>
      </w:pPr>
      <w:r>
        <w:rPr>
          <w:rFonts w:hint="eastAsia" w:ascii="Times New Roman" w:hAnsi="Times New Roman" w:cs="Times New Roman"/>
          <w:bCs/>
          <w:color w:val="auto"/>
          <w:sz w:val="24"/>
          <w:highlight w:val="none"/>
        </w:rPr>
        <w:t>3、城市和城镇居民区，包括文教科研区、医疗区、商业区、工业区、游览区等人口集中地区；</w:t>
      </w:r>
    </w:p>
    <w:p>
      <w:pPr>
        <w:adjustRightInd w:val="0"/>
        <w:snapToGrid w:val="0"/>
        <w:ind w:firstLine="518" w:firstLineChars="216"/>
        <w:rPr>
          <w:rFonts w:ascii="Times New Roman" w:hAnsi="Times New Roman" w:cs="Times New Roman"/>
          <w:bCs/>
          <w:color w:val="auto"/>
          <w:sz w:val="24"/>
          <w:highlight w:val="none"/>
        </w:rPr>
      </w:pPr>
      <w:r>
        <w:rPr>
          <w:rFonts w:hint="eastAsia" w:ascii="Times New Roman" w:hAnsi="Times New Roman" w:cs="Times New Roman"/>
          <w:bCs/>
          <w:color w:val="auto"/>
          <w:sz w:val="24"/>
          <w:highlight w:val="none"/>
        </w:rPr>
        <w:t>4、县级人民政府依法划定的禁养区域；</w:t>
      </w:r>
    </w:p>
    <w:p>
      <w:pPr>
        <w:adjustRightInd w:val="0"/>
        <w:snapToGrid w:val="0"/>
        <w:ind w:firstLine="518" w:firstLineChars="216"/>
        <w:rPr>
          <w:rFonts w:ascii="Times New Roman" w:hAnsi="Times New Roman" w:cs="Times New Roman"/>
          <w:bCs/>
          <w:color w:val="auto"/>
          <w:sz w:val="24"/>
          <w:highlight w:val="none"/>
        </w:rPr>
      </w:pPr>
      <w:r>
        <w:rPr>
          <w:rFonts w:hint="eastAsia" w:ascii="Times New Roman" w:hAnsi="Times New Roman" w:cs="Times New Roman"/>
          <w:bCs/>
          <w:color w:val="auto"/>
          <w:sz w:val="24"/>
          <w:highlight w:val="none"/>
        </w:rPr>
        <w:t>5、国家或地方法律、法规规定需特殊保护的其他区域。</w:t>
      </w:r>
    </w:p>
    <w:p>
      <w:pPr>
        <w:adjustRightInd w:val="0"/>
        <w:snapToGrid w:val="0"/>
        <w:ind w:firstLine="518" w:firstLineChars="216"/>
        <w:rPr>
          <w:rFonts w:ascii="Times New Roman" w:hAnsi="Times New Roman" w:cs="Times New Roman"/>
          <w:bCs/>
          <w:color w:val="auto"/>
          <w:sz w:val="24"/>
          <w:highlight w:val="none"/>
        </w:rPr>
      </w:pPr>
      <w:r>
        <w:rPr>
          <w:rFonts w:hint="eastAsia" w:ascii="Times New Roman" w:hAnsi="Times New Roman" w:cs="Times New Roman"/>
          <w:bCs/>
          <w:color w:val="auto"/>
          <w:sz w:val="24"/>
          <w:highlight w:val="none"/>
        </w:rPr>
        <w:t>场界与禁建区域边界的最小距离不得小于500m。</w:t>
      </w:r>
    </w:p>
    <w:p>
      <w:pPr>
        <w:adjustRightInd w:val="0"/>
        <w:snapToGrid w:val="0"/>
        <w:spacing w:line="360" w:lineRule="auto"/>
        <w:ind w:firstLine="518" w:firstLineChars="216"/>
        <w:rPr>
          <w:rFonts w:hint="eastAsia" w:ascii="Times New Roman" w:hAnsi="Times New Roman" w:cs="Times New Roman"/>
          <w:bCs/>
          <w:color w:val="auto"/>
          <w:sz w:val="24"/>
          <w:highlight w:val="none"/>
        </w:rPr>
      </w:pPr>
      <w:r>
        <w:rPr>
          <w:rFonts w:hint="eastAsia" w:ascii="Times New Roman" w:hAnsi="Times New Roman" w:cs="Times New Roman"/>
          <w:bCs/>
          <w:color w:val="auto"/>
          <w:sz w:val="24"/>
          <w:highlight w:val="none"/>
        </w:rPr>
        <w:t>本项目不在上述区域，场界与禁建区域边界的最小距离大于500m，符合《畜禽规模养殖污染防治条例》（国务院令第643号）</w:t>
      </w:r>
      <w:r>
        <w:rPr>
          <w:rFonts w:hint="eastAsia" w:ascii="Times New Roman" w:hAnsi="Times New Roman" w:cs="Times New Roman"/>
          <w:bCs/>
          <w:color w:val="auto"/>
          <w:sz w:val="24"/>
          <w:highlight w:val="none"/>
          <w:lang w:eastAsia="zh-CN"/>
        </w:rPr>
        <w:t>、</w:t>
      </w:r>
      <w:r>
        <w:rPr>
          <w:rFonts w:hint="eastAsia" w:ascii="Times New Roman" w:hAnsi="Times New Roman" w:cs="Times New Roman"/>
          <w:bCs/>
          <w:color w:val="auto"/>
          <w:sz w:val="24"/>
          <w:highlight w:val="none"/>
        </w:rPr>
        <w:t>《畜禽养殖业污染防治技</w:t>
      </w:r>
      <w:r>
        <w:rPr>
          <w:rFonts w:hint="eastAsia" w:ascii="Times New Roman" w:hAnsi="Times New Roman" w:cs="Times New Roman"/>
          <w:bCs/>
          <w:color w:val="auto"/>
          <w:sz w:val="24"/>
          <w:highlight w:val="none"/>
          <w:lang w:eastAsia="zh-CN"/>
        </w:rPr>
        <w:t>术</w:t>
      </w:r>
      <w:r>
        <w:rPr>
          <w:rFonts w:hint="eastAsia" w:ascii="Times New Roman" w:hAnsi="Times New Roman" w:cs="Times New Roman"/>
          <w:bCs/>
          <w:color w:val="auto"/>
          <w:sz w:val="24"/>
          <w:highlight w:val="none"/>
        </w:rPr>
        <w:t>规范》（HJ/T81-2001）的要求。</w:t>
      </w:r>
    </w:p>
    <w:p>
      <w:pPr>
        <w:pStyle w:val="8"/>
        <w:spacing w:before="0" w:after="0" w:line="360" w:lineRule="auto"/>
        <w:ind w:left="0" w:firstLine="0"/>
        <w:rPr>
          <w:rFonts w:cs="Times New Roman"/>
          <w:color w:val="auto"/>
          <w:highlight w:val="none"/>
        </w:rPr>
      </w:pPr>
      <w:bookmarkStart w:id="109" w:name="_Toc15722"/>
      <w:r>
        <w:rPr>
          <w:rFonts w:hint="eastAsia" w:cs="Times New Roman"/>
          <w:color w:val="auto"/>
          <w:highlight w:val="none"/>
          <w:lang w:eastAsia="zh-CN"/>
        </w:rPr>
        <w:t>选址合理性分析</w:t>
      </w:r>
      <w:bookmarkEnd w:id="109"/>
    </w:p>
    <w:p>
      <w:pPr>
        <w:adjustRightInd w:val="0"/>
        <w:snapToGrid w:val="0"/>
        <w:spacing w:line="360" w:lineRule="auto"/>
        <w:ind w:firstLine="518" w:firstLineChars="216"/>
        <w:rPr>
          <w:rFonts w:hint="eastAsia" w:ascii="Times New Roman" w:hAnsi="Times New Roman" w:cs="Times New Roman"/>
          <w:bCs/>
          <w:color w:val="auto"/>
          <w:sz w:val="24"/>
          <w:highlight w:val="none"/>
          <w:lang w:eastAsia="zh-CN"/>
        </w:rPr>
      </w:pPr>
      <w:r>
        <w:rPr>
          <w:rFonts w:hint="eastAsia" w:ascii="Times New Roman" w:hAnsi="Times New Roman" w:cs="Times New Roman"/>
          <w:bCs/>
          <w:color w:val="auto"/>
          <w:sz w:val="24"/>
          <w:highlight w:val="none"/>
        </w:rPr>
        <w:t>项目选址位于四川省巴中市巴州区鼎山镇首市村，项目四周</w:t>
      </w:r>
      <w:r>
        <w:rPr>
          <w:rFonts w:hint="eastAsia" w:ascii="Times New Roman" w:hAnsi="Times New Roman" w:cs="Times New Roman"/>
          <w:bCs/>
          <w:color w:val="auto"/>
          <w:sz w:val="24"/>
          <w:highlight w:val="none"/>
          <w:lang w:eastAsia="zh-CN"/>
        </w:rPr>
        <w:t>为林地、耕地和荒地</w:t>
      </w:r>
      <w:r>
        <w:rPr>
          <w:rFonts w:hint="eastAsia" w:ascii="Times New Roman" w:hAnsi="Times New Roman" w:cs="Times New Roman"/>
          <w:bCs/>
          <w:color w:val="auto"/>
          <w:sz w:val="24"/>
          <w:highlight w:val="none"/>
        </w:rPr>
        <w:t>，</w:t>
      </w:r>
      <w:r>
        <w:rPr>
          <w:rFonts w:hint="eastAsia" w:ascii="Times New Roman" w:hAnsi="Times New Roman" w:cs="Times New Roman"/>
          <w:bCs/>
          <w:color w:val="auto"/>
          <w:sz w:val="24"/>
          <w:highlight w:val="none"/>
          <w:lang w:eastAsia="zh-CN"/>
        </w:rPr>
        <w:t>项目选址范围内无居民居住，且项目周边将配套公路建设，以提供</w:t>
      </w:r>
      <w:r>
        <w:rPr>
          <w:rFonts w:hint="eastAsia" w:ascii="Times New Roman" w:hAnsi="Times New Roman" w:cs="Times New Roman"/>
          <w:bCs/>
          <w:color w:val="auto"/>
          <w:sz w:val="24"/>
          <w:highlight w:val="none"/>
        </w:rPr>
        <w:t>交通便利；本项目供电均由市政电网供电，且本项目备有柴油发电机，故本项目的供电得到保障</w:t>
      </w:r>
      <w:r>
        <w:rPr>
          <w:rFonts w:hint="eastAsia" w:ascii="Times New Roman" w:hAnsi="Times New Roman" w:cs="Times New Roman"/>
          <w:bCs/>
          <w:color w:val="auto"/>
          <w:sz w:val="24"/>
          <w:highlight w:val="none"/>
          <w:lang w:eastAsia="zh-CN"/>
        </w:rPr>
        <w:t>。</w:t>
      </w:r>
    </w:p>
    <w:p>
      <w:pPr>
        <w:adjustRightInd w:val="0"/>
        <w:snapToGrid w:val="0"/>
        <w:spacing w:line="360" w:lineRule="auto"/>
        <w:ind w:firstLine="518" w:firstLineChars="216"/>
        <w:rPr>
          <w:rFonts w:hint="eastAsia" w:ascii="Times New Roman" w:hAnsi="Times New Roman" w:cs="Times New Roman"/>
          <w:bCs/>
          <w:color w:val="auto"/>
          <w:sz w:val="24"/>
          <w:highlight w:val="none"/>
          <w:lang w:eastAsia="zh-CN"/>
        </w:rPr>
      </w:pPr>
      <w:r>
        <w:rPr>
          <w:rFonts w:hint="eastAsia" w:ascii="Times New Roman" w:hAnsi="Times New Roman" w:cs="Times New Roman"/>
          <w:bCs/>
          <w:color w:val="auto"/>
          <w:sz w:val="24"/>
          <w:highlight w:val="none"/>
          <w:lang w:eastAsia="zh-CN"/>
        </w:rPr>
        <w:t>综上，本项目场址从区域配套基础设施分析，其选址具有合理性。</w:t>
      </w:r>
    </w:p>
    <w:p>
      <w:pPr>
        <w:numPr>
          <w:ilvl w:val="0"/>
          <w:numId w:val="19"/>
        </w:numPr>
        <w:tabs>
          <w:tab w:val="left" w:pos="0"/>
        </w:tabs>
        <w:ind w:left="425" w:leftChars="0" w:hanging="425" w:firstLineChars="0"/>
        <w:jc w:val="center"/>
        <w:rPr>
          <w:rFonts w:ascii="Times New Roman" w:hAnsi="Times New Roman" w:cs="Times New Roman"/>
          <w:b/>
          <w:bCs/>
          <w:color w:val="auto"/>
          <w:sz w:val="21"/>
          <w:szCs w:val="21"/>
          <w:highlight w:val="none"/>
        </w:rPr>
      </w:pPr>
      <w:r>
        <w:rPr>
          <w:rFonts w:hint="default" w:ascii="Times New Roman" w:hAnsi="Times New Roman" w:eastAsia="宋体" w:cs="Times New Roman"/>
          <w:b/>
          <w:bCs/>
          <w:color w:val="auto"/>
          <w:highlight w:val="none"/>
          <w:lang w:val="en-US" w:eastAsia="zh-CN"/>
        </w:rPr>
        <w:t xml:space="preserve">  </w:t>
      </w:r>
      <w:r>
        <w:rPr>
          <w:rFonts w:hint="default" w:ascii="Times New Roman" w:hAnsi="Times New Roman" w:eastAsia="宋体" w:cs="Times New Roman"/>
          <w:b/>
          <w:bCs/>
          <w:color w:val="auto"/>
          <w:sz w:val="21"/>
          <w:szCs w:val="21"/>
          <w:highlight w:val="none"/>
          <w:lang w:val="en-US" w:eastAsia="zh-CN"/>
        </w:rPr>
        <w:t>选址</w:t>
      </w:r>
      <w:r>
        <w:rPr>
          <w:rFonts w:hint="default" w:ascii="Times New Roman" w:hAnsi="Times New Roman" w:eastAsia="宋体" w:cs="Times New Roman"/>
          <w:b/>
          <w:bCs/>
          <w:color w:val="auto"/>
          <w:sz w:val="21"/>
          <w:szCs w:val="21"/>
          <w:highlight w:val="none"/>
        </w:rPr>
        <w:t>合理性分析</w:t>
      </w:r>
    </w:p>
    <w:tbl>
      <w:tblPr>
        <w:tblStyle w:val="91"/>
        <w:tblW w:w="8504"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447"/>
        <w:gridCol w:w="1621"/>
        <w:gridCol w:w="5819"/>
        <w:gridCol w:w="617"/>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序号</w:t>
            </w:r>
          </w:p>
        </w:tc>
        <w:tc>
          <w:tcPr>
            <w:tcW w:w="1621" w:type="dxa"/>
            <w:tcBorders>
              <w:tl2br w:val="nil"/>
              <w:tr2bl w:val="nil"/>
            </w:tcBorders>
            <w:vAlign w:val="center"/>
          </w:tcPr>
          <w:p>
            <w:pPr>
              <w:pStyle w:val="945"/>
              <w:keepNext w:val="0"/>
              <w:keepLines w:val="0"/>
              <w:suppressLineNumbers w:val="0"/>
              <w:spacing w:before="0" w:beforeAutospacing="0" w:after="0" w:afterAutospacing="0"/>
              <w:ind w:left="0" w:right="0"/>
              <w:rPr>
                <w:rFonts w:hint="eastAsia" w:eastAsia="宋体" w:cs="Times New Roman"/>
                <w:color w:val="auto"/>
                <w:szCs w:val="21"/>
                <w:highlight w:val="none"/>
                <w:lang w:eastAsia="zh-CN"/>
              </w:rPr>
            </w:pPr>
            <w:r>
              <w:rPr>
                <w:rFonts w:hint="eastAsia" w:cs="Times New Roman"/>
                <w:color w:val="auto"/>
                <w:highlight w:val="none"/>
                <w:lang w:eastAsia="zh-CN"/>
              </w:rPr>
              <w:t>项目</w:t>
            </w:r>
          </w:p>
        </w:tc>
        <w:tc>
          <w:tcPr>
            <w:tcW w:w="5819" w:type="dxa"/>
            <w:tcBorders>
              <w:tl2br w:val="nil"/>
              <w:tr2bl w:val="nil"/>
            </w:tcBorders>
            <w:vAlign w:val="center"/>
          </w:tcPr>
          <w:p>
            <w:pPr>
              <w:pStyle w:val="945"/>
              <w:keepNext w:val="0"/>
              <w:keepLines w:val="0"/>
              <w:suppressLineNumbers w:val="0"/>
              <w:spacing w:before="0" w:beforeAutospacing="0" w:after="0" w:afterAutospacing="0"/>
              <w:ind w:left="0" w:right="0"/>
              <w:rPr>
                <w:rFonts w:hint="eastAsia" w:eastAsia="宋体" w:cs="Times New Roman"/>
                <w:color w:val="auto"/>
                <w:szCs w:val="21"/>
                <w:highlight w:val="none"/>
                <w:lang w:eastAsia="zh-CN"/>
              </w:rPr>
            </w:pPr>
            <w:r>
              <w:rPr>
                <w:rFonts w:hint="eastAsia" w:cs="Times New Roman"/>
                <w:color w:val="auto"/>
                <w:szCs w:val="21"/>
                <w:highlight w:val="none"/>
                <w:lang w:eastAsia="zh-CN"/>
              </w:rPr>
              <w:t>环境条件概述</w:t>
            </w:r>
          </w:p>
        </w:tc>
        <w:tc>
          <w:tcPr>
            <w:tcW w:w="617" w:type="dxa"/>
            <w:tcBorders>
              <w:tl2br w:val="nil"/>
              <w:tr2bl w:val="nil"/>
            </w:tcBorders>
            <w:vAlign w:val="center"/>
          </w:tcPr>
          <w:p>
            <w:pPr>
              <w:pStyle w:val="945"/>
              <w:keepNext w:val="0"/>
              <w:keepLines w:val="0"/>
              <w:suppressLineNumbers w:val="0"/>
              <w:spacing w:before="0" w:beforeAutospacing="0" w:after="0" w:afterAutospacing="0"/>
              <w:ind w:left="0" w:right="0"/>
              <w:rPr>
                <w:rFonts w:hint="default" w:cs="Times New Roman"/>
                <w:color w:val="auto"/>
                <w:szCs w:val="21"/>
                <w:highlight w:val="none"/>
              </w:rPr>
            </w:pPr>
            <w:r>
              <w:rPr>
                <w:rFonts w:hint="eastAsia" w:cs="Times New Roman"/>
                <w:color w:val="auto"/>
                <w:szCs w:val="21"/>
                <w:highlight w:val="none"/>
              </w:rPr>
              <w:t>符合性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1</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场址</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rPr>
              <w:t>位于四川省巴中市巴州区鼎山镇首市村，为农村环境，非城市和城镇居民区等人口集中</w:t>
            </w:r>
            <w:r>
              <w:rPr>
                <w:rFonts w:hint="eastAsia" w:ascii="Times New Roman" w:hAnsi="Times New Roman"/>
                <w:color w:val="auto"/>
                <w:sz w:val="21"/>
                <w:highlight w:val="none"/>
                <w:lang w:eastAsia="zh-CN"/>
              </w:rPr>
              <w:t>地区</w:t>
            </w:r>
          </w:p>
        </w:tc>
        <w:tc>
          <w:tcPr>
            <w:tcW w:w="617" w:type="dxa"/>
            <w:vMerge w:val="restart"/>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r>
              <w:rPr>
                <w:rFonts w:hint="default" w:ascii="Times New Roman" w:hAnsi="Times New Roman"/>
                <w:color w:val="auto"/>
                <w:sz w:val="21"/>
                <w:highlight w:val="none"/>
              </w:rPr>
              <w:t>2</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lang w:eastAsia="zh-CN"/>
              </w:rPr>
              <w:t>占地类型</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color w:val="auto"/>
                <w:sz w:val="21"/>
                <w:highlight w:val="none"/>
              </w:rPr>
            </w:pPr>
            <w:r>
              <w:rPr>
                <w:rFonts w:hint="eastAsia" w:ascii="Times New Roman" w:hAnsi="Times New Roman"/>
                <w:color w:val="auto"/>
                <w:sz w:val="21"/>
                <w:highlight w:val="none"/>
              </w:rPr>
              <w:t>为</w:t>
            </w:r>
            <w:r>
              <w:rPr>
                <w:rFonts w:hint="eastAsia" w:ascii="Times New Roman" w:hAnsi="Times New Roman"/>
                <w:color w:val="auto"/>
                <w:sz w:val="21"/>
                <w:highlight w:val="none"/>
                <w:lang w:eastAsia="zh-CN"/>
              </w:rPr>
              <w:t>设施农用地</w:t>
            </w:r>
          </w:p>
        </w:tc>
        <w:tc>
          <w:tcPr>
            <w:tcW w:w="617" w:type="dxa"/>
            <w:vMerge w:val="continue"/>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3</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巴州区畜禽养殖禁养区划分方案</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eastAsia="宋体"/>
                <w:color w:val="auto"/>
                <w:sz w:val="21"/>
                <w:highlight w:val="none"/>
                <w:lang w:eastAsia="zh-CN"/>
              </w:rPr>
              <w:t>本项目不在《巴中市巴州区畜禽养殖区调整后划定方案》规定的禁养区，符合</w:t>
            </w:r>
            <w:r>
              <w:rPr>
                <w:rFonts w:hint="eastAsia" w:ascii="Times New Roman" w:hAnsi="Times New Roman"/>
                <w:color w:val="auto"/>
                <w:sz w:val="21"/>
                <w:highlight w:val="none"/>
                <w:lang w:eastAsia="zh-CN"/>
              </w:rPr>
              <w:t>巴州区</w:t>
            </w:r>
            <w:r>
              <w:rPr>
                <w:rFonts w:hint="eastAsia" w:ascii="Times New Roman" w:hAnsi="Times New Roman" w:eastAsia="宋体"/>
                <w:color w:val="auto"/>
                <w:sz w:val="21"/>
                <w:highlight w:val="none"/>
                <w:lang w:eastAsia="zh-CN"/>
              </w:rPr>
              <w:t>养殖规划</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4</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周围敏感点及防护距离</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lang w:eastAsia="zh-CN"/>
              </w:rPr>
              <w:t>以牛舍、污水处理站、干粪棚边界为起点，在四周均设置200m的卫生防护距离。本项目卫生防护距离200m范围内有</w:t>
            </w:r>
            <w:r>
              <w:rPr>
                <w:rFonts w:hint="eastAsia" w:ascii="Times New Roman" w:hAnsi="Times New Roman"/>
                <w:color w:val="auto"/>
                <w:sz w:val="21"/>
                <w:highlight w:val="none"/>
                <w:lang w:val="en-US" w:eastAsia="zh-CN"/>
              </w:rPr>
              <w:t>3</w:t>
            </w:r>
            <w:r>
              <w:rPr>
                <w:rFonts w:hint="eastAsia" w:ascii="Times New Roman" w:hAnsi="Times New Roman"/>
                <w:color w:val="auto"/>
                <w:sz w:val="21"/>
                <w:highlight w:val="none"/>
                <w:lang w:eastAsia="zh-CN"/>
              </w:rPr>
              <w:t>栋农户自用房，拟由公司长期租赁用作项目生产管理用房</w:t>
            </w:r>
            <w:r>
              <w:rPr>
                <w:rFonts w:hint="eastAsia" w:ascii="Times New Roman" w:hAnsi="Times New Roman"/>
                <w:color w:val="auto"/>
                <w:sz w:val="21"/>
                <w:highlight w:val="none"/>
              </w:rPr>
              <w:t>，建设单位承诺按环评要求对“三废”进行治理，确保达标排放。环评要求：在项目划定的卫生防护区域内，今后不得新建学校、医院、机关、科研机构和集中居住区等敏感建筑物</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5</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粪便消纳能力</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本项目需配套</w:t>
            </w:r>
            <w:r>
              <w:rPr>
                <w:rFonts w:hint="eastAsia" w:ascii="Times New Roman" w:hAnsi="Times New Roman"/>
                <w:color w:val="auto"/>
                <w:sz w:val="21"/>
                <w:highlight w:val="none"/>
                <w:lang w:val="en-US" w:eastAsia="zh-CN"/>
              </w:rPr>
              <w:t>272.66</w:t>
            </w:r>
            <w:r>
              <w:rPr>
                <w:rFonts w:hint="eastAsia" w:ascii="Times New Roman" w:hAnsi="Times New Roman"/>
                <w:color w:val="auto"/>
                <w:sz w:val="21"/>
                <w:highlight w:val="none"/>
              </w:rPr>
              <w:t>亩消纳土地，</w:t>
            </w:r>
            <w:r>
              <w:rPr>
                <w:rFonts w:hint="eastAsia" w:ascii="Times New Roman" w:hAnsi="Times New Roman"/>
                <w:color w:val="auto"/>
                <w:sz w:val="21"/>
                <w:highlight w:val="none"/>
                <w:lang w:eastAsia="zh-CN"/>
              </w:rPr>
              <w:t>预计</w:t>
            </w:r>
            <w:r>
              <w:rPr>
                <w:rFonts w:hint="eastAsia" w:ascii="Times New Roman" w:hAnsi="Times New Roman"/>
                <w:color w:val="auto"/>
                <w:sz w:val="21"/>
                <w:highlight w:val="none"/>
              </w:rPr>
              <w:t>配套</w:t>
            </w:r>
            <w:r>
              <w:rPr>
                <w:rFonts w:hint="eastAsia" w:ascii="Times New Roman" w:hAnsi="Times New Roman"/>
                <w:color w:val="auto"/>
                <w:sz w:val="21"/>
                <w:highlight w:val="none"/>
                <w:lang w:val="en-US" w:eastAsia="zh-CN"/>
              </w:rPr>
              <w:t>2800</w:t>
            </w:r>
            <w:r>
              <w:rPr>
                <w:rFonts w:hint="eastAsia" w:ascii="Times New Roman" w:hAnsi="Times New Roman"/>
                <w:color w:val="auto"/>
                <w:sz w:val="21"/>
                <w:highlight w:val="none"/>
              </w:rPr>
              <w:t>亩消纳土地，已签订消纳协议。</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6</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区域地表水体</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default" w:ascii="Times New Roman" w:hAnsi="Times New Roman"/>
                <w:color w:val="auto"/>
                <w:sz w:val="21"/>
                <w:highlight w:val="none"/>
              </w:rPr>
              <w:t>本项目畜禽粪便运输至</w:t>
            </w:r>
            <w:r>
              <w:rPr>
                <w:rFonts w:hint="eastAsia" w:ascii="Times New Roman" w:hAnsi="Times New Roman"/>
                <w:color w:val="auto"/>
                <w:sz w:val="21"/>
                <w:highlight w:val="none"/>
                <w:lang w:eastAsia="zh-CN"/>
              </w:rPr>
              <w:t>南江县万事康生物科技有限公司</w:t>
            </w:r>
            <w:r>
              <w:rPr>
                <w:rFonts w:hint="default" w:ascii="Times New Roman" w:hAnsi="Times New Roman"/>
                <w:color w:val="auto"/>
                <w:sz w:val="21"/>
                <w:highlight w:val="none"/>
              </w:rPr>
              <w:t>用作生产有机肥原料使用，</w:t>
            </w:r>
            <w:r>
              <w:rPr>
                <w:rFonts w:hint="eastAsia" w:ascii="Times New Roman" w:hAnsi="Times New Roman"/>
                <w:color w:val="auto"/>
                <w:sz w:val="21"/>
                <w:highlight w:val="none"/>
                <w:lang w:eastAsia="zh-CN"/>
              </w:rPr>
              <w:t>干粪棚距离最近地表水油坊沟约</w:t>
            </w:r>
            <w:r>
              <w:rPr>
                <w:rFonts w:hint="eastAsia" w:ascii="Times New Roman" w:hAnsi="Times New Roman"/>
                <w:color w:val="auto"/>
                <w:sz w:val="21"/>
                <w:highlight w:val="none"/>
                <w:lang w:val="en-US" w:eastAsia="zh-CN"/>
              </w:rPr>
              <w:t>446m，</w:t>
            </w:r>
            <w:r>
              <w:rPr>
                <w:rFonts w:hint="eastAsia" w:ascii="Times New Roman" w:hAnsi="Times New Roman"/>
                <w:color w:val="auto"/>
                <w:sz w:val="21"/>
                <w:highlight w:val="none"/>
                <w:lang w:eastAsia="zh-CN"/>
              </w:rPr>
              <w:t>罗地沟水库距离约</w:t>
            </w:r>
            <w:r>
              <w:rPr>
                <w:rFonts w:hint="eastAsia" w:ascii="Times New Roman" w:hAnsi="Times New Roman"/>
                <w:color w:val="auto"/>
                <w:sz w:val="21"/>
                <w:highlight w:val="none"/>
                <w:lang w:val="en-US" w:eastAsia="zh-CN"/>
              </w:rPr>
              <w:t>411</w:t>
            </w:r>
            <w:r>
              <w:rPr>
                <w:rFonts w:hint="default" w:ascii="Times New Roman" w:hAnsi="Times New Roman"/>
                <w:color w:val="auto"/>
                <w:sz w:val="21"/>
                <w:highlight w:val="none"/>
              </w:rPr>
              <w:t>m，位于养殖场生产及生活管理区的常年主导风的</w:t>
            </w:r>
            <w:r>
              <w:rPr>
                <w:rFonts w:hint="eastAsia" w:ascii="Times New Roman" w:hAnsi="Times New Roman"/>
                <w:color w:val="auto"/>
                <w:sz w:val="21"/>
                <w:highlight w:val="none"/>
                <w:lang w:eastAsia="zh-CN"/>
              </w:rPr>
              <w:t>侧</w:t>
            </w:r>
            <w:r>
              <w:rPr>
                <w:rFonts w:hint="default" w:ascii="Times New Roman" w:hAnsi="Times New Roman"/>
                <w:color w:val="auto"/>
                <w:sz w:val="21"/>
                <w:highlight w:val="none"/>
              </w:rPr>
              <w:t>风向。</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7</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气候、气象</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场址所处区域属温带大陆性季风气候，四季分明，且地质条件</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良好。预计项目建设对下风向的影响不大</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8</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环境影响预测</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rPr>
              <w:t>项目运营期场界恶臭排放浓度及场界噪声均实现达标排放:在落实环评建议的前提下，对地下水的影响将降至最低</w:t>
            </w:r>
            <w:r>
              <w:rPr>
                <w:rFonts w:hint="eastAsia" w:ascii="Times New Roman" w:hAnsi="Times New Roman"/>
                <w:color w:val="auto"/>
                <w:sz w:val="21"/>
                <w:highlight w:val="none"/>
                <w:lang w:eastAsia="zh-CN"/>
              </w:rPr>
              <w:t>。</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eastAsia"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9</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环境风险防范</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eastAsia="宋体"/>
                <w:color w:val="auto"/>
                <w:sz w:val="21"/>
                <w:highlight w:val="none"/>
                <w:lang w:eastAsia="zh-CN"/>
              </w:rPr>
            </w:pPr>
            <w:r>
              <w:rPr>
                <w:rFonts w:hint="eastAsia" w:ascii="Times New Roman" w:hAnsi="Times New Roman"/>
                <w:color w:val="auto"/>
                <w:sz w:val="21"/>
                <w:highlight w:val="none"/>
              </w:rPr>
              <w:t>企业在认真落实评价提出的各项防范措施后,可将项目风险发生的概率降至最</w:t>
            </w:r>
            <w:r>
              <w:rPr>
                <w:rFonts w:hint="eastAsia" w:ascii="Times New Roman" w:hAnsi="Times New Roman"/>
                <w:color w:val="auto"/>
                <w:sz w:val="21"/>
                <w:highlight w:val="none"/>
                <w:lang w:eastAsia="zh-CN"/>
              </w:rPr>
              <w:t>低</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10</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三线一单符合性</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eastAsia="宋体"/>
                <w:color w:val="auto"/>
                <w:sz w:val="21"/>
                <w:highlight w:val="none"/>
                <w:lang w:val="en-US" w:eastAsia="zh-CN"/>
              </w:rPr>
            </w:pPr>
            <w:r>
              <w:rPr>
                <w:rFonts w:hint="eastAsia" w:ascii="Times New Roman" w:hAnsi="Times New Roman" w:eastAsia="宋体"/>
                <w:color w:val="auto"/>
                <w:sz w:val="21"/>
                <w:szCs w:val="21"/>
                <w:highlight w:val="none"/>
                <w:lang w:eastAsia="zh-CN"/>
              </w:rPr>
              <w:t>不在生态保护红线内、未超出环境质量底线及资源利用上线、未列入环境准入负面清单内</w:t>
            </w:r>
            <w:r>
              <w:rPr>
                <w:rFonts w:hint="eastAsia" w:ascii="Times New Roman" w:hAnsi="Times New Roman"/>
                <w:color w:val="auto"/>
                <w:sz w:val="21"/>
                <w:szCs w:val="21"/>
                <w:highlight w:val="none"/>
                <w:lang w:val="en-US" w:eastAsia="zh-CN"/>
              </w:rPr>
              <w:t>.</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11</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公众参与意见</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公众参与对象对项目建设持支持态度，并希望建设单位严格按</w:t>
            </w:r>
          </w:p>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照评价要求做好污染防治工作</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12</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清洁生产水平</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清洁生产达到国内先进水平</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13</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政府及管理部门意见</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eastAsia" w:ascii="Times New Roman" w:hAnsi="Times New Roman"/>
                <w:color w:val="auto"/>
                <w:sz w:val="21"/>
                <w:highlight w:val="none"/>
              </w:rPr>
            </w:pPr>
            <w:r>
              <w:rPr>
                <w:rFonts w:hint="eastAsia" w:ascii="Times New Roman" w:hAnsi="Times New Roman"/>
                <w:color w:val="auto"/>
                <w:sz w:val="21"/>
                <w:highlight w:val="none"/>
              </w:rPr>
              <w:t>对项目表支持态度，同意本工程在此地建设</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0" w:hRule="atLeast"/>
        </w:trPr>
        <w:tc>
          <w:tcPr>
            <w:tcW w:w="447" w:type="dxa"/>
            <w:tcBorders>
              <w:tl2br w:val="nil"/>
              <w:tr2bl w:val="nil"/>
            </w:tcBorders>
            <w:vAlign w:val="center"/>
          </w:tcPr>
          <w:p>
            <w:pPr>
              <w:pStyle w:val="267"/>
              <w:keepNext w:val="0"/>
              <w:keepLines w:val="0"/>
              <w:widowControl/>
              <w:suppressLineNumbers w:val="0"/>
              <w:spacing w:before="0" w:beforeAutospacing="0" w:after="0" w:afterAutospacing="0"/>
              <w:ind w:left="0" w:right="0"/>
              <w:rPr>
                <w:rFonts w:hint="default"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14</w:t>
            </w:r>
          </w:p>
        </w:tc>
        <w:tc>
          <w:tcPr>
            <w:tcW w:w="1621" w:type="dxa"/>
            <w:tcBorders>
              <w:tl2br w:val="nil"/>
              <w:tr2bl w:val="nil"/>
            </w:tcBorders>
            <w:vAlign w:val="center"/>
          </w:tcPr>
          <w:p>
            <w:pPr>
              <w:pStyle w:val="267"/>
              <w:keepNext w:val="0"/>
              <w:keepLines w:val="0"/>
              <w:widowControl/>
              <w:numPr>
                <w:ilvl w:val="0"/>
                <w:numId w:val="0"/>
              </w:numPr>
              <w:suppressLineNumbers w:val="0"/>
              <w:spacing w:before="0" w:beforeAutospacing="0" w:after="0" w:afterAutospacing="0"/>
              <w:ind w:left="0" w:right="0"/>
              <w:jc w:val="both"/>
              <w:rPr>
                <w:rFonts w:hint="eastAsia" w:ascii="Times New Roman" w:hAnsi="Times New Roman"/>
                <w:color w:val="auto"/>
                <w:sz w:val="21"/>
                <w:highlight w:val="none"/>
                <w:lang w:eastAsia="zh-CN"/>
              </w:rPr>
            </w:pPr>
            <w:r>
              <w:rPr>
                <w:rFonts w:hint="eastAsia" w:ascii="Times New Roman" w:hAnsi="Times New Roman"/>
                <w:color w:val="auto"/>
                <w:sz w:val="21"/>
                <w:highlight w:val="none"/>
                <w:lang w:eastAsia="zh-CN"/>
              </w:rPr>
              <w:t>分析结果</w:t>
            </w:r>
          </w:p>
        </w:tc>
        <w:tc>
          <w:tcPr>
            <w:tcW w:w="5819" w:type="dxa"/>
            <w:tcBorders>
              <w:tl2br w:val="nil"/>
              <w:tr2bl w:val="nil"/>
            </w:tcBorders>
            <w:vAlign w:val="center"/>
          </w:tcPr>
          <w:p>
            <w:pPr>
              <w:pStyle w:val="267"/>
              <w:keepNext w:val="0"/>
              <w:keepLines w:val="0"/>
              <w:widowControl/>
              <w:suppressLineNumbers w:val="0"/>
              <w:spacing w:before="0" w:beforeAutospacing="0" w:after="0" w:afterAutospacing="0"/>
              <w:ind w:left="0" w:right="0"/>
              <w:jc w:val="both"/>
              <w:rPr>
                <w:rFonts w:hint="default"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本项目选址合理</w:t>
            </w:r>
          </w:p>
        </w:tc>
        <w:tc>
          <w:tcPr>
            <w:tcW w:w="617" w:type="dxa"/>
            <w:tcBorders>
              <w:tl2br w:val="nil"/>
              <w:tr2bl w:val="nil"/>
            </w:tcBorders>
            <w:vAlign w:val="center"/>
          </w:tcPr>
          <w:p>
            <w:pPr>
              <w:keepNext w:val="0"/>
              <w:keepLines w:val="0"/>
              <w:suppressLineNumbers w:val="0"/>
              <w:spacing w:before="0" w:beforeAutospacing="0" w:after="0" w:afterAutospacing="0"/>
              <w:ind w:left="0" w:right="0"/>
              <w:rPr>
                <w:rFonts w:hint="default" w:ascii="Times New Roman" w:hAnsi="Times New Roman"/>
                <w:color w:val="auto"/>
                <w:sz w:val="21"/>
                <w:highlight w:val="none"/>
              </w:rPr>
            </w:pPr>
            <w:r>
              <w:rPr>
                <w:rFonts w:hint="eastAsia" w:ascii="Times New Roman" w:hAnsi="Times New Roman"/>
                <w:color w:val="auto"/>
                <w:sz w:val="21"/>
                <w:highlight w:val="none"/>
              </w:rPr>
              <w:t>符合</w:t>
            </w:r>
          </w:p>
        </w:tc>
      </w:tr>
    </w:tbl>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bCs/>
          <w:color w:val="auto"/>
          <w:sz w:val="24"/>
          <w:highlight w:val="none"/>
          <w:lang w:eastAsia="zh-CN"/>
        </w:rPr>
      </w:pPr>
      <w:r>
        <w:rPr>
          <w:rFonts w:hint="default" w:ascii="Times New Roman" w:hAnsi="Times New Roman" w:eastAsia="宋体" w:cs="Times New Roman"/>
          <w:bCs/>
          <w:color w:val="auto"/>
          <w:sz w:val="24"/>
          <w:highlight w:val="none"/>
        </w:rPr>
        <w:t>通过上述分析，本项目选址于四川省巴中市巴州区鼎山镇首市村，项目区交通便利；项目区配套基础设施完善，为项目建设提供了可靠的保障；场址所在区域环境空气质量、地表水环境质量、声环境质量良好，适合</w:t>
      </w:r>
      <w:r>
        <w:rPr>
          <w:rFonts w:hint="eastAsia" w:ascii="Times New Roman" w:hAnsi="Times New Roman" w:eastAsia="宋体" w:cs="Times New Roman"/>
          <w:bCs/>
          <w:color w:val="auto"/>
          <w:sz w:val="24"/>
          <w:highlight w:val="none"/>
          <w:lang w:eastAsia="zh-CN"/>
        </w:rPr>
        <w:t>肉牛</w:t>
      </w:r>
      <w:r>
        <w:rPr>
          <w:rFonts w:hint="default" w:ascii="Times New Roman" w:hAnsi="Times New Roman" w:eastAsia="宋体" w:cs="Times New Roman"/>
          <w:bCs/>
          <w:color w:val="auto"/>
          <w:sz w:val="24"/>
          <w:highlight w:val="none"/>
        </w:rPr>
        <w:t>的成长；同时项目周边无任何其他企业，无企业制约因素；</w:t>
      </w:r>
      <w:r>
        <w:rPr>
          <w:rFonts w:hint="default" w:ascii="Times New Roman" w:hAnsi="Times New Roman" w:eastAsia="宋体" w:cs="Times New Roman"/>
          <w:bCs/>
          <w:color w:val="auto"/>
          <w:sz w:val="24"/>
          <w:highlight w:val="none"/>
          <w:lang w:eastAsia="zh-CN"/>
        </w:rPr>
        <w:t>项目</w:t>
      </w:r>
      <w:r>
        <w:rPr>
          <w:rFonts w:hint="eastAsia" w:ascii="Times New Roman" w:hAnsi="Times New Roman" w:eastAsia="宋体" w:cs="Times New Roman"/>
          <w:bCs/>
          <w:color w:val="auto"/>
          <w:sz w:val="24"/>
          <w:highlight w:val="none"/>
          <w:lang w:eastAsia="zh-CN"/>
        </w:rPr>
        <w:t>卫生防护距离内无</w:t>
      </w:r>
      <w:r>
        <w:rPr>
          <w:rFonts w:hint="default" w:ascii="Times New Roman" w:hAnsi="Times New Roman" w:eastAsia="宋体" w:cs="Times New Roman"/>
          <w:bCs/>
          <w:color w:val="auto"/>
          <w:sz w:val="24"/>
          <w:highlight w:val="none"/>
          <w:lang w:eastAsia="zh-CN"/>
        </w:rPr>
        <w:t>居住</w:t>
      </w:r>
      <w:r>
        <w:rPr>
          <w:rFonts w:hint="default" w:ascii="Times New Roman" w:hAnsi="Times New Roman" w:eastAsia="宋体" w:cs="Times New Roman"/>
          <w:bCs/>
          <w:color w:val="auto"/>
          <w:sz w:val="24"/>
          <w:highlight w:val="none"/>
        </w:rPr>
        <w:t>农户</w:t>
      </w:r>
      <w:r>
        <w:rPr>
          <w:rFonts w:hint="default" w:ascii="Times New Roman" w:hAnsi="Times New Roman" w:eastAsia="宋体" w:cs="Times New Roman"/>
          <w:bCs/>
          <w:color w:val="auto"/>
          <w:sz w:val="24"/>
          <w:highlight w:val="none"/>
          <w:lang w:eastAsia="zh-CN"/>
        </w:rPr>
        <w:t>；</w:t>
      </w:r>
      <w:r>
        <w:rPr>
          <w:rFonts w:hint="default" w:ascii="Times New Roman" w:hAnsi="Times New Roman" w:eastAsia="宋体" w:cs="Times New Roman"/>
          <w:bCs/>
          <w:color w:val="auto"/>
          <w:sz w:val="24"/>
          <w:highlight w:val="none"/>
        </w:rPr>
        <w:t>项目选址具有环境合理性</w:t>
      </w:r>
      <w:r>
        <w:rPr>
          <w:rFonts w:hint="default" w:ascii="Times New Roman" w:hAnsi="Times New Roman" w:eastAsia="宋体" w:cs="Times New Roman"/>
          <w:bCs/>
          <w:color w:val="auto"/>
          <w:sz w:val="24"/>
          <w:highlight w:val="none"/>
          <w:lang w:eastAsia="zh-CN"/>
        </w:rPr>
        <w:t>。</w:t>
      </w:r>
    </w:p>
    <w:p>
      <w:pPr>
        <w:pStyle w:val="7"/>
        <w:rPr>
          <w:rFonts w:cs="Times New Roman"/>
          <w:color w:val="auto"/>
          <w:highlight w:val="none"/>
        </w:rPr>
      </w:pPr>
      <w:bookmarkStart w:id="110" w:name="_Toc23199"/>
      <w:r>
        <w:rPr>
          <w:rFonts w:hint="eastAsia" w:cs="Times New Roman"/>
          <w:color w:val="auto"/>
          <w:highlight w:val="none"/>
        </w:rPr>
        <w:t>平面</w:t>
      </w:r>
      <w:r>
        <w:rPr>
          <w:rFonts w:cs="Times New Roman"/>
          <w:color w:val="auto"/>
          <w:highlight w:val="none"/>
        </w:rPr>
        <w:t>布置合理性</w:t>
      </w:r>
      <w:bookmarkEnd w:id="110"/>
    </w:p>
    <w:p>
      <w:pPr>
        <w:pStyle w:val="158"/>
        <w:ind w:firstLine="480"/>
        <w:rPr>
          <w:rFonts w:hint="eastAsia" w:eastAsia="宋体"/>
          <w:color w:val="auto"/>
          <w:sz w:val="24"/>
          <w:szCs w:val="24"/>
          <w:highlight w:val="none"/>
          <w:lang w:val="en-US" w:eastAsia="zh-CN"/>
        </w:rPr>
      </w:pPr>
      <w:r>
        <w:rPr>
          <w:rFonts w:hint="eastAsia"/>
          <w:color w:val="auto"/>
          <w:highlight w:val="none"/>
        </w:rPr>
        <w:t>本项目位于四川省巴中市巴州区鼎山镇首市村，项目位于</w:t>
      </w:r>
      <w:r>
        <w:rPr>
          <w:rFonts w:hint="eastAsia"/>
          <w:color w:val="auto"/>
          <w:highlight w:val="none"/>
          <w:lang w:eastAsia="zh-CN"/>
        </w:rPr>
        <w:t>山顶</w:t>
      </w:r>
      <w:r>
        <w:rPr>
          <w:rFonts w:hint="eastAsia"/>
          <w:color w:val="auto"/>
          <w:highlight w:val="none"/>
        </w:rPr>
        <w:t>上，整个厂区地势较高。</w:t>
      </w:r>
      <w:r>
        <w:rPr>
          <w:color w:val="auto"/>
          <w:sz w:val="24"/>
          <w:szCs w:val="24"/>
          <w:highlight w:val="none"/>
        </w:rPr>
        <w:t>本项目按照</w:t>
      </w:r>
      <w:r>
        <w:rPr>
          <w:rFonts w:hint="eastAsia"/>
          <w:color w:val="auto"/>
          <w:sz w:val="24"/>
          <w:szCs w:val="24"/>
          <w:highlight w:val="none"/>
          <w:lang w:eastAsia="zh-CN"/>
        </w:rPr>
        <w:t>《</w:t>
      </w:r>
      <w:r>
        <w:rPr>
          <w:rFonts w:hint="eastAsia"/>
          <w:color w:val="auto"/>
          <w:sz w:val="24"/>
          <w:szCs w:val="24"/>
          <w:highlight w:val="none"/>
        </w:rPr>
        <w:t>畜禽场场区设计技术规范》（NY/T682-2003）中总平面布置</w:t>
      </w:r>
      <w:r>
        <w:rPr>
          <w:rFonts w:hint="eastAsia"/>
          <w:color w:val="auto"/>
          <w:sz w:val="24"/>
          <w:szCs w:val="24"/>
          <w:highlight w:val="none"/>
          <w:lang w:val="en-US" w:eastAsia="zh-CN"/>
        </w:rPr>
        <w:t>要求按</w:t>
      </w:r>
      <w:r>
        <w:rPr>
          <w:color w:val="auto"/>
          <w:sz w:val="24"/>
          <w:szCs w:val="24"/>
          <w:highlight w:val="none"/>
        </w:rPr>
        <w:t>使用功能建设三个分区：生产区、生活管理区、污染防治区。</w:t>
      </w:r>
    </w:p>
    <w:p>
      <w:pPr>
        <w:ind w:firstLine="482"/>
        <w:rPr>
          <w:color w:val="auto"/>
          <w:sz w:val="24"/>
          <w:szCs w:val="24"/>
          <w:highlight w:val="none"/>
        </w:rPr>
      </w:pPr>
      <w:r>
        <w:rPr>
          <w:b/>
          <w:color w:val="auto"/>
          <w:sz w:val="24"/>
          <w:szCs w:val="24"/>
          <w:highlight w:val="none"/>
        </w:rPr>
        <w:t>1）生产区：</w:t>
      </w:r>
      <w:r>
        <w:rPr>
          <w:color w:val="auto"/>
          <w:sz w:val="24"/>
          <w:szCs w:val="24"/>
          <w:highlight w:val="none"/>
        </w:rPr>
        <w:t>根据有利防疫、便于</w:t>
      </w:r>
      <w:r>
        <w:rPr>
          <w:rFonts w:hint="eastAsia"/>
          <w:color w:val="auto"/>
          <w:sz w:val="24"/>
          <w:szCs w:val="24"/>
          <w:highlight w:val="none"/>
          <w:lang w:eastAsia="zh-CN"/>
        </w:rPr>
        <w:t>牛的</w:t>
      </w:r>
      <w:r>
        <w:rPr>
          <w:color w:val="auto"/>
          <w:sz w:val="24"/>
          <w:szCs w:val="24"/>
          <w:highlight w:val="none"/>
        </w:rPr>
        <w:t>饲养管理和方便转运的原则，采用</w:t>
      </w:r>
      <w:r>
        <w:rPr>
          <w:rFonts w:hint="eastAsia"/>
          <w:color w:val="auto"/>
          <w:sz w:val="24"/>
          <w:szCs w:val="24"/>
          <w:highlight w:val="none"/>
          <w:lang w:eastAsia="zh-CN"/>
        </w:rPr>
        <w:t>进场</w:t>
      </w:r>
      <w:r>
        <w:rPr>
          <w:rFonts w:hint="eastAsia"/>
          <w:color w:val="auto"/>
          <w:sz w:val="24"/>
          <w:szCs w:val="24"/>
          <w:highlight w:val="none"/>
          <w:lang w:val="en-US" w:eastAsia="zh-CN"/>
        </w:rPr>
        <w:t>-隔离-育肥-</w:t>
      </w:r>
      <w:r>
        <w:rPr>
          <w:color w:val="auto"/>
          <w:sz w:val="24"/>
          <w:szCs w:val="24"/>
          <w:highlight w:val="none"/>
        </w:rPr>
        <w:t>出售的工艺，实行全进全出制，按相邻原则依次安排</w:t>
      </w:r>
      <w:r>
        <w:rPr>
          <w:rFonts w:hint="eastAsia"/>
          <w:color w:val="auto"/>
          <w:sz w:val="24"/>
          <w:szCs w:val="24"/>
          <w:highlight w:val="none"/>
          <w:lang w:eastAsia="zh-CN"/>
        </w:rPr>
        <w:t>牛</w:t>
      </w:r>
      <w:r>
        <w:rPr>
          <w:color w:val="auto"/>
          <w:sz w:val="24"/>
          <w:szCs w:val="24"/>
          <w:highlight w:val="none"/>
        </w:rPr>
        <w:t>舍。</w:t>
      </w:r>
    </w:p>
    <w:p>
      <w:pPr>
        <w:ind w:firstLine="482"/>
        <w:rPr>
          <w:color w:val="auto"/>
          <w:sz w:val="24"/>
          <w:szCs w:val="24"/>
          <w:highlight w:val="none"/>
        </w:rPr>
      </w:pPr>
      <w:r>
        <w:rPr>
          <w:b/>
          <w:color w:val="auto"/>
          <w:sz w:val="24"/>
          <w:szCs w:val="24"/>
          <w:highlight w:val="none"/>
        </w:rPr>
        <w:t>2）生活管理区：</w:t>
      </w:r>
      <w:r>
        <w:rPr>
          <w:color w:val="auto"/>
          <w:sz w:val="24"/>
          <w:szCs w:val="24"/>
          <w:highlight w:val="none"/>
        </w:rPr>
        <w:t>包括办公室、员工宿舍、食堂等，设在</w:t>
      </w:r>
      <w:r>
        <w:rPr>
          <w:rFonts w:hint="eastAsia"/>
          <w:color w:val="auto"/>
          <w:sz w:val="24"/>
          <w:szCs w:val="24"/>
          <w:highlight w:val="none"/>
          <w:lang w:eastAsia="zh-CN"/>
        </w:rPr>
        <w:t>厂内的东南侧，在常年主导风向的侧风向</w:t>
      </w:r>
      <w:r>
        <w:rPr>
          <w:color w:val="auto"/>
          <w:sz w:val="24"/>
          <w:szCs w:val="24"/>
          <w:highlight w:val="none"/>
        </w:rPr>
        <w:t>，并设通道通向场外，在</w:t>
      </w:r>
      <w:r>
        <w:rPr>
          <w:rFonts w:hint="eastAsia"/>
          <w:color w:val="auto"/>
          <w:sz w:val="24"/>
          <w:szCs w:val="24"/>
          <w:highlight w:val="none"/>
          <w:lang w:eastAsia="zh-CN"/>
        </w:rPr>
        <w:t>养殖</w:t>
      </w:r>
      <w:r>
        <w:rPr>
          <w:color w:val="auto"/>
          <w:sz w:val="24"/>
          <w:szCs w:val="24"/>
          <w:highlight w:val="none"/>
        </w:rPr>
        <w:t>场上风向设绿化，在场界、圈舍间用绿化作为隔离林带。</w:t>
      </w:r>
    </w:p>
    <w:p>
      <w:pPr>
        <w:ind w:firstLine="482"/>
        <w:rPr>
          <w:color w:val="auto"/>
          <w:sz w:val="24"/>
          <w:szCs w:val="24"/>
          <w:highlight w:val="none"/>
        </w:rPr>
      </w:pPr>
      <w:r>
        <w:rPr>
          <w:b/>
          <w:color w:val="auto"/>
          <w:sz w:val="24"/>
          <w:szCs w:val="24"/>
          <w:highlight w:val="none"/>
        </w:rPr>
        <w:t>3）污染防治区：</w:t>
      </w:r>
      <w:r>
        <w:rPr>
          <w:rFonts w:hint="eastAsia" w:ascii="宋体" w:hAnsi="宋体" w:eastAsia="宋体" w:cs="宋体"/>
          <w:color w:val="auto"/>
          <w:sz w:val="24"/>
          <w:szCs w:val="24"/>
          <w:highlight w:val="none"/>
        </w:rPr>
        <w:t>包括污水处理站、</w:t>
      </w:r>
      <w:r>
        <w:rPr>
          <w:rFonts w:hint="eastAsia" w:ascii="宋体" w:hAnsi="宋体" w:eastAsia="宋体" w:cs="宋体"/>
          <w:color w:val="auto"/>
          <w:sz w:val="24"/>
          <w:szCs w:val="24"/>
          <w:highlight w:val="none"/>
          <w:lang w:eastAsia="zh-CN"/>
        </w:rPr>
        <w:t>干粪棚</w:t>
      </w:r>
      <w:r>
        <w:rPr>
          <w:rFonts w:hint="eastAsia" w:ascii="宋体" w:hAnsi="宋体" w:eastAsia="宋体" w:cs="宋体"/>
          <w:color w:val="auto"/>
          <w:sz w:val="24"/>
          <w:szCs w:val="24"/>
          <w:highlight w:val="none"/>
        </w:rPr>
        <w:t>、病死</w:t>
      </w:r>
      <w:r>
        <w:rPr>
          <w:rFonts w:hint="eastAsia" w:ascii="宋体" w:hAnsi="宋体" w:eastAsia="宋体" w:cs="宋体"/>
          <w:color w:val="auto"/>
          <w:sz w:val="24"/>
          <w:szCs w:val="24"/>
          <w:highlight w:val="none"/>
          <w:lang w:eastAsia="zh-CN"/>
        </w:rPr>
        <w:t>牛</w:t>
      </w:r>
      <w:r>
        <w:rPr>
          <w:rFonts w:hint="eastAsia" w:ascii="宋体" w:hAnsi="宋体" w:eastAsia="宋体" w:cs="宋体"/>
          <w:color w:val="auto"/>
          <w:sz w:val="24"/>
          <w:szCs w:val="24"/>
          <w:highlight w:val="none"/>
        </w:rPr>
        <w:t>无害化处理车间，</w:t>
      </w:r>
      <w:r>
        <w:rPr>
          <w:rFonts w:hint="eastAsia" w:ascii="宋体" w:hAnsi="宋体" w:eastAsia="宋体" w:cs="宋体"/>
          <w:color w:val="auto"/>
          <w:sz w:val="24"/>
          <w:szCs w:val="24"/>
          <w:highlight w:val="none"/>
          <w:lang w:eastAsia="zh-CN"/>
        </w:rPr>
        <w:t>污水处理站、病死牛无害化处理车间</w:t>
      </w:r>
      <w:r>
        <w:rPr>
          <w:rFonts w:hint="eastAsia" w:ascii="宋体" w:hAnsi="宋体" w:eastAsia="宋体" w:cs="宋体"/>
          <w:color w:val="auto"/>
          <w:sz w:val="24"/>
          <w:szCs w:val="24"/>
          <w:highlight w:val="none"/>
        </w:rPr>
        <w:t>均设置在</w:t>
      </w:r>
      <w:r>
        <w:rPr>
          <w:rFonts w:hint="eastAsia" w:ascii="宋体" w:hAnsi="宋体" w:eastAsia="宋体" w:cs="宋体"/>
          <w:color w:val="auto"/>
          <w:sz w:val="24"/>
          <w:szCs w:val="24"/>
          <w:highlight w:val="none"/>
          <w:lang w:eastAsia="zh-CN"/>
        </w:rPr>
        <w:t>养殖场南部</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干粪棚设置在西北侧，</w:t>
      </w:r>
      <w:r>
        <w:rPr>
          <w:rFonts w:hint="eastAsia" w:ascii="宋体" w:hAnsi="宋体" w:eastAsia="宋体" w:cs="宋体"/>
          <w:color w:val="auto"/>
          <w:sz w:val="24"/>
          <w:szCs w:val="24"/>
          <w:highlight w:val="none"/>
        </w:rPr>
        <w:t>远离生活管理区，与生产区分开设置，采用绿化带隔开；各圈舍产生的粪便经固液分离后及时运至</w:t>
      </w:r>
      <w:r>
        <w:rPr>
          <w:rFonts w:hint="eastAsia" w:ascii="宋体" w:hAnsi="宋体" w:eastAsia="宋体" w:cs="宋体"/>
          <w:color w:val="auto"/>
          <w:sz w:val="24"/>
          <w:szCs w:val="24"/>
          <w:highlight w:val="none"/>
          <w:lang w:eastAsia="zh-CN"/>
        </w:rPr>
        <w:t>南江县万事康生物科技有限公司</w:t>
      </w:r>
      <w:r>
        <w:rPr>
          <w:rFonts w:hint="eastAsia" w:ascii="宋体" w:hAnsi="宋体" w:eastAsia="宋体" w:cs="宋体"/>
          <w:color w:val="auto"/>
          <w:sz w:val="24"/>
          <w:szCs w:val="24"/>
          <w:highlight w:val="none"/>
        </w:rPr>
        <w:t>用作生产有机肥原料使用。</w:t>
      </w:r>
    </w:p>
    <w:p>
      <w:pPr>
        <w:pStyle w:val="24"/>
        <w:spacing w:line="440" w:lineRule="exact"/>
        <w:ind w:firstLine="480"/>
        <w:rPr>
          <w:rFonts w:ascii="Times New Roman" w:hAnsi="Times New Roman"/>
          <w:color w:val="auto"/>
          <w:highlight w:val="none"/>
        </w:rPr>
      </w:pPr>
      <w:r>
        <w:rPr>
          <w:rFonts w:hint="eastAsia" w:ascii="宋体" w:hAnsi="宋体" w:cs="宋体"/>
          <w:color w:val="auto"/>
          <w:highlight w:val="none"/>
        </w:rPr>
        <w:t>①</w:t>
      </w:r>
      <w:r>
        <w:rPr>
          <w:rFonts w:ascii="Times New Roman" w:hAnsi="Times New Roman"/>
          <w:color w:val="auto"/>
          <w:highlight w:val="none"/>
        </w:rPr>
        <w:t>本项目场区分为生产区、生活管理区、污染防治区。生产区</w:t>
      </w:r>
      <w:r>
        <w:rPr>
          <w:rFonts w:hint="eastAsia"/>
          <w:color w:val="auto"/>
          <w:highlight w:val="none"/>
          <w:lang w:eastAsia="zh-CN"/>
        </w:rPr>
        <w:t>与</w:t>
      </w:r>
      <w:r>
        <w:rPr>
          <w:rFonts w:ascii="Times New Roman" w:hAnsi="Times New Roman"/>
          <w:color w:val="auto"/>
          <w:highlight w:val="none"/>
        </w:rPr>
        <w:t>生活区</w:t>
      </w:r>
      <w:r>
        <w:rPr>
          <w:rFonts w:hint="eastAsia"/>
          <w:color w:val="auto"/>
          <w:highlight w:val="none"/>
          <w:lang w:eastAsia="zh-CN"/>
        </w:rPr>
        <w:t>分开建设，以绿化带隔离</w:t>
      </w:r>
      <w:r>
        <w:rPr>
          <w:rFonts w:ascii="Times New Roman" w:hAnsi="Times New Roman"/>
          <w:color w:val="auto"/>
          <w:highlight w:val="none"/>
        </w:rPr>
        <w:t>，基本实现了《畜禽养殖业污染防治技术规范》（HJ/T81-2001）中关于生产区、生活管理区相隔离的要求。</w:t>
      </w:r>
      <w:r>
        <w:rPr>
          <w:rFonts w:hint="eastAsia" w:ascii="宋体" w:hAnsi="宋体" w:eastAsia="宋体" w:cs="宋体"/>
          <w:color w:val="auto"/>
          <w:sz w:val="24"/>
          <w:szCs w:val="24"/>
          <w:highlight w:val="none"/>
          <w:lang w:eastAsia="zh-CN"/>
        </w:rPr>
        <w:t>污水处理站、病死牛无害化处理车间</w:t>
      </w:r>
      <w:r>
        <w:rPr>
          <w:rFonts w:hint="eastAsia" w:ascii="宋体" w:hAnsi="宋体" w:eastAsia="宋体" w:cs="宋体"/>
          <w:color w:val="auto"/>
          <w:sz w:val="24"/>
          <w:szCs w:val="24"/>
          <w:highlight w:val="none"/>
        </w:rPr>
        <w:t>均设置在</w:t>
      </w:r>
      <w:r>
        <w:rPr>
          <w:rFonts w:hint="eastAsia" w:ascii="宋体" w:hAnsi="宋体" w:eastAsia="宋体" w:cs="宋体"/>
          <w:color w:val="auto"/>
          <w:sz w:val="24"/>
          <w:szCs w:val="24"/>
          <w:highlight w:val="none"/>
          <w:lang w:eastAsia="zh-CN"/>
        </w:rPr>
        <w:t>养殖场南部</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干粪棚设置在西北侧</w:t>
      </w:r>
      <w:r>
        <w:rPr>
          <w:rFonts w:ascii="Times New Roman" w:hAnsi="Times New Roman"/>
          <w:color w:val="auto"/>
          <w:highlight w:val="none"/>
        </w:rPr>
        <w:t>，处于最大频率侧风向，且远离生活管理区，符合要求；项目的生活污水产生主要集中在生活管理区内，在生活管理区内设置</w:t>
      </w:r>
      <w:r>
        <w:rPr>
          <w:rFonts w:hint="eastAsia"/>
          <w:color w:val="auto"/>
          <w:highlight w:val="none"/>
          <w:lang w:eastAsia="zh-CN"/>
        </w:rPr>
        <w:t>预处理池</w:t>
      </w:r>
      <w:r>
        <w:rPr>
          <w:rFonts w:ascii="Times New Roman" w:hAnsi="Times New Roman"/>
          <w:color w:val="auto"/>
          <w:highlight w:val="none"/>
        </w:rPr>
        <w:t>能及时有效地对项目生活污水进行预处理。</w:t>
      </w:r>
    </w:p>
    <w:p>
      <w:pPr>
        <w:pStyle w:val="24"/>
        <w:spacing w:line="440" w:lineRule="exact"/>
        <w:ind w:firstLine="480"/>
        <w:rPr>
          <w:rFonts w:hint="eastAsia" w:ascii="Times New Roman" w:hAnsi="Times New Roman"/>
          <w:color w:val="auto"/>
          <w:highlight w:val="none"/>
        </w:rPr>
      </w:pPr>
      <w:r>
        <w:rPr>
          <w:rFonts w:hint="eastAsia" w:ascii="宋体" w:hAnsi="宋体" w:cs="宋体"/>
          <w:color w:val="auto"/>
          <w:highlight w:val="none"/>
        </w:rPr>
        <w:t>②</w:t>
      </w:r>
      <w:r>
        <w:rPr>
          <w:rFonts w:ascii="Times New Roman" w:hAnsi="Times New Roman"/>
          <w:color w:val="auto"/>
          <w:highlight w:val="none"/>
        </w:rPr>
        <w:t>污染防治区</w:t>
      </w:r>
      <w:r>
        <w:rPr>
          <w:rFonts w:hint="eastAsia"/>
          <w:color w:val="auto"/>
          <w:highlight w:val="none"/>
          <w:lang w:eastAsia="zh-CN"/>
        </w:rPr>
        <w:t>中固废堆存的干粪棚距离最近地表水油坊沟约446m，罗地沟水库距离约411m，满足《畜禽养殖业污染防治技术规范》（HJ/T81-2001 ）的相关规定，且位于养殖场生产及生活管理区的常年主导风的侧风向。</w:t>
      </w:r>
    </w:p>
    <w:p>
      <w:pPr>
        <w:pStyle w:val="24"/>
        <w:spacing w:line="440" w:lineRule="exact"/>
        <w:ind w:firstLine="480"/>
        <w:rPr>
          <w:rFonts w:ascii="Times New Roman" w:hAnsi="Times New Roman"/>
          <w:color w:val="auto"/>
          <w:highlight w:val="none"/>
        </w:rPr>
      </w:pPr>
      <w:r>
        <w:rPr>
          <w:rFonts w:hint="eastAsia" w:ascii="宋体" w:hAnsi="宋体" w:cs="宋体"/>
          <w:color w:val="auto"/>
          <w:highlight w:val="none"/>
        </w:rPr>
        <w:t>③</w:t>
      </w:r>
      <w:r>
        <w:rPr>
          <w:rFonts w:ascii="Times New Roman" w:hAnsi="Times New Roman"/>
          <w:color w:val="auto"/>
          <w:highlight w:val="none"/>
        </w:rPr>
        <w:t>主要高噪声源布置于远离厂界的车间内部，减少高噪声源对厂界环境的影响。</w:t>
      </w:r>
    </w:p>
    <w:p>
      <w:pPr>
        <w:pStyle w:val="24"/>
        <w:spacing w:line="440" w:lineRule="exact"/>
        <w:ind w:firstLine="480"/>
        <w:rPr>
          <w:rFonts w:ascii="Times New Roman" w:hAnsi="Times New Roman"/>
          <w:color w:val="auto"/>
          <w:highlight w:val="none"/>
        </w:rPr>
      </w:pPr>
      <w:r>
        <w:rPr>
          <w:rFonts w:hint="eastAsia" w:ascii="Times New Roman" w:hAnsi="Times New Roman"/>
          <w:color w:val="auto"/>
          <w:highlight w:val="none"/>
        </w:rPr>
        <w:t>同时，根据工艺流程安排，污水处理区紧邻圈舍，位于常年主导风向侧风向，便于实现“即产、即清”，可使设备运行稳定、维修方便、经济合理。隔离舍临近圈舍，便于牛只发生病情时及时就诊，节省时间、人力，减少沿途运输污染；危险废物暂存间位于生产区北侧，与生产区隔离，避免危废暂存间对生产区造成影响；消毒室位于厂区入口处，便于车辆、人员进入时进行消毒，避免带入病菌。在牛舍周围、道路两边和牛舍之间栽种树木，种植花草，有利于减少冬季寒风袭击和夏季阳光照射，净化空气，绿化环境。做到排污固液分流，雨污分离，减少粪污处理量和对周围环境的影响。</w:t>
      </w:r>
    </w:p>
    <w:p>
      <w:pPr>
        <w:pStyle w:val="24"/>
        <w:spacing w:line="440" w:lineRule="exact"/>
        <w:ind w:firstLine="480"/>
        <w:rPr>
          <w:rFonts w:hint="eastAsia"/>
          <w:color w:val="auto"/>
          <w:highlight w:val="none"/>
        </w:rPr>
      </w:pPr>
      <w:r>
        <w:rPr>
          <w:rFonts w:ascii="Times New Roman" w:hAnsi="Times New Roman"/>
          <w:color w:val="auto"/>
          <w:highlight w:val="none"/>
        </w:rPr>
        <w:t>综上所述，本项目整个厂区的平面布置是根据生产工艺流程及其产生的污染物对周围环境的影响来设计的。总体而言，项目厂区功能分区明确、物流通畅、方便生产及管理、对外环境无明显影响，从环境保护角度分析其总平面布局基本合理。</w:t>
      </w:r>
      <w:r>
        <w:rPr>
          <w:rFonts w:hint="eastAsia"/>
          <w:color w:val="auto"/>
          <w:highlight w:val="none"/>
        </w:rPr>
        <w:t>厂区平面布置具体见图</w:t>
      </w:r>
      <w:r>
        <w:rPr>
          <w:rFonts w:hint="eastAsia"/>
          <w:color w:val="auto"/>
          <w:highlight w:val="none"/>
          <w:lang w:val="en-US" w:eastAsia="zh-CN"/>
        </w:rPr>
        <w:t>5</w:t>
      </w:r>
      <w:r>
        <w:rPr>
          <w:rFonts w:hint="eastAsia"/>
          <w:color w:val="auto"/>
          <w:highlight w:val="none"/>
        </w:rPr>
        <w:t>。</w:t>
      </w:r>
    </w:p>
    <w:p>
      <w:pPr>
        <w:rPr>
          <w:rFonts w:hint="eastAsia"/>
          <w:color w:val="auto"/>
          <w:highlight w:val="none"/>
        </w:rPr>
      </w:pPr>
      <w:r>
        <w:rPr>
          <w:rFonts w:hint="eastAsia"/>
          <w:color w:val="auto"/>
          <w:highlight w:val="none"/>
        </w:rPr>
        <w:br w:type="page"/>
      </w:r>
    </w:p>
    <w:p>
      <w:pPr>
        <w:pStyle w:val="6"/>
        <w:rPr>
          <w:rFonts w:hint="default" w:ascii="Times New Roman" w:hAnsi="Times New Roman" w:eastAsia="宋体" w:cs="Times New Roman"/>
          <w:color w:val="auto"/>
          <w:highlight w:val="none"/>
        </w:rPr>
      </w:pPr>
      <w:bookmarkStart w:id="111" w:name="_Toc13316"/>
      <w:r>
        <w:rPr>
          <w:rFonts w:hint="default" w:ascii="Times New Roman" w:hAnsi="Times New Roman" w:eastAsia="宋体" w:cs="Times New Roman"/>
          <w:color w:val="auto"/>
          <w:highlight w:val="none"/>
        </w:rPr>
        <w:t>建设项目工程分析</w:t>
      </w:r>
      <w:bookmarkEnd w:id="111"/>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default" w:ascii="Times New Roman" w:hAnsi="Times New Roman" w:eastAsia="宋体" w:cs="Times New Roman"/>
          <w:color w:val="auto"/>
          <w:highlight w:val="none"/>
        </w:rPr>
      </w:pPr>
      <w:bookmarkStart w:id="112" w:name="_Toc18748"/>
      <w:r>
        <w:rPr>
          <w:rFonts w:hint="default" w:ascii="Times New Roman" w:hAnsi="Times New Roman" w:eastAsia="宋体" w:cs="Times New Roman"/>
          <w:color w:val="auto"/>
          <w:highlight w:val="none"/>
        </w:rPr>
        <w:t>建设项目概况</w:t>
      </w:r>
      <w:bookmarkEnd w:id="112"/>
    </w:p>
    <w:p>
      <w:pPr>
        <w:pStyle w:val="8"/>
        <w:spacing w:before="0" w:after="0" w:line="360" w:lineRule="auto"/>
        <w:ind w:left="0" w:firstLine="0"/>
        <w:rPr>
          <w:rFonts w:hint="default" w:ascii="Times New Roman" w:hAnsi="Times New Roman" w:eastAsia="宋体" w:cs="Times New Roman"/>
          <w:color w:val="auto"/>
          <w:highlight w:val="none"/>
        </w:rPr>
      </w:pPr>
      <w:bookmarkStart w:id="113" w:name="_Toc18441"/>
      <w:r>
        <w:rPr>
          <w:rFonts w:hint="default" w:ascii="Times New Roman" w:hAnsi="Times New Roman" w:eastAsia="宋体" w:cs="Times New Roman"/>
          <w:color w:val="auto"/>
          <w:highlight w:val="none"/>
        </w:rPr>
        <w:t>项目基本情况</w:t>
      </w:r>
      <w:bookmarkEnd w:id="113"/>
    </w:p>
    <w:p>
      <w:pPr>
        <w:ind w:firstLine="480" w:firstLineChars="200"/>
        <w:rPr>
          <w:rFonts w:hint="eastAsia" w:ascii="Times New Roman" w:hAnsi="Times New Roman" w:cs="Times New Roman" w:eastAsiaTheme="minorEastAsia"/>
          <w:bCs/>
          <w:color w:val="auto"/>
          <w:sz w:val="24"/>
          <w:szCs w:val="24"/>
          <w:highlight w:val="none"/>
          <w:lang w:eastAsia="zh-CN"/>
        </w:rPr>
      </w:pPr>
      <w:r>
        <w:rPr>
          <w:rFonts w:ascii="Times New Roman" w:hAnsi="Times New Roman" w:cs="Times New Roman"/>
          <w:bCs/>
          <w:color w:val="auto"/>
          <w:sz w:val="24"/>
          <w:szCs w:val="24"/>
          <w:highlight w:val="none"/>
        </w:rPr>
        <w:t>项目名称：</w:t>
      </w:r>
      <w:r>
        <w:rPr>
          <w:rFonts w:hint="eastAsia" w:ascii="Times New Roman" w:hAnsi="Times New Roman" w:cs="Times New Roman"/>
          <w:bCs/>
          <w:color w:val="auto"/>
          <w:sz w:val="24"/>
          <w:szCs w:val="24"/>
          <w:highlight w:val="none"/>
          <w:lang w:eastAsia="zh-CN"/>
        </w:rPr>
        <w:t>巴州区鼎山镇首市村巴山牛肉标准化育肥场</w:t>
      </w:r>
    </w:p>
    <w:p>
      <w:pPr>
        <w:ind w:firstLine="480" w:firstLineChars="200"/>
        <w:rPr>
          <w:rFonts w:hint="eastAsia" w:ascii="Times New Roman" w:hAnsi="Times New Roman" w:cs="Times New Roman" w:eastAsiaTheme="minorEastAsia"/>
          <w:bCs/>
          <w:color w:val="auto"/>
          <w:sz w:val="24"/>
          <w:szCs w:val="24"/>
          <w:highlight w:val="none"/>
          <w:lang w:val="en-US" w:eastAsia="zh-CN"/>
        </w:rPr>
      </w:pPr>
      <w:r>
        <w:rPr>
          <w:rFonts w:ascii="Times New Roman" w:hAnsi="Times New Roman" w:cs="Times New Roman"/>
          <w:bCs/>
          <w:color w:val="auto"/>
          <w:sz w:val="24"/>
          <w:szCs w:val="24"/>
          <w:highlight w:val="none"/>
        </w:rPr>
        <w:t>建设地点：</w:t>
      </w:r>
      <w:r>
        <w:rPr>
          <w:rFonts w:hint="eastAsia" w:ascii="Times New Roman" w:hAnsi="Times New Roman" w:cs="Times New Roman"/>
          <w:bCs/>
          <w:color w:val="auto"/>
          <w:sz w:val="24"/>
          <w:szCs w:val="24"/>
          <w:highlight w:val="none"/>
          <w:lang w:eastAsia="zh-CN"/>
        </w:rPr>
        <w:t>巴州区鼎山镇首市村</w:t>
      </w:r>
    </w:p>
    <w:p>
      <w:pPr>
        <w:ind w:firstLine="480" w:firstLineChars="200"/>
        <w:rPr>
          <w:rFonts w:ascii="Times New Roman" w:hAnsi="Times New Roman" w:cs="Times New Roman"/>
          <w:bCs/>
          <w:color w:val="auto"/>
          <w:sz w:val="24"/>
          <w:szCs w:val="24"/>
          <w:highlight w:val="none"/>
        </w:rPr>
      </w:pPr>
      <w:r>
        <w:rPr>
          <w:rFonts w:ascii="Times New Roman" w:hAnsi="Times New Roman" w:cs="Times New Roman"/>
          <w:bCs/>
          <w:color w:val="auto"/>
          <w:sz w:val="24"/>
          <w:szCs w:val="24"/>
          <w:highlight w:val="none"/>
        </w:rPr>
        <w:t>项目性质：</w:t>
      </w:r>
      <w:r>
        <w:rPr>
          <w:rFonts w:hint="eastAsia" w:ascii="Times New Roman" w:hAnsi="Times New Roman" w:cs="Times New Roman"/>
          <w:bCs/>
          <w:color w:val="auto"/>
          <w:sz w:val="24"/>
          <w:szCs w:val="24"/>
          <w:highlight w:val="none"/>
        </w:rPr>
        <w:t>新建</w:t>
      </w:r>
    </w:p>
    <w:p>
      <w:pPr>
        <w:ind w:firstLine="480" w:firstLineChars="200"/>
        <w:rPr>
          <w:rFonts w:hint="eastAsia" w:ascii="Times New Roman" w:hAnsi="Times New Roman" w:cs="Times New Roman"/>
          <w:bCs/>
          <w:color w:val="auto"/>
          <w:sz w:val="24"/>
          <w:szCs w:val="24"/>
          <w:highlight w:val="none"/>
          <w:lang w:eastAsia="zh-CN"/>
        </w:rPr>
      </w:pPr>
      <w:r>
        <w:rPr>
          <w:rFonts w:ascii="Times New Roman" w:hAnsi="Times New Roman" w:cs="Times New Roman"/>
          <w:bCs/>
          <w:color w:val="auto"/>
          <w:sz w:val="24"/>
          <w:szCs w:val="24"/>
          <w:highlight w:val="none"/>
        </w:rPr>
        <w:t>建设单位：</w:t>
      </w:r>
      <w:r>
        <w:rPr>
          <w:rFonts w:hint="eastAsia" w:ascii="Times New Roman" w:hAnsi="Times New Roman" w:cs="Times New Roman"/>
          <w:bCs/>
          <w:color w:val="auto"/>
          <w:sz w:val="24"/>
          <w:szCs w:val="24"/>
          <w:highlight w:val="none"/>
          <w:lang w:eastAsia="zh-CN"/>
        </w:rPr>
        <w:t>四川巴中国家粮食和物资储备库有限公司</w:t>
      </w:r>
    </w:p>
    <w:p>
      <w:pPr>
        <w:ind w:firstLine="480" w:firstLineChars="200"/>
        <w:rPr>
          <w:rFonts w:hint="eastAsia" w:ascii="Times New Roman" w:hAnsi="Times New Roman" w:cs="Times New Roman"/>
          <w:bCs/>
          <w:color w:val="auto"/>
          <w:sz w:val="24"/>
          <w:szCs w:val="24"/>
          <w:highlight w:val="none"/>
          <w:lang w:val="en-US" w:eastAsia="zh-CN"/>
        </w:rPr>
      </w:pPr>
      <w:r>
        <w:rPr>
          <w:rFonts w:ascii="Times New Roman" w:hAnsi="Times New Roman" w:cs="Times New Roman"/>
          <w:bCs/>
          <w:color w:val="auto"/>
          <w:sz w:val="24"/>
          <w:szCs w:val="24"/>
          <w:highlight w:val="none"/>
        </w:rPr>
        <w:t>建设内容及规模：</w:t>
      </w:r>
      <w:r>
        <w:rPr>
          <w:rFonts w:hint="eastAsia" w:ascii="Times New Roman" w:hAnsi="Times New Roman" w:cs="Times New Roman"/>
          <w:bCs/>
          <w:color w:val="auto"/>
          <w:sz w:val="24"/>
          <w:szCs w:val="24"/>
          <w:highlight w:val="none"/>
          <w:lang w:eastAsia="zh-CN"/>
        </w:rPr>
        <w:t>巴州区鼎山镇首市村</w:t>
      </w:r>
      <w:r>
        <w:rPr>
          <w:rFonts w:hint="eastAsia" w:ascii="Times New Roman" w:hAnsi="Times New Roman" w:cs="Times New Roman"/>
          <w:bCs/>
          <w:color w:val="auto"/>
          <w:sz w:val="24"/>
          <w:szCs w:val="24"/>
          <w:highlight w:val="none"/>
          <w:lang w:val="en-US" w:eastAsia="zh-CN"/>
        </w:rPr>
        <w:t>1.25万头育肥场园区建设，占地512.52亩，总建筑面积132773.58m</w:t>
      </w:r>
      <w:r>
        <w:rPr>
          <w:rFonts w:hint="eastAsia" w:ascii="Times New Roman" w:hAnsi="Times New Roman" w:cs="Times New Roman"/>
          <w:bCs/>
          <w:color w:val="auto"/>
          <w:sz w:val="24"/>
          <w:szCs w:val="24"/>
          <w:highlight w:val="none"/>
          <w:vertAlign w:val="superscript"/>
          <w:lang w:val="en-US" w:eastAsia="zh-CN"/>
        </w:rPr>
        <w:t>2</w:t>
      </w:r>
      <w:r>
        <w:rPr>
          <w:rFonts w:hint="eastAsia" w:ascii="Times New Roman" w:hAnsi="Times New Roman" w:cs="Times New Roman"/>
          <w:bCs/>
          <w:color w:val="auto"/>
          <w:sz w:val="24"/>
          <w:szCs w:val="24"/>
          <w:highlight w:val="none"/>
          <w:lang w:val="en-US" w:eastAsia="zh-CN"/>
        </w:rPr>
        <w:t>。建设育肥区牛舍、隔离区、青贮料干草区、综合楼、污水池、门卫、消毒室、设备用房等，配套建设其他附属设施。</w:t>
      </w:r>
    </w:p>
    <w:p>
      <w:pPr>
        <w:ind w:firstLine="480" w:firstLineChars="200"/>
        <w:rPr>
          <w:rFonts w:hint="eastAsia" w:ascii="Times New Roman" w:hAnsi="Times New Roman" w:cs="Times New Roman" w:eastAsiaTheme="minorEastAsia"/>
          <w:bCs/>
          <w:color w:val="auto"/>
          <w:sz w:val="24"/>
          <w:szCs w:val="24"/>
          <w:highlight w:val="none"/>
          <w:lang w:eastAsia="zh-CN"/>
        </w:rPr>
      </w:pPr>
      <w:r>
        <w:rPr>
          <w:rFonts w:ascii="Times New Roman" w:hAnsi="Times New Roman" w:cs="Times New Roman"/>
          <w:bCs/>
          <w:color w:val="auto"/>
          <w:sz w:val="24"/>
          <w:szCs w:val="24"/>
          <w:highlight w:val="none"/>
        </w:rPr>
        <w:t>投资总额：</w:t>
      </w:r>
      <w:r>
        <w:rPr>
          <w:rFonts w:hint="eastAsia" w:ascii="Times New Roman" w:hAnsi="Times New Roman" w:cs="Times New Roman"/>
          <w:bCs/>
          <w:color w:val="auto"/>
          <w:sz w:val="24"/>
          <w:szCs w:val="24"/>
          <w:highlight w:val="none"/>
          <w:lang w:val="en-US" w:eastAsia="zh-CN"/>
        </w:rPr>
        <w:t>27688.93</w:t>
      </w:r>
      <w:r>
        <w:rPr>
          <w:rFonts w:ascii="Times New Roman" w:hAnsi="Times New Roman" w:cs="Times New Roman"/>
          <w:bCs/>
          <w:color w:val="auto"/>
          <w:sz w:val="24"/>
          <w:szCs w:val="24"/>
          <w:highlight w:val="none"/>
        </w:rPr>
        <w:t>万元，</w:t>
      </w:r>
      <w:r>
        <w:rPr>
          <w:rFonts w:hint="eastAsia" w:ascii="Times New Roman" w:hAnsi="Times New Roman" w:cs="Times New Roman"/>
          <w:bCs/>
          <w:color w:val="auto"/>
          <w:sz w:val="24"/>
          <w:szCs w:val="24"/>
          <w:highlight w:val="none"/>
          <w:lang w:eastAsia="zh-CN"/>
        </w:rPr>
        <w:t>为企业自筹资金</w:t>
      </w:r>
    </w:p>
    <w:p>
      <w:pPr>
        <w:tabs>
          <w:tab w:val="left" w:pos="1220"/>
        </w:tabs>
        <w:ind w:firstLine="480" w:firstLineChars="200"/>
        <w:rPr>
          <w:rFonts w:ascii="Times New Roman" w:hAnsi="Times New Roman" w:cs="Times New Roman"/>
          <w:bCs/>
          <w:color w:val="auto"/>
          <w:sz w:val="24"/>
          <w:highlight w:val="none"/>
        </w:rPr>
      </w:pPr>
      <w:r>
        <w:rPr>
          <w:rFonts w:ascii="Times New Roman" w:hAnsi="Times New Roman" w:cs="Times New Roman"/>
          <w:bCs/>
          <w:color w:val="auto"/>
          <w:sz w:val="24"/>
          <w:highlight w:val="none"/>
        </w:rPr>
        <w:t>劳动定员：</w:t>
      </w:r>
      <w:r>
        <w:rPr>
          <w:rFonts w:hint="eastAsia" w:ascii="Times New Roman" w:hAnsi="Times New Roman" w:cs="Times New Roman"/>
          <w:color w:val="auto"/>
          <w:sz w:val="24"/>
          <w:highlight w:val="none"/>
          <w:lang w:val="en-US" w:eastAsia="zh-CN"/>
        </w:rPr>
        <w:t>80</w:t>
      </w:r>
      <w:r>
        <w:rPr>
          <w:rFonts w:ascii="Times New Roman" w:hAnsi="Times New Roman" w:cs="Times New Roman"/>
          <w:color w:val="auto"/>
          <w:sz w:val="24"/>
          <w:highlight w:val="none"/>
        </w:rPr>
        <w:t>人</w:t>
      </w:r>
    </w:p>
    <w:p>
      <w:pPr>
        <w:tabs>
          <w:tab w:val="left" w:pos="1220"/>
        </w:tabs>
        <w:ind w:firstLine="480" w:firstLineChars="200"/>
        <w:rPr>
          <w:rFonts w:ascii="Times New Roman" w:hAnsi="Times New Roman" w:cs="Times New Roman"/>
          <w:bCs/>
          <w:color w:val="auto"/>
          <w:sz w:val="24"/>
          <w:highlight w:val="none"/>
        </w:rPr>
      </w:pPr>
      <w:r>
        <w:rPr>
          <w:rFonts w:ascii="Times New Roman" w:hAnsi="Times New Roman" w:cs="Times New Roman"/>
          <w:bCs/>
          <w:color w:val="auto"/>
          <w:sz w:val="24"/>
          <w:highlight w:val="none"/>
        </w:rPr>
        <w:t>生产制度：年生产时间</w:t>
      </w:r>
      <w:r>
        <w:rPr>
          <w:rFonts w:hint="eastAsia" w:ascii="Times New Roman" w:hAnsi="Times New Roman" w:cs="Times New Roman"/>
          <w:bCs/>
          <w:color w:val="auto"/>
          <w:sz w:val="24"/>
          <w:highlight w:val="none"/>
        </w:rPr>
        <w:t>365</w:t>
      </w:r>
      <w:r>
        <w:rPr>
          <w:rFonts w:ascii="Times New Roman" w:hAnsi="Times New Roman" w:cs="Times New Roman"/>
          <w:bCs/>
          <w:color w:val="auto"/>
          <w:sz w:val="24"/>
          <w:highlight w:val="none"/>
        </w:rPr>
        <w:t>天，</w:t>
      </w:r>
      <w:r>
        <w:rPr>
          <w:rFonts w:hint="eastAsia" w:ascii="Times New Roman" w:hAnsi="Times New Roman" w:cs="Times New Roman"/>
          <w:bCs/>
          <w:color w:val="auto"/>
          <w:sz w:val="24"/>
          <w:highlight w:val="none"/>
          <w:lang w:eastAsia="zh-CN"/>
        </w:rPr>
        <w:t>二</w:t>
      </w:r>
      <w:r>
        <w:rPr>
          <w:rFonts w:ascii="Times New Roman" w:hAnsi="Times New Roman" w:cs="Times New Roman"/>
          <w:bCs/>
          <w:color w:val="auto"/>
          <w:sz w:val="24"/>
          <w:highlight w:val="none"/>
        </w:rPr>
        <w:t>班</w:t>
      </w:r>
      <w:r>
        <w:rPr>
          <w:rFonts w:hint="eastAsia" w:ascii="Times New Roman" w:hAnsi="Times New Roman" w:cs="Times New Roman"/>
          <w:bCs/>
          <w:color w:val="auto"/>
          <w:sz w:val="24"/>
          <w:highlight w:val="none"/>
        </w:rPr>
        <w:t>工作制</w:t>
      </w:r>
      <w:r>
        <w:rPr>
          <w:rFonts w:ascii="Times New Roman" w:hAnsi="Times New Roman" w:cs="Times New Roman"/>
          <w:bCs/>
          <w:color w:val="auto"/>
          <w:sz w:val="24"/>
          <w:highlight w:val="none"/>
        </w:rPr>
        <w:t>，每班工作</w:t>
      </w:r>
      <w:r>
        <w:rPr>
          <w:rFonts w:hint="eastAsia" w:ascii="Times New Roman" w:hAnsi="Times New Roman" w:cs="Times New Roman"/>
          <w:bCs/>
          <w:color w:val="auto"/>
          <w:sz w:val="24"/>
          <w:highlight w:val="none"/>
          <w:lang w:val="en-US" w:eastAsia="zh-CN"/>
        </w:rPr>
        <w:t>8</w:t>
      </w:r>
      <w:r>
        <w:rPr>
          <w:rFonts w:ascii="Times New Roman" w:hAnsi="Times New Roman" w:cs="Times New Roman"/>
          <w:bCs/>
          <w:color w:val="auto"/>
          <w:sz w:val="24"/>
          <w:highlight w:val="none"/>
        </w:rPr>
        <w:t>小时。</w:t>
      </w:r>
    </w:p>
    <w:p>
      <w:pPr>
        <w:pStyle w:val="8"/>
        <w:spacing w:before="0" w:after="0" w:line="360" w:lineRule="auto"/>
        <w:ind w:left="0" w:firstLine="0"/>
        <w:rPr>
          <w:rFonts w:cs="Times New Roman"/>
          <w:color w:val="auto"/>
          <w:highlight w:val="none"/>
        </w:rPr>
      </w:pPr>
      <w:bookmarkStart w:id="114" w:name="_Toc26676"/>
      <w:r>
        <w:rPr>
          <w:rFonts w:cs="Times New Roman"/>
          <w:color w:val="auto"/>
          <w:highlight w:val="none"/>
        </w:rPr>
        <w:t>建设内容</w:t>
      </w:r>
      <w:bookmarkEnd w:id="114"/>
    </w:p>
    <w:p>
      <w:pPr>
        <w:tabs>
          <w:tab w:val="left" w:pos="1220"/>
        </w:tabs>
        <w:ind w:firstLine="480" w:firstLineChars="200"/>
        <w:rPr>
          <w:rFonts w:hint="eastAsia" w:ascii="Times New Roman" w:hAnsi="Times New Roman" w:cs="Times New Roman"/>
          <w:bCs/>
          <w:color w:val="auto"/>
          <w:sz w:val="24"/>
          <w:highlight w:val="none"/>
        </w:rPr>
      </w:pPr>
      <w:r>
        <w:rPr>
          <w:rFonts w:hint="eastAsia" w:ascii="Times New Roman" w:hAnsi="Times New Roman" w:cs="Times New Roman"/>
          <w:bCs/>
          <w:color w:val="auto"/>
          <w:sz w:val="24"/>
          <w:highlight w:val="none"/>
        </w:rPr>
        <w:t>本项目主要建设内容及规模为：项目总占地面积约</w:t>
      </w:r>
      <w:r>
        <w:rPr>
          <w:rFonts w:hint="eastAsia" w:ascii="Times New Roman" w:hAnsi="Times New Roman" w:cs="Times New Roman"/>
          <w:bCs/>
          <w:color w:val="auto"/>
          <w:sz w:val="24"/>
          <w:highlight w:val="none"/>
          <w:lang w:val="en-US" w:eastAsia="zh-CN"/>
        </w:rPr>
        <w:t>512.52</w:t>
      </w:r>
      <w:r>
        <w:rPr>
          <w:rFonts w:hint="eastAsia" w:ascii="Times New Roman" w:hAnsi="Times New Roman" w:cs="Times New Roman"/>
          <w:bCs/>
          <w:color w:val="auto"/>
          <w:sz w:val="24"/>
          <w:highlight w:val="none"/>
        </w:rPr>
        <w:t>亩，主要建设</w:t>
      </w:r>
      <w:r>
        <w:rPr>
          <w:rFonts w:hint="eastAsia" w:ascii="Times New Roman" w:hAnsi="Times New Roman" w:cs="Times New Roman"/>
          <w:bCs/>
          <w:color w:val="auto"/>
          <w:sz w:val="24"/>
          <w:highlight w:val="none"/>
          <w:lang w:eastAsia="zh-CN"/>
        </w:rPr>
        <w:t>存</w:t>
      </w:r>
      <w:r>
        <w:rPr>
          <w:rFonts w:hint="eastAsia" w:ascii="Times New Roman" w:hAnsi="Times New Roman" w:cs="Times New Roman"/>
          <w:bCs/>
          <w:color w:val="auto"/>
          <w:sz w:val="24"/>
          <w:highlight w:val="none"/>
        </w:rPr>
        <w:t>栏量</w:t>
      </w:r>
      <w:r>
        <w:rPr>
          <w:rFonts w:hint="eastAsia" w:ascii="Times New Roman" w:hAnsi="Times New Roman" w:cs="Times New Roman"/>
          <w:bCs/>
          <w:color w:val="auto"/>
          <w:sz w:val="24"/>
          <w:highlight w:val="none"/>
          <w:lang w:val="en-US" w:eastAsia="zh-CN"/>
        </w:rPr>
        <w:t>1.25万</w:t>
      </w:r>
      <w:r>
        <w:rPr>
          <w:rFonts w:hint="eastAsia" w:ascii="Times New Roman" w:hAnsi="Times New Roman" w:cs="Times New Roman"/>
          <w:bCs/>
          <w:color w:val="auto"/>
          <w:sz w:val="24"/>
          <w:highlight w:val="none"/>
        </w:rPr>
        <w:t>头</w:t>
      </w:r>
      <w:r>
        <w:rPr>
          <w:rFonts w:hint="eastAsia" w:ascii="Times New Roman" w:hAnsi="Times New Roman" w:cs="Times New Roman"/>
          <w:bCs/>
          <w:color w:val="auto"/>
          <w:sz w:val="24"/>
          <w:highlight w:val="none"/>
          <w:lang w:eastAsia="zh-CN"/>
        </w:rPr>
        <w:t>肉牛育肥场一个</w:t>
      </w:r>
      <w:r>
        <w:rPr>
          <w:rFonts w:hint="eastAsia" w:ascii="Times New Roman" w:hAnsi="Times New Roman" w:cs="Times New Roman"/>
          <w:bCs/>
          <w:color w:val="auto"/>
          <w:sz w:val="24"/>
          <w:highlight w:val="none"/>
        </w:rPr>
        <w:t>，并配套建设相关的公辅设施及环保设施。</w:t>
      </w:r>
    </w:p>
    <w:p>
      <w:pPr>
        <w:tabs>
          <w:tab w:val="left" w:pos="1220"/>
        </w:tabs>
        <w:ind w:firstLine="480" w:firstLineChars="200"/>
        <w:rPr>
          <w:rFonts w:hint="eastAsia" w:ascii="Times New Roman" w:hAnsi="Times New Roman" w:cs="Times New Roman" w:eastAsiaTheme="minorEastAsia"/>
          <w:bCs/>
          <w:color w:val="auto"/>
          <w:sz w:val="24"/>
          <w:highlight w:val="none"/>
          <w:lang w:eastAsia="zh-CN"/>
        </w:rPr>
      </w:pPr>
      <w:bookmarkStart w:id="115" w:name="_Toc27186"/>
      <w:r>
        <w:rPr>
          <w:rFonts w:hint="eastAsia" w:ascii="Times New Roman" w:hAnsi="Times New Roman" w:cs="Times New Roman"/>
          <w:bCs/>
          <w:color w:val="auto"/>
          <w:sz w:val="24"/>
          <w:highlight w:val="none"/>
          <w:lang w:eastAsia="zh-CN"/>
        </w:rPr>
        <w:t>其中</w:t>
      </w:r>
      <w:r>
        <w:rPr>
          <w:rFonts w:hint="eastAsia" w:ascii="Times New Roman" w:hAnsi="Times New Roman" w:cs="Times New Roman"/>
          <w:bCs/>
          <w:color w:val="auto"/>
          <w:sz w:val="24"/>
          <w:highlight w:val="none"/>
        </w:rPr>
        <w:t>建设</w:t>
      </w:r>
      <w:r>
        <w:rPr>
          <w:rFonts w:hint="eastAsia" w:ascii="Times New Roman" w:hAnsi="Times New Roman" w:cs="Times New Roman"/>
          <w:bCs/>
          <w:color w:val="auto"/>
          <w:sz w:val="24"/>
          <w:highlight w:val="none"/>
          <w:lang w:eastAsia="zh-CN"/>
        </w:rPr>
        <w:t>育肥牛舍</w:t>
      </w:r>
      <w:r>
        <w:rPr>
          <w:rFonts w:hint="eastAsia" w:ascii="Times New Roman" w:hAnsi="Times New Roman" w:cs="Times New Roman"/>
          <w:bCs/>
          <w:color w:val="auto"/>
          <w:sz w:val="24"/>
          <w:highlight w:val="none"/>
        </w:rPr>
        <w:t>面积</w:t>
      </w:r>
      <w:r>
        <w:rPr>
          <w:rFonts w:hint="eastAsia" w:ascii="Times New Roman" w:hAnsi="Times New Roman" w:cs="Times New Roman"/>
          <w:bCs/>
          <w:color w:val="auto"/>
          <w:sz w:val="24"/>
          <w:highlight w:val="none"/>
          <w:lang w:val="en-US" w:eastAsia="zh-CN"/>
        </w:rPr>
        <w:t>109815m</w:t>
      </w:r>
      <w:r>
        <w:rPr>
          <w:rFonts w:hint="eastAsia" w:ascii="Times New Roman" w:hAnsi="Times New Roman" w:cs="Times New Roman"/>
          <w:bCs/>
          <w:color w:val="auto"/>
          <w:sz w:val="24"/>
          <w:highlight w:val="none"/>
          <w:vertAlign w:val="superscript"/>
          <w:lang w:val="en-US" w:eastAsia="zh-CN"/>
        </w:rPr>
        <w:t>2</w:t>
      </w:r>
      <w:r>
        <w:rPr>
          <w:rFonts w:hint="eastAsia" w:ascii="Times New Roman" w:hAnsi="Times New Roman" w:cs="Times New Roman"/>
          <w:bCs/>
          <w:color w:val="auto"/>
          <w:sz w:val="24"/>
          <w:highlight w:val="none"/>
        </w:rPr>
        <w:t>，建成后常年存栏</w:t>
      </w:r>
      <w:r>
        <w:rPr>
          <w:rFonts w:hint="eastAsia" w:ascii="Times New Roman" w:hAnsi="Times New Roman" w:eastAsia="宋体" w:cs="Times New Roman"/>
          <w:color w:val="auto"/>
          <w:sz w:val="24"/>
          <w:highlight w:val="none"/>
          <w:lang w:val="en-US" w:eastAsia="zh-CN"/>
        </w:rPr>
        <w:t>12500</w:t>
      </w:r>
      <w:r>
        <w:rPr>
          <w:rFonts w:hint="default" w:ascii="Times New Roman" w:hAnsi="Times New Roman" w:eastAsia="宋体" w:cs="Times New Roman"/>
          <w:color w:val="auto"/>
          <w:sz w:val="24"/>
          <w:highlight w:val="none"/>
        </w:rPr>
        <w:t>头肉牛</w:t>
      </w:r>
      <w:r>
        <w:rPr>
          <w:rFonts w:hint="eastAsia" w:ascii="Times New Roman" w:hAnsi="Times New Roman" w:cs="Times New Roman"/>
          <w:bCs/>
          <w:color w:val="auto"/>
          <w:sz w:val="24"/>
          <w:highlight w:val="none"/>
        </w:rPr>
        <w:t>；隔离区</w:t>
      </w:r>
      <w:r>
        <w:rPr>
          <w:rFonts w:hint="eastAsia" w:ascii="Times New Roman" w:hAnsi="Times New Roman" w:cs="Times New Roman"/>
          <w:bCs/>
          <w:color w:val="auto"/>
          <w:sz w:val="24"/>
          <w:highlight w:val="none"/>
          <w:lang w:val="en-US" w:eastAsia="zh-CN"/>
        </w:rPr>
        <w:t>11125</w:t>
      </w:r>
      <w:r>
        <w:rPr>
          <w:rFonts w:hint="eastAsia" w:ascii="Times New Roman" w:hAnsi="Times New Roman" w:cs="Times New Roman"/>
          <w:bCs/>
          <w:color w:val="auto"/>
          <w:sz w:val="24"/>
          <w:szCs w:val="24"/>
          <w:highlight w:val="none"/>
          <w:lang w:val="en-US" w:eastAsia="zh-CN"/>
        </w:rPr>
        <w:t>m</w:t>
      </w:r>
      <w:r>
        <w:rPr>
          <w:rFonts w:hint="eastAsia" w:ascii="Times New Roman" w:hAnsi="Times New Roman" w:cs="Times New Roman"/>
          <w:bCs/>
          <w:color w:val="auto"/>
          <w:sz w:val="24"/>
          <w:szCs w:val="24"/>
          <w:highlight w:val="none"/>
          <w:vertAlign w:val="superscript"/>
          <w:lang w:val="en-US" w:eastAsia="zh-CN"/>
        </w:rPr>
        <w:t>2</w:t>
      </w:r>
      <w:r>
        <w:rPr>
          <w:rFonts w:hint="eastAsia" w:ascii="Times New Roman" w:hAnsi="Times New Roman" w:cs="Times New Roman"/>
          <w:bCs/>
          <w:color w:val="auto"/>
          <w:sz w:val="24"/>
          <w:highlight w:val="none"/>
        </w:rPr>
        <w:t>、青贮料干草区10086.96</w:t>
      </w:r>
      <w:r>
        <w:rPr>
          <w:rFonts w:hint="eastAsia" w:ascii="Times New Roman" w:hAnsi="Times New Roman" w:cs="Times New Roman"/>
          <w:bCs/>
          <w:color w:val="auto"/>
          <w:sz w:val="24"/>
          <w:szCs w:val="24"/>
          <w:highlight w:val="none"/>
          <w:lang w:val="en-US" w:eastAsia="zh-CN"/>
        </w:rPr>
        <w:t>m</w:t>
      </w:r>
      <w:r>
        <w:rPr>
          <w:rFonts w:hint="eastAsia" w:ascii="Times New Roman" w:hAnsi="Times New Roman" w:cs="Times New Roman"/>
          <w:bCs/>
          <w:color w:val="auto"/>
          <w:sz w:val="24"/>
          <w:szCs w:val="24"/>
          <w:highlight w:val="none"/>
          <w:vertAlign w:val="superscript"/>
          <w:lang w:val="en-US" w:eastAsia="zh-CN"/>
        </w:rPr>
        <w:t>2</w:t>
      </w:r>
      <w:r>
        <w:rPr>
          <w:rFonts w:hint="eastAsia" w:ascii="Times New Roman" w:hAnsi="Times New Roman" w:cs="Times New Roman"/>
          <w:bCs/>
          <w:color w:val="auto"/>
          <w:sz w:val="24"/>
          <w:highlight w:val="none"/>
        </w:rPr>
        <w:t>、综合楼1059.08</w:t>
      </w:r>
      <w:r>
        <w:rPr>
          <w:rFonts w:hint="eastAsia" w:ascii="Times New Roman" w:hAnsi="Times New Roman" w:cs="Times New Roman"/>
          <w:bCs/>
          <w:color w:val="auto"/>
          <w:sz w:val="24"/>
          <w:szCs w:val="24"/>
          <w:highlight w:val="none"/>
          <w:lang w:val="en-US" w:eastAsia="zh-CN"/>
        </w:rPr>
        <w:t>m</w:t>
      </w:r>
      <w:r>
        <w:rPr>
          <w:rFonts w:hint="eastAsia" w:ascii="Times New Roman" w:hAnsi="Times New Roman" w:cs="Times New Roman"/>
          <w:bCs/>
          <w:color w:val="auto"/>
          <w:sz w:val="24"/>
          <w:szCs w:val="24"/>
          <w:highlight w:val="none"/>
          <w:vertAlign w:val="superscript"/>
          <w:lang w:val="en-US" w:eastAsia="zh-CN"/>
        </w:rPr>
        <w:t>2</w:t>
      </w:r>
      <w:r>
        <w:rPr>
          <w:rFonts w:hint="eastAsia" w:ascii="Times New Roman" w:hAnsi="Times New Roman" w:cs="Times New Roman"/>
          <w:bCs/>
          <w:color w:val="auto"/>
          <w:sz w:val="24"/>
          <w:szCs w:val="24"/>
          <w:highlight w:val="none"/>
          <w:vertAlign w:val="baseline"/>
          <w:lang w:val="en-US" w:eastAsia="zh-CN"/>
        </w:rPr>
        <w:t>、门卫设备用房678.54</w:t>
      </w:r>
      <w:r>
        <w:rPr>
          <w:rFonts w:hint="eastAsia" w:ascii="Times New Roman" w:hAnsi="Times New Roman" w:cs="Times New Roman"/>
          <w:bCs/>
          <w:color w:val="auto"/>
          <w:sz w:val="24"/>
          <w:szCs w:val="24"/>
          <w:highlight w:val="none"/>
          <w:lang w:val="en-US" w:eastAsia="zh-CN"/>
        </w:rPr>
        <w:t>m</w:t>
      </w:r>
      <w:r>
        <w:rPr>
          <w:rFonts w:hint="eastAsia" w:ascii="Times New Roman" w:hAnsi="Times New Roman" w:cs="Times New Roman"/>
          <w:b w:val="0"/>
          <w:bCs/>
          <w:color w:val="auto"/>
          <w:sz w:val="24"/>
          <w:szCs w:val="24"/>
          <w:highlight w:val="none"/>
          <w:vertAlign w:val="superscript"/>
          <w:lang w:val="en-US" w:eastAsia="zh-CN"/>
        </w:rPr>
        <w:t>2</w:t>
      </w:r>
      <w:r>
        <w:rPr>
          <w:rFonts w:hint="eastAsia" w:ascii="Times New Roman" w:hAnsi="Times New Roman" w:cs="Times New Roman"/>
          <w:b w:val="0"/>
          <w:bCs/>
          <w:color w:val="auto"/>
          <w:sz w:val="24"/>
          <w:highlight w:val="none"/>
          <w:lang w:eastAsia="zh-CN"/>
        </w:rPr>
        <w:t>。</w:t>
      </w:r>
      <w:r>
        <w:rPr>
          <w:rFonts w:hint="eastAsia" w:ascii="Times New Roman" w:hAnsi="Times New Roman" w:cs="Times New Roman"/>
          <w:b/>
          <w:bCs w:val="0"/>
          <w:color w:val="auto"/>
          <w:sz w:val="24"/>
          <w:highlight w:val="none"/>
          <w:lang w:eastAsia="zh-CN"/>
        </w:rPr>
        <w:t>本项目不设</w:t>
      </w:r>
      <w:r>
        <w:rPr>
          <w:rFonts w:hint="eastAsia" w:ascii="Times New Roman" w:hAnsi="Times New Roman" w:cs="Times New Roman"/>
          <w:b/>
          <w:bCs w:val="0"/>
          <w:color w:val="auto"/>
          <w:sz w:val="24"/>
          <w:szCs w:val="24"/>
          <w:highlight w:val="none"/>
          <w:lang w:val="en-US" w:eastAsia="zh-CN"/>
        </w:rPr>
        <w:t>有机肥生产区，本项目畜禽粪便运输至南江县万事康生物科技有限公司用作生产有机肥原料使用（已签订转运合同附件7）。</w:t>
      </w:r>
      <w:r>
        <w:rPr>
          <w:rFonts w:hint="eastAsia" w:ascii="Times New Roman" w:hAnsi="Times New Roman" w:cs="Times New Roman"/>
          <w:b/>
          <w:bCs w:val="0"/>
          <w:color w:val="auto"/>
          <w:sz w:val="24"/>
          <w:szCs w:val="24"/>
          <w:highlight w:val="none"/>
          <w:lang w:val="en-US" w:eastAsia="zh-CN"/>
        </w:rPr>
        <w:t>本次环评不包含田间管网建设，田间管网建设需另行环评手续。</w:t>
      </w:r>
    </w:p>
    <w:p>
      <w:pPr>
        <w:pStyle w:val="8"/>
        <w:spacing w:before="0" w:after="0" w:line="360" w:lineRule="auto"/>
        <w:ind w:left="0" w:firstLine="0"/>
        <w:rPr>
          <w:rFonts w:hint="default" w:ascii="Times New Roman" w:hAnsi="Times New Roman" w:cs="Times New Roman"/>
          <w:color w:val="auto"/>
          <w:sz w:val="24"/>
          <w:highlight w:val="none"/>
        </w:rPr>
      </w:pPr>
      <w:r>
        <w:rPr>
          <w:rFonts w:cs="Times New Roman"/>
          <w:color w:val="auto"/>
          <w:highlight w:val="none"/>
        </w:rPr>
        <w:t>产品方案</w:t>
      </w:r>
      <w:bookmarkEnd w:id="115"/>
    </w:p>
    <w:p>
      <w:pPr>
        <w:pStyle w:val="4"/>
        <w:spacing w:line="360" w:lineRule="auto"/>
        <w:ind w:firstLine="508"/>
        <w:jc w:val="both"/>
        <w:rPr>
          <w:rFonts w:hint="default" w:ascii="Times New Roman" w:hAnsi="Times New Roman" w:cs="Times New Roman" w:eastAsiaTheme="minorEastAsia"/>
          <w:color w:val="auto"/>
          <w:kern w:val="2"/>
          <w:sz w:val="24"/>
          <w:szCs w:val="21"/>
          <w:highlight w:val="none"/>
          <w:lang w:val="en-US" w:eastAsia="zh-CN" w:bidi="ar-SA"/>
        </w:rPr>
      </w:pPr>
      <w:r>
        <w:rPr>
          <w:rFonts w:hint="eastAsia" w:ascii="Times New Roman" w:hAnsi="Times New Roman" w:cs="Times New Roman" w:eastAsiaTheme="minorEastAsia"/>
          <w:color w:val="auto"/>
          <w:kern w:val="2"/>
          <w:sz w:val="24"/>
          <w:szCs w:val="21"/>
          <w:highlight w:val="none"/>
          <w:lang w:val="en-US" w:eastAsia="zh-CN" w:bidi="ar-SA"/>
        </w:rPr>
        <w:t>根据《排污许可证申请与核发技</w:t>
      </w:r>
      <w:r>
        <w:rPr>
          <w:rFonts w:hint="default" w:ascii="Times New Roman" w:hAnsi="Times New Roman" w:cs="Times New Roman" w:eastAsiaTheme="minorEastAsia"/>
          <w:color w:val="auto"/>
          <w:kern w:val="2"/>
          <w:sz w:val="24"/>
          <w:szCs w:val="21"/>
          <w:highlight w:val="none"/>
          <w:lang w:val="en-US" w:eastAsia="zh-CN" w:bidi="ar-SA"/>
        </w:rPr>
        <w:t>术规范 畜禽养殖行业》（HJ1029-2019）出栏不同生长期肉牛的规模化畜禽养殖场，其标准肉牛养殖量按下列公式折算：</w:t>
      </w:r>
    </w:p>
    <w:p>
      <w:pPr>
        <w:jc w:val="center"/>
        <w:rPr>
          <w:rFonts w:hint="eastAsia"/>
          <w:color w:val="auto"/>
          <w:highlight w:val="none"/>
          <w:lang w:eastAsia="zh-CN"/>
        </w:rPr>
      </w:pPr>
      <w:r>
        <w:rPr>
          <w:rFonts w:hint="eastAsia"/>
          <w:color w:val="auto"/>
          <w:position w:val="-12"/>
          <w:highlight w:val="none"/>
          <w:lang w:eastAsia="zh-CN"/>
        </w:rPr>
        <w:object>
          <v:shape id="_x0000_i1025" o:spt="75" type="#_x0000_t75" style="height:18pt;width:112pt;" o:ole="t" filled="f" o:preferrelative="t" stroked="f" coordsize="21600,21600">
            <v:path/>
            <v:fill on="f" focussize="0,0"/>
            <v:stroke on="f"/>
            <v:imagedata r:id="rId18" o:title=""/>
            <o:lock v:ext="edit" aspectratio="t"/>
            <w10:wrap type="none"/>
            <w10:anchorlock/>
          </v:shape>
          <o:OLEObject Type="Embed" ProgID="Equation.KSEE3" ShapeID="_x0000_i1025" DrawAspect="Content" ObjectID="_1468075725" r:id="rId17">
            <o:LockedField>false</o:LockedField>
          </o:OLEObject>
        </w:object>
      </w:r>
    </w:p>
    <w:p>
      <w:pPr>
        <w:ind w:firstLine="480" w:firstLineChars="200"/>
        <w:jc w:val="left"/>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eastAsia="zh-CN"/>
        </w:rPr>
        <w:t>式中：K—排污单位折算标准肉牛养殖量，头；</w:t>
      </w:r>
    </w:p>
    <w:p>
      <w:pPr>
        <w:ind w:firstLine="480" w:firstLineChars="200"/>
        <w:jc w:val="left"/>
        <w:rPr>
          <w:rFonts w:hint="eastAsia" w:ascii="Times New Roman" w:hAnsi="Times New Roman" w:cs="Times New Roman"/>
          <w:color w:val="auto"/>
          <w:sz w:val="24"/>
          <w:highlight w:val="none"/>
          <w:lang w:eastAsia="zh-CN"/>
        </w:rPr>
      </w:pPr>
      <w:r>
        <w:rPr>
          <w:rFonts w:hint="eastAsia" w:ascii="Times New Roman" w:hAnsi="Times New Roman" w:cs="Times New Roman"/>
          <w:color w:val="auto"/>
          <w:sz w:val="24"/>
          <w:highlight w:val="none"/>
          <w:lang w:eastAsia="zh-CN"/>
        </w:rPr>
        <w:t>m</w:t>
      </w:r>
      <w:r>
        <w:rPr>
          <w:rFonts w:hint="eastAsia" w:ascii="Times New Roman" w:hAnsi="Times New Roman" w:cs="Times New Roman"/>
          <w:color w:val="auto"/>
          <w:sz w:val="24"/>
          <w:highlight w:val="none"/>
          <w:vertAlign w:val="subscript"/>
          <w:lang w:eastAsia="zh-CN"/>
        </w:rPr>
        <w:t>出</w:t>
      </w:r>
      <w:r>
        <w:rPr>
          <w:rFonts w:hint="eastAsia" w:ascii="Times New Roman" w:hAnsi="Times New Roman" w:cs="Times New Roman"/>
          <w:color w:val="auto"/>
          <w:sz w:val="24"/>
          <w:highlight w:val="none"/>
          <w:lang w:eastAsia="zh-CN"/>
        </w:rPr>
        <w:t>—排污单位出栏某生长期肉牛的体重，kg；</w:t>
      </w:r>
      <w:r>
        <w:rPr>
          <w:rFonts w:hint="eastAsia" w:ascii="Times New Roman" w:hAnsi="Times New Roman" w:cs="Times New Roman"/>
          <w:color w:val="auto"/>
          <w:sz w:val="24"/>
          <w:highlight w:val="none"/>
          <w:lang w:val="en-US" w:eastAsia="zh-CN"/>
        </w:rPr>
        <w:t>本项目出栏肉牛重量约为700kg。</w:t>
      </w:r>
    </w:p>
    <w:p>
      <w:pPr>
        <w:ind w:firstLine="480" w:firstLineChars="200"/>
        <w:jc w:val="left"/>
        <w:rPr>
          <w:rFonts w:hint="eastAsia" w:ascii="Times New Roman" w:hAnsi="Times New Roman" w:cs="Times New Roman"/>
          <w:color w:val="auto"/>
          <w:sz w:val="24"/>
          <w:highlight w:val="none"/>
          <w:lang w:eastAsia="zh-CN"/>
        </w:rPr>
      </w:pPr>
      <w:r>
        <w:rPr>
          <w:rFonts w:hint="eastAsia" w:ascii="Times New Roman" w:hAnsi="Times New Roman" w:cs="Times New Roman"/>
          <w:color w:val="auto"/>
          <w:sz w:val="24"/>
          <w:highlight w:val="none"/>
          <w:lang w:eastAsia="zh-CN"/>
        </w:rPr>
        <w:t>m</w:t>
      </w:r>
      <w:r>
        <w:rPr>
          <w:rFonts w:hint="eastAsia" w:ascii="Times New Roman" w:hAnsi="Times New Roman" w:cs="Times New Roman"/>
          <w:color w:val="auto"/>
          <w:sz w:val="24"/>
          <w:highlight w:val="none"/>
          <w:vertAlign w:val="subscript"/>
          <w:lang w:eastAsia="zh-CN"/>
        </w:rPr>
        <w:t>进</w:t>
      </w:r>
      <w:r>
        <w:rPr>
          <w:rFonts w:hint="eastAsia" w:ascii="Times New Roman" w:hAnsi="Times New Roman" w:cs="Times New Roman"/>
          <w:color w:val="auto"/>
          <w:sz w:val="24"/>
          <w:highlight w:val="none"/>
          <w:lang w:eastAsia="zh-CN"/>
        </w:rPr>
        <w:t>—排污单位出栏某生长期肉牛进栏时的体重，kg；</w:t>
      </w:r>
      <w:r>
        <w:rPr>
          <w:rFonts w:hint="eastAsia" w:ascii="Times New Roman" w:hAnsi="Times New Roman" w:cs="Times New Roman"/>
          <w:color w:val="auto"/>
          <w:sz w:val="24"/>
          <w:highlight w:val="none"/>
          <w:lang w:val="en-US" w:eastAsia="zh-CN"/>
        </w:rPr>
        <w:t>本项目购买架子牛重量约为100kg。</w:t>
      </w:r>
    </w:p>
    <w:p>
      <w:pPr>
        <w:ind w:firstLine="480" w:firstLineChars="200"/>
        <w:jc w:val="left"/>
        <w:rPr>
          <w:rFonts w:hint="eastAsia" w:ascii="Times New Roman" w:hAnsi="Times New Roman" w:cs="Times New Roman"/>
          <w:color w:val="auto"/>
          <w:sz w:val="24"/>
          <w:highlight w:val="none"/>
          <w:lang w:eastAsia="zh-CN"/>
        </w:rPr>
      </w:pPr>
      <w:r>
        <w:rPr>
          <w:rFonts w:hint="eastAsia" w:ascii="Times New Roman" w:hAnsi="Times New Roman" w:cs="Times New Roman"/>
          <w:color w:val="auto"/>
          <w:sz w:val="24"/>
          <w:highlight w:val="none"/>
          <w:lang w:eastAsia="zh-CN"/>
        </w:rPr>
        <w:t>M—正常情况下肉牛出栏时的平均体重，肉牛为600kg；</w:t>
      </w:r>
    </w:p>
    <w:p>
      <w:pPr>
        <w:ind w:firstLine="480" w:firstLineChars="200"/>
        <w:jc w:val="left"/>
        <w:rPr>
          <w:rFonts w:hint="eastAsia" w:ascii="Times New Roman" w:hAnsi="Times New Roman" w:cs="Times New Roman"/>
          <w:color w:val="auto"/>
          <w:sz w:val="24"/>
          <w:highlight w:val="none"/>
          <w:lang w:eastAsia="zh-CN"/>
        </w:rPr>
      </w:pPr>
      <w:r>
        <w:rPr>
          <w:rFonts w:hint="eastAsia" w:ascii="Times New Roman" w:hAnsi="Times New Roman" w:cs="Times New Roman"/>
          <w:color w:val="auto"/>
          <w:sz w:val="24"/>
          <w:highlight w:val="none"/>
          <w:lang w:eastAsia="zh-CN"/>
        </w:rPr>
        <w:t>L—排污单位某生长期肉牛实际出栏量，头。</w:t>
      </w:r>
    </w:p>
    <w:p>
      <w:pPr>
        <w:ind w:firstLine="480" w:firstLineChars="200"/>
        <w:jc w:val="left"/>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本项目年出栏肉牛K=17000头。</w:t>
      </w:r>
    </w:p>
    <w:p>
      <w:pPr>
        <w:pStyle w:val="4"/>
        <w:spacing w:line="360" w:lineRule="auto"/>
        <w:ind w:firstLine="508"/>
        <w:jc w:val="both"/>
        <w:rPr>
          <w:rFonts w:hint="eastAsia" w:ascii="Times New Roman" w:hAnsi="Times New Roman" w:cs="Times New Roman" w:eastAsiaTheme="minorEastAsia"/>
          <w:color w:val="auto"/>
          <w:kern w:val="2"/>
          <w:sz w:val="24"/>
          <w:szCs w:val="21"/>
          <w:highlight w:val="none"/>
          <w:lang w:val="en-US" w:eastAsia="zh-CN" w:bidi="ar-SA"/>
        </w:rPr>
      </w:pPr>
      <w:r>
        <w:rPr>
          <w:rFonts w:hint="eastAsia" w:ascii="Times New Roman" w:hAnsi="Times New Roman" w:cs="Times New Roman"/>
          <w:color w:val="auto"/>
          <w:kern w:val="2"/>
          <w:sz w:val="24"/>
          <w:szCs w:val="21"/>
          <w:highlight w:val="none"/>
          <w:lang w:val="en-US" w:eastAsia="zh-CN" w:bidi="ar-SA"/>
        </w:rPr>
        <w:t>根据建设单位提供的养殖设计说明（附件2-2）：“</w:t>
      </w:r>
      <w:r>
        <w:rPr>
          <w:rFonts w:hint="eastAsia" w:ascii="Times New Roman" w:hAnsi="Times New Roman" w:cs="Times New Roman" w:eastAsiaTheme="minorEastAsia"/>
          <w:color w:val="auto"/>
          <w:kern w:val="2"/>
          <w:sz w:val="24"/>
          <w:szCs w:val="21"/>
          <w:highlight w:val="none"/>
          <w:lang w:val="en-US" w:eastAsia="zh-CN" w:bidi="ar-SA"/>
        </w:rPr>
        <w:t>鼎山镇首市村巴山牛育肥场项目年度存栏量为12500头，但因公司配套建设的保育种场只能提供8000头牛犊，为了使养殖场满负荷运转，创造最大的经济价值，所以公司决定另购4500头的架子牛进行育肥，架子牛的育肥周期为6个月，一年两批次，所以年度出栏量为17000头。</w:t>
      </w:r>
    </w:p>
    <w:p>
      <w:pPr>
        <w:pStyle w:val="4"/>
        <w:spacing w:line="360" w:lineRule="auto"/>
        <w:ind w:firstLine="508"/>
        <w:jc w:val="both"/>
        <w:rPr>
          <w:rFonts w:hint="default"/>
          <w:color w:val="auto"/>
          <w:highlight w:val="none"/>
        </w:rPr>
      </w:pPr>
      <w:r>
        <w:rPr>
          <w:rFonts w:hint="eastAsia" w:ascii="Times New Roman" w:hAnsi="Times New Roman" w:cs="Times New Roman"/>
          <w:color w:val="auto"/>
          <w:sz w:val="24"/>
          <w:highlight w:val="none"/>
          <w:lang w:eastAsia="zh-CN"/>
        </w:rPr>
        <w:t>同时</w:t>
      </w:r>
      <w:r>
        <w:rPr>
          <w:rFonts w:hint="default" w:ascii="Times New Roman" w:hAnsi="Times New Roman" w:cs="Times New Roman"/>
          <w:color w:val="auto"/>
          <w:sz w:val="24"/>
          <w:highlight w:val="none"/>
        </w:rPr>
        <w:t>根据《排污许可证申请与核发技术规范畜禽养殖行业》（HJ1029-2019）</w:t>
      </w:r>
      <w:r>
        <w:rPr>
          <w:rFonts w:hint="eastAsia" w:ascii="Times New Roman" w:hAnsi="Times New Roman" w:cs="Times New Roman"/>
          <w:color w:val="auto"/>
          <w:sz w:val="24"/>
          <w:highlight w:val="none"/>
          <w:lang w:eastAsia="zh-CN"/>
        </w:rPr>
        <w:t>，大型养殖规模为存栏大于等于10000头生猪、中型为存栏2000~9999头生猪、小型为存栏500~1999头生猪。其他养殖品种依据存栏量按以下标准折算成生猪:1头奶牛折算成10头猪，</w:t>
      </w:r>
      <w:r>
        <w:rPr>
          <w:rFonts w:hint="eastAsia" w:ascii="Times New Roman" w:hAnsi="Times New Roman" w:cs="Times New Roman"/>
          <w:b/>
          <w:bCs/>
          <w:color w:val="auto"/>
          <w:sz w:val="24"/>
          <w:highlight w:val="none"/>
          <w:lang w:eastAsia="zh-CN"/>
        </w:rPr>
        <w:t>1头肉牛折算成5头猪</w:t>
      </w:r>
      <w:r>
        <w:rPr>
          <w:rFonts w:hint="eastAsia" w:ascii="Times New Roman" w:hAnsi="Times New Roman" w:cs="Times New Roman"/>
          <w:color w:val="auto"/>
          <w:sz w:val="24"/>
          <w:highlight w:val="none"/>
          <w:lang w:eastAsia="zh-CN"/>
        </w:rPr>
        <w:t>，30只蛋鸡折算1头猪，60只肉鸡折算成1头猪，30只鸭折算成1头猪，15只鹅折算成1头猪，3只羊折算成1头猪，省级人民政府明确规定规模标准的其他养殖品种由省级人民政府自行设定折算系数</w:t>
      </w:r>
      <w:r>
        <w:rPr>
          <w:rFonts w:hint="default" w:ascii="Times New Roman" w:hAnsi="Times New Roman" w:cs="Times New Roman"/>
          <w:color w:val="auto"/>
          <w:sz w:val="24"/>
          <w:highlight w:val="none"/>
        </w:rPr>
        <w:t>。</w:t>
      </w:r>
    </w:p>
    <w:p>
      <w:pPr>
        <w:ind w:firstLine="480"/>
        <w:rPr>
          <w:rFonts w:hint="default" w:ascii="Times New Roman" w:hAnsi="Times New Roman" w:cs="Times New Roman"/>
          <w:color w:val="auto"/>
          <w:sz w:val="24"/>
          <w:szCs w:val="24"/>
          <w:highlight w:val="none"/>
          <w:lang w:val="zh-CN"/>
        </w:rPr>
      </w:pPr>
      <w:r>
        <w:rPr>
          <w:rFonts w:hint="default" w:ascii="Times New Roman" w:hAnsi="Times New Roman" w:cs="Times New Roman"/>
          <w:color w:val="auto"/>
          <w:sz w:val="24"/>
          <w:szCs w:val="24"/>
          <w:highlight w:val="none"/>
          <w:lang w:val="zh-CN"/>
        </w:rPr>
        <w:t>本项目养殖方案见表3.1-2。</w:t>
      </w:r>
    </w:p>
    <w:p>
      <w:pPr>
        <w:pStyle w:val="2504"/>
        <w:numPr>
          <w:ilvl w:val="0"/>
          <w:numId w:val="20"/>
        </w:numPr>
        <w:spacing w:before="120"/>
        <w:ind w:left="425" w:leftChars="0" w:hanging="425" w:firstLineChars="0"/>
        <w:rPr>
          <w:color w:val="auto"/>
          <w:highlight w:val="none"/>
        </w:rPr>
      </w:pPr>
      <w:r>
        <w:rPr>
          <w:color w:val="auto"/>
          <w:highlight w:val="none"/>
        </w:rPr>
        <w:t xml:space="preserve"> 项目养殖方案情况表</w:t>
      </w:r>
    </w:p>
    <w:tbl>
      <w:tblPr>
        <w:tblStyle w:val="91"/>
        <w:tblW w:w="8787" w:type="dxa"/>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276"/>
        <w:gridCol w:w="1754"/>
        <w:gridCol w:w="1791"/>
        <w:gridCol w:w="1416"/>
        <w:gridCol w:w="2550"/>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276" w:type="dxa"/>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类别</w:t>
            </w:r>
          </w:p>
        </w:tc>
        <w:tc>
          <w:tcPr>
            <w:tcW w:w="1754" w:type="dxa"/>
            <w:tcBorders>
              <w:left w:val="single" w:color="auto" w:sz="4" w:space="0"/>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常年存栏量（头）</w:t>
            </w:r>
          </w:p>
        </w:tc>
        <w:tc>
          <w:tcPr>
            <w:tcW w:w="1791" w:type="dxa"/>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存栏时间（</w:t>
            </w:r>
            <w:r>
              <w:rPr>
                <w:rFonts w:hint="eastAsia" w:ascii="Times New Roman" w:hAnsi="Times New Roman" w:cs="Times New Roman"/>
                <w:b/>
                <w:color w:val="auto"/>
                <w:sz w:val="21"/>
                <w:szCs w:val="21"/>
                <w:highlight w:val="none"/>
                <w:lang w:eastAsia="zh-CN"/>
              </w:rPr>
              <w:t>月</w:t>
            </w:r>
            <w:r>
              <w:rPr>
                <w:rFonts w:hint="default" w:ascii="Times New Roman" w:hAnsi="Times New Roman" w:cs="Times New Roman"/>
                <w:b/>
                <w:color w:val="auto"/>
                <w:sz w:val="21"/>
                <w:szCs w:val="21"/>
                <w:highlight w:val="none"/>
              </w:rPr>
              <w:t>）</w:t>
            </w:r>
          </w:p>
        </w:tc>
        <w:tc>
          <w:tcPr>
            <w:tcW w:w="1416" w:type="dxa"/>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年出栏量（头）</w:t>
            </w:r>
          </w:p>
        </w:tc>
        <w:tc>
          <w:tcPr>
            <w:tcW w:w="2550" w:type="dxa"/>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eastAsia="zh-CN"/>
              </w:rPr>
              <w:t>折合标准生猪出栏量（头）</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276" w:type="dxa"/>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肉牛</w:t>
            </w:r>
          </w:p>
        </w:tc>
        <w:tc>
          <w:tcPr>
            <w:tcW w:w="1754" w:type="dxa"/>
            <w:tcBorders>
              <w:left w:val="single" w:color="auto" w:sz="4" w:space="0"/>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12500</w:t>
            </w:r>
          </w:p>
        </w:tc>
        <w:tc>
          <w:tcPr>
            <w:tcW w:w="1791" w:type="dxa"/>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6-12</w:t>
            </w:r>
          </w:p>
        </w:tc>
        <w:tc>
          <w:tcPr>
            <w:tcW w:w="1416" w:type="dxa"/>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17000</w:t>
            </w:r>
          </w:p>
        </w:tc>
        <w:tc>
          <w:tcPr>
            <w:tcW w:w="2550" w:type="dxa"/>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85000</w:t>
            </w:r>
          </w:p>
        </w:tc>
      </w:tr>
    </w:tbl>
    <w:p>
      <w:pPr>
        <w:ind w:firstLine="480"/>
        <w:rPr>
          <w:rFonts w:hint="default" w:ascii="Times New Roman" w:hAnsi="Times New Roman" w:cs="Times New Roman"/>
          <w:color w:val="auto"/>
          <w:sz w:val="24"/>
          <w:szCs w:val="24"/>
          <w:highlight w:val="none"/>
          <w:lang w:val="zh-CN"/>
        </w:rPr>
      </w:pPr>
      <w:bookmarkStart w:id="116" w:name="_Toc410633590"/>
      <w:r>
        <w:rPr>
          <w:rFonts w:hint="default" w:ascii="Times New Roman" w:hAnsi="Times New Roman" w:cs="Times New Roman"/>
          <w:color w:val="auto"/>
          <w:sz w:val="24"/>
          <w:szCs w:val="24"/>
          <w:highlight w:val="none"/>
          <w:lang w:val="zh-CN"/>
        </w:rPr>
        <w:t>根据《畜禽养殖业污染物排放标准》（GB 18596-2001）中对畜禽养殖场的规模分级，集约化畜禽养殖场，肉牛存栏数≥400头为Ⅰ级养殖场，200头＜牛存栏数≤400头为Ⅱ级养殖场，因此，本项目属于Ⅰ级养殖场。</w:t>
      </w:r>
    </w:p>
    <w:p>
      <w:pPr>
        <w:pStyle w:val="8"/>
        <w:spacing w:before="0" w:after="0" w:line="360" w:lineRule="auto"/>
        <w:ind w:left="0" w:firstLine="0"/>
        <w:rPr>
          <w:rFonts w:cs="Times New Roman"/>
          <w:color w:val="auto"/>
          <w:highlight w:val="none"/>
        </w:rPr>
      </w:pPr>
      <w:bookmarkStart w:id="117" w:name="_Toc21546"/>
      <w:r>
        <w:rPr>
          <w:rFonts w:cs="Times New Roman"/>
          <w:color w:val="auto"/>
          <w:highlight w:val="none"/>
        </w:rPr>
        <w:t>项目组成</w:t>
      </w:r>
      <w:bookmarkEnd w:id="116"/>
      <w:bookmarkEnd w:id="117"/>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本项目主要建设内容包括生产育肥区</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含牛舍、生产办公区、技术操作室、生产物品存放室等</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、生活办公区</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含综合楼、门卫与消毒室</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、青贮窖干草区</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含露天青贮窖、TMR中心、干草棚、生产车辆停放区及维修车间</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、隔离区</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含牛舍、技术操作室、自动称重分群操作室</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等主体工程，同时配套建设相应的公用辅助工程及环保工程等。项目组成及主要环境问题见表3.1-3。</w:t>
      </w:r>
    </w:p>
    <w:p>
      <w:pPr>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本项目</w:t>
      </w:r>
      <w:r>
        <w:rPr>
          <w:rFonts w:ascii="Times New Roman" w:hAnsi="Times New Roman" w:cs="Times New Roman"/>
          <w:color w:val="auto"/>
          <w:sz w:val="24"/>
          <w:highlight w:val="none"/>
        </w:rPr>
        <w:t>建设内容及主要环境问题见下表：</w:t>
      </w:r>
    </w:p>
    <w:p>
      <w:pPr>
        <w:pStyle w:val="2504"/>
        <w:numPr>
          <w:ilvl w:val="0"/>
          <w:numId w:val="20"/>
        </w:numPr>
        <w:spacing w:before="120"/>
        <w:ind w:left="425" w:leftChars="0" w:hanging="425" w:firstLineChars="0"/>
        <w:rPr>
          <w:rFonts w:ascii="Times New Roman" w:hAnsi="Times New Roman" w:cs="Times New Roman"/>
          <w:color w:val="auto"/>
          <w:sz w:val="24"/>
          <w:highlight w:val="none"/>
        </w:rPr>
      </w:pPr>
      <w:r>
        <w:rPr>
          <w:color w:val="auto"/>
          <w:highlight w:val="none"/>
        </w:rPr>
        <w:t xml:space="preserve">  </w:t>
      </w:r>
      <w:r>
        <w:rPr>
          <w:rFonts w:cs="Times New Roman"/>
          <w:color w:val="auto"/>
          <w:highlight w:val="none"/>
        </w:rPr>
        <w:t>建设项目组成表及主要环境问题</w:t>
      </w:r>
    </w:p>
    <w:tbl>
      <w:tblPr>
        <w:tblStyle w:val="91"/>
        <w:tblW w:w="0" w:type="auto"/>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484"/>
        <w:gridCol w:w="1003"/>
        <w:gridCol w:w="399"/>
        <w:gridCol w:w="1585"/>
        <w:gridCol w:w="3461"/>
        <w:gridCol w:w="855"/>
        <w:gridCol w:w="735"/>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工程类别</w:t>
            </w:r>
          </w:p>
        </w:tc>
        <w:tc>
          <w:tcPr>
            <w:tcW w:w="0" w:type="auto"/>
            <w:gridSpan w:val="3"/>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工程名称</w:t>
            </w:r>
          </w:p>
        </w:tc>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建设内容及规模</w:t>
            </w:r>
          </w:p>
        </w:tc>
        <w:tc>
          <w:tcPr>
            <w:tcW w:w="0" w:type="auto"/>
            <w:gridSpan w:val="2"/>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主要环境问题</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highlight w:val="none"/>
              </w:rPr>
            </w:pPr>
          </w:p>
        </w:tc>
        <w:tc>
          <w:tcPr>
            <w:tcW w:w="0" w:type="auto"/>
            <w:gridSpan w:val="3"/>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施工期</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营运期</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主体</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工程</w:t>
            </w:r>
          </w:p>
        </w:tc>
        <w:tc>
          <w:tcPr>
            <w:tcW w:w="0" w:type="auto"/>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kern w:val="0"/>
                <w:highlight w:val="none"/>
                <w:lang w:eastAsia="zh-CN"/>
              </w:rPr>
              <w:t>育肥舍</w:t>
            </w:r>
          </w:p>
        </w:tc>
        <w:tc>
          <w:tcPr>
            <w:tcW w:w="0" w:type="auto"/>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rPr>
                <w:rFonts w:hint="eastAsia" w:ascii="Times New Roman" w:hAnsi="Times New Roman" w:cs="Times New Roman" w:eastAsiaTheme="minorEastAsia"/>
                <w:color w:val="auto"/>
                <w:kern w:val="0"/>
                <w:highlight w:val="none"/>
                <w:lang w:eastAsia="zh-CN"/>
              </w:rPr>
            </w:pPr>
            <w:r>
              <w:rPr>
                <w:rFonts w:hint="eastAsia" w:ascii="Times New Roman" w:hAnsi="Times New Roman" w:cs="Times New Roman"/>
                <w:color w:val="auto"/>
                <w:kern w:val="0"/>
                <w:highlight w:val="none"/>
                <w:lang w:val="en-US" w:eastAsia="zh-CN"/>
              </w:rPr>
              <w:t>11</w:t>
            </w:r>
            <w:r>
              <w:rPr>
                <w:rFonts w:hint="default" w:ascii="Times New Roman" w:hAnsi="Times New Roman" w:cs="Times New Roman"/>
                <w:color w:val="auto"/>
                <w:kern w:val="0"/>
                <w:highlight w:val="none"/>
              </w:rPr>
              <w:t>栋，1F，</w:t>
            </w:r>
            <w:r>
              <w:rPr>
                <w:rFonts w:hint="eastAsia" w:ascii="Times New Roman" w:hAnsi="Times New Roman" w:cs="Times New Roman"/>
                <w:color w:val="auto"/>
                <w:kern w:val="0"/>
                <w:highlight w:val="none"/>
                <w:lang w:eastAsia="zh-CN"/>
              </w:rPr>
              <w:t>钢结构</w:t>
            </w:r>
            <w:r>
              <w:rPr>
                <w:rFonts w:hint="default" w:ascii="Times New Roman" w:hAnsi="Times New Roman" w:cs="Times New Roman"/>
                <w:color w:val="auto"/>
                <w:kern w:val="0"/>
                <w:highlight w:val="none"/>
              </w:rPr>
              <w:t>，</w:t>
            </w:r>
            <w:r>
              <w:rPr>
                <w:rFonts w:hint="eastAsia" w:ascii="Times New Roman" w:hAnsi="Times New Roman" w:cs="Times New Roman"/>
                <w:color w:val="auto"/>
                <w:kern w:val="0"/>
                <w:highlight w:val="none"/>
                <w:lang w:eastAsia="zh-CN"/>
              </w:rPr>
              <w:t>总建筑面积</w:t>
            </w:r>
            <w:r>
              <w:rPr>
                <w:rFonts w:hint="eastAsia" w:ascii="Times New Roman" w:hAnsi="Times New Roman" w:cs="Times New Roman"/>
                <w:color w:val="auto"/>
                <w:highlight w:val="none"/>
                <w:lang w:val="en-US" w:eastAsia="zh-CN"/>
              </w:rPr>
              <w:t>109815.00</w:t>
            </w:r>
            <w:r>
              <w:rPr>
                <w:rFonts w:hint="default" w:ascii="Times New Roman" w:hAnsi="Times New Roman" w:cs="Times New Roman"/>
                <w:color w:val="auto"/>
                <w:kern w:val="0"/>
                <w:highlight w:val="none"/>
              </w:rPr>
              <w:t>m</w:t>
            </w:r>
            <w:r>
              <w:rPr>
                <w:rFonts w:hint="default" w:ascii="Times New Roman" w:hAnsi="Times New Roman" w:cs="Times New Roman"/>
                <w:color w:val="auto"/>
                <w:kern w:val="0"/>
                <w:highlight w:val="none"/>
                <w:vertAlign w:val="superscript"/>
              </w:rPr>
              <w:t>2</w:t>
            </w:r>
            <w:r>
              <w:rPr>
                <w:rFonts w:hint="eastAsia" w:ascii="Times New Roman" w:hAnsi="Times New Roman" w:cs="Times New Roman"/>
                <w:color w:val="auto"/>
                <w:kern w:val="0"/>
                <w:highlight w:val="none"/>
                <w:vertAlign w:val="baseline"/>
                <w:lang w:eastAsia="zh-CN"/>
              </w:rPr>
              <w:t>，</w:t>
            </w:r>
            <w:r>
              <w:rPr>
                <w:rFonts w:hint="default" w:ascii="Times New Roman" w:hAnsi="Times New Roman" w:cs="Times New Roman"/>
                <w:color w:val="auto"/>
                <w:kern w:val="0"/>
                <w:highlight w:val="none"/>
              </w:rPr>
              <w:t>圈舍地面全部采用防渗混凝土硬化。设置有卧栏及颈枷设施、</w:t>
            </w:r>
            <w:r>
              <w:rPr>
                <w:rFonts w:hint="eastAsia" w:ascii="Times New Roman" w:hAnsi="Times New Roman" w:cs="Times New Roman"/>
                <w:color w:val="auto"/>
                <w:kern w:val="0"/>
                <w:highlight w:val="none"/>
                <w:lang w:eastAsia="zh-CN"/>
              </w:rPr>
              <w:t>降温水帘</w:t>
            </w:r>
            <w:r>
              <w:rPr>
                <w:rFonts w:hint="default" w:ascii="Times New Roman" w:hAnsi="Times New Roman" w:cs="Times New Roman"/>
                <w:color w:val="auto"/>
                <w:kern w:val="0"/>
                <w:highlight w:val="none"/>
              </w:rPr>
              <w:t>系统、降温风扇等</w:t>
            </w:r>
            <w:r>
              <w:rPr>
                <w:rFonts w:hint="eastAsia" w:ascii="Times New Roman" w:hAnsi="Times New Roman" w:cs="Times New Roman"/>
                <w:color w:val="auto"/>
                <w:kern w:val="0"/>
                <w:highlight w:val="none"/>
                <w:lang w:eastAsia="zh-CN"/>
              </w:rPr>
              <w:t>，主要用于肉牛的养殖</w:t>
            </w:r>
          </w:p>
        </w:tc>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109" w:leftChars="-52" w:right="-97" w:rightChars="-46"/>
              <w:jc w:val="center"/>
              <w:rPr>
                <w:rFonts w:hint="eastAsia"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rPr>
              <w:t>施工废水</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生活污水</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施工噪声</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建筑垃圾</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生活垃圾</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扬尘</w:t>
            </w:r>
            <w:r>
              <w:rPr>
                <w:rFonts w:hint="eastAsia" w:ascii="Times New Roman" w:hAnsi="Times New Roman" w:cs="Times New Roman"/>
                <w:color w:val="auto"/>
                <w:highlight w:val="none"/>
                <w:lang w:eastAsia="zh-CN"/>
              </w:rPr>
              <w:t>、汽</w:t>
            </w:r>
            <w:r>
              <w:rPr>
                <w:rFonts w:hint="default" w:ascii="Times New Roman" w:hAnsi="Times New Roman" w:cs="Times New Roman"/>
                <w:color w:val="auto"/>
                <w:highlight w:val="none"/>
              </w:rPr>
              <w:t>车尾气</w:t>
            </w:r>
          </w:p>
        </w:tc>
        <w:tc>
          <w:tcPr>
            <w:tcW w:w="0" w:type="auto"/>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粪便</w:t>
            </w:r>
          </w:p>
          <w:p>
            <w:pPr>
              <w:keepNext w:val="0"/>
              <w:keepLines w:val="0"/>
              <w:suppressLineNumbers w:val="0"/>
              <w:spacing w:before="0" w:beforeAutospacing="0" w:after="0" w:afterAutospacing="0" w:line="240" w:lineRule="auto"/>
              <w:ind w:left="-76" w:leftChars="-36" w:right="-92" w:rightChars="-44"/>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废水</w:t>
            </w:r>
          </w:p>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噪声</w:t>
            </w:r>
          </w:p>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eastAsia="宋体" w:cs="Times New Roman"/>
                <w:color w:val="auto"/>
                <w:kern w:val="0"/>
                <w:highlight w:val="none"/>
              </w:rPr>
              <w:t>恶臭</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隔离舍</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rPr>
                <w:rFonts w:hint="eastAsia" w:ascii="Times New Roman" w:hAnsi="Times New Roman" w:cs="Times New Roman" w:eastAsiaTheme="minorEastAsia"/>
                <w:color w:val="auto"/>
                <w:kern w:val="0"/>
                <w:highlight w:val="none"/>
                <w:lang w:val="en-US" w:eastAsia="zh-CN"/>
              </w:rPr>
            </w:pPr>
            <w:r>
              <w:rPr>
                <w:rFonts w:hint="eastAsia" w:ascii="Times New Roman" w:hAnsi="Times New Roman" w:cs="Times New Roman"/>
                <w:color w:val="auto"/>
                <w:kern w:val="0"/>
                <w:highlight w:val="none"/>
                <w:lang w:val="en-US" w:eastAsia="zh-CN"/>
              </w:rPr>
              <w:t>2</w:t>
            </w:r>
            <w:r>
              <w:rPr>
                <w:rFonts w:hint="default" w:ascii="Times New Roman" w:hAnsi="Times New Roman" w:cs="Times New Roman"/>
                <w:color w:val="auto"/>
                <w:kern w:val="0"/>
                <w:highlight w:val="none"/>
              </w:rPr>
              <w:t>栋，1F，</w:t>
            </w:r>
            <w:r>
              <w:rPr>
                <w:rFonts w:hint="eastAsia" w:ascii="Times New Roman" w:hAnsi="Times New Roman" w:cs="Times New Roman"/>
                <w:color w:val="auto"/>
                <w:kern w:val="0"/>
                <w:highlight w:val="none"/>
                <w:lang w:eastAsia="zh-CN"/>
              </w:rPr>
              <w:t>钢结构</w:t>
            </w:r>
            <w:r>
              <w:rPr>
                <w:rFonts w:hint="eastAsia" w:ascii="Times New Roman" w:hAnsi="Times New Roman" w:cs="Times New Roman"/>
                <w:color w:val="auto"/>
                <w:kern w:val="0"/>
                <w:highlight w:val="none"/>
                <w:vertAlign w:val="baseline"/>
                <w:lang w:val="en-US" w:eastAsia="zh-CN"/>
              </w:rPr>
              <w:t>。</w:t>
            </w:r>
            <w:r>
              <w:rPr>
                <w:rFonts w:hint="eastAsia" w:ascii="Times New Roman" w:hAnsi="Times New Roman" w:cs="Times New Roman"/>
                <w:color w:val="auto"/>
                <w:kern w:val="0"/>
                <w:highlight w:val="none"/>
                <w:lang w:eastAsia="zh-CN"/>
              </w:rPr>
              <w:t>总建筑面积</w:t>
            </w:r>
            <w:r>
              <w:rPr>
                <w:rFonts w:hint="eastAsia" w:ascii="Times New Roman" w:hAnsi="Times New Roman" w:cs="Times New Roman"/>
                <w:color w:val="auto"/>
                <w:highlight w:val="none"/>
                <w:lang w:val="en-US" w:eastAsia="zh-CN"/>
              </w:rPr>
              <w:t>11125.00</w:t>
            </w:r>
            <w:r>
              <w:rPr>
                <w:rFonts w:hint="default" w:ascii="Times New Roman" w:hAnsi="Times New Roman" w:cs="Times New Roman"/>
                <w:color w:val="auto"/>
                <w:kern w:val="0"/>
                <w:highlight w:val="none"/>
              </w:rPr>
              <w:t>m</w:t>
            </w:r>
            <w:r>
              <w:rPr>
                <w:rFonts w:hint="default" w:ascii="Times New Roman" w:hAnsi="Times New Roman" w:cs="Times New Roman"/>
                <w:color w:val="auto"/>
                <w:kern w:val="0"/>
                <w:highlight w:val="none"/>
                <w:vertAlign w:val="superscript"/>
              </w:rPr>
              <w:t>2</w:t>
            </w:r>
            <w:r>
              <w:rPr>
                <w:rFonts w:hint="eastAsia" w:ascii="Times New Roman" w:hAnsi="Times New Roman" w:cs="Times New Roman"/>
                <w:color w:val="auto"/>
                <w:kern w:val="0"/>
                <w:highlight w:val="none"/>
                <w:vertAlign w:val="baseline"/>
                <w:lang w:eastAsia="zh-CN"/>
              </w:rPr>
              <w:t>，</w:t>
            </w:r>
            <w:r>
              <w:rPr>
                <w:rFonts w:hint="default" w:ascii="Times New Roman" w:hAnsi="Times New Roman" w:cs="Times New Roman"/>
                <w:color w:val="auto"/>
                <w:kern w:val="0"/>
                <w:highlight w:val="none"/>
              </w:rPr>
              <w:t>圈舍地面全部采用防渗混凝土硬化。设置有卧栏及颈枷设施、</w:t>
            </w:r>
            <w:r>
              <w:rPr>
                <w:rFonts w:hint="eastAsia" w:ascii="Times New Roman" w:hAnsi="Times New Roman" w:cs="Times New Roman"/>
                <w:color w:val="auto"/>
                <w:kern w:val="0"/>
                <w:highlight w:val="none"/>
                <w:lang w:eastAsia="zh-CN"/>
              </w:rPr>
              <w:t>降温水帘</w:t>
            </w:r>
            <w:r>
              <w:rPr>
                <w:rFonts w:hint="default" w:ascii="Times New Roman" w:hAnsi="Times New Roman" w:cs="Times New Roman"/>
                <w:color w:val="auto"/>
                <w:kern w:val="0"/>
                <w:highlight w:val="none"/>
              </w:rPr>
              <w:t>、降温风扇等</w:t>
            </w:r>
            <w:r>
              <w:rPr>
                <w:rFonts w:hint="eastAsia" w:ascii="Times New Roman" w:hAnsi="Times New Roman" w:cs="Times New Roman"/>
                <w:color w:val="auto"/>
                <w:kern w:val="0"/>
                <w:highlight w:val="none"/>
                <w:lang w:eastAsia="zh-CN"/>
              </w:rPr>
              <w:t>，作为外购犊牛的中转隔离区。</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109" w:leftChars="-52" w:right="-97" w:rightChars="-46"/>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76" w:leftChars="-36" w:right="-92" w:rightChars="-44"/>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辅助工程</w:t>
            </w: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消毒通道</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设于门卫处，用于人员进出消毒（超声波雾化消毒）</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废水</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cs="Times New Roman"/>
                <w:color w:val="auto"/>
                <w:highlight w:val="none"/>
                <w:lang w:val="en-US" w:eastAsia="zh-CN"/>
              </w:rPr>
            </w:pPr>
            <w:r>
              <w:rPr>
                <w:rFonts w:hint="default" w:ascii="Times New Roman" w:cs="Times New Roman"/>
                <w:color w:val="auto"/>
                <w:highlight w:val="none"/>
              </w:rPr>
              <w:t>汽车消毒通道</w:t>
            </w:r>
            <w:r>
              <w:rPr>
                <w:rFonts w:hint="eastAsia" w:ascii="Times New Roman" w:cs="Times New Roman"/>
                <w:color w:val="auto"/>
                <w:highlight w:val="none"/>
                <w:lang w:eastAsia="zh-CN"/>
              </w:rPr>
              <w:t>、烘干房</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cs="Times New Roman" w:eastAsiaTheme="minorEastAsia"/>
                <w:color w:val="auto"/>
                <w:highlight w:val="none"/>
                <w:lang w:val="en-US" w:eastAsia="zh-CN"/>
              </w:rPr>
            </w:pPr>
            <w:r>
              <w:rPr>
                <w:rFonts w:hint="default" w:ascii="Times New Roman" w:cs="Times New Roman"/>
                <w:color w:val="auto"/>
                <w:highlight w:val="none"/>
              </w:rPr>
              <w:t>1个，位于厂区大门处，用于进出车辆消毒，消毒方式为用戊二醛或消毒威按比例进行配置，通过高压喷雾方式进行消毒</w:t>
            </w:r>
            <w:r>
              <w:rPr>
                <w:rFonts w:hint="eastAsia" w:ascii="Times New Roman" w:cs="Times New Roman"/>
                <w:color w:val="auto"/>
                <w:highlight w:val="none"/>
                <w:lang w:eastAsia="zh-CN"/>
              </w:rPr>
              <w:t>，消毒后进入烘干房烘干。</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废气</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兽药室</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rPr>
                <w:rFonts w:hint="eastAsia" w:ascii="Times New Roman" w:hAnsi="Times New Roman" w:cs="Times New Roman" w:eastAsiaTheme="minorEastAsia"/>
                <w:color w:val="auto"/>
                <w:highlight w:val="none"/>
                <w:vertAlign w:val="baseline"/>
                <w:lang w:eastAsia="zh-CN"/>
              </w:rPr>
            </w:pPr>
            <w:r>
              <w:rPr>
                <w:rFonts w:hint="eastAsia" w:ascii="Times New Roman" w:hAnsi="Times New Roman" w:cs="Times New Roman"/>
                <w:color w:val="auto"/>
                <w:highlight w:val="none"/>
                <w:lang w:eastAsia="zh-CN"/>
              </w:rPr>
              <w:t>办公楼</w:t>
            </w:r>
            <w:r>
              <w:rPr>
                <w:rFonts w:hint="eastAsia" w:ascii="Times New Roman" w:hAnsi="Times New Roman" w:cs="Times New Roman"/>
                <w:color w:val="auto"/>
                <w:highlight w:val="none"/>
                <w:lang w:val="en-US" w:eastAsia="zh-CN"/>
              </w:rPr>
              <w:t>1楼</w:t>
            </w:r>
            <w:r>
              <w:rPr>
                <w:rFonts w:hint="default" w:ascii="Times New Roman" w:hAnsi="Times New Roman" w:cs="Times New Roman"/>
                <w:color w:val="auto"/>
                <w:highlight w:val="none"/>
              </w:rPr>
              <w:t>设置1处兽医室，钢结构，建筑面积</w:t>
            </w:r>
            <w:r>
              <w:rPr>
                <w:rFonts w:hint="eastAsia" w:ascii="Times New Roman" w:hAnsi="Times New Roman" w:cs="Times New Roman"/>
                <w:color w:val="auto"/>
                <w:highlight w:val="none"/>
                <w:lang w:val="en-US" w:eastAsia="zh-CN"/>
              </w:rPr>
              <w:t>10</w:t>
            </w:r>
            <w:r>
              <w:rPr>
                <w:rFonts w:hint="default" w:ascii="Times New Roman" w:hAnsi="Times New Roman" w:cs="Times New Roman"/>
                <w:color w:val="auto"/>
                <w:highlight w:val="none"/>
              </w:rPr>
              <w:t>0m</w:t>
            </w:r>
            <w:r>
              <w:rPr>
                <w:rFonts w:hint="default" w:ascii="Times New Roman" w:hAnsi="Times New Roman" w:cs="Times New Roman"/>
                <w:color w:val="auto"/>
                <w:highlight w:val="none"/>
                <w:vertAlign w:val="superscript"/>
              </w:rPr>
              <w:t>2</w:t>
            </w:r>
            <w:r>
              <w:rPr>
                <w:rFonts w:hint="eastAsia" w:ascii="Times New Roman" w:hAnsi="Times New Roman" w:cs="Times New Roman"/>
                <w:color w:val="auto"/>
                <w:highlight w:val="none"/>
                <w:vertAlign w:val="baseline"/>
                <w:lang w:eastAsia="zh-CN"/>
              </w:rPr>
              <w:t>，兽医诊断处置设备，主要用于肉牛诊断。</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eastAsia" w:ascii="Times New Roman" w:hAnsi="Times New Roman" w:cs="Times New Roman" w:eastAsiaTheme="minorEastAsia"/>
                <w:color w:val="auto"/>
                <w:highlight w:val="none"/>
                <w:lang w:val="en-US" w:eastAsia="zh-CN"/>
              </w:rPr>
            </w:pPr>
            <w:r>
              <w:rPr>
                <w:rFonts w:hint="eastAsia"/>
                <w:color w:val="auto"/>
                <w:highlight w:val="none"/>
                <w:lang w:val="en-US" w:eastAsia="zh-CN"/>
              </w:rPr>
              <w:t>固废</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eastAsia="zh-CN"/>
              </w:rPr>
              <w:t>干粪棚</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t>1座，砖混结构，1F，建筑面积</w:t>
            </w:r>
            <w:r>
              <w:rPr>
                <w:rFonts w:hint="eastAsia" w:ascii="Times New Roman" w:hAnsi="Times New Roman" w:cs="Times New Roman"/>
                <w:color w:val="auto"/>
                <w:highlight w:val="none"/>
                <w:lang w:val="en-US" w:eastAsia="zh-CN"/>
              </w:rPr>
              <w:t>100</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2</w:t>
            </w:r>
            <w:r>
              <w:rPr>
                <w:rFonts w:hint="default" w:ascii="Times New Roman" w:hAnsi="Times New Roman" w:cs="Times New Roman"/>
                <w:color w:val="auto"/>
                <w:highlight w:val="none"/>
              </w:rPr>
              <w:t>，位于厂区</w:t>
            </w:r>
            <w:r>
              <w:rPr>
                <w:rFonts w:hint="eastAsia" w:ascii="Times New Roman" w:hAnsi="Times New Roman" w:cs="Times New Roman"/>
                <w:color w:val="auto"/>
                <w:highlight w:val="none"/>
                <w:lang w:eastAsia="zh-CN"/>
              </w:rPr>
              <w:t>西北</w:t>
            </w:r>
            <w:r>
              <w:rPr>
                <w:rFonts w:hint="default" w:ascii="Times New Roman" w:hAnsi="Times New Roman" w:cs="Times New Roman"/>
                <w:color w:val="auto"/>
                <w:highlight w:val="none"/>
              </w:rPr>
              <w:t>侧，产生的干粪、脱水后污泥、沼渣等送入该处进行堆存。堆存时间＜1天</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废水</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公用工程</w:t>
            </w: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供电</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highlight w:val="none"/>
              </w:rPr>
            </w:pPr>
            <w:r>
              <w:rPr>
                <w:rFonts w:hint="default" w:ascii="Times New Roman" w:hAnsi="Times New Roman" w:cs="Times New Roman"/>
                <w:color w:val="auto"/>
                <w:kern w:val="0"/>
                <w:highlight w:val="none"/>
              </w:rPr>
              <w:t>由市政电网供给。各个生产区均配有配电室</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噪声、废气</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供水</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eastAsia="zh-CN"/>
              </w:rPr>
              <w:t>项目自建供水专管，</w:t>
            </w:r>
            <w:r>
              <w:rPr>
                <w:rFonts w:hint="eastAsia" w:ascii="Times New Roman" w:hAnsi="Times New Roman" w:cs="Times New Roman"/>
                <w:color w:val="auto"/>
                <w:highlight w:val="none"/>
                <w:lang w:val="en-US" w:eastAsia="zh-CN"/>
              </w:rPr>
              <w:t>从自来水主管网上接管（自来水厂</w:t>
            </w:r>
            <w:r>
              <w:rPr>
                <w:rFonts w:hint="eastAsia" w:ascii="Times New Roman" w:hAnsi="Times New Roman" w:cs="Times New Roman"/>
                <w:color w:val="auto"/>
                <w:highlight w:val="none"/>
                <w:lang w:eastAsia="zh-CN"/>
              </w:rPr>
              <w:t>取水邬滩沟水库</w:t>
            </w:r>
            <w:r>
              <w:rPr>
                <w:rFonts w:hint="eastAsia"/>
                <w:color w:val="auto"/>
                <w:highlight w:val="none"/>
                <w:lang w:eastAsia="zh-CN"/>
              </w:rPr>
              <w:t>）</w:t>
            </w:r>
            <w:r>
              <w:rPr>
                <w:rFonts w:hint="eastAsia" w:ascii="Times New Roman" w:hAnsi="Times New Roman" w:cs="Times New Roman"/>
                <w:color w:val="auto"/>
                <w:highlight w:val="none"/>
                <w:lang w:eastAsia="zh-CN"/>
              </w:rPr>
              <w:t>，泵入场区高位蓄水池，满足生活、消防需求；设置</w:t>
            </w:r>
            <w:r>
              <w:rPr>
                <w:rFonts w:hint="eastAsia" w:ascii="Times New Roman" w:hAnsi="Times New Roman" w:cs="Times New Roman"/>
                <w:color w:val="auto"/>
                <w:highlight w:val="none"/>
                <w:lang w:val="en-US" w:eastAsia="zh-CN"/>
              </w:rPr>
              <w:t>蓄</w:t>
            </w:r>
            <w:r>
              <w:rPr>
                <w:rFonts w:hint="eastAsia" w:ascii="Times New Roman" w:hAnsi="Times New Roman" w:cs="Times New Roman"/>
                <w:color w:val="auto"/>
                <w:highlight w:val="none"/>
                <w:lang w:eastAsia="zh-CN"/>
              </w:rPr>
              <w:t>水池</w:t>
            </w:r>
            <w:r>
              <w:rPr>
                <w:rFonts w:hint="eastAsia" w:ascii="Times New Roman" w:hAnsi="Times New Roman" w:cs="Times New Roman"/>
                <w:color w:val="auto"/>
                <w:highlight w:val="none"/>
                <w:lang w:val="en-US" w:eastAsia="zh-CN"/>
              </w:rPr>
              <w:t>1个，容积约2335.82m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噪声</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kern w:val="0"/>
                <w:highlight w:val="none"/>
              </w:rPr>
              <w:t>排水</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highlight w:val="none"/>
              </w:rPr>
            </w:pPr>
            <w:r>
              <w:rPr>
                <w:rFonts w:hint="default" w:ascii="Times New Roman" w:hAnsi="Times New Roman" w:cs="Times New Roman"/>
                <w:color w:val="auto"/>
                <w:kern w:val="0"/>
                <w:highlight w:val="none"/>
              </w:rPr>
              <w:t>厂内雨污分流，污水不外排</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kern w:val="0"/>
                <w:highlight w:val="none"/>
                <w:lang w:val="en-US" w:eastAsia="zh-CN"/>
              </w:rPr>
            </w:pPr>
            <w:r>
              <w:rPr>
                <w:rFonts w:hint="eastAsia" w:ascii="Times New Roman" w:hAnsi="Times New Roman" w:cs="Times New Roman"/>
                <w:color w:val="auto"/>
                <w:kern w:val="0"/>
                <w:highlight w:val="none"/>
                <w:lang w:val="en-US" w:eastAsia="zh-CN"/>
              </w:rPr>
              <w:t>供气</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rPr>
                <w:rFonts w:hint="eastAsia" w:ascii="Times New Roman" w:hAnsi="Times New Roman" w:cs="Times New Roman"/>
                <w:color w:val="auto"/>
                <w:kern w:val="0"/>
                <w:highlight w:val="none"/>
                <w:lang w:eastAsia="zh-CN"/>
              </w:rPr>
            </w:pPr>
            <w:r>
              <w:rPr>
                <w:rFonts w:hint="eastAsia" w:ascii="Times New Roman" w:hAnsi="Times New Roman" w:cs="Times New Roman"/>
                <w:color w:val="auto"/>
                <w:kern w:val="0"/>
                <w:highlight w:val="none"/>
                <w:lang w:eastAsia="zh-CN"/>
              </w:rPr>
              <w:t xml:space="preserve">食堂燃料使用项目产生的沼气 </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eastAsia" w:eastAsiaTheme="minorEastAsia"/>
                <w:color w:val="auto"/>
                <w:highlight w:val="none"/>
                <w:lang w:val="en-US" w:eastAsia="zh-CN"/>
              </w:rPr>
            </w:pPr>
            <w:r>
              <w:rPr>
                <w:rFonts w:hint="eastAsia"/>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kern w:val="0"/>
                <w:highlight w:val="none"/>
                <w:lang w:val="en-US" w:eastAsia="zh-CN"/>
              </w:rPr>
            </w:pPr>
            <w:r>
              <w:rPr>
                <w:rFonts w:hint="eastAsia" w:ascii="Times New Roman" w:hAnsi="Times New Roman" w:cs="Times New Roman"/>
                <w:color w:val="auto"/>
                <w:kern w:val="0"/>
                <w:highlight w:val="none"/>
                <w:lang w:val="en-US" w:eastAsia="zh-CN"/>
              </w:rPr>
              <w:t>暖通</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rPr>
                <w:rFonts w:hint="eastAsia" w:ascii="Times New Roman" w:hAnsi="Times New Roman" w:cs="Times New Roman"/>
                <w:color w:val="auto"/>
                <w:kern w:val="0"/>
                <w:highlight w:val="none"/>
                <w:lang w:eastAsia="zh-CN"/>
              </w:rPr>
            </w:pPr>
            <w:r>
              <w:rPr>
                <w:rFonts w:hint="eastAsia" w:ascii="Times New Roman" w:hAnsi="Times New Roman" w:cs="Times New Roman"/>
                <w:color w:val="auto"/>
                <w:kern w:val="0"/>
                <w:highlight w:val="none"/>
                <w:lang w:eastAsia="zh-CN"/>
              </w:rPr>
              <w:t>场区建筑物通风采用自然通风与机械通风相结合的方式，其他设施以自然通风为主。牛舍不设采暖设备，办公生活区夏天制冷、冬季供暖由分体式空调提供。</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eastAsia" w:eastAsiaTheme="minorEastAsia"/>
                <w:color w:val="auto"/>
                <w:highlight w:val="none"/>
                <w:lang w:val="en-US" w:eastAsia="zh-CN"/>
              </w:rPr>
            </w:pPr>
            <w:r>
              <w:rPr>
                <w:rFonts w:hint="eastAsia"/>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kern w:val="0"/>
                <w:highlight w:val="none"/>
                <w:lang w:val="en-US" w:eastAsia="zh-CN"/>
              </w:rPr>
            </w:pPr>
            <w:r>
              <w:rPr>
                <w:rFonts w:hint="eastAsia" w:ascii="Times New Roman" w:hAnsi="Times New Roman" w:cs="Times New Roman"/>
                <w:color w:val="auto"/>
                <w:kern w:val="0"/>
                <w:highlight w:val="none"/>
                <w:lang w:val="en-US" w:eastAsia="zh-CN"/>
              </w:rPr>
              <w:t>夏季降温</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rPr>
                <w:rFonts w:hint="eastAsia" w:ascii="Times New Roman" w:hAnsi="Times New Roman" w:cs="Times New Roman"/>
                <w:color w:val="auto"/>
                <w:kern w:val="0"/>
                <w:highlight w:val="none"/>
                <w:lang w:eastAsia="zh-CN"/>
              </w:rPr>
            </w:pPr>
            <w:r>
              <w:rPr>
                <w:rFonts w:hint="eastAsia" w:ascii="Times New Roman" w:hAnsi="Times New Roman" w:cs="Times New Roman"/>
                <w:color w:val="auto"/>
                <w:kern w:val="0"/>
                <w:highlight w:val="none"/>
                <w:lang w:val="en-US" w:eastAsia="zh-CN"/>
              </w:rPr>
              <w:t>牛舍</w:t>
            </w:r>
            <w:r>
              <w:rPr>
                <w:rFonts w:hint="eastAsia" w:ascii="Times New Roman" w:hAnsi="Times New Roman" w:cs="Times New Roman"/>
                <w:color w:val="auto"/>
                <w:kern w:val="0"/>
                <w:highlight w:val="none"/>
                <w:lang w:eastAsia="zh-CN"/>
              </w:rPr>
              <w:t>夏季采用电扇辅助水水帘降温。</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default"/>
                <w:color w:val="auto"/>
                <w:highlight w:val="none"/>
                <w:lang w:val="en-US" w:eastAsia="zh-CN"/>
              </w:rPr>
            </w:pPr>
            <w:r>
              <w:rPr>
                <w:rFonts w:hint="eastAsia"/>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kern w:val="0"/>
                <w:highlight w:val="none"/>
                <w:lang w:eastAsia="zh-CN"/>
              </w:rPr>
            </w:pPr>
            <w:r>
              <w:rPr>
                <w:rFonts w:hint="eastAsia" w:ascii="Times New Roman" w:hAnsi="Times New Roman" w:cs="Times New Roman"/>
                <w:color w:val="auto"/>
                <w:kern w:val="0"/>
                <w:highlight w:val="none"/>
                <w:lang w:eastAsia="zh-CN"/>
              </w:rPr>
              <w:t>绿化</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eastAsiaTheme="minorEastAsia"/>
                <w:color w:val="auto"/>
                <w:kern w:val="0"/>
                <w:highlight w:val="none"/>
                <w:lang w:val="en-US" w:eastAsia="zh-CN"/>
              </w:rPr>
            </w:pPr>
            <w:r>
              <w:rPr>
                <w:rFonts w:hint="eastAsia" w:ascii="Times New Roman" w:hAnsi="Times New Roman" w:cs="Times New Roman"/>
                <w:color w:val="auto"/>
                <w:kern w:val="0"/>
                <w:highlight w:val="none"/>
                <w:lang w:eastAsia="zh-CN"/>
              </w:rPr>
              <w:t>厂区绿化面积约</w:t>
            </w:r>
            <w:r>
              <w:rPr>
                <w:rFonts w:hint="eastAsia" w:ascii="Times New Roman" w:hAnsi="Times New Roman" w:cs="Times New Roman"/>
                <w:color w:val="auto"/>
                <w:kern w:val="0"/>
                <w:highlight w:val="none"/>
                <w:lang w:val="en-US" w:eastAsia="zh-CN"/>
              </w:rPr>
              <w:t>50120.65</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2</w:t>
            </w:r>
            <w:r>
              <w:rPr>
                <w:rFonts w:hint="eastAsia" w:ascii="Times New Roman" w:hAnsi="Times New Roman" w:cs="Times New Roman"/>
                <w:color w:val="auto"/>
                <w:kern w:val="0"/>
                <w:highlight w:val="none"/>
                <w:lang w:val="en-US" w:eastAsia="zh-CN"/>
              </w:rPr>
              <w:t>。用于种植牧草，同时用于隔离养殖及办公区，同时美化场区环境</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eastAsia" w:ascii="Times New Roman" w:hAnsi="Times New Roman" w:cs="Times New Roman" w:eastAsiaTheme="minorEastAsia"/>
                <w:color w:val="auto"/>
                <w:highlight w:val="none"/>
                <w:lang w:val="en-US" w:eastAsia="zh-CN"/>
              </w:rPr>
            </w:pPr>
            <w:r>
              <w:rPr>
                <w:rFonts w:hint="eastAsia"/>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储运工程</w:t>
            </w:r>
          </w:p>
        </w:tc>
        <w:tc>
          <w:tcPr>
            <w:tcW w:w="0" w:type="auto"/>
            <w:vMerge w:val="restart"/>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210" w:leftChars="0" w:right="0" w:rightChars="0" w:hanging="210" w:hangingChars="100"/>
              <w:jc w:val="center"/>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bidi="ar-SA"/>
              </w:rPr>
              <w:t>饲料库</w:t>
            </w:r>
          </w:p>
        </w:tc>
        <w:tc>
          <w:tcPr>
            <w:tcW w:w="0" w:type="auto"/>
            <w:gridSpan w:val="2"/>
            <w:tcBorders>
              <w:lef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露天青贮窖</w:t>
            </w:r>
          </w:p>
        </w:tc>
        <w:tc>
          <w:tcPr>
            <w:tcW w:w="0" w:type="auto"/>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hAnsi="Times New Roman" w:cs="Times New Roman"/>
                <w:color w:val="auto"/>
                <w:kern w:val="0"/>
                <w:highlight w:val="none"/>
                <w:lang w:val="en-US" w:eastAsia="zh-CN"/>
              </w:rPr>
              <w:t>1个，位于厂区南侧，建筑面积约9327.54m</w:t>
            </w:r>
            <w:r>
              <w:rPr>
                <w:rFonts w:hint="eastAsia" w:ascii="Times New Roman" w:hAnsi="Times New Roman" w:cs="Times New Roman"/>
                <w:color w:val="auto"/>
                <w:kern w:val="0"/>
                <w:highlight w:val="none"/>
                <w:vertAlign w:val="superscript"/>
                <w:lang w:val="en-US" w:eastAsia="zh-CN"/>
              </w:rPr>
              <w:t>2</w:t>
            </w:r>
            <w:r>
              <w:rPr>
                <w:rFonts w:hint="eastAsia" w:ascii="Times New Roman" w:hAnsi="Times New Roman" w:cs="Times New Roman"/>
                <w:color w:val="auto"/>
                <w:kern w:val="0"/>
                <w:highlight w:val="none"/>
                <w:lang w:val="en-US" w:eastAsia="zh-CN"/>
              </w:rPr>
              <w:t>，配套4个青贮液收集池(，池深3m，长80m，宽20m )，用于存放青绿、块根类饲料，青绿、块根类饲料经青贮窖贮存，可长期保存其青绿多汁营养特性</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eastAsia" w:ascii="Times New Roman" w:hAnsi="Times New Roman" w:cs="Times New Roman" w:eastAsiaTheme="minorEastAsia"/>
                <w:color w:val="auto"/>
                <w:kern w:val="2"/>
                <w:sz w:val="21"/>
                <w:szCs w:val="21"/>
                <w:highlight w:val="none"/>
                <w:lang w:val="en-US" w:eastAsia="zh-CN" w:bidi="ar-SA"/>
              </w:rPr>
            </w:pPr>
          </w:p>
        </w:tc>
        <w:tc>
          <w:tcPr>
            <w:tcW w:w="0" w:type="auto"/>
            <w:gridSpan w:val="2"/>
            <w:tcBorders>
              <w:lef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干草库</w:t>
            </w:r>
          </w:p>
        </w:tc>
        <w:tc>
          <w:tcPr>
            <w:tcW w:w="0" w:type="auto"/>
            <w:tcBorders>
              <w:bottom w:val="single" w:color="auto" w:sz="4" w:space="0"/>
              <w:tl2br w:val="nil"/>
              <w:tr2bl w:val="nil"/>
            </w:tcBorders>
            <w:vAlign w:val="center"/>
          </w:tcPr>
          <w:p>
            <w:pPr>
              <w:keepNext w:val="0"/>
              <w:keepLines w:val="0"/>
              <w:suppressLineNumbers w:val="0"/>
              <w:spacing w:before="0" w:beforeAutospacing="0" w:after="0" w:afterAutospacing="0" w:line="240" w:lineRule="auto"/>
              <w:ind w:left="0" w:leftChars="0" w:right="0" w:rightChars="0"/>
              <w:jc w:val="left"/>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highlight w:val="none"/>
              </w:rPr>
              <w:t>1栋，1F，钢筋混凝土排架结构，总建筑面积</w:t>
            </w:r>
            <w:r>
              <w:rPr>
                <w:rFonts w:hint="eastAsia" w:ascii="Times New Roman" w:hAnsi="Times New Roman" w:cs="Times New Roman"/>
                <w:color w:val="auto"/>
                <w:highlight w:val="none"/>
                <w:lang w:val="en-US" w:eastAsia="zh-CN"/>
              </w:rPr>
              <w:t>5368</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2</w:t>
            </w:r>
            <w:r>
              <w:rPr>
                <w:rFonts w:hint="default" w:ascii="Times New Roman" w:hAnsi="Times New Roman" w:cs="Times New Roman"/>
                <w:color w:val="auto"/>
                <w:highlight w:val="none"/>
              </w:rPr>
              <w:t>，用于存放干草类饲料</w:t>
            </w:r>
            <w:r>
              <w:rPr>
                <w:rFonts w:hint="eastAsia" w:ascii="Times New Roman" w:hAnsi="Times New Roman" w:cs="Times New Roman"/>
                <w:color w:val="auto"/>
                <w:highlight w:val="none"/>
                <w:lang w:eastAsia="zh-CN"/>
              </w:rPr>
              <w:t>。</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eastAsia" w:ascii="Times New Roman" w:hAnsi="Times New Roman" w:cs="Times New Roman" w:eastAsiaTheme="minorEastAsia"/>
                <w:color w:val="auto"/>
                <w:kern w:val="2"/>
                <w:sz w:val="21"/>
                <w:szCs w:val="21"/>
                <w:highlight w:val="none"/>
                <w:lang w:val="en-US" w:eastAsia="zh-CN" w:bidi="ar-SA"/>
              </w:rPr>
            </w:pPr>
          </w:p>
        </w:tc>
        <w:tc>
          <w:tcPr>
            <w:tcW w:w="0" w:type="auto"/>
            <w:gridSpan w:val="2"/>
            <w:tcBorders>
              <w:lef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TMR饲喂中心系统</w:t>
            </w:r>
          </w:p>
        </w:tc>
        <w:tc>
          <w:tcPr>
            <w:tcW w:w="0" w:type="auto"/>
            <w:tcBorders>
              <w:bottom w:val="single" w:color="auto" w:sz="4" w:space="0"/>
              <w:tl2br w:val="nil"/>
              <w:tr2bl w:val="nil"/>
            </w:tcBorders>
            <w:vAlign w:val="center"/>
          </w:tcPr>
          <w:p>
            <w:pPr>
              <w:keepNext w:val="0"/>
              <w:keepLines w:val="0"/>
              <w:suppressLineNumbers w:val="0"/>
              <w:spacing w:before="0" w:beforeAutospacing="0" w:after="0" w:afterAutospacing="0" w:line="240" w:lineRule="auto"/>
              <w:ind w:left="0" w:leftChars="0" w:right="0" w:rightChars="0"/>
              <w:jc w:val="left"/>
              <w:rPr>
                <w:rFonts w:hint="eastAsia"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rPr>
              <w:t>1栋，1F，钢筋混凝土排架结构</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总建筑面积</w:t>
            </w:r>
            <w:r>
              <w:rPr>
                <w:rFonts w:hint="eastAsia" w:ascii="Times New Roman" w:hAnsi="Times New Roman" w:cs="Times New Roman"/>
                <w:color w:val="auto"/>
                <w:highlight w:val="none"/>
                <w:lang w:val="en-US" w:eastAsia="zh-CN"/>
              </w:rPr>
              <w:t>4250</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2</w:t>
            </w:r>
            <w:r>
              <w:rPr>
                <w:rFonts w:hint="default" w:ascii="Times New Roman" w:hAnsi="Times New Roman" w:cs="Times New Roman"/>
                <w:color w:val="auto"/>
                <w:highlight w:val="none"/>
              </w:rPr>
              <w:t>，同时设饲料搅拌设备，用于TMR饲料配料</w:t>
            </w:r>
            <w:r>
              <w:rPr>
                <w:rFonts w:hint="eastAsia" w:ascii="Times New Roman" w:hAnsi="Times New Roman" w:cs="Times New Roman"/>
                <w:color w:val="auto"/>
                <w:highlight w:val="none"/>
                <w:lang w:val="en-US" w:eastAsia="zh-CN"/>
              </w:rPr>
              <w:t>。</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2"/>
                <w:sz w:val="21"/>
                <w:szCs w:val="21"/>
                <w:highlight w:val="none"/>
                <w:lang w:val="en-US" w:eastAsia="zh-CN" w:bidi="ar-SA"/>
              </w:rPr>
            </w:pPr>
          </w:p>
        </w:tc>
        <w:tc>
          <w:tcPr>
            <w:tcW w:w="0" w:type="auto"/>
            <w:gridSpan w:val="2"/>
            <w:tcBorders>
              <w:left w:val="single" w:color="auto" w:sz="4" w:space="0"/>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eastAsia" w:ascii="Times New Roman" w:cs="Times New Roman" w:eastAsiaTheme="minorEastAsia"/>
                <w:color w:val="auto"/>
                <w:highlight w:val="none"/>
                <w:lang w:eastAsia="zh-CN"/>
              </w:rPr>
            </w:pPr>
            <w:r>
              <w:rPr>
                <w:rFonts w:hint="eastAsia" w:ascii="Times New Roman" w:cs="Times New Roman"/>
                <w:color w:val="auto"/>
                <w:highlight w:val="none"/>
                <w:lang w:eastAsia="zh-CN"/>
              </w:rPr>
              <w:t>精料库</w:t>
            </w:r>
          </w:p>
        </w:tc>
        <w:tc>
          <w:tcPr>
            <w:tcW w:w="0" w:type="auto"/>
            <w:tcBorders>
              <w:top w:val="single" w:color="auto" w:sz="4" w:space="0"/>
              <w:tl2br w:val="nil"/>
              <w:tr2bl w:val="nil"/>
            </w:tcBorders>
            <w:vAlign w:val="center"/>
          </w:tcPr>
          <w:p>
            <w:pPr>
              <w:keepNext w:val="0"/>
              <w:keepLines w:val="0"/>
              <w:suppressLineNumbers w:val="0"/>
              <w:spacing w:before="0" w:beforeAutospacing="0" w:after="0" w:afterAutospacing="0" w:line="240" w:lineRule="auto"/>
              <w:ind w:left="0" w:leftChars="0" w:right="0" w:rightChars="0"/>
              <w:jc w:val="left"/>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位于</w:t>
            </w:r>
            <w:r>
              <w:rPr>
                <w:rFonts w:hint="eastAsia" w:ascii="Times New Roman" w:hAnsi="Times New Roman" w:cs="Times New Roman"/>
                <w:color w:val="auto"/>
                <w:highlight w:val="none"/>
                <w:lang w:val="en-US" w:eastAsia="zh-CN"/>
              </w:rPr>
              <w:t>TMR饲喂中心系统内，</w:t>
            </w:r>
            <w:r>
              <w:rPr>
                <w:rFonts w:hint="default" w:ascii="Times New Roman" w:hAnsi="Times New Roman" w:cs="Times New Roman" w:eastAsiaTheme="minorEastAsia"/>
                <w:color w:val="auto"/>
                <w:kern w:val="2"/>
                <w:sz w:val="21"/>
                <w:szCs w:val="21"/>
                <w:highlight w:val="none"/>
                <w:lang w:val="en-US" w:eastAsia="zh-CN" w:bidi="ar-SA"/>
              </w:rPr>
              <w:t>用于存放植物蛋白粉、动物蛋白粉、粗饲料、无机盐、能量饲料和饲料添加剂等。项目所用精饲料均为采购市场成品，不进行加工</w:t>
            </w:r>
            <w:r>
              <w:rPr>
                <w:rFonts w:hint="eastAsia" w:ascii="Times New Roman" w:hAnsi="Times New Roman" w:cs="Times New Roman"/>
                <w:color w:val="auto"/>
                <w:kern w:val="2"/>
                <w:sz w:val="21"/>
                <w:szCs w:val="21"/>
                <w:highlight w:val="none"/>
                <w:lang w:val="en-US" w:eastAsia="zh-CN" w:bidi="ar-SA"/>
              </w:rPr>
              <w:t>。</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eastAsia" w:ascii="Times New Roman" w:cs="Times New Roman"/>
                <w:color w:val="auto"/>
                <w:highlight w:val="none"/>
                <w:lang w:eastAsia="zh-CN"/>
              </w:rPr>
            </w:pPr>
            <w:r>
              <w:rPr>
                <w:rFonts w:hint="eastAsia" w:ascii="Times New Roman" w:cs="Times New Roman"/>
                <w:color w:val="auto"/>
                <w:highlight w:val="none"/>
                <w:lang w:eastAsia="zh-CN"/>
              </w:rPr>
              <w:t>工具房</w:t>
            </w:r>
          </w:p>
        </w:tc>
        <w:tc>
          <w:tcPr>
            <w:tcW w:w="0" w:type="auto"/>
            <w:tcBorders>
              <w:top w:val="single" w:color="auto" w:sz="4" w:space="0"/>
              <w:tl2br w:val="nil"/>
              <w:tr2bl w:val="nil"/>
            </w:tcBorders>
            <w:vAlign w:val="center"/>
          </w:tcPr>
          <w:p>
            <w:pPr>
              <w:keepNext w:val="0"/>
              <w:keepLines w:val="0"/>
              <w:suppressLineNumbers w:val="0"/>
              <w:spacing w:before="0" w:beforeAutospacing="0" w:after="0" w:afterAutospacing="0" w:line="240" w:lineRule="auto"/>
              <w:ind w:left="0" w:leftChars="0" w:right="0" w:rightChars="0"/>
              <w:jc w:val="left"/>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kern w:val="2"/>
                <w:sz w:val="21"/>
                <w:szCs w:val="21"/>
                <w:highlight w:val="none"/>
                <w:lang w:val="en-US" w:eastAsia="zh-CN" w:bidi="ar-SA"/>
              </w:rPr>
              <w:t>1栋，1F，钢筋混凝土排架结构，总建筑面积</w:t>
            </w:r>
            <w:r>
              <w:rPr>
                <w:rFonts w:hint="eastAsia" w:ascii="Times New Roman" w:hAnsi="Times New Roman" w:cs="Times New Roman"/>
                <w:color w:val="auto"/>
                <w:kern w:val="2"/>
                <w:sz w:val="21"/>
                <w:szCs w:val="21"/>
                <w:highlight w:val="none"/>
                <w:lang w:val="en-US" w:eastAsia="zh-CN" w:bidi="ar-SA"/>
              </w:rPr>
              <w:t>468.16</w:t>
            </w:r>
            <w:r>
              <w:rPr>
                <w:rFonts w:hint="default" w:ascii="Times New Roman" w:hAnsi="Times New Roman" w:cs="Times New Roman" w:eastAsiaTheme="minorEastAsia"/>
                <w:color w:val="auto"/>
                <w:kern w:val="2"/>
                <w:sz w:val="21"/>
                <w:szCs w:val="21"/>
                <w:highlight w:val="none"/>
                <w:lang w:val="en-US" w:eastAsia="zh-CN" w:bidi="ar-SA"/>
              </w:rPr>
              <w:t>m</w:t>
            </w:r>
            <w:r>
              <w:rPr>
                <w:rFonts w:hint="default" w:ascii="Times New Roman" w:hAnsi="Times New Roman" w:cs="Times New Roman" w:eastAsiaTheme="minorEastAsia"/>
                <w:color w:val="auto"/>
                <w:kern w:val="2"/>
                <w:sz w:val="21"/>
                <w:szCs w:val="21"/>
                <w:highlight w:val="none"/>
                <w:vertAlign w:val="superscript"/>
                <w:lang w:val="en-US" w:eastAsia="zh-CN" w:bidi="ar-SA"/>
              </w:rPr>
              <w:t>2</w:t>
            </w:r>
            <w:r>
              <w:rPr>
                <w:rFonts w:hint="default" w:ascii="Times New Roman" w:hAnsi="Times New Roman" w:cs="Times New Roman" w:eastAsiaTheme="minorEastAsia"/>
                <w:color w:val="auto"/>
                <w:kern w:val="2"/>
                <w:sz w:val="21"/>
                <w:szCs w:val="21"/>
                <w:highlight w:val="none"/>
                <w:lang w:val="en-US" w:eastAsia="zh-CN" w:bidi="ar-SA"/>
              </w:rPr>
              <w:t>，</w:t>
            </w:r>
            <w:r>
              <w:rPr>
                <w:rFonts w:hint="eastAsia" w:ascii="Times New Roman" w:hAnsi="Times New Roman" w:cs="Times New Roman"/>
                <w:color w:val="auto"/>
                <w:kern w:val="2"/>
                <w:sz w:val="21"/>
                <w:szCs w:val="21"/>
                <w:highlight w:val="none"/>
                <w:lang w:val="en-US" w:eastAsia="zh-CN" w:bidi="ar-SA"/>
              </w:rPr>
              <w:t>用于堆放农机用具及维修设备。</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118" w:leftChars="-56" w:right="-92" w:rightChars="-44"/>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办公及生活</w:t>
            </w: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cs="Times New Roman"/>
                <w:color w:val="auto"/>
                <w:highlight w:val="none"/>
              </w:rPr>
              <w:t>办公综合房</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vertAlign w:val="baseline"/>
                <w:lang w:eastAsia="zh-CN"/>
              </w:rPr>
            </w:pP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rPr>
              <w:t>F</w:t>
            </w:r>
            <w:r>
              <w:rPr>
                <w:rFonts w:hint="default" w:ascii="Times New Roman" w:cs="Times New Roman"/>
                <w:color w:val="auto"/>
                <w:highlight w:val="none"/>
              </w:rPr>
              <w:t>，</w:t>
            </w:r>
            <w:r>
              <w:rPr>
                <w:rFonts w:hint="default"/>
                <w:color w:val="auto"/>
                <w:sz w:val="21"/>
                <w:szCs w:val="21"/>
                <w:highlight w:val="none"/>
              </w:rPr>
              <w:t>砖混结构</w:t>
            </w:r>
            <w:r>
              <w:rPr>
                <w:rFonts w:hint="eastAsia"/>
                <w:color w:val="auto"/>
                <w:sz w:val="21"/>
                <w:szCs w:val="21"/>
                <w:highlight w:val="none"/>
                <w:lang w:eastAsia="zh-CN"/>
              </w:rPr>
              <w:t>，位于厂区东南侧，</w:t>
            </w:r>
            <w:r>
              <w:rPr>
                <w:rFonts w:hint="default" w:ascii="Times New Roman" w:cs="Times New Roman"/>
                <w:color w:val="auto"/>
                <w:highlight w:val="none"/>
              </w:rPr>
              <w:t>建筑面积</w:t>
            </w:r>
            <w:r>
              <w:rPr>
                <w:rFonts w:hint="eastAsia" w:ascii="Times New Roman" w:cs="Times New Roman"/>
                <w:color w:val="auto"/>
                <w:highlight w:val="none"/>
                <w:lang w:val="en-US" w:eastAsia="zh-CN"/>
              </w:rPr>
              <w:t>1059.08</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2</w:t>
            </w:r>
            <w:r>
              <w:rPr>
                <w:rFonts w:hint="eastAsia" w:ascii="Times New Roman" w:hAnsi="Times New Roman" w:cs="Times New Roman"/>
                <w:color w:val="auto"/>
                <w:highlight w:val="none"/>
                <w:vertAlign w:val="baseline"/>
                <w:lang w:eastAsia="zh-CN"/>
              </w:rPr>
              <w:t>，砖混结构，设置会议室、食堂、值班宿舍和消毒设施等办公及辅助设施，用于员工办公、休息、就餐</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生活污水、生活垃圾</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eastAsia" w:ascii="Times New Roman" w:cs="Times New Roman"/>
                <w:color w:val="auto"/>
                <w:highlight w:val="none"/>
                <w:lang w:eastAsia="zh-CN"/>
              </w:rPr>
            </w:pPr>
            <w:r>
              <w:rPr>
                <w:rFonts w:hint="eastAsia" w:ascii="Times New Roman" w:cs="Times New Roman"/>
                <w:color w:val="auto"/>
                <w:highlight w:val="none"/>
                <w:lang w:eastAsia="zh-CN"/>
              </w:rPr>
              <w:t>柴油发电机房</w:t>
            </w:r>
          </w:p>
        </w:tc>
        <w:tc>
          <w:tcPr>
            <w:tcW w:w="0" w:type="auto"/>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位于办公综合房1楼，面积约10m</w:t>
            </w:r>
            <w:r>
              <w:rPr>
                <w:rFonts w:hint="eastAsia" w:ascii="Times New Roman" w:hAnsi="Times New Roman" w:cs="Times New Roman"/>
                <w:color w:val="auto"/>
                <w:highlight w:val="none"/>
                <w:vertAlign w:val="superscript"/>
                <w:lang w:val="en-US" w:eastAsia="zh-CN"/>
              </w:rPr>
              <w:t>2</w:t>
            </w: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废气</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环保工程</w:t>
            </w:r>
          </w:p>
        </w:tc>
        <w:tc>
          <w:tcPr>
            <w:tcW w:w="0" w:type="auto"/>
            <w:vMerge w:val="restart"/>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废气</w:t>
            </w:r>
          </w:p>
        </w:tc>
        <w:tc>
          <w:tcPr>
            <w:tcW w:w="0" w:type="auto"/>
            <w:gridSpan w:val="2"/>
            <w:vMerge w:val="restart"/>
            <w:tcBorders>
              <w:lef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恶臭</w:t>
            </w: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jc w:val="left"/>
              <w:rPr>
                <w:rFonts w:hint="default"/>
                <w:color w:val="auto"/>
                <w:sz w:val="21"/>
                <w:szCs w:val="21"/>
                <w:highlight w:val="none"/>
                <w:lang w:val="en-US" w:eastAsia="zh-CN"/>
              </w:rPr>
            </w:pPr>
            <w:r>
              <w:rPr>
                <w:rFonts w:hint="eastAsia"/>
                <w:color w:val="auto"/>
                <w:sz w:val="21"/>
                <w:szCs w:val="21"/>
                <w:highlight w:val="none"/>
                <w:lang w:val="en-US" w:eastAsia="zh-CN"/>
              </w:rPr>
              <w:t>牛舍：在牛舍粪尿上添加微生物菌，利用微生物细胞对恶臭物质的吸附、吸收和降解功能，将恶臭物质分解成无毒无害的简单无机物，从而达到净化空气的目的</w:t>
            </w:r>
          </w:p>
        </w:tc>
        <w:tc>
          <w:tcPr>
            <w:tcW w:w="855"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废气</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auto"/>
                <w:sz w:val="21"/>
                <w:szCs w:val="21"/>
                <w:highlight w:val="none"/>
              </w:rPr>
            </w:pPr>
          </w:p>
        </w:tc>
        <w:tc>
          <w:tcPr>
            <w:tcW w:w="0" w:type="auto"/>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rPr>
            </w:pPr>
          </w:p>
        </w:tc>
        <w:tc>
          <w:tcPr>
            <w:tcW w:w="0" w:type="auto"/>
            <w:gridSpan w:val="2"/>
            <w:vMerge w:val="continue"/>
            <w:tcBorders>
              <w:lef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rPr>
            </w:pPr>
          </w:p>
        </w:tc>
        <w:tc>
          <w:tcPr>
            <w:tcW w:w="0" w:type="auto"/>
            <w:tcBorders>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left"/>
              <w:rPr>
                <w:rFonts w:hint="eastAsia"/>
                <w:color w:val="auto"/>
                <w:sz w:val="21"/>
                <w:szCs w:val="21"/>
                <w:highlight w:val="none"/>
                <w:lang w:val="en-US" w:eastAsia="zh-CN"/>
              </w:rPr>
            </w:pPr>
            <w:r>
              <w:rPr>
                <w:rFonts w:hint="eastAsia"/>
                <w:color w:val="auto"/>
                <w:sz w:val="21"/>
                <w:szCs w:val="21"/>
                <w:highlight w:val="none"/>
                <w:lang w:val="en-US" w:eastAsia="zh-CN"/>
              </w:rPr>
              <w:t>污水处理站：采用地埋式排污管，对污水处理系统各工艺单元密闭处理，对污水处理设施恶臭产生较大的部位：预处理阶段、污泥处理区封闭，通过废气处理设施处理（碱液喷淋+生物过滤法）达标后通过15m高排气筒（DA002）排放。同时污水处理站周边喷洒除臭剂，周边加强绿化。</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废气</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971"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auto"/>
                <w:sz w:val="21"/>
                <w:szCs w:val="21"/>
                <w:highlight w:val="none"/>
              </w:rPr>
            </w:pPr>
          </w:p>
        </w:tc>
        <w:tc>
          <w:tcPr>
            <w:tcW w:w="0" w:type="auto"/>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rPr>
            </w:pPr>
          </w:p>
        </w:tc>
        <w:tc>
          <w:tcPr>
            <w:tcW w:w="0" w:type="auto"/>
            <w:gridSpan w:val="2"/>
            <w:vMerge w:val="continue"/>
            <w:tcBorders>
              <w:left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rPr>
            </w:pPr>
          </w:p>
        </w:tc>
        <w:tc>
          <w:tcPr>
            <w:tcW w:w="0" w:type="auto"/>
            <w:tcBorders>
              <w:top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left"/>
              <w:rPr>
                <w:rFonts w:hint="eastAsia"/>
                <w:color w:val="auto"/>
                <w:sz w:val="21"/>
                <w:szCs w:val="21"/>
                <w:highlight w:val="none"/>
                <w:lang w:val="en-US" w:eastAsia="zh-CN"/>
              </w:rPr>
            </w:pPr>
            <w:r>
              <w:rPr>
                <w:rFonts w:hint="eastAsia"/>
                <w:color w:val="auto"/>
                <w:sz w:val="21"/>
                <w:szCs w:val="21"/>
                <w:highlight w:val="none"/>
                <w:lang w:val="en-US" w:eastAsia="zh-CN"/>
              </w:rPr>
              <w:t>干粪棚：场区不进行粪便堆肥，粪便及时清运；设置干粪棚1个，位于厂区西北侧，车间全封闭；固粪堆添加除臭剂；并安装除臭装置（生物滤池）处理后15m排气筒（DA001）排放。</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609"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auto"/>
                <w:sz w:val="21"/>
                <w:szCs w:val="21"/>
                <w:highlight w:val="none"/>
              </w:rPr>
            </w:pPr>
          </w:p>
        </w:tc>
        <w:tc>
          <w:tcPr>
            <w:tcW w:w="0" w:type="auto"/>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rPr>
            </w:pPr>
          </w:p>
        </w:tc>
        <w:tc>
          <w:tcPr>
            <w:tcW w:w="0" w:type="auto"/>
            <w:gridSpan w:val="2"/>
            <w:vMerge w:val="continue"/>
            <w:tcBorders>
              <w:left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rPr>
            </w:pPr>
          </w:p>
        </w:tc>
        <w:tc>
          <w:tcPr>
            <w:tcW w:w="0" w:type="auto"/>
            <w:tcBorders>
              <w:top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left"/>
              <w:rPr>
                <w:rFonts w:hint="eastAsia"/>
                <w:color w:val="auto"/>
                <w:sz w:val="21"/>
                <w:szCs w:val="21"/>
                <w:highlight w:val="none"/>
                <w:lang w:val="en-US" w:eastAsia="zh-CN"/>
              </w:rPr>
            </w:pPr>
            <w:r>
              <w:rPr>
                <w:rFonts w:hint="eastAsia" w:ascii="Times New Roman" w:hAnsi="Times New Roman" w:cs="Times New Roman" w:eastAsiaTheme="minorEastAsia"/>
                <w:b w:val="0"/>
                <w:color w:val="auto"/>
                <w:kern w:val="2"/>
                <w:sz w:val="21"/>
                <w:szCs w:val="21"/>
                <w:highlight w:val="none"/>
                <w:lang w:val="en-US" w:eastAsia="zh-CN" w:bidi="ar-SA"/>
              </w:rPr>
              <w:t>无害化处理车间配套</w:t>
            </w:r>
            <w:r>
              <w:rPr>
                <w:rFonts w:hint="eastAsia" w:ascii="Times New Roman" w:hAnsi="Times New Roman" w:cs="Times New Roman"/>
                <w:b w:val="0"/>
                <w:color w:val="auto"/>
                <w:kern w:val="2"/>
                <w:sz w:val="21"/>
                <w:szCs w:val="21"/>
                <w:highlight w:val="none"/>
                <w:lang w:val="en-US" w:eastAsia="zh-CN" w:bidi="ar-SA"/>
              </w:rPr>
              <w:t>设备自带</w:t>
            </w:r>
            <w:r>
              <w:rPr>
                <w:rFonts w:hint="eastAsia" w:ascii="Times New Roman" w:hAnsi="Times New Roman" w:cs="Times New Roman" w:eastAsiaTheme="minorEastAsia"/>
                <w:b w:val="0"/>
                <w:color w:val="auto"/>
                <w:kern w:val="2"/>
                <w:sz w:val="21"/>
                <w:szCs w:val="21"/>
                <w:highlight w:val="none"/>
                <w:lang w:val="en-US" w:eastAsia="zh-CN" w:bidi="ar-SA"/>
              </w:rPr>
              <w:t>废气处理设施</w:t>
            </w:r>
            <w:r>
              <w:rPr>
                <w:rFonts w:hint="eastAsia" w:ascii="Times New Roman" w:hAnsi="Times New Roman" w:cs="Times New Roman"/>
                <w:b w:val="0"/>
                <w:color w:val="auto"/>
                <w:kern w:val="2"/>
                <w:sz w:val="21"/>
                <w:szCs w:val="21"/>
                <w:highlight w:val="none"/>
                <w:lang w:val="en-US" w:eastAsia="zh-CN" w:bidi="ar-SA"/>
              </w:rPr>
              <w:t>（紫外线光束照射和TiO2催化法裂解恶臭气体）处理后排放</w:t>
            </w:r>
            <w:r>
              <w:rPr>
                <w:rFonts w:hint="eastAsia" w:ascii="Times New Roman" w:hAnsi="Times New Roman" w:cs="Times New Roman" w:eastAsiaTheme="minorEastAsia"/>
                <w:b w:val="0"/>
                <w:color w:val="auto"/>
                <w:kern w:val="2"/>
                <w:sz w:val="21"/>
                <w:szCs w:val="21"/>
                <w:highlight w:val="none"/>
                <w:lang w:val="en-US" w:eastAsia="zh-CN" w:bidi="ar-SA"/>
              </w:rPr>
              <w:t>。</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auto"/>
                <w:sz w:val="21"/>
                <w:szCs w:val="21"/>
                <w:highlight w:val="none"/>
              </w:rPr>
            </w:pPr>
          </w:p>
        </w:tc>
        <w:tc>
          <w:tcPr>
            <w:tcW w:w="0" w:type="auto"/>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rPr>
            </w:pPr>
          </w:p>
        </w:tc>
        <w:tc>
          <w:tcPr>
            <w:tcW w:w="0" w:type="auto"/>
            <w:gridSpan w:val="2"/>
            <w:tcBorders>
              <w:top w:val="single" w:color="auto" w:sz="4" w:space="0"/>
              <w:lef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lang w:eastAsia="zh-CN"/>
              </w:rPr>
            </w:pPr>
            <w:r>
              <w:rPr>
                <w:rFonts w:hint="eastAsia"/>
                <w:color w:val="auto"/>
                <w:sz w:val="21"/>
                <w:szCs w:val="21"/>
                <w:highlight w:val="none"/>
                <w:lang w:eastAsia="zh-CN"/>
              </w:rPr>
              <w:t>沼气</w:t>
            </w:r>
          </w:p>
        </w:tc>
        <w:tc>
          <w:tcPr>
            <w:tcW w:w="0" w:type="auto"/>
            <w:tcBorders>
              <w:top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lang w:val="en-US" w:eastAsia="zh-CN"/>
              </w:rPr>
            </w:pPr>
            <w:r>
              <w:rPr>
                <w:rFonts w:hint="eastAsia"/>
                <w:color w:val="auto"/>
                <w:sz w:val="21"/>
                <w:szCs w:val="21"/>
                <w:highlight w:val="none"/>
                <w:lang w:val="en-US" w:eastAsia="zh-CN"/>
              </w:rPr>
              <w:t>沼气：产生的沼气经气水分离和活性氧化铁吸附柱脱硫除臭（脱硫除臭效率为99.5%）后，储存于双膜储气袋（容积为150m3）内，全部用于养殖场生活发电和生产燃气。</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auto"/>
                <w:sz w:val="21"/>
                <w:szCs w:val="21"/>
                <w:highlight w:val="none"/>
              </w:rPr>
            </w:pPr>
          </w:p>
        </w:tc>
        <w:tc>
          <w:tcPr>
            <w:tcW w:w="0" w:type="auto"/>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rPr>
            </w:pPr>
          </w:p>
        </w:tc>
        <w:tc>
          <w:tcPr>
            <w:tcW w:w="0" w:type="auto"/>
            <w:gridSpan w:val="2"/>
            <w:tcBorders>
              <w:top w:val="single" w:color="auto" w:sz="4" w:space="0"/>
              <w:lef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lang w:eastAsia="zh-CN"/>
              </w:rPr>
            </w:pPr>
            <w:r>
              <w:rPr>
                <w:rFonts w:hint="eastAsia"/>
                <w:color w:val="auto"/>
                <w:sz w:val="21"/>
                <w:szCs w:val="21"/>
                <w:highlight w:val="none"/>
                <w:lang w:eastAsia="zh-CN"/>
              </w:rPr>
              <w:t>发电机废气</w:t>
            </w:r>
          </w:p>
        </w:tc>
        <w:tc>
          <w:tcPr>
            <w:tcW w:w="0" w:type="auto"/>
            <w:tcBorders>
              <w:top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lang w:val="en-US" w:eastAsia="zh-CN"/>
              </w:rPr>
            </w:pPr>
            <w:r>
              <w:rPr>
                <w:rFonts w:hint="eastAsia"/>
                <w:color w:val="auto"/>
                <w:sz w:val="21"/>
                <w:szCs w:val="21"/>
                <w:highlight w:val="none"/>
                <w:lang w:val="en-US" w:eastAsia="zh-CN"/>
              </w:rPr>
              <w:t>发电机自带净化器，采用清洁能源，废气产生频次低，产生量小，无组织间歇排放</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废气</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auto"/>
                <w:sz w:val="21"/>
                <w:szCs w:val="21"/>
                <w:highlight w:val="none"/>
              </w:rPr>
            </w:pPr>
          </w:p>
        </w:tc>
        <w:tc>
          <w:tcPr>
            <w:tcW w:w="0" w:type="auto"/>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rPr>
            </w:pPr>
          </w:p>
        </w:tc>
        <w:tc>
          <w:tcPr>
            <w:tcW w:w="0" w:type="auto"/>
            <w:gridSpan w:val="2"/>
            <w:tcBorders>
              <w:top w:val="single" w:color="auto" w:sz="4" w:space="0"/>
              <w:lef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lang w:eastAsia="zh-CN"/>
              </w:rPr>
            </w:pPr>
            <w:r>
              <w:rPr>
                <w:rFonts w:hint="eastAsia"/>
                <w:color w:val="auto"/>
                <w:sz w:val="21"/>
                <w:szCs w:val="21"/>
                <w:highlight w:val="none"/>
                <w:lang w:eastAsia="zh-CN"/>
              </w:rPr>
              <w:t>油烟</w:t>
            </w:r>
          </w:p>
        </w:tc>
        <w:tc>
          <w:tcPr>
            <w:tcW w:w="0" w:type="auto"/>
            <w:tcBorders>
              <w:top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lang w:val="en-US" w:eastAsia="zh-CN"/>
              </w:rPr>
            </w:pPr>
            <w:r>
              <w:rPr>
                <w:rFonts w:hint="eastAsia"/>
                <w:color w:val="auto"/>
                <w:sz w:val="21"/>
                <w:szCs w:val="21"/>
                <w:highlight w:val="none"/>
                <w:lang w:val="en-US" w:eastAsia="zh-CN"/>
              </w:rPr>
              <w:t>厨房设置油烟净化器，净化效率不低于60%，油烟经净化处理后引至屋顶排放</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废气</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003" w:type="dxa"/>
            <w:vMerge w:val="restart"/>
            <w:tcBorders>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废水</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color w:val="auto"/>
                <w:highlight w:val="none"/>
              </w:rPr>
            </w:pPr>
          </w:p>
        </w:tc>
        <w:tc>
          <w:tcPr>
            <w:tcW w:w="1984" w:type="dxa"/>
            <w:gridSpan w:val="2"/>
            <w:tcBorders>
              <w:left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Cs/>
                <w:color w:val="auto"/>
                <w:highlight w:val="none"/>
                <w:lang w:eastAsia="zh-CN"/>
              </w:rPr>
              <w:t>养殖废水</w:t>
            </w:r>
          </w:p>
        </w:tc>
        <w:tc>
          <w:tcPr>
            <w:tcW w:w="0" w:type="auto"/>
            <w:tcBorders>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default"/>
                <w:color w:val="auto"/>
                <w:sz w:val="21"/>
                <w:szCs w:val="21"/>
                <w:highlight w:val="none"/>
              </w:rPr>
              <w:t>污水处理站1座，规模</w:t>
            </w:r>
            <w:r>
              <w:rPr>
                <w:rFonts w:hint="eastAsia"/>
                <w:color w:val="auto"/>
                <w:sz w:val="21"/>
                <w:szCs w:val="21"/>
                <w:highlight w:val="none"/>
                <w:lang w:val="en-US" w:eastAsia="zh-CN"/>
              </w:rPr>
              <w:t>300</w:t>
            </w:r>
            <w:r>
              <w:rPr>
                <w:rFonts w:hint="default"/>
                <w:color w:val="auto"/>
                <w:sz w:val="21"/>
                <w:szCs w:val="21"/>
                <w:highlight w:val="none"/>
              </w:rPr>
              <w:t>m</w:t>
            </w:r>
            <w:r>
              <w:rPr>
                <w:rFonts w:hint="default"/>
                <w:color w:val="auto"/>
                <w:sz w:val="21"/>
                <w:szCs w:val="21"/>
                <w:highlight w:val="none"/>
                <w:vertAlign w:val="superscript"/>
              </w:rPr>
              <w:t>3</w:t>
            </w:r>
            <w:r>
              <w:rPr>
                <w:rFonts w:hint="default"/>
                <w:color w:val="auto"/>
                <w:sz w:val="21"/>
                <w:szCs w:val="21"/>
                <w:highlight w:val="none"/>
              </w:rPr>
              <w:t>/d，工艺为</w:t>
            </w:r>
            <w:r>
              <w:rPr>
                <w:rFonts w:hint="eastAsia"/>
                <w:color w:val="auto"/>
                <w:sz w:val="21"/>
                <w:szCs w:val="21"/>
                <w:highlight w:val="none"/>
              </w:rPr>
              <w:t>“</w:t>
            </w:r>
            <w:r>
              <w:rPr>
                <w:rFonts w:hint="default" w:ascii="Times New Roman" w:hAnsi="Times New Roman" w:eastAsia="宋体" w:cs="Times New Roman"/>
                <w:color w:val="auto"/>
                <w:sz w:val="21"/>
                <w:szCs w:val="21"/>
                <w:highlight w:val="none"/>
              </w:rPr>
              <w:t>固液分离+UASB厌氧+絮凝沉淀+两级A/O系统+混凝絮凝沉淀+消毒</w:t>
            </w:r>
            <w:r>
              <w:rPr>
                <w:rFonts w:hint="eastAsia"/>
                <w:color w:val="auto"/>
                <w:sz w:val="21"/>
                <w:szCs w:val="21"/>
                <w:highlight w:val="none"/>
              </w:rPr>
              <w:t>”</w:t>
            </w:r>
            <w:r>
              <w:rPr>
                <w:rFonts w:hint="default"/>
                <w:color w:val="auto"/>
                <w:sz w:val="21"/>
                <w:szCs w:val="21"/>
                <w:highlight w:val="none"/>
              </w:rPr>
              <w:t>，位于场区</w:t>
            </w:r>
            <w:r>
              <w:rPr>
                <w:rFonts w:hint="eastAsia"/>
                <w:color w:val="auto"/>
                <w:sz w:val="21"/>
                <w:szCs w:val="21"/>
                <w:highlight w:val="none"/>
                <w:lang w:eastAsia="zh-CN"/>
              </w:rPr>
              <w:t>南</w:t>
            </w:r>
            <w:r>
              <w:rPr>
                <w:rFonts w:hint="eastAsia"/>
                <w:color w:val="auto"/>
                <w:sz w:val="21"/>
                <w:szCs w:val="21"/>
                <w:highlight w:val="none"/>
                <w:lang w:val="en-US" w:eastAsia="zh-CN"/>
              </w:rPr>
              <w:t>侧</w:t>
            </w:r>
            <w:r>
              <w:rPr>
                <w:rFonts w:hint="default"/>
                <w:color w:val="auto"/>
                <w:sz w:val="21"/>
                <w:szCs w:val="21"/>
                <w:highlight w:val="none"/>
              </w:rPr>
              <w:t>污染防治区</w:t>
            </w:r>
            <w:r>
              <w:rPr>
                <w:rFonts w:hint="eastAsia"/>
                <w:color w:val="auto"/>
                <w:sz w:val="21"/>
                <w:szCs w:val="21"/>
                <w:highlight w:val="none"/>
                <w:lang w:eastAsia="zh-CN"/>
              </w:rPr>
              <w:t>，消毒后的废水用于农田灌溉。</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废水</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003" w:type="dxa"/>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984" w:type="dxa"/>
            <w:gridSpan w:val="2"/>
            <w:tcBorders>
              <w:top w:val="single" w:color="auto" w:sz="4" w:space="0"/>
              <w:left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生活污水</w:t>
            </w:r>
          </w:p>
        </w:tc>
        <w:tc>
          <w:tcPr>
            <w:tcW w:w="0" w:type="auto"/>
            <w:tcBorders>
              <w:top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default" w:ascii="Times New Roman" w:hAnsi="Times New Roman" w:cs="Times New Roman"/>
                <w:color w:val="auto"/>
                <w:sz w:val="21"/>
                <w:szCs w:val="21"/>
                <w:highlight w:val="none"/>
              </w:rPr>
              <w:t>隔油池1座，容积6m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，位于食堂</w:t>
            </w:r>
            <w:r>
              <w:rPr>
                <w:rFonts w:hint="default" w:ascii="Times New Roman" w:hAnsi="Times New Roman" w:cs="Times New Roman"/>
                <w:color w:val="auto"/>
                <w:sz w:val="21"/>
                <w:szCs w:val="21"/>
                <w:highlight w:val="none"/>
                <w:lang w:eastAsia="zh-CN"/>
              </w:rPr>
              <w:t>东</w:t>
            </w:r>
            <w:r>
              <w:rPr>
                <w:rFonts w:hint="default" w:ascii="Times New Roman" w:hAnsi="Times New Roman" w:cs="Times New Roman"/>
                <w:color w:val="auto"/>
                <w:sz w:val="21"/>
                <w:szCs w:val="21"/>
                <w:highlight w:val="none"/>
              </w:rPr>
              <w:t>侧，用于处理食堂含油废水</w:t>
            </w:r>
            <w:r>
              <w:rPr>
                <w:rFonts w:hint="default" w:ascii="Times New Roman" w:hAnsi="Times New Roman" w:cs="Times New Roman"/>
                <w:color w:val="auto"/>
                <w:sz w:val="21"/>
                <w:szCs w:val="21"/>
                <w:highlight w:val="none"/>
                <w:lang w:eastAsia="zh-CN"/>
              </w:rPr>
              <w:t>，预处理池</w:t>
            </w:r>
            <w:r>
              <w:rPr>
                <w:rFonts w:hint="default" w:ascii="Times New Roman" w:hAnsi="Times New Roman" w:cs="Times New Roman"/>
                <w:color w:val="auto"/>
                <w:sz w:val="21"/>
                <w:szCs w:val="21"/>
                <w:highlight w:val="none"/>
                <w:lang w:val="en-US" w:eastAsia="zh-CN"/>
              </w:rPr>
              <w:t>1座，容积</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vertAlign w:val="baseline"/>
                <w:lang w:eastAsia="zh-CN"/>
              </w:rPr>
              <w:t>，</w:t>
            </w:r>
            <w:r>
              <w:rPr>
                <w:rFonts w:hint="default" w:ascii="Times New Roman" w:hAnsi="Times New Roman" w:cs="Times New Roman"/>
                <w:color w:val="auto"/>
                <w:sz w:val="21"/>
                <w:szCs w:val="21"/>
                <w:highlight w:val="none"/>
                <w:lang w:eastAsia="zh-CN"/>
              </w:rPr>
              <w:t>食堂废水经隔油池处理后同生活污水一起经预处理</w:t>
            </w:r>
            <w:r>
              <w:rPr>
                <w:rFonts w:hint="eastAsia" w:ascii="Times New Roman" w:hAnsi="Times New Roman" w:cs="Times New Roman"/>
                <w:color w:val="auto"/>
                <w:sz w:val="21"/>
                <w:szCs w:val="21"/>
                <w:highlight w:val="none"/>
                <w:lang w:eastAsia="zh-CN"/>
              </w:rPr>
              <w:t>池处理</w:t>
            </w:r>
            <w:r>
              <w:rPr>
                <w:rFonts w:hint="default" w:ascii="Times New Roman" w:hAnsi="Times New Roman" w:cs="Times New Roman"/>
                <w:color w:val="auto"/>
                <w:sz w:val="21"/>
                <w:szCs w:val="21"/>
                <w:highlight w:val="none"/>
                <w:lang w:eastAsia="zh-CN"/>
              </w:rPr>
              <w:t>后，排入厂区污水处理系统。</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003" w:type="dxa"/>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984" w:type="dxa"/>
            <w:gridSpan w:val="2"/>
            <w:tcBorders>
              <w:top w:val="single" w:color="auto" w:sz="4" w:space="0"/>
              <w:left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color w:val="auto"/>
                <w:sz w:val="21"/>
                <w:szCs w:val="21"/>
                <w:highlight w:val="none"/>
              </w:rPr>
              <w:t>集污池</w:t>
            </w:r>
            <w:r>
              <w:rPr>
                <w:rFonts w:hint="eastAsia"/>
                <w:color w:val="auto"/>
                <w:sz w:val="21"/>
                <w:szCs w:val="21"/>
                <w:highlight w:val="none"/>
                <w:lang w:eastAsia="zh-CN"/>
              </w:rPr>
              <w:t>（位于污水处理站内）</w:t>
            </w:r>
          </w:p>
        </w:tc>
        <w:tc>
          <w:tcPr>
            <w:tcW w:w="0" w:type="auto"/>
            <w:tcBorders>
              <w:top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auto"/>
                <w:highlight w:val="none"/>
              </w:rPr>
            </w:pPr>
            <w:r>
              <w:rPr>
                <w:rFonts w:hint="default"/>
                <w:color w:val="auto"/>
                <w:sz w:val="21"/>
                <w:szCs w:val="21"/>
                <w:highlight w:val="none"/>
              </w:rPr>
              <w:t>集污池</w:t>
            </w:r>
            <w:r>
              <w:rPr>
                <w:rFonts w:hint="eastAsia"/>
                <w:color w:val="auto"/>
                <w:sz w:val="21"/>
                <w:szCs w:val="21"/>
                <w:highlight w:val="none"/>
                <w:lang w:val="en-US" w:eastAsia="zh-CN"/>
              </w:rPr>
              <w:t>1</w:t>
            </w:r>
            <w:r>
              <w:rPr>
                <w:rFonts w:hint="default"/>
                <w:color w:val="auto"/>
                <w:sz w:val="21"/>
                <w:szCs w:val="21"/>
                <w:highlight w:val="none"/>
              </w:rPr>
              <w:t>座，位于场址</w:t>
            </w:r>
            <w:r>
              <w:rPr>
                <w:rFonts w:hint="eastAsia"/>
                <w:color w:val="auto"/>
                <w:sz w:val="21"/>
                <w:szCs w:val="21"/>
                <w:highlight w:val="none"/>
                <w:lang w:eastAsia="zh-CN"/>
              </w:rPr>
              <w:t>南部，</w:t>
            </w:r>
            <w:r>
              <w:rPr>
                <w:rFonts w:hint="eastAsia"/>
                <w:color w:val="auto"/>
                <w:sz w:val="21"/>
                <w:szCs w:val="21"/>
                <w:highlight w:val="none"/>
              </w:rPr>
              <w:t>有效</w:t>
            </w:r>
            <w:r>
              <w:rPr>
                <w:rFonts w:hint="default"/>
                <w:color w:val="auto"/>
                <w:sz w:val="21"/>
                <w:szCs w:val="21"/>
                <w:highlight w:val="none"/>
              </w:rPr>
              <w:t>容积为</w:t>
            </w:r>
            <w:r>
              <w:rPr>
                <w:rFonts w:hint="eastAsia"/>
                <w:color w:val="auto"/>
                <w:sz w:val="21"/>
                <w:szCs w:val="21"/>
                <w:highlight w:val="none"/>
                <w:lang w:val="en-US" w:eastAsia="zh-CN"/>
              </w:rPr>
              <w:t>400</w:t>
            </w:r>
            <w:r>
              <w:rPr>
                <w:rFonts w:hint="default"/>
                <w:color w:val="auto"/>
                <w:sz w:val="21"/>
                <w:szCs w:val="21"/>
                <w:highlight w:val="none"/>
              </w:rPr>
              <w:t>m</w:t>
            </w:r>
            <w:r>
              <w:rPr>
                <w:rFonts w:hint="default"/>
                <w:color w:val="auto"/>
                <w:sz w:val="21"/>
                <w:szCs w:val="21"/>
                <w:highlight w:val="none"/>
                <w:vertAlign w:val="superscript"/>
              </w:rPr>
              <w:t>3</w:t>
            </w:r>
            <w:r>
              <w:rPr>
                <w:rFonts w:hint="default"/>
                <w:color w:val="auto"/>
                <w:sz w:val="21"/>
                <w:szCs w:val="21"/>
                <w:highlight w:val="none"/>
              </w:rPr>
              <w:t>，用于</w:t>
            </w:r>
            <w:r>
              <w:rPr>
                <w:rFonts w:hint="eastAsia"/>
                <w:color w:val="auto"/>
                <w:sz w:val="21"/>
                <w:szCs w:val="21"/>
                <w:highlight w:val="none"/>
              </w:rPr>
              <w:t>收集尿液和冲洗废水</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003" w:type="dxa"/>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984" w:type="dxa"/>
            <w:gridSpan w:val="2"/>
            <w:tcBorders>
              <w:top w:val="single" w:color="auto" w:sz="4" w:space="0"/>
              <w:left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尾水暂存池</w:t>
            </w:r>
          </w:p>
        </w:tc>
        <w:tc>
          <w:tcPr>
            <w:tcW w:w="0" w:type="auto"/>
            <w:tcBorders>
              <w:top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auto"/>
                <w:sz w:val="21"/>
                <w:szCs w:val="21"/>
                <w:highlight w:val="none"/>
              </w:rPr>
            </w:pPr>
            <w:r>
              <w:rPr>
                <w:rFonts w:hint="eastAsia" w:ascii="Times New Roman" w:hAnsi="Times New Roman" w:cs="Times New Roman"/>
                <w:color w:val="auto"/>
                <w:sz w:val="21"/>
                <w:szCs w:val="21"/>
                <w:highlight w:val="none"/>
                <w:lang w:eastAsia="zh-CN"/>
              </w:rPr>
              <w:t>厂内</w:t>
            </w:r>
            <w:r>
              <w:rPr>
                <w:rFonts w:hint="default" w:ascii="Times New Roman" w:hAnsi="Times New Roman" w:cs="Times New Roman"/>
                <w:color w:val="auto"/>
                <w:sz w:val="21"/>
                <w:szCs w:val="21"/>
                <w:highlight w:val="none"/>
                <w:lang w:eastAsia="zh-CN"/>
              </w:rPr>
              <w:t>尾水</w:t>
            </w:r>
            <w:r>
              <w:rPr>
                <w:rFonts w:hint="default" w:ascii="Times New Roman" w:hAnsi="Times New Roman" w:cs="Times New Roman"/>
                <w:color w:val="auto"/>
                <w:sz w:val="21"/>
                <w:szCs w:val="21"/>
                <w:highlight w:val="none"/>
              </w:rPr>
              <w:t>储存池</w:t>
            </w: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座，容积</w:t>
            </w:r>
            <w:r>
              <w:rPr>
                <w:rFonts w:hint="eastAsia" w:ascii="Times New Roman" w:hAnsi="Times New Roman" w:cs="Times New Roman"/>
                <w:color w:val="auto"/>
                <w:sz w:val="21"/>
                <w:szCs w:val="21"/>
                <w:highlight w:val="none"/>
                <w:lang w:val="en-US" w:eastAsia="zh-CN"/>
              </w:rPr>
              <w:t>8</w:t>
            </w:r>
            <w:r>
              <w:rPr>
                <w:rFonts w:hint="default" w:ascii="Times New Roman" w:hAnsi="Times New Roman" w:cs="Times New Roman"/>
                <w:color w:val="auto"/>
                <w:sz w:val="21"/>
                <w:szCs w:val="21"/>
                <w:highlight w:val="none"/>
              </w:rPr>
              <w:t>000m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，位于场区</w:t>
            </w:r>
            <w:r>
              <w:rPr>
                <w:rFonts w:hint="default" w:ascii="Times New Roman" w:hAnsi="Times New Roman" w:cs="Times New Roman"/>
                <w:color w:val="auto"/>
                <w:sz w:val="21"/>
                <w:szCs w:val="21"/>
                <w:highlight w:val="none"/>
                <w:lang w:eastAsia="zh-CN"/>
              </w:rPr>
              <w:t>南</w:t>
            </w:r>
            <w:r>
              <w:rPr>
                <w:rFonts w:hint="eastAsia" w:ascii="Times New Roman" w:hAnsi="Times New Roman" w:cs="Times New Roman"/>
                <w:color w:val="auto"/>
                <w:sz w:val="21"/>
                <w:szCs w:val="21"/>
                <w:highlight w:val="none"/>
                <w:lang w:val="en-US" w:eastAsia="zh-CN"/>
              </w:rPr>
              <w:t>侧</w:t>
            </w:r>
            <w:r>
              <w:rPr>
                <w:rFonts w:hint="default" w:ascii="Times New Roman" w:hAnsi="Times New Roman" w:cs="Times New Roman"/>
                <w:color w:val="auto"/>
                <w:sz w:val="21"/>
                <w:szCs w:val="21"/>
                <w:highlight w:val="none"/>
              </w:rPr>
              <w:t>污染防治区</w:t>
            </w:r>
            <w:r>
              <w:rPr>
                <w:rFonts w:hint="default" w:ascii="Times New Roman" w:hAnsi="Times New Roman" w:cs="Times New Roman"/>
                <w:color w:val="auto"/>
                <w:sz w:val="21"/>
                <w:szCs w:val="21"/>
                <w:highlight w:val="none"/>
                <w:vertAlign w:val="baseline"/>
                <w:lang w:eastAsia="zh-CN"/>
              </w:rPr>
              <w:t>，</w:t>
            </w:r>
            <w:r>
              <w:rPr>
                <w:rFonts w:hint="default" w:ascii="Times New Roman" w:hAnsi="Times New Roman" w:cs="Times New Roman"/>
                <w:color w:val="auto"/>
                <w:sz w:val="21"/>
                <w:szCs w:val="21"/>
                <w:highlight w:val="none"/>
              </w:rPr>
              <w:t>用于储存处理后的尾水</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003" w:type="dxa"/>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984" w:type="dxa"/>
            <w:gridSpan w:val="2"/>
            <w:tcBorders>
              <w:top w:val="single" w:color="auto" w:sz="4" w:space="0"/>
              <w:lef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事故应急池</w:t>
            </w:r>
          </w:p>
        </w:tc>
        <w:tc>
          <w:tcPr>
            <w:tcW w:w="0" w:type="auto"/>
            <w:tcBorders>
              <w:top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auto"/>
                <w:sz w:val="21"/>
                <w:szCs w:val="21"/>
                <w:highlight w:val="none"/>
              </w:rPr>
            </w:pPr>
            <w:r>
              <w:rPr>
                <w:rFonts w:hint="default"/>
                <w:color w:val="auto"/>
                <w:sz w:val="21"/>
                <w:szCs w:val="21"/>
                <w:highlight w:val="none"/>
              </w:rPr>
              <w:t>事故应急池1座，容积</w:t>
            </w:r>
            <w:r>
              <w:rPr>
                <w:rFonts w:hint="eastAsia"/>
                <w:color w:val="auto"/>
                <w:sz w:val="21"/>
                <w:szCs w:val="21"/>
                <w:highlight w:val="none"/>
                <w:lang w:val="en-US" w:eastAsia="zh-CN"/>
              </w:rPr>
              <w:t>20</w:t>
            </w:r>
            <w:r>
              <w:rPr>
                <w:rFonts w:hint="default"/>
                <w:color w:val="auto"/>
                <w:sz w:val="21"/>
                <w:szCs w:val="21"/>
                <w:highlight w:val="none"/>
              </w:rPr>
              <w:t>00m</w:t>
            </w:r>
            <w:r>
              <w:rPr>
                <w:rFonts w:hint="default"/>
                <w:color w:val="auto"/>
                <w:sz w:val="21"/>
                <w:szCs w:val="21"/>
                <w:highlight w:val="none"/>
                <w:vertAlign w:val="superscript"/>
              </w:rPr>
              <w:t>3</w:t>
            </w:r>
            <w:r>
              <w:rPr>
                <w:rFonts w:hint="default"/>
                <w:color w:val="auto"/>
                <w:sz w:val="21"/>
                <w:szCs w:val="21"/>
                <w:highlight w:val="none"/>
              </w:rPr>
              <w:t>，位于项目污染防治区</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pStyle w:val="17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 w:val="21"/>
                <w:szCs w:val="21"/>
                <w:highlight w:val="none"/>
              </w:rPr>
              <w:t>噪声治理</w:t>
            </w:r>
          </w:p>
        </w:tc>
        <w:tc>
          <w:tcPr>
            <w:tcW w:w="0" w:type="auto"/>
            <w:tcBorders>
              <w:tl2br w:val="nil"/>
              <w:tr2bl w:val="nil"/>
            </w:tcBorders>
            <w:vAlign w:val="center"/>
          </w:tcPr>
          <w:p>
            <w:pPr>
              <w:pStyle w:val="17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 w:val="21"/>
                <w:szCs w:val="21"/>
                <w:highlight w:val="none"/>
              </w:rPr>
              <w:t>选用低噪声设备、采取隔声、减震等降噪措施，合理布置高噪设备，车间厂房隔声，距离衰减</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噪声</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402" w:type="dxa"/>
            <w:gridSpan w:val="2"/>
            <w:vMerge w:val="restart"/>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固废</w:t>
            </w:r>
          </w:p>
        </w:tc>
        <w:tc>
          <w:tcPr>
            <w:tcW w:w="1585" w:type="dxa"/>
            <w:tcBorders>
              <w:left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牛粪</w:t>
            </w:r>
          </w:p>
        </w:tc>
        <w:tc>
          <w:tcPr>
            <w:tcW w:w="0" w:type="auto"/>
            <w:tcBorders>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default" w:ascii="Times New Roman" w:cs="Times New Roman"/>
                <w:color w:val="auto"/>
                <w:highlight w:val="none"/>
              </w:rPr>
              <w:t>采用干清粪方式收集后，</w:t>
            </w:r>
            <w:r>
              <w:rPr>
                <w:rFonts w:hint="eastAsia" w:ascii="Times New Roman" w:cs="Times New Roman"/>
                <w:color w:val="auto"/>
                <w:highlight w:val="none"/>
                <w:lang w:val="en-US" w:eastAsia="zh-CN"/>
              </w:rPr>
              <w:t>暂存于干粪棚内，</w:t>
            </w:r>
            <w:r>
              <w:rPr>
                <w:rFonts w:hint="default" w:ascii="Times New Roman" w:cs="Times New Roman"/>
                <w:color w:val="auto"/>
                <w:highlight w:val="none"/>
              </w:rPr>
              <w:t>（</w:t>
            </w:r>
            <w:r>
              <w:rPr>
                <w:rFonts w:hint="eastAsia" w:ascii="Times New Roman" w:cs="Times New Roman"/>
                <w:color w:val="auto"/>
                <w:highlight w:val="none"/>
                <w:lang w:eastAsia="zh-CN"/>
              </w:rPr>
              <w:t>每天定时清理，暂存时间</w:t>
            </w:r>
            <w:r>
              <w:rPr>
                <w:rFonts w:hint="eastAsia" w:ascii="Times New Roman" w:cs="Times New Roman"/>
                <w:color w:val="auto"/>
                <w:highlight w:val="none"/>
                <w:lang w:val="en-US" w:eastAsia="zh-CN"/>
              </w:rPr>
              <w:t>&lt;1天</w:t>
            </w:r>
            <w:r>
              <w:rPr>
                <w:rFonts w:hint="default" w:ascii="Times New Roman" w:cs="Times New Roman"/>
                <w:color w:val="auto"/>
                <w:highlight w:val="none"/>
              </w:rPr>
              <w:t>）</w:t>
            </w:r>
            <w:r>
              <w:rPr>
                <w:rFonts w:hint="eastAsia" w:ascii="Times New Roman" w:cs="Times New Roman"/>
                <w:color w:val="auto"/>
                <w:highlight w:val="none"/>
                <w:lang w:eastAsia="zh-CN"/>
              </w:rPr>
              <w:t>，</w:t>
            </w:r>
            <w:r>
              <w:rPr>
                <w:rFonts w:hint="default" w:ascii="Times New Roman" w:cs="Times New Roman"/>
                <w:color w:val="auto"/>
                <w:highlight w:val="none"/>
              </w:rPr>
              <w:t>由车辆清运至</w:t>
            </w:r>
            <w:r>
              <w:rPr>
                <w:rFonts w:hint="eastAsia" w:ascii="Times New Roman" w:cs="Times New Roman"/>
                <w:color w:val="auto"/>
                <w:highlight w:val="none"/>
                <w:lang w:eastAsia="zh-CN"/>
              </w:rPr>
              <w:t>南江县万事康生物科技有限公司</w:t>
            </w:r>
            <w:r>
              <w:rPr>
                <w:rFonts w:hint="default" w:ascii="Times New Roman" w:cs="Times New Roman"/>
                <w:color w:val="auto"/>
                <w:highlight w:val="none"/>
              </w:rPr>
              <w:t>用作生产有机肥原料使用</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固废</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402" w:type="dxa"/>
            <w:gridSpan w:val="2"/>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585" w:type="dxa"/>
            <w:tcBorders>
              <w:top w:val="single" w:color="auto" w:sz="4" w:space="0"/>
              <w:left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固液分离废渣</w:t>
            </w:r>
          </w:p>
        </w:tc>
        <w:tc>
          <w:tcPr>
            <w:tcW w:w="0" w:type="auto"/>
            <w:tcBorders>
              <w:top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eastAsia" w:ascii="Times New Roman" w:cs="Times New Roman"/>
                <w:color w:val="auto"/>
                <w:highlight w:val="none"/>
                <w:lang w:eastAsia="zh-CN"/>
              </w:rPr>
              <w:t>不在厂内暂存</w:t>
            </w:r>
            <w:r>
              <w:rPr>
                <w:rFonts w:hint="default" w:ascii="Times New Roman" w:cs="Times New Roman"/>
                <w:color w:val="auto"/>
                <w:highlight w:val="none"/>
              </w:rPr>
              <w:t>（</w:t>
            </w:r>
            <w:r>
              <w:rPr>
                <w:rFonts w:hint="eastAsia" w:ascii="Times New Roman" w:cs="Times New Roman"/>
                <w:color w:val="auto"/>
                <w:highlight w:val="none"/>
                <w:lang w:eastAsia="zh-CN"/>
              </w:rPr>
              <w:t>每天定时清理，暂存时间</w:t>
            </w:r>
            <w:r>
              <w:rPr>
                <w:rFonts w:hint="eastAsia" w:ascii="Times New Roman" w:cs="Times New Roman"/>
                <w:color w:val="auto"/>
                <w:highlight w:val="none"/>
                <w:lang w:val="en-US" w:eastAsia="zh-CN"/>
              </w:rPr>
              <w:t>&lt;1天</w:t>
            </w:r>
            <w:r>
              <w:rPr>
                <w:rFonts w:hint="default" w:ascii="Times New Roman" w:cs="Times New Roman"/>
                <w:color w:val="auto"/>
                <w:highlight w:val="none"/>
              </w:rPr>
              <w:t>）</w:t>
            </w:r>
            <w:r>
              <w:rPr>
                <w:rFonts w:hint="eastAsia" w:ascii="Times New Roman" w:cs="Times New Roman"/>
                <w:color w:val="auto"/>
                <w:highlight w:val="none"/>
                <w:lang w:eastAsia="zh-CN"/>
              </w:rPr>
              <w:t>，</w:t>
            </w:r>
            <w:r>
              <w:rPr>
                <w:rFonts w:hint="default" w:ascii="Times New Roman" w:cs="Times New Roman"/>
                <w:color w:val="auto"/>
                <w:highlight w:val="none"/>
              </w:rPr>
              <w:t>由车辆清运至</w:t>
            </w:r>
            <w:r>
              <w:rPr>
                <w:rFonts w:hint="eastAsia" w:ascii="Times New Roman" w:cs="Times New Roman"/>
                <w:color w:val="auto"/>
                <w:highlight w:val="none"/>
                <w:lang w:eastAsia="zh-CN"/>
              </w:rPr>
              <w:t>南江县万事康生物科技有限公司</w:t>
            </w:r>
            <w:r>
              <w:rPr>
                <w:rFonts w:hint="default" w:ascii="Times New Roman" w:cs="Times New Roman"/>
                <w:color w:val="auto"/>
                <w:highlight w:val="none"/>
              </w:rPr>
              <w:t>用作生产有机肥原料使用</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402" w:type="dxa"/>
            <w:gridSpan w:val="2"/>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585" w:type="dxa"/>
            <w:tcBorders>
              <w:top w:val="single" w:color="auto" w:sz="4" w:space="0"/>
              <w:left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沼渣和饲料残</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渣</w:t>
            </w:r>
          </w:p>
        </w:tc>
        <w:tc>
          <w:tcPr>
            <w:tcW w:w="0" w:type="auto"/>
            <w:tcBorders>
              <w:top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eastAsia"/>
                <w:color w:val="auto"/>
                <w:sz w:val="21"/>
                <w:szCs w:val="21"/>
                <w:highlight w:val="none"/>
                <w:lang w:eastAsia="zh-CN"/>
              </w:rPr>
              <w:t>污水处理站产生的沼渣和饲料残渣与粪便一起运至南江县万事康生物科技有限公司用作生产有机肥原料使用</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402" w:type="dxa"/>
            <w:gridSpan w:val="2"/>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585" w:type="dxa"/>
            <w:tcBorders>
              <w:top w:val="single" w:color="auto" w:sz="4" w:space="0"/>
              <w:left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病死牛</w:t>
            </w:r>
          </w:p>
        </w:tc>
        <w:tc>
          <w:tcPr>
            <w:tcW w:w="0" w:type="auto"/>
            <w:tcBorders>
              <w:top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病死</w:t>
            </w:r>
            <w:r>
              <w:rPr>
                <w:rFonts w:hint="eastAsia" w:ascii="Times New Roman" w:hAnsi="Times New Roman" w:cs="Times New Roman"/>
                <w:color w:val="auto"/>
                <w:sz w:val="21"/>
                <w:szCs w:val="21"/>
                <w:highlight w:val="none"/>
                <w:lang w:eastAsia="zh-CN"/>
              </w:rPr>
              <w:t>牛</w:t>
            </w:r>
            <w:r>
              <w:rPr>
                <w:rFonts w:hint="default" w:ascii="Times New Roman" w:hAnsi="Times New Roman" w:cs="Times New Roman"/>
                <w:color w:val="auto"/>
                <w:sz w:val="21"/>
                <w:szCs w:val="21"/>
                <w:highlight w:val="none"/>
                <w:lang w:eastAsia="zh-CN"/>
              </w:rPr>
              <w:t>处理车间：1个，</w:t>
            </w:r>
            <w:r>
              <w:rPr>
                <w:rFonts w:hint="eastAsia" w:ascii="Times New Roman" w:hAnsi="Times New Roman" w:cs="Times New Roman"/>
                <w:color w:val="auto"/>
                <w:sz w:val="21"/>
                <w:szCs w:val="21"/>
                <w:highlight w:val="none"/>
                <w:lang w:val="en-US" w:eastAsia="zh-CN"/>
              </w:rPr>
              <w:t>位于厂区西南侧，</w:t>
            </w:r>
            <w:r>
              <w:rPr>
                <w:rFonts w:hint="default" w:ascii="Times New Roman" w:hAnsi="Times New Roman" w:cs="Times New Roman"/>
                <w:color w:val="auto"/>
                <w:sz w:val="21"/>
                <w:szCs w:val="21"/>
                <w:highlight w:val="none"/>
                <w:lang w:eastAsia="zh-CN"/>
              </w:rPr>
              <w:t>建筑面积2</w:t>
            </w:r>
            <w:r>
              <w:rPr>
                <w:rFonts w:hint="eastAsia" w:ascii="Times New Roman" w:hAnsi="Times New Roman" w:cs="Times New Roman"/>
                <w:color w:val="auto"/>
                <w:sz w:val="21"/>
                <w:szCs w:val="21"/>
                <w:highlight w:val="none"/>
                <w:lang w:val="en-US" w:eastAsia="zh-CN"/>
              </w:rPr>
              <w:t>00</w:t>
            </w:r>
            <w:r>
              <w:rPr>
                <w:rFonts w:hint="default" w:ascii="Times New Roman" w:hAnsi="Times New Roman" w:cs="Times New Roman"/>
                <w:color w:val="auto"/>
                <w:sz w:val="21"/>
                <w:szCs w:val="21"/>
                <w:highlight w:val="none"/>
                <w:lang w:eastAsia="zh-CN"/>
              </w:rPr>
              <w:t>m</w:t>
            </w:r>
            <w:r>
              <w:rPr>
                <w:rFonts w:hint="default" w:ascii="Times New Roman" w:hAnsi="Times New Roman" w:cs="Times New Roman"/>
                <w:color w:val="auto"/>
                <w:sz w:val="21"/>
                <w:szCs w:val="21"/>
                <w:highlight w:val="none"/>
                <w:vertAlign w:val="superscript"/>
                <w:lang w:eastAsia="zh-CN"/>
              </w:rPr>
              <w:t>2</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402" w:type="dxa"/>
            <w:gridSpan w:val="2"/>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585" w:type="dxa"/>
            <w:tcBorders>
              <w:top w:val="single" w:color="auto" w:sz="4" w:space="0"/>
              <w:left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畜禽医疗垃圾</w:t>
            </w:r>
          </w:p>
        </w:tc>
        <w:tc>
          <w:tcPr>
            <w:tcW w:w="0" w:type="auto"/>
            <w:tcBorders>
              <w:top w:val="single" w:color="auto" w:sz="4" w:space="0"/>
              <w:bottom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项目兽医室旁设置危险废物暂存间 1个，</w:t>
            </w:r>
            <w:r>
              <w:rPr>
                <w:rFonts w:hint="eastAsia" w:ascii="Times New Roman" w:hAnsi="Times New Roman" w:cs="Times New Roman"/>
                <w:color w:val="auto"/>
                <w:sz w:val="21"/>
                <w:szCs w:val="21"/>
                <w:highlight w:val="none"/>
                <w:lang w:val="en-US" w:eastAsia="zh-CN"/>
              </w:rPr>
              <w:t>20</w:t>
            </w:r>
            <w:r>
              <w:rPr>
                <w:rFonts w:hint="default" w:ascii="Times New Roman" w:hAnsi="Times New Roman" w:cs="Times New Roman"/>
                <w:color w:val="auto"/>
                <w:sz w:val="21"/>
                <w:szCs w:val="21"/>
                <w:highlight w:val="none"/>
                <w:lang w:eastAsia="zh-CN"/>
              </w:rPr>
              <w:t>m</w:t>
            </w:r>
            <w:r>
              <w:rPr>
                <w:rFonts w:hint="default" w:ascii="Times New Roman" w:hAnsi="Times New Roman" w:cs="Times New Roman"/>
                <w:color w:val="auto"/>
                <w:sz w:val="21"/>
                <w:szCs w:val="21"/>
                <w:highlight w:val="none"/>
                <w:vertAlign w:val="superscript"/>
                <w:lang w:eastAsia="zh-CN"/>
              </w:rPr>
              <w:t>2</w:t>
            </w:r>
            <w:r>
              <w:rPr>
                <w:rFonts w:hint="default" w:ascii="Times New Roman" w:hAnsi="Times New Roman" w:cs="Times New Roman"/>
                <w:color w:val="auto"/>
                <w:sz w:val="21"/>
                <w:szCs w:val="21"/>
                <w:highlight w:val="none"/>
                <w:lang w:eastAsia="zh-CN"/>
              </w:rPr>
              <w:t>。产生的畜禽医疗垃圾单独收集，暂存于场区内危废暂</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存间，定期交由有医疗废物处置资质的单位集中处置，签订协议并设立台账</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402" w:type="dxa"/>
            <w:gridSpan w:val="2"/>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585" w:type="dxa"/>
            <w:tcBorders>
              <w:top w:val="single" w:color="auto" w:sz="4" w:space="0"/>
              <w:lef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餐厨垃圾</w:t>
            </w:r>
          </w:p>
        </w:tc>
        <w:tc>
          <w:tcPr>
            <w:tcW w:w="0" w:type="auto"/>
            <w:tcBorders>
              <w:top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lang w:eastAsia="zh-CN"/>
              </w:rPr>
            </w:pPr>
            <w:r>
              <w:rPr>
                <w:rFonts w:hint="eastAsia"/>
                <w:color w:val="auto"/>
                <w:sz w:val="21"/>
                <w:szCs w:val="21"/>
                <w:highlight w:val="none"/>
                <w:lang w:eastAsia="zh-CN"/>
              </w:rPr>
              <w:t>专用容器收集，交由餐厨垃圾收运单位进行收集处理</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402" w:type="dxa"/>
            <w:gridSpan w:val="2"/>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585" w:type="dxa"/>
            <w:tcBorders>
              <w:top w:val="single" w:color="auto" w:sz="4" w:space="0"/>
              <w:left w:val="single" w:color="auto" w:sz="4" w:space="0"/>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highlight w:val="none"/>
              </w:rPr>
              <w:t>生活垃圾</w:t>
            </w:r>
          </w:p>
        </w:tc>
        <w:tc>
          <w:tcPr>
            <w:tcW w:w="0" w:type="auto"/>
            <w:tcBorders>
              <w:top w:val="single" w:color="auto" w:sz="4" w:space="0"/>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color w:val="auto"/>
                <w:sz w:val="21"/>
                <w:szCs w:val="21"/>
                <w:highlight w:val="none"/>
                <w:lang w:eastAsia="zh-CN"/>
              </w:rPr>
              <w:t>垃圾桶收集，送至乡镇垃圾收集点，交由当地环卫部门统一清运处理</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402" w:type="dxa"/>
            <w:gridSpan w:val="2"/>
            <w:vMerge w:val="continue"/>
            <w:tcBorders>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1585" w:type="dxa"/>
            <w:tcBorders>
              <w:top w:val="single" w:color="auto" w:sz="4" w:space="0"/>
              <w:lef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化粪池污泥</w:t>
            </w:r>
          </w:p>
        </w:tc>
        <w:tc>
          <w:tcPr>
            <w:tcW w:w="0" w:type="auto"/>
            <w:tcBorders>
              <w:top w:val="single" w:color="auto" w:sz="4" w:space="0"/>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color w:val="auto"/>
                <w:sz w:val="21"/>
                <w:szCs w:val="21"/>
                <w:highlight w:val="none"/>
                <w:lang w:eastAsia="zh-CN"/>
              </w:rPr>
            </w:pPr>
            <w:r>
              <w:rPr>
                <w:rFonts w:hint="eastAsia"/>
                <w:color w:val="auto"/>
                <w:sz w:val="21"/>
                <w:szCs w:val="21"/>
                <w:highlight w:val="none"/>
                <w:lang w:eastAsia="zh-CN"/>
              </w:rPr>
              <w:t>定期清掏，清掏后运输至南江县万事康生物科技有限公司用作生产有机肥原料使用。</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0" w:type="auto"/>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gridSpan w:val="3"/>
            <w:tcBorders>
              <w:tl2br w:val="nil"/>
              <w:tr2bl w:val="nil"/>
            </w:tcBorders>
            <w:vAlign w:val="center"/>
          </w:tcPr>
          <w:p>
            <w:pPr>
              <w:pStyle w:val="1856"/>
              <w:keepNext w:val="0"/>
              <w:keepLines w:val="0"/>
              <w:suppressLineNumbers w:val="0"/>
              <w:spacing w:beforeAutospacing="0" w:afterAutospacing="0"/>
              <w:ind w:left="0" w:right="0"/>
              <w:jc w:val="center"/>
              <w:rPr>
                <w:rFonts w:hint="default"/>
                <w:b w:val="0"/>
                <w:bCs/>
                <w:color w:val="auto"/>
                <w:sz w:val="21"/>
                <w:szCs w:val="21"/>
                <w:highlight w:val="none"/>
              </w:rPr>
            </w:pPr>
            <w:r>
              <w:rPr>
                <w:rFonts w:hint="default"/>
                <w:b w:val="0"/>
                <w:bCs/>
                <w:color w:val="auto"/>
                <w:sz w:val="21"/>
                <w:szCs w:val="21"/>
                <w:highlight w:val="none"/>
              </w:rPr>
              <w:t>地下水</w:t>
            </w:r>
          </w:p>
          <w:p>
            <w:pPr>
              <w:pStyle w:val="1856"/>
              <w:keepNext w:val="0"/>
              <w:keepLines w:val="0"/>
              <w:suppressLineNumbers w:val="0"/>
              <w:spacing w:beforeAutospacing="0" w:afterAutospacing="0"/>
              <w:ind w:left="0" w:right="0"/>
              <w:jc w:val="center"/>
              <w:rPr>
                <w:rFonts w:hint="default" w:ascii="仿宋_GB2312" w:hAnsi="仿宋_GB2312" w:eastAsia="宋体" w:cs="仿宋_GB2312"/>
                <w:b w:val="0"/>
                <w:bCs/>
                <w:color w:val="auto"/>
                <w:kern w:val="0"/>
                <w:sz w:val="21"/>
                <w:szCs w:val="21"/>
                <w:highlight w:val="none"/>
                <w:lang w:val="en-US" w:eastAsia="zh-CN" w:bidi="ar-SA"/>
              </w:rPr>
            </w:pPr>
            <w:r>
              <w:rPr>
                <w:rFonts w:hint="default"/>
                <w:b w:val="0"/>
                <w:bCs/>
                <w:color w:val="auto"/>
                <w:sz w:val="21"/>
                <w:szCs w:val="21"/>
                <w:highlight w:val="none"/>
              </w:rPr>
              <w:t>污染防治</w:t>
            </w:r>
          </w:p>
        </w:tc>
        <w:tc>
          <w:tcPr>
            <w:tcW w:w="0" w:type="auto"/>
            <w:tcBorders>
              <w:tl2br w:val="nil"/>
              <w:tr2bl w:val="nil"/>
            </w:tcBorders>
            <w:vAlign w:val="center"/>
          </w:tcPr>
          <w:p>
            <w:pPr>
              <w:pStyle w:val="1856"/>
              <w:keepNext w:val="0"/>
              <w:keepLines w:val="0"/>
              <w:suppressLineNumbers w:val="0"/>
              <w:spacing w:beforeAutospacing="0" w:afterAutospacing="0"/>
              <w:ind w:left="0" w:right="0"/>
              <w:jc w:val="left"/>
              <w:rPr>
                <w:rFonts w:hint="default"/>
                <w:b w:val="0"/>
                <w:bCs/>
                <w:color w:val="auto"/>
                <w:sz w:val="21"/>
                <w:szCs w:val="21"/>
                <w:highlight w:val="none"/>
              </w:rPr>
            </w:pPr>
            <w:r>
              <w:rPr>
                <w:rFonts w:hint="default"/>
                <w:b w:val="0"/>
                <w:bCs/>
                <w:color w:val="auto"/>
                <w:sz w:val="21"/>
                <w:szCs w:val="21"/>
                <w:highlight w:val="none"/>
              </w:rPr>
              <w:t>进行分区防渗，划分重点防渗区、一般防渗区、简单防渗区：</w:t>
            </w:r>
          </w:p>
          <w:p>
            <w:pPr>
              <w:pStyle w:val="1856"/>
              <w:keepNext w:val="0"/>
              <w:keepLines w:val="0"/>
              <w:suppressLineNumbers w:val="0"/>
              <w:spacing w:beforeAutospacing="0" w:afterAutospacing="0"/>
              <w:ind w:left="0" w:right="0"/>
              <w:jc w:val="left"/>
              <w:rPr>
                <w:rFonts w:hint="default"/>
                <w:b w:val="0"/>
                <w:bCs/>
                <w:color w:val="auto"/>
                <w:sz w:val="21"/>
                <w:szCs w:val="21"/>
                <w:highlight w:val="none"/>
              </w:rPr>
            </w:pPr>
            <w:r>
              <w:rPr>
                <w:rFonts w:hint="default"/>
                <w:b w:val="0"/>
                <w:bCs/>
                <w:color w:val="auto"/>
                <w:sz w:val="21"/>
                <w:szCs w:val="21"/>
                <w:highlight w:val="none"/>
              </w:rPr>
              <w:t>①重点防渗区</w:t>
            </w:r>
            <w:r>
              <w:rPr>
                <w:rFonts w:hint="eastAsia"/>
                <w:b w:val="0"/>
                <w:bCs/>
                <w:color w:val="auto"/>
                <w:sz w:val="21"/>
                <w:szCs w:val="21"/>
                <w:highlight w:val="none"/>
                <w:lang w:eastAsia="zh-CN"/>
              </w:rPr>
              <w:t>：</w:t>
            </w:r>
            <w:r>
              <w:rPr>
                <w:rFonts w:hint="default"/>
                <w:b w:val="0"/>
                <w:bCs/>
                <w:color w:val="auto"/>
                <w:sz w:val="21"/>
                <w:szCs w:val="21"/>
                <w:highlight w:val="none"/>
              </w:rPr>
              <w:t>危废暂存间</w:t>
            </w:r>
            <w:r>
              <w:rPr>
                <w:rFonts w:hint="eastAsia"/>
                <w:b w:val="0"/>
                <w:bCs/>
                <w:color w:val="auto"/>
                <w:sz w:val="21"/>
                <w:szCs w:val="21"/>
                <w:highlight w:val="none"/>
                <w:lang w:eastAsia="zh-CN"/>
              </w:rPr>
              <w:t>，</w:t>
            </w:r>
            <w:r>
              <w:rPr>
                <w:rFonts w:hint="default"/>
                <w:b w:val="0"/>
                <w:bCs/>
                <w:color w:val="auto"/>
                <w:sz w:val="21"/>
                <w:szCs w:val="21"/>
                <w:highlight w:val="none"/>
              </w:rPr>
              <w:t>K≤1×10</w:t>
            </w:r>
            <w:r>
              <w:rPr>
                <w:rFonts w:hint="default"/>
                <w:b w:val="0"/>
                <w:bCs/>
                <w:color w:val="auto"/>
                <w:sz w:val="21"/>
                <w:szCs w:val="21"/>
                <w:highlight w:val="none"/>
                <w:vertAlign w:val="superscript"/>
              </w:rPr>
              <w:t>-</w:t>
            </w:r>
            <w:r>
              <w:rPr>
                <w:rFonts w:hint="eastAsia"/>
                <w:b w:val="0"/>
                <w:bCs/>
                <w:color w:val="auto"/>
                <w:sz w:val="21"/>
                <w:szCs w:val="21"/>
                <w:highlight w:val="none"/>
                <w:vertAlign w:val="superscript"/>
                <w:lang w:val="en-US" w:eastAsia="zh-CN"/>
              </w:rPr>
              <w:t>10</w:t>
            </w:r>
            <w:r>
              <w:rPr>
                <w:rFonts w:hint="default"/>
                <w:b w:val="0"/>
                <w:bCs/>
                <w:color w:val="auto"/>
                <w:sz w:val="21"/>
                <w:szCs w:val="21"/>
                <w:highlight w:val="none"/>
              </w:rPr>
              <w:t xml:space="preserve"> cm/s；污水处理设施、粪便脱水间、尾水暂存池、事故应急池、预处理池、隔油池</w:t>
            </w:r>
            <w:r>
              <w:rPr>
                <w:rFonts w:hint="eastAsia"/>
                <w:b w:val="0"/>
                <w:bCs/>
                <w:color w:val="auto"/>
                <w:sz w:val="21"/>
                <w:szCs w:val="21"/>
                <w:highlight w:val="none"/>
                <w:lang w:eastAsia="zh-CN"/>
              </w:rPr>
              <w:t>、干粪棚、</w:t>
            </w:r>
            <w:r>
              <w:rPr>
                <w:rFonts w:hint="default" w:ascii="Times New Roman" w:hAnsi="Times New Roman" w:eastAsia="宋体" w:cs="Times New Roman"/>
                <w:color w:val="auto"/>
                <w:kern w:val="2"/>
                <w:sz w:val="21"/>
                <w:szCs w:val="21"/>
                <w:highlight w:val="none"/>
                <w:lang w:val="en-US" w:eastAsia="zh-CN" w:bidi="ar-SA"/>
              </w:rPr>
              <w:t>发电机房及储油间</w:t>
            </w:r>
            <w:r>
              <w:rPr>
                <w:rFonts w:hint="eastAsia" w:ascii="Times New Roman" w:hAnsi="Times New Roman" w:eastAsia="宋体" w:cs="Times New Roman"/>
                <w:color w:val="auto"/>
                <w:kern w:val="2"/>
                <w:sz w:val="21"/>
                <w:szCs w:val="21"/>
                <w:highlight w:val="none"/>
                <w:lang w:val="en-US" w:eastAsia="zh-CN" w:bidi="ar-SA"/>
              </w:rPr>
              <w:t>及机修车间</w:t>
            </w:r>
            <w:r>
              <w:rPr>
                <w:rFonts w:hint="default"/>
                <w:b w:val="0"/>
                <w:bCs/>
                <w:color w:val="auto"/>
                <w:sz w:val="21"/>
                <w:szCs w:val="21"/>
                <w:highlight w:val="none"/>
              </w:rPr>
              <w:t>，等效粘土防渗层Mb≥6.0m，K≤1×10</w:t>
            </w:r>
            <w:r>
              <w:rPr>
                <w:rFonts w:hint="default"/>
                <w:b w:val="0"/>
                <w:bCs/>
                <w:color w:val="auto"/>
                <w:sz w:val="21"/>
                <w:szCs w:val="21"/>
                <w:highlight w:val="none"/>
                <w:vertAlign w:val="superscript"/>
              </w:rPr>
              <w:t>-7</w:t>
            </w:r>
            <w:r>
              <w:rPr>
                <w:rFonts w:hint="default"/>
                <w:b w:val="0"/>
                <w:bCs/>
                <w:color w:val="auto"/>
                <w:sz w:val="21"/>
                <w:szCs w:val="21"/>
                <w:highlight w:val="none"/>
              </w:rPr>
              <w:t>cm/s；</w:t>
            </w:r>
          </w:p>
          <w:p>
            <w:pPr>
              <w:pStyle w:val="1856"/>
              <w:keepNext w:val="0"/>
              <w:keepLines w:val="0"/>
              <w:suppressLineNumbers w:val="0"/>
              <w:spacing w:beforeAutospacing="0" w:afterAutospacing="0"/>
              <w:ind w:left="0" w:right="0"/>
              <w:jc w:val="left"/>
              <w:rPr>
                <w:rFonts w:hint="default"/>
                <w:b w:val="0"/>
                <w:bCs/>
                <w:color w:val="auto"/>
                <w:sz w:val="21"/>
                <w:szCs w:val="21"/>
                <w:highlight w:val="none"/>
              </w:rPr>
            </w:pPr>
            <w:r>
              <w:rPr>
                <w:rFonts w:hint="default"/>
                <w:b w:val="0"/>
                <w:bCs/>
                <w:color w:val="auto"/>
                <w:sz w:val="21"/>
                <w:szCs w:val="21"/>
                <w:highlight w:val="none"/>
              </w:rPr>
              <w:t>②一般防渗区</w:t>
            </w:r>
            <w:r>
              <w:rPr>
                <w:rFonts w:hint="eastAsia"/>
                <w:b w:val="0"/>
                <w:bCs/>
                <w:color w:val="auto"/>
                <w:sz w:val="21"/>
                <w:szCs w:val="21"/>
                <w:highlight w:val="none"/>
                <w:lang w:eastAsia="zh-CN"/>
              </w:rPr>
              <w:t>：</w:t>
            </w:r>
            <w:r>
              <w:rPr>
                <w:rFonts w:hint="default"/>
                <w:b w:val="0"/>
                <w:bCs/>
                <w:color w:val="auto"/>
                <w:sz w:val="21"/>
                <w:szCs w:val="21"/>
                <w:highlight w:val="none"/>
              </w:rPr>
              <w:t>牛舍、</w:t>
            </w:r>
            <w:r>
              <w:rPr>
                <w:rFonts w:hint="eastAsia"/>
                <w:b w:val="0"/>
                <w:bCs/>
                <w:color w:val="auto"/>
                <w:sz w:val="21"/>
                <w:szCs w:val="21"/>
                <w:highlight w:val="none"/>
                <w:lang w:val="en-US" w:eastAsia="zh-CN"/>
              </w:rPr>
              <w:t>生活垃圾暂存间、饲料库、兽医室</w:t>
            </w:r>
            <w:r>
              <w:rPr>
                <w:rFonts w:hint="default"/>
                <w:b w:val="0"/>
                <w:bCs/>
                <w:color w:val="auto"/>
                <w:sz w:val="21"/>
                <w:szCs w:val="21"/>
                <w:highlight w:val="none"/>
              </w:rPr>
              <w:t>，等效粘土防渗层Mb≥1.5m，K≤1×10</w:t>
            </w:r>
            <w:r>
              <w:rPr>
                <w:rFonts w:hint="default"/>
                <w:b w:val="0"/>
                <w:bCs/>
                <w:color w:val="auto"/>
                <w:sz w:val="21"/>
                <w:szCs w:val="21"/>
                <w:highlight w:val="none"/>
                <w:vertAlign w:val="superscript"/>
              </w:rPr>
              <w:t>-7</w:t>
            </w:r>
            <w:r>
              <w:rPr>
                <w:rFonts w:hint="default"/>
                <w:b w:val="0"/>
                <w:bCs/>
                <w:color w:val="auto"/>
                <w:sz w:val="21"/>
                <w:szCs w:val="21"/>
                <w:highlight w:val="none"/>
              </w:rPr>
              <w:t xml:space="preserve"> cm/s；</w:t>
            </w:r>
          </w:p>
          <w:p>
            <w:pPr>
              <w:pStyle w:val="1856"/>
              <w:keepNext w:val="0"/>
              <w:keepLines w:val="0"/>
              <w:suppressLineNumbers w:val="0"/>
              <w:spacing w:beforeAutospacing="0" w:afterAutospacing="0"/>
              <w:ind w:left="0" w:right="0"/>
              <w:jc w:val="left"/>
              <w:rPr>
                <w:rFonts w:hint="default" w:ascii="仿宋_GB2312" w:hAnsi="仿宋_GB2312" w:eastAsia="宋体" w:cs="仿宋_GB2312"/>
                <w:b w:val="0"/>
                <w:bCs/>
                <w:color w:val="auto"/>
                <w:kern w:val="0"/>
                <w:sz w:val="21"/>
                <w:szCs w:val="21"/>
                <w:highlight w:val="none"/>
                <w:lang w:val="en-US" w:eastAsia="zh-CN" w:bidi="ar-SA"/>
              </w:rPr>
            </w:pPr>
            <w:r>
              <w:rPr>
                <w:rFonts w:hint="default"/>
                <w:b w:val="0"/>
                <w:bCs/>
                <w:color w:val="auto"/>
                <w:sz w:val="21"/>
                <w:szCs w:val="21"/>
                <w:highlight w:val="none"/>
              </w:rPr>
              <w:t>③简单防渗区办公区及场内道路</w:t>
            </w:r>
            <w:r>
              <w:rPr>
                <w:rFonts w:hint="eastAsia"/>
                <w:b w:val="0"/>
                <w:bCs/>
                <w:color w:val="auto"/>
                <w:sz w:val="21"/>
                <w:szCs w:val="21"/>
                <w:highlight w:val="none"/>
                <w:lang w:eastAsia="zh-CN"/>
              </w:rPr>
              <w:t>、</w:t>
            </w:r>
            <w:r>
              <w:rPr>
                <w:rFonts w:hint="eastAsia"/>
                <w:b w:val="0"/>
                <w:bCs/>
                <w:color w:val="auto"/>
                <w:sz w:val="21"/>
                <w:szCs w:val="21"/>
                <w:highlight w:val="none"/>
                <w:lang w:val="en-US" w:eastAsia="zh-CN"/>
              </w:rPr>
              <w:t>食堂地面、门卫室</w:t>
            </w:r>
            <w:r>
              <w:rPr>
                <w:rFonts w:hint="default"/>
                <w:b w:val="0"/>
                <w:bCs/>
                <w:color w:val="auto"/>
                <w:sz w:val="21"/>
                <w:szCs w:val="21"/>
                <w:highlight w:val="none"/>
              </w:rPr>
              <w:t>等，地面硬化处理。</w:t>
            </w:r>
          </w:p>
        </w:tc>
        <w:tc>
          <w:tcPr>
            <w:tcW w:w="855"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highlight w:val="none"/>
              </w:rPr>
            </w:pPr>
          </w:p>
        </w:tc>
        <w:tc>
          <w:tcPr>
            <w:tcW w:w="0" w:type="auto"/>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0" w:hRule="atLeast"/>
          <w:tblHeader/>
          <w:jc w:val="center"/>
        </w:trPr>
        <w:tc>
          <w:tcPr>
            <w:tcW w:w="8522" w:type="dxa"/>
            <w:gridSpan w:val="7"/>
            <w:tcBorders>
              <w:tl2br w:val="nil"/>
              <w:tr2bl w:val="nil"/>
            </w:tcBorders>
            <w:vAlign w:val="center"/>
          </w:tcPr>
          <w:p>
            <w:pPr>
              <w:keepNext w:val="0"/>
              <w:keepLines w:val="0"/>
              <w:suppressLineNumbers w:val="0"/>
              <w:spacing w:before="0" w:beforeAutospacing="0" w:after="0" w:afterAutospacing="0" w:line="240" w:lineRule="auto"/>
              <w:ind w:left="0" w:right="0"/>
              <w:jc w:val="left"/>
              <w:rPr>
                <w:rFonts w:hint="eastAsia" w:ascii="Times New Roman" w:hAnsi="Times New Roman" w:cs="Times New Roman"/>
                <w:color w:val="auto"/>
                <w:highlight w:val="none"/>
                <w:lang w:val="en-US" w:eastAsia="zh-CN"/>
              </w:rPr>
            </w:pPr>
            <w:bookmarkStart w:id="118" w:name="_Toc319591168"/>
            <w:bookmarkStart w:id="119" w:name="_Toc405412811"/>
            <w:bookmarkStart w:id="120" w:name="_Toc319588857"/>
            <w:bookmarkStart w:id="121" w:name="_Toc16409"/>
            <w:bookmarkStart w:id="122" w:name="_Toc321575615"/>
            <w:bookmarkStart w:id="123" w:name="_Toc405412810"/>
            <w:r>
              <w:rPr>
                <w:rFonts w:hint="eastAsia" w:ascii="Times New Roman" w:hAnsi="Times New Roman" w:cs="Times New Roman"/>
                <w:color w:val="auto"/>
                <w:highlight w:val="none"/>
                <w:lang w:val="en-US" w:eastAsia="zh-CN"/>
              </w:rPr>
              <w:t>注：田间管网建设不在本次评价范围内，需另行环评手续。</w:t>
            </w:r>
          </w:p>
        </w:tc>
      </w:tr>
    </w:tbl>
    <w:p>
      <w:pPr>
        <w:pStyle w:val="8"/>
        <w:spacing w:before="0" w:after="0" w:line="360" w:lineRule="auto"/>
        <w:ind w:left="0" w:firstLine="0"/>
        <w:rPr>
          <w:rFonts w:cs="Times New Roman"/>
          <w:color w:val="auto"/>
          <w:highlight w:val="none"/>
        </w:rPr>
      </w:pPr>
      <w:r>
        <w:rPr>
          <w:rFonts w:cs="Times New Roman"/>
          <w:color w:val="auto"/>
          <w:highlight w:val="none"/>
        </w:rPr>
        <w:t>项目主要设备</w:t>
      </w:r>
      <w:bookmarkEnd w:id="118"/>
      <w:bookmarkEnd w:id="119"/>
      <w:bookmarkEnd w:id="120"/>
      <w:bookmarkEnd w:id="121"/>
    </w:p>
    <w:p>
      <w:pPr>
        <w:ind w:firstLine="470" w:firstLineChars="196"/>
        <w:jc w:val="left"/>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本项目主要设备见下表：</w:t>
      </w:r>
    </w:p>
    <w:p>
      <w:pPr>
        <w:pStyle w:val="2504"/>
        <w:numPr>
          <w:ilvl w:val="0"/>
          <w:numId w:val="20"/>
        </w:numPr>
        <w:spacing w:before="120"/>
        <w:ind w:left="425" w:leftChars="0" w:hanging="425" w:firstLineChars="0"/>
        <w:rPr>
          <w:color w:val="auto"/>
          <w:highlight w:val="none"/>
        </w:rPr>
      </w:pPr>
      <w:r>
        <w:rPr>
          <w:color w:val="auto"/>
          <w:highlight w:val="none"/>
        </w:rPr>
        <w:t xml:space="preserve"> 主要生产设备一览表</w:t>
      </w:r>
    </w:p>
    <w:tbl>
      <w:tblPr>
        <w:tblStyle w:val="91"/>
        <w:tblW w:w="4998" w:type="pct"/>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1719"/>
        <w:gridCol w:w="4547"/>
        <w:gridCol w:w="2029"/>
        <w:gridCol w:w="8"/>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序号</w:t>
            </w:r>
          </w:p>
        </w:tc>
        <w:tc>
          <w:tcPr>
            <w:tcW w:w="2738"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名称</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b/>
                <w:bCs/>
                <w:color w:val="auto"/>
                <w:sz w:val="21"/>
                <w:szCs w:val="21"/>
                <w:highlight w:val="none"/>
              </w:rPr>
              <w:t>数量</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4" w:type="pct"/>
          <w:jc w:val="center"/>
        </w:trPr>
        <w:tc>
          <w:tcPr>
            <w:tcW w:w="4995" w:type="pct"/>
            <w:gridSpan w:val="3"/>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牛舍设备</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trHeight w:val="90" w:hRule="atLeast"/>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1</w:t>
            </w:r>
          </w:p>
        </w:tc>
        <w:tc>
          <w:tcPr>
            <w:tcW w:w="273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饮水槽</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654</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w w:val="99"/>
                <w:sz w:val="21"/>
                <w:szCs w:val="21"/>
                <w:highlight w:val="none"/>
                <w:lang w:val="en-US" w:eastAsia="zh-CN"/>
              </w:rPr>
            </w:pPr>
            <w:r>
              <w:rPr>
                <w:rFonts w:hint="default" w:ascii="Times New Roman" w:hAnsi="Times New Roman" w:cs="Times New Roman"/>
                <w:color w:val="auto"/>
                <w:w w:val="99"/>
                <w:sz w:val="21"/>
                <w:szCs w:val="21"/>
                <w:highlight w:val="none"/>
                <w:lang w:val="en-US" w:eastAsia="zh-CN"/>
              </w:rPr>
              <w:t>2</w:t>
            </w:r>
          </w:p>
        </w:tc>
        <w:tc>
          <w:tcPr>
            <w:tcW w:w="273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eastAsia="zh-CN"/>
              </w:rPr>
              <w:t>卧床</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若干</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w w:val="99"/>
                <w:sz w:val="21"/>
                <w:szCs w:val="21"/>
                <w:highlight w:val="none"/>
                <w:lang w:val="en-US" w:eastAsia="zh-CN"/>
              </w:rPr>
              <w:t>3</w:t>
            </w:r>
          </w:p>
        </w:tc>
        <w:tc>
          <w:tcPr>
            <w:tcW w:w="273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颈枷</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12500</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w w:val="99"/>
                <w:sz w:val="21"/>
                <w:szCs w:val="21"/>
                <w:highlight w:val="none"/>
                <w:lang w:val="en-US" w:eastAsia="zh-CN"/>
              </w:rPr>
              <w:t>4</w:t>
            </w:r>
          </w:p>
        </w:tc>
        <w:tc>
          <w:tcPr>
            <w:tcW w:w="273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eastAsia="zh-CN"/>
              </w:rPr>
              <w:t>降温风扇</w:t>
            </w:r>
            <w:r>
              <w:rPr>
                <w:rFonts w:hint="default" w:ascii="Times New Roman" w:hAnsi="Times New Roman" w:cs="Times New Roman"/>
                <w:color w:val="auto"/>
                <w:sz w:val="21"/>
                <w:szCs w:val="21"/>
                <w:highlight w:val="none"/>
                <w:lang w:val="en-US" w:eastAsia="zh-CN"/>
              </w:rPr>
              <w:t>+水帘系统</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bidi="ar-SA"/>
              </w:rPr>
              <w:t>52</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w w:val="99"/>
                <w:sz w:val="21"/>
                <w:szCs w:val="21"/>
                <w:highlight w:val="none"/>
                <w:lang w:eastAsia="zh-CN"/>
              </w:rPr>
            </w:pPr>
            <w:r>
              <w:rPr>
                <w:rFonts w:hint="default" w:ascii="Times New Roman" w:hAnsi="Times New Roman" w:cs="Times New Roman"/>
                <w:color w:val="auto"/>
                <w:w w:val="99"/>
                <w:sz w:val="21"/>
                <w:szCs w:val="21"/>
                <w:highlight w:val="none"/>
                <w:lang w:val="en-US" w:eastAsia="zh-CN"/>
              </w:rPr>
              <w:t>5</w:t>
            </w:r>
          </w:p>
        </w:tc>
        <w:tc>
          <w:tcPr>
            <w:tcW w:w="273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eastAsia="zh-CN"/>
              </w:rPr>
              <w:t>喷淋系统</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45</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w w:val="99"/>
                <w:kern w:val="0"/>
                <w:sz w:val="21"/>
                <w:szCs w:val="21"/>
                <w:highlight w:val="none"/>
                <w:lang w:val="en-US" w:eastAsia="en-US" w:bidi="ar-SA"/>
              </w:rPr>
            </w:pPr>
            <w:r>
              <w:rPr>
                <w:rFonts w:hint="default" w:ascii="Times New Roman" w:hAnsi="Times New Roman" w:cs="Times New Roman"/>
                <w:color w:val="auto"/>
                <w:w w:val="99"/>
                <w:sz w:val="21"/>
                <w:szCs w:val="21"/>
                <w:highlight w:val="none"/>
              </w:rPr>
              <w:t>6</w:t>
            </w:r>
          </w:p>
        </w:tc>
        <w:tc>
          <w:tcPr>
            <w:tcW w:w="2738"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eastAsia="zh-CN"/>
              </w:rPr>
              <w:t>牛舍刮板</w:t>
            </w:r>
          </w:p>
        </w:tc>
        <w:tc>
          <w:tcPr>
            <w:tcW w:w="1226" w:type="pct"/>
            <w:gridSpan w:val="2"/>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13</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5000" w:type="pct"/>
            <w:gridSpan w:val="4"/>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饲养设备</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w w:val="99"/>
                <w:sz w:val="21"/>
                <w:szCs w:val="21"/>
                <w:highlight w:val="none"/>
                <w:lang w:val="en-US" w:eastAsia="zh-CN"/>
              </w:rPr>
              <w:t>1</w:t>
            </w:r>
          </w:p>
        </w:tc>
        <w:tc>
          <w:tcPr>
            <w:tcW w:w="273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TMR饲喂系统（</w:t>
            </w:r>
            <w:r>
              <w:rPr>
                <w:rFonts w:hint="default" w:ascii="Times New Roman" w:hAnsi="Times New Roman" w:cs="Times New Roman"/>
                <w:color w:val="auto"/>
                <w:sz w:val="21"/>
                <w:szCs w:val="21"/>
                <w:highlight w:val="none"/>
                <w:lang w:val="en-US" w:eastAsia="zh-CN"/>
              </w:rPr>
              <w:t>TMR搅拌机、投喂系统）</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4</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w w:val="99"/>
                <w:kern w:val="0"/>
                <w:sz w:val="21"/>
                <w:szCs w:val="21"/>
                <w:highlight w:val="none"/>
                <w:lang w:val="en-US" w:eastAsia="zh-CN" w:bidi="ar-SA"/>
              </w:rPr>
            </w:pPr>
            <w:r>
              <w:rPr>
                <w:rFonts w:hint="default" w:ascii="Times New Roman" w:hAnsi="Times New Roman" w:cs="Times New Roman"/>
                <w:color w:val="auto"/>
                <w:w w:val="99"/>
                <w:sz w:val="21"/>
                <w:szCs w:val="21"/>
                <w:highlight w:val="none"/>
                <w:lang w:val="en-US" w:eastAsia="zh-CN"/>
              </w:rPr>
              <w:t>2</w:t>
            </w:r>
          </w:p>
        </w:tc>
        <w:tc>
          <w:tcPr>
            <w:tcW w:w="273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eastAsia="zh-CN"/>
              </w:rPr>
              <w:t>自动化称重分栏系统</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w w:val="99"/>
                <w:sz w:val="21"/>
                <w:szCs w:val="21"/>
                <w:highlight w:val="none"/>
                <w:lang w:val="en-US" w:eastAsia="zh-CN"/>
              </w:rPr>
              <w:t>3</w:t>
            </w:r>
          </w:p>
        </w:tc>
        <w:tc>
          <w:tcPr>
            <w:tcW w:w="273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eastAsia="zh-CN"/>
              </w:rPr>
              <w:t>精料配料系统</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34" w:hRule="atLeast"/>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w w:val="99"/>
                <w:sz w:val="21"/>
                <w:szCs w:val="21"/>
                <w:highlight w:val="none"/>
                <w:lang w:val="en-US" w:eastAsia="zh-CN"/>
              </w:rPr>
              <w:t>4</w:t>
            </w:r>
          </w:p>
        </w:tc>
        <w:tc>
          <w:tcPr>
            <w:tcW w:w="273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链板输送机</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w w:val="99"/>
                <w:sz w:val="21"/>
                <w:szCs w:val="21"/>
                <w:highlight w:val="none"/>
                <w:lang w:val="en-US" w:eastAsia="zh-CN"/>
              </w:rPr>
              <w:t>5</w:t>
            </w:r>
          </w:p>
        </w:tc>
        <w:tc>
          <w:tcPr>
            <w:tcW w:w="2738"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饲料撒料车</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w w:val="99"/>
                <w:sz w:val="21"/>
                <w:szCs w:val="21"/>
                <w:highlight w:val="none"/>
                <w:lang w:val="en-US" w:eastAsia="zh-CN"/>
              </w:rPr>
            </w:pPr>
            <w:bookmarkStart w:id="124" w:name="_Toc393354431"/>
            <w:r>
              <w:rPr>
                <w:rFonts w:hint="default" w:ascii="Times New Roman" w:hAnsi="Times New Roman" w:cs="Times New Roman"/>
                <w:color w:val="auto"/>
                <w:w w:val="99"/>
                <w:sz w:val="21"/>
                <w:szCs w:val="21"/>
                <w:highlight w:val="none"/>
                <w:lang w:val="en-US" w:eastAsia="zh-CN"/>
              </w:rPr>
              <w:t>6</w:t>
            </w:r>
          </w:p>
        </w:tc>
        <w:tc>
          <w:tcPr>
            <w:tcW w:w="2738"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color w:val="auto"/>
                <w:sz w:val="21"/>
                <w:szCs w:val="21"/>
                <w:highlight w:val="none"/>
                <w:lang w:eastAsia="zh-CN"/>
              </w:rPr>
              <w:t>叉车</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w w:val="99"/>
                <w:sz w:val="21"/>
                <w:szCs w:val="21"/>
                <w:highlight w:val="none"/>
                <w:lang w:val="en-US" w:eastAsia="zh-CN"/>
              </w:rPr>
            </w:pPr>
            <w:r>
              <w:rPr>
                <w:rFonts w:hint="default" w:ascii="Times New Roman" w:hAnsi="Times New Roman" w:cs="Times New Roman"/>
                <w:color w:val="auto"/>
                <w:w w:val="99"/>
                <w:sz w:val="21"/>
                <w:szCs w:val="21"/>
                <w:highlight w:val="none"/>
                <w:lang w:val="en-US" w:eastAsia="zh-CN"/>
              </w:rPr>
              <w:t>7</w:t>
            </w:r>
          </w:p>
        </w:tc>
        <w:tc>
          <w:tcPr>
            <w:tcW w:w="2738"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color w:val="auto"/>
                <w:sz w:val="21"/>
                <w:szCs w:val="21"/>
                <w:highlight w:val="none"/>
                <w:lang w:eastAsia="zh-CN"/>
              </w:rPr>
              <w:t>堆翻机</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5000" w:type="pct"/>
            <w:gridSpan w:val="4"/>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b/>
                <w:bCs/>
                <w:color w:val="auto"/>
                <w:sz w:val="21"/>
                <w:szCs w:val="21"/>
                <w:highlight w:val="none"/>
                <w:lang w:eastAsia="zh-CN"/>
              </w:rPr>
              <w:t>其他设备</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w w:val="99"/>
                <w:sz w:val="21"/>
                <w:szCs w:val="21"/>
                <w:highlight w:val="none"/>
                <w:lang w:val="en-US" w:eastAsia="zh-CN"/>
              </w:rPr>
            </w:pPr>
            <w:r>
              <w:rPr>
                <w:rFonts w:hint="default" w:ascii="Times New Roman" w:hAnsi="Times New Roman" w:cs="Times New Roman"/>
                <w:color w:val="auto"/>
                <w:w w:val="99"/>
                <w:sz w:val="21"/>
                <w:szCs w:val="21"/>
                <w:highlight w:val="none"/>
                <w:lang w:val="en-US" w:eastAsia="zh-CN"/>
              </w:rPr>
              <w:t>1</w:t>
            </w:r>
          </w:p>
        </w:tc>
        <w:tc>
          <w:tcPr>
            <w:tcW w:w="2738"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污水处理系统</w:t>
            </w:r>
          </w:p>
        </w:tc>
        <w:tc>
          <w:tcPr>
            <w:tcW w:w="1226" w:type="pct"/>
            <w:gridSpan w:val="2"/>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w w:val="99"/>
                <w:sz w:val="21"/>
                <w:szCs w:val="21"/>
                <w:highlight w:val="none"/>
                <w:lang w:val="en-US" w:eastAsia="zh-CN"/>
              </w:rPr>
            </w:pPr>
            <w:r>
              <w:rPr>
                <w:rFonts w:hint="default" w:ascii="Times New Roman" w:hAnsi="Times New Roman" w:cs="Times New Roman"/>
                <w:color w:val="auto"/>
                <w:w w:val="99"/>
                <w:sz w:val="21"/>
                <w:szCs w:val="21"/>
                <w:highlight w:val="none"/>
                <w:lang w:val="en-US" w:eastAsia="zh-CN"/>
              </w:rPr>
              <w:t>2</w:t>
            </w:r>
          </w:p>
        </w:tc>
        <w:tc>
          <w:tcPr>
            <w:tcW w:w="2738"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固液分离机</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w w:val="99"/>
                <w:sz w:val="21"/>
                <w:szCs w:val="21"/>
                <w:highlight w:val="none"/>
                <w:lang w:val="en-US" w:eastAsia="zh-CN"/>
              </w:rPr>
            </w:pPr>
            <w:r>
              <w:rPr>
                <w:rFonts w:hint="default" w:ascii="Times New Roman" w:hAnsi="Times New Roman" w:cs="Times New Roman"/>
                <w:color w:val="auto"/>
                <w:w w:val="99"/>
                <w:sz w:val="21"/>
                <w:szCs w:val="21"/>
                <w:highlight w:val="none"/>
                <w:lang w:val="en-US" w:eastAsia="zh-CN"/>
              </w:rPr>
              <w:t>3</w:t>
            </w:r>
          </w:p>
        </w:tc>
        <w:tc>
          <w:tcPr>
            <w:tcW w:w="2738"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防疫消毒设备</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108</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w w:val="99"/>
                <w:sz w:val="21"/>
                <w:szCs w:val="21"/>
                <w:highlight w:val="none"/>
                <w:lang w:val="en-US" w:eastAsia="zh-CN"/>
              </w:rPr>
            </w:pPr>
            <w:r>
              <w:rPr>
                <w:rFonts w:hint="default" w:ascii="Times New Roman" w:hAnsi="Times New Roman" w:cs="Times New Roman"/>
                <w:color w:val="auto"/>
                <w:w w:val="99"/>
                <w:sz w:val="21"/>
                <w:szCs w:val="21"/>
                <w:highlight w:val="none"/>
                <w:lang w:val="en-US" w:eastAsia="zh-CN"/>
              </w:rPr>
              <w:t>4</w:t>
            </w:r>
          </w:p>
        </w:tc>
        <w:tc>
          <w:tcPr>
            <w:tcW w:w="2738"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地磅</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cs="Times New Roman"/>
                <w:color w:val="auto"/>
                <w:w w:val="99"/>
                <w:sz w:val="21"/>
                <w:szCs w:val="21"/>
                <w:highlight w:val="none"/>
                <w:lang w:val="en-US" w:eastAsia="zh-CN"/>
              </w:rPr>
            </w:pPr>
            <w:r>
              <w:rPr>
                <w:rFonts w:hint="default" w:ascii="Times New Roman" w:hAnsi="Times New Roman" w:cs="Times New Roman"/>
                <w:color w:val="auto"/>
                <w:w w:val="99"/>
                <w:sz w:val="21"/>
                <w:szCs w:val="21"/>
                <w:highlight w:val="none"/>
                <w:lang w:val="en-US" w:eastAsia="zh-CN"/>
              </w:rPr>
              <w:t>5</w:t>
            </w:r>
          </w:p>
        </w:tc>
        <w:tc>
          <w:tcPr>
            <w:tcW w:w="2738"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运输车辆</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1035"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cs="Times New Roman"/>
                <w:color w:val="auto"/>
                <w:w w:val="99"/>
                <w:sz w:val="21"/>
                <w:szCs w:val="21"/>
                <w:highlight w:val="none"/>
                <w:lang w:val="en-US" w:eastAsia="zh-CN"/>
              </w:rPr>
            </w:pPr>
            <w:r>
              <w:rPr>
                <w:rFonts w:hint="default" w:ascii="Times New Roman" w:hAnsi="Times New Roman" w:cs="Times New Roman"/>
                <w:color w:val="auto"/>
                <w:w w:val="99"/>
                <w:sz w:val="21"/>
                <w:szCs w:val="21"/>
                <w:highlight w:val="none"/>
                <w:lang w:val="en-US" w:eastAsia="zh-CN"/>
              </w:rPr>
              <w:t>6</w:t>
            </w:r>
          </w:p>
        </w:tc>
        <w:tc>
          <w:tcPr>
            <w:tcW w:w="2738"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兽医及检验检测设备</w:t>
            </w:r>
          </w:p>
        </w:tc>
        <w:tc>
          <w:tcPr>
            <w:tcW w:w="122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6</w:t>
            </w:r>
          </w:p>
        </w:tc>
      </w:tr>
    </w:tbl>
    <w:p>
      <w:pPr>
        <w:pStyle w:val="8"/>
        <w:spacing w:before="0" w:after="0" w:line="360" w:lineRule="auto"/>
        <w:ind w:left="0" w:firstLine="0"/>
        <w:rPr>
          <w:color w:val="auto"/>
          <w:highlight w:val="none"/>
        </w:rPr>
      </w:pPr>
      <w:bookmarkStart w:id="125" w:name="_Toc20916"/>
      <w:r>
        <w:rPr>
          <w:rFonts w:cs="Times New Roman"/>
          <w:color w:val="auto"/>
          <w:highlight w:val="none"/>
        </w:rPr>
        <w:t>原辅材料及动力消耗情况</w:t>
      </w:r>
      <w:bookmarkEnd w:id="124"/>
      <w:bookmarkEnd w:id="125"/>
    </w:p>
    <w:p>
      <w:pPr>
        <w:ind w:firstLine="480" w:firstLineChars="200"/>
        <w:rPr>
          <w:color w:val="auto"/>
          <w:highlight w:val="none"/>
        </w:rPr>
      </w:pPr>
      <w:r>
        <w:rPr>
          <w:rFonts w:ascii="Times New Roman" w:hAnsi="Times New Roman" w:cs="Times New Roman"/>
          <w:color w:val="auto"/>
          <w:sz w:val="24"/>
          <w:highlight w:val="none"/>
        </w:rPr>
        <w:t>本项目主要原辅材料、动力消耗及来源见下表：</w:t>
      </w:r>
    </w:p>
    <w:p>
      <w:pPr>
        <w:pStyle w:val="2504"/>
        <w:numPr>
          <w:ilvl w:val="0"/>
          <w:numId w:val="20"/>
        </w:numPr>
        <w:spacing w:before="120"/>
        <w:ind w:left="425" w:leftChars="0" w:hanging="425" w:firstLineChars="0"/>
        <w:rPr>
          <w:rFonts w:cs="Times New Roman"/>
          <w:color w:val="auto"/>
          <w:highlight w:val="none"/>
        </w:rPr>
      </w:pPr>
      <w:r>
        <w:rPr>
          <w:color w:val="auto"/>
          <w:highlight w:val="none"/>
        </w:rPr>
        <w:t xml:space="preserve"> </w:t>
      </w:r>
      <w:r>
        <w:rPr>
          <w:rFonts w:cs="Times New Roman"/>
          <w:color w:val="auto"/>
          <w:highlight w:val="none"/>
        </w:rPr>
        <w:t>主要原辅材料年需要量表</w:t>
      </w:r>
    </w:p>
    <w:tbl>
      <w:tblPr>
        <w:tblStyle w:val="91"/>
        <w:tblW w:w="8504"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160"/>
        <w:gridCol w:w="1934"/>
        <w:gridCol w:w="1441"/>
        <w:gridCol w:w="1833"/>
        <w:gridCol w:w="2136"/>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类别</w:t>
            </w:r>
          </w:p>
        </w:tc>
        <w:tc>
          <w:tcPr>
            <w:tcW w:w="1934"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名称</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年耗量（t）</w:t>
            </w:r>
          </w:p>
        </w:tc>
        <w:tc>
          <w:tcPr>
            <w:tcW w:w="1833"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来源</w:t>
            </w:r>
          </w:p>
        </w:tc>
        <w:tc>
          <w:tcPr>
            <w:tcW w:w="213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备注</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入栏牛</w:t>
            </w:r>
          </w:p>
        </w:tc>
        <w:tc>
          <w:tcPr>
            <w:tcW w:w="1934"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幼牛</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12500头/年</w:t>
            </w:r>
          </w:p>
        </w:tc>
        <w:tc>
          <w:tcPr>
            <w:tcW w:w="1833"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lang w:eastAsia="zh-CN"/>
              </w:rPr>
              <w:t>外购</w:t>
            </w:r>
          </w:p>
        </w:tc>
        <w:tc>
          <w:tcPr>
            <w:tcW w:w="213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vMerge w:val="restart"/>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饲料</w:t>
            </w:r>
          </w:p>
        </w:tc>
        <w:tc>
          <w:tcPr>
            <w:tcW w:w="1934"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精饲料</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62500</w:t>
            </w:r>
          </w:p>
        </w:tc>
        <w:tc>
          <w:tcPr>
            <w:tcW w:w="1833" w:type="dxa"/>
            <w:tcBorders>
              <w:bottom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highlight w:val="none"/>
              </w:rPr>
              <w:t>外购</w:t>
            </w:r>
          </w:p>
        </w:tc>
        <w:tc>
          <w:tcPr>
            <w:tcW w:w="2136" w:type="dxa"/>
            <w:tcBorders>
              <w:bottom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rPr>
              <w:t>精饲料包括能量饲料、蛋白质饲料、矿物质饲料、微量(常量)元素和维生素</w:t>
            </w:r>
            <w:r>
              <w:rPr>
                <w:rFonts w:hint="default" w:ascii="Times New Roman" w:hAnsi="Times New Roman" w:cs="Times New Roman"/>
                <w:color w:val="auto"/>
                <w:highlight w:val="none"/>
                <w:lang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vMerge w:val="continue"/>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eastAsia="宋体" w:cs="Times New Roman"/>
                <w:color w:val="auto"/>
                <w:highlight w:val="none"/>
              </w:rPr>
            </w:pPr>
          </w:p>
        </w:tc>
        <w:tc>
          <w:tcPr>
            <w:tcW w:w="1934"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青贮饲料</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25000</w:t>
            </w:r>
          </w:p>
        </w:tc>
        <w:tc>
          <w:tcPr>
            <w:tcW w:w="1833" w:type="dxa"/>
            <w:tcBorders>
              <w:top w:val="single" w:color="auto" w:sz="4" w:space="0"/>
              <w:tl2br w:val="nil"/>
              <w:tr2bl w:val="nil"/>
            </w:tcBorders>
          </w:tcPr>
          <w:p>
            <w:pPr>
              <w:keepNext w:val="0"/>
              <w:keepLines w:val="0"/>
              <w:widowControl/>
              <w:suppressLineNumbers w:val="0"/>
              <w:spacing w:before="0" w:beforeAutospacing="0" w:after="0" w:afterAutospacing="0" w:line="240" w:lineRule="auto"/>
              <w:ind w:left="0" w:right="0"/>
              <w:jc w:val="both"/>
              <w:textAlignment w:val="top"/>
              <w:rPr>
                <w:rFonts w:hint="default" w:ascii="Times New Roman" w:hAnsi="Times New Roman" w:cs="Times New Roman"/>
                <w:color w:val="auto"/>
                <w:highlight w:val="none"/>
              </w:rPr>
            </w:pPr>
          </w:p>
        </w:tc>
        <w:tc>
          <w:tcPr>
            <w:tcW w:w="2136" w:type="dxa"/>
            <w:tcBorders>
              <w:top w:val="single" w:color="auto" w:sz="4" w:space="0"/>
              <w:bottom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highlight w:val="none"/>
              </w:rPr>
              <w:t>饲草料种植基地及周边饲草料种植户</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vMerge w:val="continue"/>
            <w:tcBorders>
              <w:bottom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eastAsia="宋体" w:cs="Times New Roman"/>
                <w:color w:val="auto"/>
                <w:highlight w:val="none"/>
              </w:rPr>
            </w:pPr>
          </w:p>
        </w:tc>
        <w:tc>
          <w:tcPr>
            <w:tcW w:w="1934" w:type="dxa"/>
            <w:tcBorders>
              <w:bottom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干料</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5000</w:t>
            </w:r>
          </w:p>
        </w:tc>
        <w:tc>
          <w:tcPr>
            <w:tcW w:w="1833" w:type="dxa"/>
            <w:tcBorders>
              <w:bottom w:val="single" w:color="auto" w:sz="4" w:space="0"/>
              <w:tl2br w:val="nil"/>
              <w:tr2bl w:val="nil"/>
            </w:tcBorders>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highlight w:val="none"/>
              </w:rPr>
              <w:t>外购</w:t>
            </w:r>
          </w:p>
        </w:tc>
        <w:tc>
          <w:tcPr>
            <w:tcW w:w="2136" w:type="dxa"/>
            <w:tcBorders>
              <w:top w:val="single" w:color="auto" w:sz="4" w:space="0"/>
              <w:bottom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tcBorders>
              <w:top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消毒剂</w:t>
            </w:r>
          </w:p>
        </w:tc>
        <w:tc>
          <w:tcPr>
            <w:tcW w:w="1934" w:type="dxa"/>
            <w:tcBorders>
              <w:top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消毒剂</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sz w:val="21"/>
                <w:szCs w:val="21"/>
                <w:highlight w:val="none"/>
                <w:lang w:val="en-US" w:eastAsia="zh-CN"/>
              </w:rPr>
              <w:t>100</w:t>
            </w:r>
            <w:r>
              <w:rPr>
                <w:rFonts w:hint="default" w:ascii="Times New Roman" w:hAnsi="Times New Roman" w:cs="Times New Roman"/>
                <w:color w:val="auto"/>
                <w:sz w:val="21"/>
                <w:szCs w:val="21"/>
                <w:highlight w:val="none"/>
                <w:lang w:eastAsia="zh-CN"/>
              </w:rPr>
              <w:t>00L/a</w:t>
            </w:r>
          </w:p>
        </w:tc>
        <w:tc>
          <w:tcPr>
            <w:tcW w:w="1833" w:type="dxa"/>
            <w:tcBorders>
              <w:top w:val="single" w:color="auto" w:sz="4" w:space="0"/>
              <w:tl2br w:val="nil"/>
              <w:tr2bl w:val="nil"/>
            </w:tcBorders>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highlight w:val="none"/>
              </w:rPr>
              <w:t>外购</w:t>
            </w:r>
          </w:p>
        </w:tc>
        <w:tc>
          <w:tcPr>
            <w:tcW w:w="2136" w:type="dxa"/>
            <w:tcBorders>
              <w:top w:val="single" w:color="auto" w:sz="4" w:space="0"/>
              <w:bottom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lang w:eastAsia="zh-CN"/>
              </w:rPr>
              <w:t>包括</w:t>
            </w:r>
            <w:r>
              <w:rPr>
                <w:rFonts w:hint="default" w:ascii="Times New Roman" w:hAnsi="Times New Roman" w:eastAsia="宋体" w:cs="Times New Roman"/>
                <w:color w:val="auto"/>
                <w:highlight w:val="none"/>
                <w:lang w:eastAsia="zh-CN"/>
              </w:rPr>
              <w:t>烧碱、戊二醛、过氧乙酸、聚维酮碘、卫可、万洁芬</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vMerge w:val="restart"/>
            <w:tcBorders>
              <w:top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其他</w:t>
            </w:r>
          </w:p>
        </w:tc>
        <w:tc>
          <w:tcPr>
            <w:tcW w:w="1934" w:type="dxa"/>
            <w:tcBorders>
              <w:bottom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兽药</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1.2</w:t>
            </w:r>
          </w:p>
        </w:tc>
        <w:tc>
          <w:tcPr>
            <w:tcW w:w="1833"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highlight w:val="none"/>
              </w:rPr>
              <w:t>外购</w:t>
            </w:r>
          </w:p>
        </w:tc>
        <w:tc>
          <w:tcPr>
            <w:tcW w:w="213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sz w:val="21"/>
                <w:szCs w:val="21"/>
                <w:highlight w:val="none"/>
                <w:lang w:eastAsia="zh-CN"/>
              </w:rPr>
              <w:t>吉霉素类、链霉素等抗生素类药品</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vMerge w:val="continue"/>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p>
        </w:tc>
        <w:tc>
          <w:tcPr>
            <w:tcW w:w="1934" w:type="dxa"/>
            <w:tcBorders>
              <w:top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highlight w:val="none"/>
              </w:rPr>
              <w:t>EM生物发酵菌</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8</w:t>
            </w:r>
          </w:p>
        </w:tc>
        <w:tc>
          <w:tcPr>
            <w:tcW w:w="1833"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highlight w:val="none"/>
              </w:rPr>
              <w:t>外购</w:t>
            </w:r>
          </w:p>
        </w:tc>
        <w:tc>
          <w:tcPr>
            <w:tcW w:w="213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07" w:hRule="atLeast"/>
          <w:jc w:val="center"/>
        </w:trPr>
        <w:tc>
          <w:tcPr>
            <w:tcW w:w="1160" w:type="dxa"/>
            <w:vMerge w:val="continue"/>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p>
        </w:tc>
        <w:tc>
          <w:tcPr>
            <w:tcW w:w="1934" w:type="dxa"/>
            <w:tcBorders>
              <w:top w:val="single" w:color="auto" w:sz="4" w:space="0"/>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lang w:eastAsia="zh-CN"/>
              </w:rPr>
            </w:pPr>
            <w:r>
              <w:rPr>
                <w:rFonts w:hint="default" w:ascii="Times New Roman" w:hAnsi="Times New Roman" w:cs="Times New Roman"/>
                <w:color w:val="auto"/>
                <w:sz w:val="21"/>
                <w:szCs w:val="21"/>
                <w:highlight w:val="none"/>
                <w:lang w:eastAsia="zh-CN"/>
              </w:rPr>
              <w:t>废水处理药剂</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w:t>
            </w:r>
          </w:p>
        </w:tc>
        <w:tc>
          <w:tcPr>
            <w:tcW w:w="1833"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外购</w:t>
            </w:r>
          </w:p>
        </w:tc>
        <w:tc>
          <w:tcPr>
            <w:tcW w:w="213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sz w:val="21"/>
                <w:szCs w:val="21"/>
                <w:highlight w:val="none"/>
                <w:lang w:eastAsia="zh-CN"/>
              </w:rPr>
              <w:t>PAC、PAM等</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vMerge w:val="continue"/>
            <w:tcBorders>
              <w:tl2br w:val="nil"/>
              <w:tr2bl w:val="nil"/>
            </w:tcBorders>
            <w:vAlign w:val="center"/>
          </w:tcPr>
          <w:p>
            <w:pPr>
              <w:keepNext w:val="0"/>
              <w:keepLines w:val="0"/>
              <w:widowControl/>
              <w:suppressLineNumbers w:val="0"/>
              <w:spacing w:before="0" w:beforeAutospacing="0" w:after="0" w:afterAutospacing="0" w:line="240" w:lineRule="auto"/>
              <w:ind w:left="0" w:right="0"/>
              <w:jc w:val="both"/>
              <w:textAlignment w:val="top"/>
              <w:rPr>
                <w:rFonts w:hint="default" w:ascii="Times New Roman" w:hAnsi="Times New Roman" w:cs="Times New Roman"/>
                <w:color w:val="auto"/>
                <w:highlight w:val="none"/>
              </w:rPr>
            </w:pPr>
          </w:p>
        </w:tc>
        <w:tc>
          <w:tcPr>
            <w:tcW w:w="1934" w:type="dxa"/>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jc w:val="center"/>
              <w:textAlignment w:val="top"/>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highlight w:val="none"/>
                <w:lang w:eastAsia="zh-CN"/>
              </w:rPr>
              <w:t>脱硫剂</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jc w:val="center"/>
              <w:textAlignment w:val="top"/>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0.1</w:t>
            </w:r>
          </w:p>
        </w:tc>
        <w:tc>
          <w:tcPr>
            <w:tcW w:w="1833" w:type="dxa"/>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jc w:val="center"/>
              <w:textAlignment w:val="top"/>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highlight w:val="none"/>
              </w:rPr>
              <w:t>外购</w:t>
            </w:r>
          </w:p>
        </w:tc>
        <w:tc>
          <w:tcPr>
            <w:tcW w:w="2136" w:type="dxa"/>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jc w:val="center"/>
              <w:textAlignment w:val="top"/>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highlight w:val="none"/>
              </w:rPr>
              <w:t>活性氧化铁，沼气脱硫</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vMerge w:val="continue"/>
            <w:tcBorders>
              <w:tl2br w:val="nil"/>
              <w:tr2bl w:val="nil"/>
            </w:tcBorders>
            <w:vAlign w:val="center"/>
          </w:tcPr>
          <w:p>
            <w:pPr>
              <w:keepNext w:val="0"/>
              <w:keepLines w:val="0"/>
              <w:widowControl/>
              <w:suppressLineNumbers w:val="0"/>
              <w:spacing w:before="0" w:beforeAutospacing="0" w:after="0" w:afterAutospacing="0" w:line="240" w:lineRule="auto"/>
              <w:ind w:left="0" w:right="0"/>
              <w:jc w:val="both"/>
              <w:textAlignment w:val="top"/>
              <w:rPr>
                <w:rFonts w:hint="default" w:ascii="Times New Roman" w:hAnsi="Times New Roman" w:cs="Times New Roman"/>
                <w:color w:val="auto"/>
                <w:highlight w:val="none"/>
              </w:rPr>
            </w:pPr>
          </w:p>
        </w:tc>
        <w:tc>
          <w:tcPr>
            <w:tcW w:w="1934" w:type="dxa"/>
            <w:tcBorders>
              <w:tl2br w:val="nil"/>
              <w:tr2bl w:val="nil"/>
            </w:tcBorders>
            <w:vAlign w:val="center"/>
          </w:tcPr>
          <w:p>
            <w:pPr>
              <w:keepNext w:val="0"/>
              <w:keepLines w:val="0"/>
              <w:suppressLineNumbers w:val="0"/>
              <w:snapToGrid w:val="0"/>
              <w:spacing w:before="0" w:beforeAutospacing="0" w:after="0" w:afterAutospacing="0" w:line="220" w:lineRule="atLeast"/>
              <w:ind w:left="0" w:leftChars="0" w:right="0" w:rightChars="0"/>
              <w:jc w:val="center"/>
              <w:rPr>
                <w:rFonts w:hint="default" w:asciiTheme="minorHAnsi" w:hAnsiTheme="minorHAnsi" w:eastAsiaTheme="minorEastAsia" w:cstheme="minorBidi"/>
                <w:color w:val="auto"/>
                <w:kern w:val="2"/>
                <w:sz w:val="21"/>
                <w:szCs w:val="21"/>
                <w:highlight w:val="none"/>
                <w:lang w:val="en-US" w:eastAsia="zh-CN" w:bidi="ar-SA"/>
              </w:rPr>
            </w:pPr>
            <w:r>
              <w:rPr>
                <w:rFonts w:hint="default"/>
                <w:color w:val="auto"/>
                <w:szCs w:val="21"/>
                <w:highlight w:val="none"/>
              </w:rPr>
              <w:t>生物除臭剂</w:t>
            </w:r>
          </w:p>
        </w:tc>
        <w:tc>
          <w:tcPr>
            <w:tcW w:w="1441" w:type="dxa"/>
            <w:tcBorders>
              <w:tl2br w:val="nil"/>
              <w:tr2bl w:val="nil"/>
            </w:tcBorders>
            <w:vAlign w:val="center"/>
          </w:tcPr>
          <w:p>
            <w:pPr>
              <w:keepNext w:val="0"/>
              <w:keepLines w:val="0"/>
              <w:suppressLineNumbers w:val="0"/>
              <w:snapToGrid w:val="0"/>
              <w:spacing w:before="0" w:beforeAutospacing="0" w:after="0" w:afterAutospacing="0" w:line="220" w:lineRule="atLeast"/>
              <w:ind w:left="0" w:leftChars="0" w:right="0" w:rightChars="0"/>
              <w:jc w:val="center"/>
              <w:rPr>
                <w:rFonts w:hint="default" w:asciiTheme="minorHAnsi" w:hAnsiTheme="minorHAnsi" w:eastAsiaTheme="minorEastAsia" w:cstheme="minorBidi"/>
                <w:color w:val="auto"/>
                <w:kern w:val="2"/>
                <w:sz w:val="21"/>
                <w:szCs w:val="21"/>
                <w:highlight w:val="none"/>
                <w:lang w:val="en-US" w:eastAsia="zh-CN" w:bidi="ar-SA"/>
              </w:rPr>
            </w:pPr>
            <w:r>
              <w:rPr>
                <w:rFonts w:hint="eastAsia" w:cstheme="minorBidi"/>
                <w:color w:val="auto"/>
                <w:kern w:val="2"/>
                <w:sz w:val="21"/>
                <w:szCs w:val="21"/>
                <w:highlight w:val="none"/>
                <w:lang w:val="en-US" w:eastAsia="zh-CN" w:bidi="ar-SA"/>
              </w:rPr>
              <w:t>100</w:t>
            </w:r>
          </w:p>
        </w:tc>
        <w:tc>
          <w:tcPr>
            <w:tcW w:w="1833" w:type="dxa"/>
            <w:tcBorders>
              <w:tl2br w:val="nil"/>
              <w:tr2bl w:val="nil"/>
            </w:tcBorders>
            <w:vAlign w:val="center"/>
          </w:tcPr>
          <w:p>
            <w:pPr>
              <w:keepNext w:val="0"/>
              <w:keepLines w:val="0"/>
              <w:suppressLineNumbers w:val="0"/>
              <w:snapToGrid w:val="0"/>
              <w:spacing w:before="0" w:beforeAutospacing="0" w:after="0" w:afterAutospacing="0" w:line="220" w:lineRule="atLeast"/>
              <w:ind w:left="0" w:leftChars="0" w:right="0" w:rightChars="0"/>
              <w:jc w:val="center"/>
              <w:rPr>
                <w:rFonts w:hint="default" w:eastAsia="宋体" w:asciiTheme="minorHAnsi" w:hAnsiTheme="minorHAnsi" w:cstheme="minorBidi"/>
                <w:color w:val="auto"/>
                <w:kern w:val="2"/>
                <w:sz w:val="21"/>
                <w:szCs w:val="21"/>
                <w:highlight w:val="none"/>
                <w:lang w:val="en-US" w:eastAsia="zh-CN" w:bidi="ar-SA"/>
              </w:rPr>
            </w:pPr>
            <w:r>
              <w:rPr>
                <w:rFonts w:hint="default"/>
                <w:color w:val="auto"/>
                <w:highlight w:val="none"/>
              </w:rPr>
              <w:t>外购</w:t>
            </w:r>
          </w:p>
        </w:tc>
        <w:tc>
          <w:tcPr>
            <w:tcW w:w="2136" w:type="dxa"/>
            <w:tcBorders>
              <w:tl2br w:val="nil"/>
              <w:tr2bl w:val="nil"/>
            </w:tcBorders>
            <w:vAlign w:val="center"/>
          </w:tcPr>
          <w:p>
            <w:pPr>
              <w:keepNext w:val="0"/>
              <w:keepLines w:val="0"/>
              <w:suppressLineNumbers w:val="0"/>
              <w:snapToGrid w:val="0"/>
              <w:spacing w:before="0" w:beforeAutospacing="0" w:after="0" w:afterAutospacing="0" w:line="220" w:lineRule="atLeast"/>
              <w:ind w:left="0" w:leftChars="0" w:right="0" w:rightChars="0"/>
              <w:jc w:val="center"/>
              <w:rPr>
                <w:rFonts w:hint="default" w:asciiTheme="minorHAnsi" w:hAnsiTheme="minorHAnsi" w:eastAsiaTheme="minorEastAsia" w:cstheme="minorBidi"/>
                <w:color w:val="auto"/>
                <w:kern w:val="2"/>
                <w:sz w:val="21"/>
                <w:szCs w:val="21"/>
                <w:highlight w:val="none"/>
                <w:lang w:val="en-US" w:eastAsia="zh-CN" w:bidi="ar-SA"/>
              </w:rPr>
            </w:pPr>
            <w:r>
              <w:rPr>
                <w:rFonts w:hint="default" w:asciiTheme="minorHAnsi" w:hAnsiTheme="minorHAnsi" w:eastAsiaTheme="minorEastAsia" w:cstheme="minorBidi"/>
                <w:color w:val="auto"/>
                <w:kern w:val="2"/>
                <w:sz w:val="21"/>
                <w:szCs w:val="21"/>
                <w:highlight w:val="none"/>
                <w:lang w:val="en-US" w:eastAsia="zh-CN" w:bidi="ar-SA"/>
              </w:rPr>
              <w:t>水、光合菌、啤酒酵母菌、乳酸菌、放线菌、沼泽红假单孢菌、植物乳杆菌、枯草芽孢杆菌、糖蜜组成的微生物菌群</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vMerge w:val="restart"/>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highlight w:val="none"/>
              </w:rPr>
              <w:t>能源</w:t>
            </w:r>
          </w:p>
        </w:tc>
        <w:tc>
          <w:tcPr>
            <w:tcW w:w="1934"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highlight w:val="none"/>
              </w:rPr>
              <w:t>电力（万KW.h）</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500</w:t>
            </w:r>
          </w:p>
        </w:tc>
        <w:tc>
          <w:tcPr>
            <w:tcW w:w="1833"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highlight w:val="none"/>
              </w:rPr>
              <w:t>由农村电网提供</w:t>
            </w:r>
          </w:p>
        </w:tc>
        <w:tc>
          <w:tcPr>
            <w:tcW w:w="213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60" w:type="dxa"/>
            <w:vMerge w:val="continue"/>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p>
        </w:tc>
        <w:tc>
          <w:tcPr>
            <w:tcW w:w="1934"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color w:val="auto"/>
                <w:highlight w:val="none"/>
              </w:rPr>
            </w:pPr>
            <w:r>
              <w:rPr>
                <w:rFonts w:hint="default" w:ascii="Times New Roman" w:hAnsi="Times New Roman" w:cs="Times New Roman"/>
                <w:color w:val="auto"/>
                <w:highlight w:val="none"/>
              </w:rPr>
              <w:t>水（万m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w:t>
            </w:r>
          </w:p>
        </w:tc>
        <w:tc>
          <w:tcPr>
            <w:tcW w:w="1441"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22.71</w:t>
            </w:r>
          </w:p>
        </w:tc>
        <w:tc>
          <w:tcPr>
            <w:tcW w:w="1833"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管网</w:t>
            </w:r>
          </w:p>
        </w:tc>
        <w:tc>
          <w:tcPr>
            <w:tcW w:w="213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top"/>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w:t>
            </w:r>
          </w:p>
        </w:tc>
      </w:tr>
    </w:tbl>
    <w:p>
      <w:pPr>
        <w:spacing w:line="360" w:lineRule="auto"/>
        <w:ind w:firstLine="422" w:firstLineChars="200"/>
        <w:rPr>
          <w:rFonts w:hint="eastAsia" w:ascii="宋体" w:hAnsi="宋体" w:eastAsia="宋体" w:cs="宋体"/>
          <w:b/>
          <w:bCs/>
          <w:color w:val="auto"/>
          <w:sz w:val="21"/>
          <w:szCs w:val="21"/>
          <w:highlight w:val="none"/>
          <w:u w:val="single"/>
          <w:lang w:eastAsia="zh-CN"/>
        </w:rPr>
      </w:pPr>
      <w:r>
        <w:rPr>
          <w:rFonts w:hint="eastAsia" w:ascii="宋体" w:hAnsi="宋体" w:eastAsia="宋体" w:cs="宋体"/>
          <w:b/>
          <w:bCs/>
          <w:color w:val="auto"/>
          <w:sz w:val="21"/>
          <w:szCs w:val="21"/>
          <w:highlight w:val="none"/>
          <w:u w:val="single"/>
        </w:rPr>
        <w:t>备注：环评要求建设单位必须使用符合《饲料行业现行国家标准和行业标准》的饲料。严禁添加国家不准使用的添加剂、性激素、蛋白质同化激素类、精神药品类</w:t>
      </w:r>
      <w:r>
        <w:rPr>
          <w:rFonts w:hint="eastAsia" w:ascii="宋体" w:hAnsi="宋体" w:eastAsia="宋体" w:cs="宋体"/>
          <w:b/>
          <w:bCs/>
          <w:color w:val="auto"/>
          <w:sz w:val="21"/>
          <w:szCs w:val="21"/>
          <w:highlight w:val="none"/>
          <w:u w:val="single"/>
          <w:lang w:eastAsia="zh-CN"/>
        </w:rPr>
        <w:t>、抗生素滤渣和其他药物。国家允许使用的添加剂和药物要严格按照规定添加。严禁使用肉骨粉，饲料中的水分含量不得超过14%。</w:t>
      </w:r>
    </w:p>
    <w:p>
      <w:pPr>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原料理化性质：</w:t>
      </w:r>
    </w:p>
    <w:p>
      <w:pPr>
        <w:pStyle w:val="2468"/>
        <w:snapToGrid w:val="0"/>
        <w:spacing w:line="360" w:lineRule="auto"/>
        <w:ind w:firstLine="482" w:firstLineChars="200"/>
        <w:rPr>
          <w:color w:val="auto"/>
          <w:highlight w:val="none"/>
        </w:rPr>
      </w:pPr>
      <w:r>
        <w:rPr>
          <w:rFonts w:hint="eastAsia" w:ascii="Times New Roman" w:hAnsi="Times New Roman" w:cs="Times New Roman" w:eastAsiaTheme="minorEastAsia"/>
          <w:b/>
          <w:bCs/>
          <w:color w:val="auto"/>
          <w:kern w:val="2"/>
          <w:sz w:val="24"/>
          <w:szCs w:val="24"/>
          <w:highlight w:val="none"/>
          <w:lang w:val="en-US" w:eastAsia="zh-CN"/>
        </w:rPr>
        <w:t>1、</w:t>
      </w:r>
      <w:r>
        <w:rPr>
          <w:rFonts w:hint="default" w:ascii="Times New Roman" w:hAnsi="Times New Roman" w:cs="Times New Roman" w:eastAsiaTheme="minorEastAsia"/>
          <w:b/>
          <w:bCs/>
          <w:color w:val="auto"/>
          <w:kern w:val="2"/>
          <w:sz w:val="24"/>
          <w:szCs w:val="24"/>
          <w:highlight w:val="none"/>
          <w:lang w:val="en-US" w:eastAsia="zh-CN"/>
        </w:rPr>
        <w:t>兽药:</w:t>
      </w:r>
      <w:r>
        <w:rPr>
          <w:rFonts w:hint="default" w:ascii="Times New Roman" w:hAnsi="Times New Roman" w:cs="Times New Roman" w:eastAsiaTheme="minorEastAsia"/>
          <w:color w:val="auto"/>
          <w:kern w:val="2"/>
          <w:sz w:val="24"/>
          <w:szCs w:val="24"/>
          <w:highlight w:val="none"/>
          <w:lang w:val="en-US" w:eastAsia="zh-CN"/>
        </w:rPr>
        <w:t>是指用于预防、治疗、诊断动物疾病或者有目的地调节动物生理机能的物质(含药物</w:t>
      </w:r>
      <w:r>
        <w:rPr>
          <w:rFonts w:hint="default" w:ascii="Times New Roman" w:hAnsi="Times New Roman" w:cs="Times New Roman" w:eastAsiaTheme="minorEastAsia"/>
          <w:color w:val="auto"/>
          <w:kern w:val="2"/>
          <w:sz w:val="24"/>
          <w:szCs w:val="24"/>
          <w:highlight w:val="none"/>
          <w:lang w:val="en-US" w:eastAsia="zh-CN"/>
        </w:rPr>
        <w:fldChar w:fldCharType="begin"/>
      </w:r>
      <w:r>
        <w:rPr>
          <w:rFonts w:hint="default" w:ascii="Times New Roman" w:hAnsi="Times New Roman" w:cs="Times New Roman" w:eastAsiaTheme="minorEastAsia"/>
          <w:color w:val="auto"/>
          <w:kern w:val="2"/>
          <w:sz w:val="24"/>
          <w:szCs w:val="24"/>
          <w:highlight w:val="none"/>
          <w:lang w:val="en-US" w:eastAsia="zh-CN"/>
        </w:rPr>
        <w:instrText xml:space="preserve"> HYPERLINK "https://baike.so.com/doc/4995947-5220075.html" \t "https://baike.so.com/doc/_blank" </w:instrText>
      </w:r>
      <w:r>
        <w:rPr>
          <w:rFonts w:hint="default" w:ascii="Times New Roman" w:hAnsi="Times New Roman" w:cs="Times New Roman" w:eastAsiaTheme="minorEastAsia"/>
          <w:color w:val="auto"/>
          <w:kern w:val="2"/>
          <w:sz w:val="24"/>
          <w:szCs w:val="24"/>
          <w:highlight w:val="none"/>
          <w:lang w:val="en-US" w:eastAsia="zh-CN"/>
        </w:rPr>
        <w:fldChar w:fldCharType="separate"/>
      </w:r>
      <w:r>
        <w:rPr>
          <w:rFonts w:hint="default" w:ascii="Times New Roman" w:hAnsi="Times New Roman" w:cs="Times New Roman" w:eastAsiaTheme="minorEastAsia"/>
          <w:color w:val="auto"/>
          <w:kern w:val="2"/>
          <w:sz w:val="24"/>
          <w:szCs w:val="24"/>
          <w:highlight w:val="none"/>
          <w:lang w:val="en-US" w:eastAsia="zh-CN"/>
        </w:rPr>
        <w:t>饲料添加剂</w:t>
      </w:r>
      <w:r>
        <w:rPr>
          <w:rFonts w:hint="default" w:ascii="Times New Roman" w:hAnsi="Times New Roman" w:cs="Times New Roman" w:eastAsiaTheme="minorEastAsia"/>
          <w:color w:val="auto"/>
          <w:kern w:val="2"/>
          <w:sz w:val="24"/>
          <w:szCs w:val="24"/>
          <w:highlight w:val="none"/>
          <w:lang w:val="en-US" w:eastAsia="zh-CN"/>
        </w:rPr>
        <w:fldChar w:fldCharType="end"/>
      </w:r>
      <w:r>
        <w:rPr>
          <w:rFonts w:hint="default" w:ascii="Times New Roman" w:hAnsi="Times New Roman" w:cs="Times New Roman" w:eastAsiaTheme="minorEastAsia"/>
          <w:color w:val="auto"/>
          <w:kern w:val="2"/>
          <w:sz w:val="24"/>
          <w:szCs w:val="24"/>
          <w:highlight w:val="none"/>
          <w:lang w:val="en-US" w:eastAsia="zh-CN"/>
        </w:rPr>
        <w:t>)。兽药主要包括:血清制品、</w:t>
      </w:r>
      <w:r>
        <w:rPr>
          <w:rFonts w:hint="default" w:ascii="Times New Roman" w:hAnsi="Times New Roman" w:cs="Times New Roman" w:eastAsiaTheme="minorEastAsia"/>
          <w:color w:val="auto"/>
          <w:kern w:val="2"/>
          <w:sz w:val="24"/>
          <w:szCs w:val="24"/>
          <w:highlight w:val="none"/>
          <w:lang w:val="en-US" w:eastAsia="zh-CN"/>
        </w:rPr>
        <w:fldChar w:fldCharType="begin"/>
      </w:r>
      <w:r>
        <w:rPr>
          <w:rFonts w:hint="default" w:ascii="Times New Roman" w:hAnsi="Times New Roman" w:cs="Times New Roman" w:eastAsiaTheme="minorEastAsia"/>
          <w:color w:val="auto"/>
          <w:kern w:val="2"/>
          <w:sz w:val="24"/>
          <w:szCs w:val="24"/>
          <w:highlight w:val="none"/>
          <w:lang w:val="en-US" w:eastAsia="zh-CN"/>
        </w:rPr>
        <w:instrText xml:space="preserve"> HYPERLINK "https://baike.so.com/doc/5344968-5580413.html" \t "https://baike.so.com/doc/_blank" </w:instrText>
      </w:r>
      <w:r>
        <w:rPr>
          <w:rFonts w:hint="default" w:ascii="Times New Roman" w:hAnsi="Times New Roman" w:cs="Times New Roman" w:eastAsiaTheme="minorEastAsia"/>
          <w:color w:val="auto"/>
          <w:kern w:val="2"/>
          <w:sz w:val="24"/>
          <w:szCs w:val="24"/>
          <w:highlight w:val="none"/>
          <w:lang w:val="en-US" w:eastAsia="zh-CN"/>
        </w:rPr>
        <w:fldChar w:fldCharType="separate"/>
      </w:r>
      <w:r>
        <w:rPr>
          <w:rFonts w:hint="default" w:ascii="Times New Roman" w:hAnsi="Times New Roman" w:cs="Times New Roman" w:eastAsiaTheme="minorEastAsia"/>
          <w:color w:val="auto"/>
          <w:kern w:val="2"/>
          <w:sz w:val="24"/>
          <w:szCs w:val="24"/>
          <w:highlight w:val="none"/>
          <w:lang w:val="en-US" w:eastAsia="zh-CN"/>
        </w:rPr>
        <w:t>疫苗</w:t>
      </w:r>
      <w:r>
        <w:rPr>
          <w:rFonts w:hint="default" w:ascii="Times New Roman" w:hAnsi="Times New Roman" w:cs="Times New Roman" w:eastAsiaTheme="minorEastAsia"/>
          <w:color w:val="auto"/>
          <w:kern w:val="2"/>
          <w:sz w:val="24"/>
          <w:szCs w:val="24"/>
          <w:highlight w:val="none"/>
          <w:lang w:val="en-US" w:eastAsia="zh-CN"/>
        </w:rPr>
        <w:fldChar w:fldCharType="end"/>
      </w:r>
      <w:r>
        <w:rPr>
          <w:rFonts w:hint="default" w:ascii="Times New Roman" w:hAnsi="Times New Roman" w:cs="Times New Roman" w:eastAsiaTheme="minorEastAsia"/>
          <w:color w:val="auto"/>
          <w:kern w:val="2"/>
          <w:sz w:val="24"/>
          <w:szCs w:val="24"/>
          <w:highlight w:val="none"/>
          <w:lang w:val="en-US" w:eastAsia="zh-CN"/>
        </w:rPr>
        <w:t>、诊断制品、微生态制品、</w:t>
      </w:r>
      <w:r>
        <w:rPr>
          <w:rFonts w:hint="default" w:ascii="Times New Roman" w:hAnsi="Times New Roman" w:cs="Times New Roman" w:eastAsiaTheme="minorEastAsia"/>
          <w:color w:val="auto"/>
          <w:kern w:val="2"/>
          <w:sz w:val="24"/>
          <w:szCs w:val="24"/>
          <w:highlight w:val="none"/>
          <w:lang w:val="en-US" w:eastAsia="zh-CN"/>
        </w:rPr>
        <w:fldChar w:fldCharType="begin"/>
      </w:r>
      <w:r>
        <w:rPr>
          <w:rFonts w:hint="default" w:ascii="Times New Roman" w:hAnsi="Times New Roman" w:cs="Times New Roman" w:eastAsiaTheme="minorEastAsia"/>
          <w:color w:val="auto"/>
          <w:kern w:val="2"/>
          <w:sz w:val="24"/>
          <w:szCs w:val="24"/>
          <w:highlight w:val="none"/>
          <w:lang w:val="en-US" w:eastAsia="zh-CN"/>
        </w:rPr>
        <w:instrText xml:space="preserve"> HYPERLINK "https://baike.so.com/doc/174403-184264.html" \t "https://baike.so.com/doc/_blank" </w:instrText>
      </w:r>
      <w:r>
        <w:rPr>
          <w:rFonts w:hint="default" w:ascii="Times New Roman" w:hAnsi="Times New Roman" w:cs="Times New Roman" w:eastAsiaTheme="minorEastAsia"/>
          <w:color w:val="auto"/>
          <w:kern w:val="2"/>
          <w:sz w:val="24"/>
          <w:szCs w:val="24"/>
          <w:highlight w:val="none"/>
          <w:lang w:val="en-US" w:eastAsia="zh-CN"/>
        </w:rPr>
        <w:fldChar w:fldCharType="separate"/>
      </w:r>
      <w:r>
        <w:rPr>
          <w:rFonts w:hint="default" w:ascii="Times New Roman" w:hAnsi="Times New Roman" w:cs="Times New Roman" w:eastAsiaTheme="minorEastAsia"/>
          <w:color w:val="auto"/>
          <w:kern w:val="2"/>
          <w:sz w:val="24"/>
          <w:szCs w:val="24"/>
          <w:highlight w:val="none"/>
          <w:lang w:val="en-US" w:eastAsia="zh-CN"/>
        </w:rPr>
        <w:t>中药材</w:t>
      </w:r>
      <w:r>
        <w:rPr>
          <w:rFonts w:hint="default" w:ascii="Times New Roman" w:hAnsi="Times New Roman" w:cs="Times New Roman" w:eastAsiaTheme="minorEastAsia"/>
          <w:color w:val="auto"/>
          <w:kern w:val="2"/>
          <w:sz w:val="24"/>
          <w:szCs w:val="24"/>
          <w:highlight w:val="none"/>
          <w:lang w:val="en-US" w:eastAsia="zh-CN"/>
        </w:rPr>
        <w:fldChar w:fldCharType="end"/>
      </w:r>
      <w:r>
        <w:rPr>
          <w:rFonts w:hint="default" w:ascii="Times New Roman" w:hAnsi="Times New Roman" w:cs="Times New Roman" w:eastAsiaTheme="minorEastAsia"/>
          <w:color w:val="auto"/>
          <w:kern w:val="2"/>
          <w:sz w:val="24"/>
          <w:szCs w:val="24"/>
          <w:highlight w:val="none"/>
          <w:lang w:val="en-US" w:eastAsia="zh-CN"/>
        </w:rPr>
        <w:t>、中成药、化学药品、抗生素、生化药品、放射性药品及外用杀虫剂、消毒剂等。</w:t>
      </w:r>
    </w:p>
    <w:p>
      <w:pPr>
        <w:numPr>
          <w:ilvl w:val="0"/>
          <w:numId w:val="0"/>
        </w:numPr>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2、消毒剂：</w:t>
      </w:r>
      <w:r>
        <w:rPr>
          <w:rFonts w:hint="eastAsia" w:ascii="Times New Roman" w:hAnsi="Times New Roman" w:eastAsia="宋体" w:cs="Times New Roman"/>
          <w:color w:val="auto"/>
          <w:sz w:val="24"/>
          <w:szCs w:val="24"/>
          <w:highlight w:val="none"/>
          <w:lang w:val="en-US" w:eastAsia="zh-CN"/>
        </w:rPr>
        <w:t>消毒药品种类繁多，按其性质可分为：醇类、碘类、酸类、碱类、卤素类、酚类、氧化剂类、挥发性烷化剂类等，下面主要介绍饲养场常用的几种消毒药：</w:t>
      </w:r>
    </w:p>
    <w:p>
      <w:pPr>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default"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rPr>
        <w:t>烧碱</w:t>
      </w:r>
    </w:p>
    <w:p>
      <w:pPr>
        <w:numPr>
          <w:ilvl w:val="0"/>
          <w:numId w:val="0"/>
        </w:num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氢氧化钠，化学式为 NaOH，俗称烧碱、火碱、苛性钠，为一种具有强腐蚀性的强碱，一般为片状或块状形态，易溶于水（溶于水时放热）并形成碱性溶液，另有潮解性，易吸取空气中的水蒸气（潮解）和二氧化碳（变质）。</w:t>
      </w:r>
    </w:p>
    <w:p>
      <w:pPr>
        <w:numPr>
          <w:ilvl w:val="0"/>
          <w:numId w:val="0"/>
        </w:num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其理化性质如下：</w:t>
      </w:r>
    </w:p>
    <w:p>
      <w:pPr>
        <w:numPr>
          <w:ilvl w:val="0"/>
          <w:numId w:val="0"/>
        </w:num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性状：无色透明晶体，极易溶于水，其水溶液有涩味和滑腻感</w:t>
      </w:r>
    </w:p>
    <w:p>
      <w:pPr>
        <w:numPr>
          <w:ilvl w:val="0"/>
          <w:numId w:val="0"/>
        </w:num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熔点（℃）：318.4℃(591K)</w:t>
      </w:r>
    </w:p>
    <w:p>
      <w:pPr>
        <w:numPr>
          <w:ilvl w:val="0"/>
          <w:numId w:val="0"/>
        </w:num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沸点（℃）：1390℃(1663K)</w:t>
      </w:r>
    </w:p>
    <w:p>
      <w:pPr>
        <w:numPr>
          <w:ilvl w:val="0"/>
          <w:numId w:val="0"/>
        </w:num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密度：2.130g/cm³</w:t>
      </w:r>
    </w:p>
    <w:p>
      <w:pPr>
        <w:numPr>
          <w:ilvl w:val="0"/>
          <w:numId w:val="0"/>
        </w:num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闪点（℃）：176-178（℃）</w:t>
      </w:r>
    </w:p>
    <w:p>
      <w:pPr>
        <w:numPr>
          <w:ilvl w:val="0"/>
          <w:numId w:val="0"/>
        </w:num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溶解性：溶于水，溶于乙醇、乙醚、硫酸</w:t>
      </w:r>
    </w:p>
    <w:p>
      <w:pPr>
        <w:numPr>
          <w:ilvl w:val="0"/>
          <w:numId w:val="0"/>
        </w:num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健康危害：该品有强烈刺激和腐蚀性。粉尘或烟雾会刺激眼和呼吸道，腐蚀鼻中隔，皮肤和眼与 NaOH 直接接触会引起灼伤，误服可造成消化道灼伤，粘膜糜烂、出血和休克。</w:t>
      </w:r>
    </w:p>
    <w:p>
      <w:pPr>
        <w:numPr>
          <w:ilvl w:val="0"/>
          <w:numId w:val="0"/>
        </w:num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危害防治：隔离泄漏污染区，周围设警告标志，建议应急处理人员戴好防毒面具，穿化学防护服。不要直接接触泄漏物，用清洁的铲子收集于干燥洁净有盖的容器中，以少量 NaOH加入大量水中，调节至中性，再放入废水系统。也可以用大量水冲洗，经稀释的洗水放入废水系统。如大量泄漏，收集回收或处理无害后废弃。</w:t>
      </w:r>
    </w:p>
    <w:p>
      <w:pPr>
        <w:numPr>
          <w:ilvl w:val="0"/>
          <w:numId w:val="21"/>
        </w:numPr>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过氧乙酸</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氧化剂类消毒剂，纯品为无色澄明液体，易溶于水，是强氧化剂，有广谱杀菌作用，作用快而强，能杀死细菌、霉菌芽孢及病毒，不稳定，宜现配现用。0.04—0.2%溶液用于耐腐蚀小件物品的浸泡消毒，时间2—120分钟；0.05—0.5%或以上喷雾，喷雾时消毒人员应戴防护目镜、手套和口罩，喷后密闭门窗1—2小时；用3—5%溶液加热熏蒸，每立方米空间2—5毫升，熏蒸后密闭门窗1—2小时</w:t>
      </w:r>
    </w:p>
    <w:p>
      <w:pPr>
        <w:numPr>
          <w:ilvl w:val="0"/>
          <w:numId w:val="21"/>
        </w:numPr>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聚维碘酮</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是元素碘和聚合物载体相结合而成的疏松复合物，聚维酮起载体和助溶作用。常温下为黄棕色至棕红色无定形粉末。微臭，易溶于水或乙醇，水溶液呈酸性，不溶于乙醚、氯仿、丙酮、乙烷及四氯化碳。聚维酮碘水溶液无碘酊缺点，着色浅，易洗脱，对黏膜刺激小，不需乙醇脱碘，无腐蚀作用，且毒性低。一般制成 10%的溶液，用作消毒剂。</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有效杀灭：新城疫，法氏囊，禽流感，支原体，大肠杆菌，沙门氏菌，流感，蓝耳病等。</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还能杀灭畜禽寄生虫虫卵，并能抑制蚊蝇等昆虫的滋生。并能用于果树，农作物，鱼虾养殖当中。</w:t>
      </w:r>
    </w:p>
    <w:p>
      <w:pPr>
        <w:numPr>
          <w:ilvl w:val="0"/>
          <w:numId w:val="21"/>
        </w:numPr>
        <w:ind w:firstLine="482" w:firstLineChars="200"/>
        <w:rPr>
          <w:rFonts w:hint="eastAsia"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戊二醛</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分子式为 C 5 H 8 O 2 ，带有刺激性气味的无色透明油状液体，溶于热水。对眼睛、皮肤和粘膜有强烈的刺激作用。可作为食品工业加工助剂，菌消毒剂、鞣革剂、木材防腐剂，药物和高分子合成原料等。醛类消毒剂对微生物的杀灭作用主要依靠醛基，此类药物主要作用于菌体蛋白的巯基、羟基、羧基和氨基，可使之烷基化，引起蛋白质凝固造成细菌死亡。其理化特性如下：</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熔点：-5℃</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沸点：189℃at760mmHg</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闪点：66℃</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密度：0.947g/cm 3</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相对蒸气密度(空气=1)：3.4</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蒸汽压：0.583mmHgat25℃</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溶解性：溶于热水、乙醇、氯仿、冰醋酸、乙醚等有机溶剂。</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储运特性：库房通风低温干燥；与氧化剂、食品添加剂分开存放。</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健康危害：吸入、摄入或经皮吸收有害。对眼睛、皮肤和粘膜有强烈的刺激作用。吸入可引起喉、支气管的炎症、化学性肺炎、肺水肿等。本品可引起过敏反应。</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环境危害：对环境有危害，对水体可造成污染。</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燃爆危险：本品可燃，具强刺激性。</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危险特性：遇明火、高热可燃。与强氧化剂接触可发生化学反应。其蒸气比空气重，能在较低处扩散到相当远的地方，遇火源会燃烧。容易自聚，聚合反应随着温度的上升而急骤加剧。若遇高热，容器内压增大，有开裂和爆炸的危险。</w:t>
      </w:r>
    </w:p>
    <w:p>
      <w:pPr>
        <w:pStyle w:val="2468"/>
        <w:snapToGrid w:val="0"/>
        <w:spacing w:line="360" w:lineRule="auto"/>
        <w:ind w:firstLine="480" w:firstLineChars="200"/>
        <w:rPr>
          <w:rFonts w:hint="eastAsia"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eastAsiaTheme="minorEastAsia"/>
          <w:color w:val="auto"/>
          <w:kern w:val="2"/>
          <w:sz w:val="24"/>
          <w:szCs w:val="24"/>
          <w:highlight w:val="none"/>
          <w:lang w:val="en-US" w:eastAsia="zh-CN"/>
        </w:rPr>
        <w:t>职业防护：戊二醛可引起局部皮肤粘膜刺激，并有报道引起过敏性接触性皮炎、哮喘、鼻出血、鼻炎等，因此接触戊二醛溶液时应戴厚的橡胶手套和眼罩以防液体溅入眼内。为了降低室内空气中戊二醛的浓度，室内必须有良好通风设备；盛放的戊二醛容器上方应配备有局部排风罩，配制溶液、放入和取出物品时必须及时加盖以防戊二醛蒸发。频繁接触戊二醛的特殊人群如护士等，短期会产生致敏现象，对视觉器官和呼吸道危害较大；长期易导致职业性气喘。</w:t>
      </w:r>
    </w:p>
    <w:p>
      <w:pPr>
        <w:numPr>
          <w:ilvl w:val="0"/>
          <w:numId w:val="21"/>
        </w:numPr>
        <w:ind w:firstLine="482" w:firstLineChars="200"/>
        <w:rPr>
          <w:rFonts w:hint="eastAsia"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生物除臭剂（万洁芬）</w:t>
      </w:r>
    </w:p>
    <w:p>
      <w:pPr>
        <w:pStyle w:val="2468"/>
        <w:snapToGrid w:val="0"/>
        <w:spacing w:line="360" w:lineRule="auto"/>
        <w:ind w:firstLine="480" w:firstLineChars="200"/>
        <w:rPr>
          <w:color w:val="auto"/>
          <w:highlight w:val="none"/>
        </w:rPr>
      </w:pPr>
      <w:r>
        <w:rPr>
          <w:rFonts w:hint="default" w:ascii="Times New Roman" w:hAnsi="Times New Roman" w:cs="Times New Roman" w:eastAsiaTheme="minorEastAsia"/>
          <w:color w:val="auto"/>
          <w:kern w:val="2"/>
          <w:sz w:val="24"/>
          <w:szCs w:val="24"/>
          <w:highlight w:val="none"/>
          <w:lang w:val="en-US" w:eastAsia="zh-CN"/>
        </w:rPr>
        <w:fldChar w:fldCharType="begin"/>
      </w:r>
      <w:r>
        <w:rPr>
          <w:rFonts w:hint="default" w:ascii="Times New Roman" w:hAnsi="Times New Roman" w:cs="Times New Roman" w:eastAsiaTheme="minorEastAsia"/>
          <w:color w:val="auto"/>
          <w:kern w:val="2"/>
          <w:sz w:val="24"/>
          <w:szCs w:val="24"/>
          <w:highlight w:val="none"/>
          <w:lang w:val="en-US" w:eastAsia="zh-CN"/>
        </w:rPr>
        <w:instrText xml:space="preserve"> HYPERLINK "http://szyshj2016.b2b.huangye88.com/m/product_16824414.html" \t "http://szyshj2016.b2b.huangye88.com/m/_blank" </w:instrText>
      </w:r>
      <w:r>
        <w:rPr>
          <w:rFonts w:hint="default" w:ascii="Times New Roman" w:hAnsi="Times New Roman" w:cs="Times New Roman" w:eastAsiaTheme="minorEastAsia"/>
          <w:color w:val="auto"/>
          <w:kern w:val="2"/>
          <w:sz w:val="24"/>
          <w:szCs w:val="24"/>
          <w:highlight w:val="none"/>
          <w:lang w:val="en-US" w:eastAsia="zh-CN"/>
        </w:rPr>
        <w:fldChar w:fldCharType="separate"/>
      </w:r>
      <w:r>
        <w:rPr>
          <w:rFonts w:hint="eastAsia" w:ascii="Times New Roman" w:hAnsi="Times New Roman" w:cs="Times New Roman" w:eastAsiaTheme="minorEastAsia"/>
          <w:color w:val="auto"/>
          <w:kern w:val="2"/>
          <w:sz w:val="24"/>
          <w:szCs w:val="24"/>
          <w:highlight w:val="none"/>
          <w:lang w:val="en-US" w:eastAsia="zh-CN"/>
        </w:rPr>
        <w:t>生物除臭剂</w:t>
      </w:r>
      <w:r>
        <w:rPr>
          <w:rFonts w:hint="eastAsia" w:ascii="Times New Roman" w:hAnsi="Times New Roman" w:cs="Times New Roman" w:eastAsiaTheme="minorEastAsia"/>
          <w:color w:val="auto"/>
          <w:kern w:val="2"/>
          <w:sz w:val="24"/>
          <w:szCs w:val="24"/>
          <w:highlight w:val="none"/>
          <w:lang w:val="en-US" w:eastAsia="zh-CN"/>
        </w:rPr>
        <w:fldChar w:fldCharType="end"/>
      </w:r>
      <w:r>
        <w:rPr>
          <w:rFonts w:hint="eastAsia" w:ascii="Times New Roman" w:hAnsi="Times New Roman" w:cs="Times New Roman" w:eastAsiaTheme="minorEastAsia"/>
          <w:color w:val="auto"/>
          <w:kern w:val="2"/>
          <w:sz w:val="24"/>
          <w:szCs w:val="24"/>
          <w:highlight w:val="none"/>
          <w:lang w:val="en-US" w:eastAsia="zh-CN"/>
        </w:rPr>
        <w:t>为棕色液体，并带有发酵酸香特有气味，除臭剂中的有益微生物能有效抑制腐败菌的腐败分解而转向发酵型分解，产生的有机酸类物质能对N、S氧化物进行分解，明显去除生活垃圾填埋场和中转站的恶臭。消除污水的恶臭，降低COD、NH4-N和SS的含量，促进污水的净化。同时，由于有益微生物在生长过程中产生的乳酸及其它抗生物质，能有效抑制蝇蛆的生长，打乱变态昆虫的变态过程，抑制了苍蝇的生长繁殖，加上垃圾恶臭的消除，外来苍蝇的数量也大大减少。不产生任何二次污染，符合生态环境和循环经济发展的需要，主要用于垃圾填埋场及垃圾中转站除臭等。</w:t>
      </w:r>
    </w:p>
    <w:p>
      <w:pPr>
        <w:pStyle w:val="2468"/>
        <w:snapToGrid w:val="0"/>
        <w:spacing w:line="360" w:lineRule="auto"/>
        <w:ind w:firstLine="480" w:firstLineChars="200"/>
        <w:rPr>
          <w:rFonts w:hint="default"/>
          <w:color w:val="auto"/>
          <w:highlight w:val="none"/>
          <w:lang w:val="en-US" w:eastAsia="zh-CN"/>
        </w:rPr>
      </w:pPr>
      <w:r>
        <w:rPr>
          <w:rFonts w:hint="default" w:ascii="Times New Roman" w:hAnsi="Times New Roman" w:cs="Times New Roman" w:eastAsiaTheme="minorEastAsia"/>
          <w:color w:val="auto"/>
          <w:kern w:val="2"/>
          <w:sz w:val="24"/>
          <w:szCs w:val="24"/>
          <w:highlight w:val="none"/>
          <w:lang w:val="en-US" w:eastAsia="zh-CN"/>
        </w:rPr>
        <w:t>采用先进的生物提取、净化培养和混合发酵技术生产的新型微生物抗菌除臭制剂，对养殖场产生的氨气、硫化氢等臭气有很强的降解作用，经国家环顾分析测试中心检测，本产品对氨的降解率为 92.6%，对硫化氢使用后 10 分钟的降解率为 89.0%，对臭气浓度使用后 10分钟降解率为 90.0%。主要成分，柠檬酸、苹果酸、乳酸等生物有机酸以及由乳酸菌、酵母菌、光合菌等多种有益菌产生的生物酵素。</w:t>
      </w:r>
    </w:p>
    <w:p>
      <w:pPr>
        <w:pStyle w:val="8"/>
        <w:spacing w:before="0" w:after="0" w:line="360" w:lineRule="auto"/>
        <w:ind w:left="0" w:firstLine="0"/>
        <w:rPr>
          <w:rFonts w:hint="default" w:ascii="Times New Roman" w:hAnsi="Times New Roman" w:eastAsia="宋体" w:cs="Times New Roman"/>
          <w:color w:val="auto"/>
          <w:sz w:val="24"/>
          <w:szCs w:val="24"/>
          <w:highlight w:val="none"/>
        </w:rPr>
      </w:pPr>
      <w:bookmarkStart w:id="126" w:name="_Toc25565"/>
      <w:r>
        <w:rPr>
          <w:rFonts w:cs="Times New Roman"/>
          <w:color w:val="auto"/>
          <w:highlight w:val="none"/>
        </w:rPr>
        <w:t>公用工程及辅助设施概况</w:t>
      </w:r>
      <w:bookmarkEnd w:id="126"/>
    </w:p>
    <w:p>
      <w:p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1、供水</w:t>
      </w:r>
    </w:p>
    <w:p>
      <w:pPr>
        <w:pStyle w:val="2468"/>
        <w:snapToGrid w:val="0"/>
        <w:spacing w:line="360" w:lineRule="auto"/>
        <w:ind w:firstLine="480" w:firstLineChars="200"/>
        <w:rPr>
          <w:rFonts w:hint="default" w:ascii="Times New Roman" w:hAnsi="Times New Roman" w:cs="Times New Roman" w:eastAsiaTheme="minorEastAsia"/>
          <w:color w:val="auto"/>
          <w:kern w:val="2"/>
          <w:sz w:val="24"/>
          <w:szCs w:val="24"/>
          <w:highlight w:val="none"/>
        </w:rPr>
      </w:pPr>
      <w:r>
        <w:rPr>
          <w:rFonts w:hint="default" w:ascii="Times New Roman" w:hAnsi="Times New Roman" w:cs="Times New Roman" w:eastAsiaTheme="minorEastAsia"/>
          <w:color w:val="auto"/>
          <w:kern w:val="2"/>
          <w:sz w:val="24"/>
          <w:szCs w:val="24"/>
          <w:highlight w:val="none"/>
        </w:rPr>
        <w:t>本项目运营期用水主要包括</w:t>
      </w:r>
      <w:r>
        <w:rPr>
          <w:rFonts w:hint="eastAsia" w:ascii="Times New Roman" w:cs="Times New Roman" w:eastAsiaTheme="minorEastAsia"/>
          <w:color w:val="auto"/>
          <w:kern w:val="2"/>
          <w:sz w:val="24"/>
          <w:szCs w:val="24"/>
          <w:highlight w:val="none"/>
          <w:lang w:eastAsia="zh-CN"/>
        </w:rPr>
        <w:t>牛</w:t>
      </w:r>
      <w:r>
        <w:rPr>
          <w:rFonts w:hint="default" w:ascii="Times New Roman" w:hAnsi="Times New Roman" w:cs="Times New Roman" w:eastAsiaTheme="minorEastAsia"/>
          <w:color w:val="auto"/>
          <w:kern w:val="2"/>
          <w:sz w:val="24"/>
          <w:szCs w:val="24"/>
          <w:highlight w:val="none"/>
        </w:rPr>
        <w:t>饮用水、</w:t>
      </w:r>
      <w:r>
        <w:rPr>
          <w:rFonts w:hint="eastAsia" w:ascii="Times New Roman" w:cs="Times New Roman" w:eastAsiaTheme="minorEastAsia"/>
          <w:color w:val="auto"/>
          <w:kern w:val="2"/>
          <w:sz w:val="24"/>
          <w:szCs w:val="24"/>
          <w:highlight w:val="none"/>
          <w:lang w:eastAsia="zh-CN"/>
        </w:rPr>
        <w:t>牛舍冲洗水</w:t>
      </w:r>
      <w:r>
        <w:rPr>
          <w:rFonts w:hint="default" w:ascii="Times New Roman" w:hAnsi="Times New Roman" w:cs="Times New Roman" w:eastAsiaTheme="minorEastAsia"/>
          <w:color w:val="auto"/>
          <w:kern w:val="2"/>
          <w:sz w:val="24"/>
          <w:szCs w:val="24"/>
          <w:highlight w:val="none"/>
        </w:rPr>
        <w:t>、</w:t>
      </w:r>
      <w:r>
        <w:rPr>
          <w:rFonts w:hint="eastAsia" w:ascii="Times New Roman" w:cs="Times New Roman" w:eastAsiaTheme="minorEastAsia"/>
          <w:color w:val="auto"/>
          <w:kern w:val="2"/>
          <w:sz w:val="24"/>
          <w:szCs w:val="24"/>
          <w:highlight w:val="none"/>
          <w:lang w:eastAsia="zh-CN"/>
        </w:rPr>
        <w:t>办公</w:t>
      </w:r>
      <w:r>
        <w:rPr>
          <w:rFonts w:hint="default" w:ascii="Times New Roman" w:hAnsi="Times New Roman" w:cs="Times New Roman" w:eastAsiaTheme="minorEastAsia"/>
          <w:color w:val="auto"/>
          <w:kern w:val="2"/>
          <w:sz w:val="24"/>
          <w:szCs w:val="24"/>
          <w:highlight w:val="none"/>
        </w:rPr>
        <w:t>生活用水</w:t>
      </w:r>
      <w:r>
        <w:rPr>
          <w:rFonts w:hint="eastAsia" w:ascii="Times New Roman" w:cs="Times New Roman" w:eastAsiaTheme="minorEastAsia"/>
          <w:color w:val="auto"/>
          <w:kern w:val="2"/>
          <w:sz w:val="24"/>
          <w:szCs w:val="24"/>
          <w:highlight w:val="none"/>
          <w:lang w:eastAsia="zh-CN"/>
        </w:rPr>
        <w:t>、食堂用水</w:t>
      </w:r>
      <w:r>
        <w:rPr>
          <w:rFonts w:hint="default" w:ascii="Times New Roman" w:hAnsi="Times New Roman" w:cs="Times New Roman" w:eastAsiaTheme="minorEastAsia"/>
          <w:color w:val="auto"/>
          <w:kern w:val="2"/>
          <w:sz w:val="24"/>
          <w:szCs w:val="24"/>
          <w:highlight w:val="none"/>
        </w:rPr>
        <w:t>及未预见用水等</w:t>
      </w:r>
      <w:r>
        <w:rPr>
          <w:rFonts w:hint="default" w:ascii="Times New Roman" w:hAnsi="Times New Roman" w:cs="Times New Roman" w:eastAsiaTheme="minorEastAsia"/>
          <w:color w:val="auto"/>
          <w:kern w:val="2"/>
          <w:sz w:val="24"/>
          <w:szCs w:val="24"/>
          <w:highlight w:val="none"/>
          <w:lang w:eastAsia="zh-CN"/>
        </w:rPr>
        <w:t>。</w:t>
      </w:r>
      <w:r>
        <w:rPr>
          <w:rFonts w:hint="eastAsia" w:ascii="Times New Roman" w:hAnsi="Times New Roman" w:cs="Times New Roman"/>
          <w:color w:val="auto"/>
          <w:sz w:val="24"/>
          <w:szCs w:val="24"/>
          <w:highlight w:val="none"/>
          <w:lang w:eastAsia="zh-CN"/>
        </w:rPr>
        <w:t>项目自建供水专管，</w:t>
      </w:r>
      <w:r>
        <w:rPr>
          <w:rFonts w:hint="eastAsia" w:ascii="Times New Roman" w:hAnsi="Times New Roman" w:cs="Times New Roman"/>
          <w:color w:val="auto"/>
          <w:sz w:val="24"/>
          <w:szCs w:val="24"/>
          <w:highlight w:val="none"/>
          <w:lang w:val="en-US" w:eastAsia="zh-CN"/>
        </w:rPr>
        <w:t>从自来水主管网上接管（自来水厂</w:t>
      </w:r>
      <w:r>
        <w:rPr>
          <w:rFonts w:hint="eastAsia" w:ascii="Times New Roman" w:hAnsi="Times New Roman" w:cs="Times New Roman"/>
          <w:color w:val="auto"/>
          <w:sz w:val="24"/>
          <w:szCs w:val="24"/>
          <w:highlight w:val="none"/>
          <w:lang w:eastAsia="zh-CN"/>
        </w:rPr>
        <w:t>取水邬滩沟水库</w:t>
      </w:r>
      <w:r>
        <w:rPr>
          <w:rFonts w:hint="eastAsia"/>
          <w:color w:val="auto"/>
          <w:sz w:val="24"/>
          <w:szCs w:val="24"/>
          <w:highlight w:val="none"/>
          <w:lang w:eastAsia="zh-CN"/>
        </w:rPr>
        <w:t>）</w:t>
      </w:r>
      <w:r>
        <w:rPr>
          <w:rFonts w:hint="eastAsia" w:ascii="Times New Roman" w:hAnsi="Times New Roman" w:cs="Times New Roman"/>
          <w:color w:val="auto"/>
          <w:sz w:val="24"/>
          <w:szCs w:val="24"/>
          <w:highlight w:val="none"/>
          <w:lang w:eastAsia="zh-CN"/>
        </w:rPr>
        <w:t>，泵入场区高位蓄水池，满足生活、消防需求；</w:t>
      </w:r>
      <w:r>
        <w:rPr>
          <w:rFonts w:hint="default" w:ascii="Times New Roman" w:hAnsi="Times New Roman" w:eastAsia="宋体" w:cs="Times New Roman"/>
          <w:color w:val="auto"/>
          <w:sz w:val="24"/>
          <w:szCs w:val="24"/>
          <w:highlight w:val="none"/>
        </w:rPr>
        <w:t>设置1座</w:t>
      </w:r>
      <w:r>
        <w:rPr>
          <w:rFonts w:hint="eastAsia" w:ascii="Times New Roman" w:cs="Times New Roman"/>
          <w:color w:val="auto"/>
          <w:sz w:val="24"/>
          <w:szCs w:val="24"/>
          <w:highlight w:val="none"/>
          <w:lang w:val="en-US" w:eastAsia="zh-CN"/>
        </w:rPr>
        <w:t>2335.82</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的蓄水池，用于储存项目需要的新鲜水。</w:t>
      </w:r>
    </w:p>
    <w:p>
      <w:p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2、排水</w:t>
      </w:r>
    </w:p>
    <w:p>
      <w:pPr>
        <w:pStyle w:val="2468"/>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本项目采用雨污分流制，雨水管网采用雨水渠形式布置，断面尺寸为0.4m×0.25m~0.4m</w:t>
      </w:r>
      <w:r>
        <w:rPr>
          <w:rFonts w:hint="eastAsia" w:ascii="Times New Roman" w:hAnsi="Times New Roman" w:cs="Times New Roman"/>
          <w:color w:val="auto"/>
          <w:sz w:val="24"/>
          <w:szCs w:val="24"/>
          <w:highlight w:val="none"/>
        </w:rPr>
        <w:t>室外雨水（初期雨水除外）通过雨水沟渠自然排放</w:t>
      </w:r>
      <w:r>
        <w:rPr>
          <w:rFonts w:hint="eastAsia" w:asci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污水管网采用</w:t>
      </w:r>
      <w:r>
        <w:rPr>
          <w:rFonts w:hint="eastAsia" w:ascii="Times New Roman" w:cs="Times New Roman"/>
          <w:color w:val="auto"/>
          <w:sz w:val="24"/>
          <w:szCs w:val="24"/>
          <w:highlight w:val="none"/>
          <w:lang w:val="en-US" w:eastAsia="zh-CN"/>
        </w:rPr>
        <w:t>DN2</w:t>
      </w:r>
      <w:r>
        <w:rPr>
          <w:rFonts w:hint="default" w:ascii="Times New Roman" w:hAnsi="Times New Roman" w:eastAsia="宋体" w:cs="Times New Roman"/>
          <w:color w:val="auto"/>
          <w:sz w:val="24"/>
          <w:szCs w:val="24"/>
          <w:highlight w:val="none"/>
        </w:rPr>
        <w:t>00波纹管，污水通过</w:t>
      </w:r>
      <w:r>
        <w:rPr>
          <w:rFonts w:hint="eastAsia" w:ascii="Times New Roman" w:cs="Times New Roman"/>
          <w:color w:val="auto"/>
          <w:sz w:val="24"/>
          <w:szCs w:val="24"/>
          <w:highlight w:val="none"/>
          <w:lang w:eastAsia="zh-CN"/>
        </w:rPr>
        <w:t>地下</w:t>
      </w:r>
      <w:r>
        <w:rPr>
          <w:rFonts w:hint="default" w:ascii="Times New Roman" w:hAnsi="Times New Roman" w:eastAsia="宋体" w:cs="Times New Roman"/>
          <w:color w:val="auto"/>
          <w:sz w:val="24"/>
          <w:szCs w:val="24"/>
          <w:highlight w:val="none"/>
        </w:rPr>
        <w:t>污水管网收集后排入污水处理站处理。</w:t>
      </w:r>
    </w:p>
    <w:p>
      <w:pPr>
        <w:pStyle w:val="2468"/>
        <w:snapToGrid w:val="0"/>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废水主要包括</w:t>
      </w:r>
      <w:r>
        <w:rPr>
          <w:rFonts w:hint="eastAsia" w:ascii="Times New Roman" w:cs="Times New Roman"/>
          <w:color w:val="auto"/>
          <w:sz w:val="24"/>
          <w:szCs w:val="24"/>
          <w:highlight w:val="none"/>
          <w:lang w:eastAsia="zh-CN"/>
        </w:rPr>
        <w:t>养殖废水</w:t>
      </w:r>
      <w:r>
        <w:rPr>
          <w:rFonts w:hint="default" w:ascii="Times New Roman" w:hAnsi="Times New Roman" w:eastAsia="宋体" w:cs="Times New Roman"/>
          <w:color w:val="auto"/>
          <w:sz w:val="24"/>
          <w:szCs w:val="24"/>
          <w:highlight w:val="none"/>
        </w:rPr>
        <w:t>及职工生活污水。</w:t>
      </w:r>
      <w:r>
        <w:rPr>
          <w:rFonts w:hint="eastAsia" w:ascii="Times New Roman" w:cs="Times New Roman"/>
          <w:color w:val="auto"/>
          <w:sz w:val="24"/>
          <w:szCs w:val="24"/>
          <w:highlight w:val="none"/>
          <w:lang w:eastAsia="zh-CN"/>
        </w:rPr>
        <w:t>养殖</w:t>
      </w:r>
      <w:r>
        <w:rPr>
          <w:rFonts w:hint="default" w:ascii="Times New Roman" w:hAnsi="Times New Roman" w:eastAsia="宋体" w:cs="Times New Roman"/>
          <w:color w:val="auto"/>
          <w:sz w:val="24"/>
          <w:szCs w:val="24"/>
          <w:highlight w:val="none"/>
        </w:rPr>
        <w:t>废水和职工生活污水产生总量为</w:t>
      </w:r>
      <w:r>
        <w:rPr>
          <w:rFonts w:hint="eastAsia" w:ascii="Times New Roman" w:cs="Times New Roman"/>
          <w:color w:val="auto"/>
          <w:sz w:val="24"/>
          <w:szCs w:val="24"/>
          <w:highlight w:val="none"/>
          <w:lang w:val="en-US" w:eastAsia="zh-CN"/>
        </w:rPr>
        <w:t>248.76</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/d，该废水经拟建的污水处理站处理达到《农田灌溉水质标准》（GB5084-20</w:t>
      </w:r>
      <w:r>
        <w:rPr>
          <w:rFonts w:hint="eastAsia" w:ascii="Times New Roman"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w:t>
      </w:r>
      <w:r>
        <w:rPr>
          <w:rFonts w:hint="eastAsia" w:ascii="Times New Roman" w:cs="Times New Roman"/>
          <w:color w:val="auto"/>
          <w:sz w:val="24"/>
          <w:szCs w:val="24"/>
          <w:highlight w:val="none"/>
          <w:lang w:eastAsia="zh-CN"/>
        </w:rPr>
        <w:t>蔬菜</w:t>
      </w:r>
      <w:r>
        <w:rPr>
          <w:rFonts w:hint="default" w:ascii="Times New Roman" w:hAnsi="Times New Roman" w:eastAsia="宋体" w:cs="Times New Roman"/>
          <w:color w:val="auto"/>
          <w:sz w:val="24"/>
          <w:szCs w:val="24"/>
          <w:highlight w:val="none"/>
        </w:rPr>
        <w:t>灌溉标准后，暂存于</w:t>
      </w:r>
      <w:r>
        <w:rPr>
          <w:rFonts w:hint="eastAsia" w:ascii="Times New Roman" w:cs="Times New Roman"/>
          <w:color w:val="auto"/>
          <w:sz w:val="24"/>
          <w:szCs w:val="24"/>
          <w:highlight w:val="none"/>
          <w:lang w:val="en-US" w:eastAsia="zh-CN"/>
        </w:rPr>
        <w:t>尾水</w:t>
      </w:r>
      <w:r>
        <w:rPr>
          <w:rFonts w:hint="default" w:ascii="Times New Roman" w:hAnsi="Times New Roman" w:eastAsia="宋体" w:cs="Times New Roman"/>
          <w:color w:val="auto"/>
          <w:sz w:val="24"/>
          <w:szCs w:val="24"/>
          <w:highlight w:val="none"/>
        </w:rPr>
        <w:t>储存池，用作</w:t>
      </w:r>
      <w:r>
        <w:rPr>
          <w:rFonts w:hint="eastAsia" w:ascii="Times New Roman" w:cs="Times New Roman"/>
          <w:color w:val="auto"/>
          <w:sz w:val="24"/>
          <w:szCs w:val="24"/>
          <w:highlight w:val="none"/>
          <w:lang w:eastAsia="zh-CN"/>
        </w:rPr>
        <w:t>周边林地灌溉和配套农田灌溉</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eastAsia="zh-CN"/>
        </w:rPr>
        <w:t>厂内</w:t>
      </w:r>
      <w:r>
        <w:rPr>
          <w:rFonts w:hint="default" w:ascii="Times New Roman" w:hAnsi="Times New Roman" w:cs="Times New Roman"/>
          <w:color w:val="auto"/>
          <w:sz w:val="24"/>
          <w:szCs w:val="24"/>
          <w:highlight w:val="none"/>
          <w:lang w:eastAsia="zh-CN"/>
        </w:rPr>
        <w:t>尾水</w:t>
      </w:r>
      <w:r>
        <w:rPr>
          <w:rFonts w:hint="default" w:ascii="Times New Roman" w:hAnsi="Times New Roman" w:cs="Times New Roman"/>
          <w:color w:val="auto"/>
          <w:sz w:val="24"/>
          <w:szCs w:val="24"/>
          <w:highlight w:val="none"/>
        </w:rPr>
        <w:t>储存池</w:t>
      </w:r>
      <w:r>
        <w:rPr>
          <w:rFonts w:hint="eastAsia" w:ascii="Times New Roman" w:cs="Times New Roman"/>
          <w:color w:val="auto"/>
          <w:sz w:val="24"/>
          <w:szCs w:val="24"/>
          <w:highlight w:val="none"/>
          <w:lang w:val="en-US" w:eastAsia="zh-CN"/>
        </w:rPr>
        <w:t>设置</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rPr>
        <w:t>座，容积</w:t>
      </w:r>
      <w:r>
        <w:rPr>
          <w:rFonts w:hint="eastAsia" w:asci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rPr>
        <w:t>000m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，位于场区</w:t>
      </w:r>
      <w:r>
        <w:rPr>
          <w:rFonts w:hint="default" w:ascii="Times New Roman" w:hAnsi="Times New Roman" w:cs="Times New Roman"/>
          <w:color w:val="auto"/>
          <w:sz w:val="24"/>
          <w:szCs w:val="24"/>
          <w:highlight w:val="none"/>
          <w:lang w:eastAsia="zh-CN"/>
        </w:rPr>
        <w:t>南</w:t>
      </w:r>
      <w:r>
        <w:rPr>
          <w:rFonts w:hint="eastAsia" w:ascii="Times New Roman" w:hAnsi="Times New Roman" w:cs="Times New Roman"/>
          <w:color w:val="auto"/>
          <w:sz w:val="24"/>
          <w:szCs w:val="24"/>
          <w:highlight w:val="none"/>
          <w:lang w:val="en-US" w:eastAsia="zh-CN"/>
        </w:rPr>
        <w:t>侧</w:t>
      </w:r>
      <w:r>
        <w:rPr>
          <w:rFonts w:hint="default" w:ascii="Times New Roman" w:hAnsi="Times New Roman" w:cs="Times New Roman"/>
          <w:color w:val="auto"/>
          <w:sz w:val="24"/>
          <w:szCs w:val="24"/>
          <w:highlight w:val="none"/>
        </w:rPr>
        <w:t>污染防治区，用于储存处理后的尾水</w:t>
      </w:r>
      <w:r>
        <w:rPr>
          <w:rFonts w:hint="eastAsia" w:ascii="Times New Roman" w:cs="Times New Roman"/>
          <w:color w:val="auto"/>
          <w:sz w:val="24"/>
          <w:szCs w:val="24"/>
          <w:highlight w:val="none"/>
          <w:lang w:eastAsia="zh-CN"/>
        </w:rPr>
        <w:t>。</w:t>
      </w:r>
    </w:p>
    <w:p>
      <w:p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3、供电</w:t>
      </w:r>
    </w:p>
    <w:p>
      <w:pPr>
        <w:pStyle w:val="158"/>
        <w:ind w:firstLine="480"/>
        <w:rPr>
          <w:rFonts w:eastAsiaTheme="minorEastAsia"/>
          <w:color w:val="auto"/>
          <w:highlight w:val="none"/>
        </w:rPr>
      </w:pPr>
      <w:r>
        <w:rPr>
          <w:rFonts w:eastAsiaTheme="minorEastAsia"/>
          <w:color w:val="auto"/>
          <w:highlight w:val="none"/>
        </w:rPr>
        <w:t>本项目由市政电网供电</w:t>
      </w:r>
      <w:r>
        <w:rPr>
          <w:rFonts w:hint="eastAsia" w:eastAsiaTheme="minorEastAsia"/>
          <w:color w:val="auto"/>
          <w:highlight w:val="none"/>
          <w:lang w:eastAsia="zh-CN"/>
        </w:rPr>
        <w:t>及自产沼气供电</w:t>
      </w:r>
      <w:r>
        <w:rPr>
          <w:rFonts w:hint="eastAsia" w:eastAsiaTheme="minorEastAsia"/>
          <w:color w:val="auto"/>
          <w:highlight w:val="none"/>
        </w:rPr>
        <w:t>，</w:t>
      </w:r>
      <w:r>
        <w:rPr>
          <w:rFonts w:eastAsiaTheme="minorEastAsia"/>
          <w:color w:val="auto"/>
          <w:highlight w:val="none"/>
        </w:rPr>
        <w:t>并配柴油发电机</w:t>
      </w:r>
      <w:r>
        <w:rPr>
          <w:rFonts w:hint="eastAsia" w:eastAsiaTheme="minorEastAsia"/>
          <w:color w:val="auto"/>
          <w:highlight w:val="none"/>
        </w:rPr>
        <w:t>，</w:t>
      </w:r>
      <w:r>
        <w:rPr>
          <w:rFonts w:eastAsiaTheme="minorEastAsia"/>
          <w:color w:val="auto"/>
          <w:highlight w:val="none"/>
        </w:rPr>
        <w:t>供停电时使用。</w:t>
      </w:r>
    </w:p>
    <w:p>
      <w:pPr>
        <w:ind w:firstLine="480" w:firstLineChars="200"/>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4、燃料</w:t>
      </w:r>
    </w:p>
    <w:p>
      <w:pPr>
        <w:widowControl/>
        <w:autoSpaceDE w:val="0"/>
        <w:autoSpaceDN w:val="0"/>
        <w:adjustRightInd w:val="0"/>
        <w:ind w:firstLine="5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本项目食堂使用的燃料为项目自产沼气，属清洁能源。项目不设锅炉，热水供应采用电加热热水器。</w:t>
      </w:r>
    </w:p>
    <w:p>
      <w:pPr>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5、暖通</w:t>
      </w:r>
    </w:p>
    <w:p>
      <w:pPr>
        <w:widowControl/>
        <w:autoSpaceDE w:val="0"/>
        <w:autoSpaceDN w:val="0"/>
        <w:adjustRightInd w:val="0"/>
        <w:ind w:firstLine="525"/>
        <w:rPr>
          <w:rFonts w:hint="eastAsia" w:ascii="Times New Roman" w:hAnsi="Times New Roman" w:cs="Times New Roman"/>
          <w:color w:val="auto"/>
          <w:kern w:val="0"/>
          <w:sz w:val="24"/>
          <w:szCs w:val="24"/>
          <w:highlight w:val="none"/>
        </w:rPr>
      </w:pPr>
      <w:r>
        <w:rPr>
          <w:rFonts w:hint="eastAsia" w:ascii="Times New Roman" w:hAnsi="Times New Roman" w:cs="Times New Roman"/>
          <w:color w:val="auto"/>
          <w:kern w:val="0"/>
          <w:sz w:val="24"/>
          <w:szCs w:val="24"/>
          <w:highlight w:val="none"/>
        </w:rPr>
        <w:t>场区建筑物通风采用自然通风与机械通风相结合的方式，其他设施以自然通风为主。</w:t>
      </w:r>
      <w:r>
        <w:rPr>
          <w:rFonts w:hint="eastAsia" w:ascii="Times New Roman" w:hAnsi="Times New Roman" w:cs="Times New Roman"/>
          <w:color w:val="auto"/>
          <w:kern w:val="0"/>
          <w:sz w:val="24"/>
          <w:szCs w:val="24"/>
          <w:highlight w:val="none"/>
          <w:lang w:eastAsia="zh-CN"/>
        </w:rPr>
        <w:t>牛舍不设</w:t>
      </w:r>
      <w:r>
        <w:rPr>
          <w:rFonts w:hint="eastAsia" w:ascii="Times New Roman" w:hAnsi="Times New Roman" w:cs="Times New Roman"/>
          <w:color w:val="auto"/>
          <w:kern w:val="0"/>
          <w:sz w:val="24"/>
          <w:szCs w:val="24"/>
          <w:highlight w:val="none"/>
        </w:rPr>
        <w:t>采暖</w:t>
      </w:r>
      <w:r>
        <w:rPr>
          <w:rFonts w:hint="eastAsia" w:ascii="Times New Roman" w:hAnsi="Times New Roman" w:cs="Times New Roman"/>
          <w:color w:val="auto"/>
          <w:kern w:val="0"/>
          <w:sz w:val="24"/>
          <w:szCs w:val="24"/>
          <w:highlight w:val="none"/>
          <w:lang w:eastAsia="zh-CN"/>
        </w:rPr>
        <w:t>设备，夏季采用电扇辅助水水帘降温。办公生活区夏天制冷、冬季供暖由分体式空调提供。</w:t>
      </w:r>
    </w:p>
    <w:p>
      <w:pPr>
        <w:widowControl/>
        <w:autoSpaceDE w:val="0"/>
        <w:autoSpaceDN w:val="0"/>
        <w:adjustRightInd w:val="0"/>
        <w:ind w:firstLine="525"/>
        <w:rPr>
          <w:rFonts w:hint="eastAsia" w:ascii="Times New Roman" w:hAnsi="Times New Roman" w:cs="Times New Roman"/>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6</w:t>
      </w:r>
      <w:r>
        <w:rPr>
          <w:rFonts w:hint="eastAsia" w:ascii="Times New Roman" w:hAnsi="Times New Roman" w:cs="Times New Roman"/>
          <w:color w:val="auto"/>
          <w:kern w:val="0"/>
          <w:sz w:val="24"/>
          <w:szCs w:val="24"/>
          <w:highlight w:val="none"/>
        </w:rPr>
        <w:t>、</w:t>
      </w:r>
      <w:r>
        <w:rPr>
          <w:rFonts w:hint="eastAsia" w:ascii="Times New Roman" w:hAnsi="Times New Roman" w:cs="Times New Roman"/>
          <w:color w:val="auto"/>
          <w:kern w:val="0"/>
          <w:sz w:val="24"/>
          <w:szCs w:val="24"/>
          <w:highlight w:val="none"/>
          <w:lang w:eastAsia="zh-CN"/>
        </w:rPr>
        <w:t>夏季防暑降温措施</w:t>
      </w:r>
    </w:p>
    <w:p>
      <w:pPr>
        <w:widowControl/>
        <w:autoSpaceDE w:val="0"/>
        <w:autoSpaceDN w:val="0"/>
        <w:adjustRightInd w:val="0"/>
        <w:ind w:firstLine="525"/>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rPr>
        <w:t>（1）保持</w:t>
      </w:r>
      <w:r>
        <w:rPr>
          <w:rFonts w:hint="eastAsia" w:ascii="Times New Roman" w:hAnsi="Times New Roman" w:cs="Times New Roman"/>
          <w:color w:val="auto"/>
          <w:kern w:val="0"/>
          <w:sz w:val="24"/>
          <w:szCs w:val="24"/>
          <w:highlight w:val="none"/>
          <w:lang w:eastAsia="zh-CN"/>
        </w:rPr>
        <w:t>牛舍</w:t>
      </w:r>
      <w:r>
        <w:rPr>
          <w:rFonts w:hint="eastAsia" w:ascii="Times New Roman" w:hAnsi="Times New Roman" w:cs="Times New Roman"/>
          <w:color w:val="auto"/>
          <w:kern w:val="0"/>
          <w:sz w:val="24"/>
          <w:szCs w:val="24"/>
          <w:highlight w:val="none"/>
        </w:rPr>
        <w:t>通风良好打开门窗加强空气对流。在</w:t>
      </w:r>
      <w:r>
        <w:rPr>
          <w:rFonts w:hint="eastAsia" w:ascii="Times New Roman" w:hAnsi="Times New Roman" w:cs="Times New Roman"/>
          <w:color w:val="auto"/>
          <w:kern w:val="0"/>
          <w:sz w:val="24"/>
          <w:szCs w:val="24"/>
          <w:highlight w:val="none"/>
          <w:lang w:eastAsia="zh-CN"/>
        </w:rPr>
        <w:t>牛</w:t>
      </w:r>
      <w:r>
        <w:rPr>
          <w:rFonts w:hint="eastAsia" w:ascii="Times New Roman" w:hAnsi="Times New Roman" w:cs="Times New Roman"/>
          <w:color w:val="auto"/>
          <w:kern w:val="0"/>
          <w:sz w:val="24"/>
          <w:szCs w:val="24"/>
          <w:highlight w:val="none"/>
        </w:rPr>
        <w:t>舍墙壁预留通风孔，加速舍内气流的速度，带走</w:t>
      </w:r>
      <w:r>
        <w:rPr>
          <w:rFonts w:hint="eastAsia" w:ascii="Times New Roman" w:hAnsi="Times New Roman" w:cs="Times New Roman"/>
          <w:color w:val="auto"/>
          <w:kern w:val="0"/>
          <w:sz w:val="24"/>
          <w:szCs w:val="24"/>
          <w:highlight w:val="none"/>
          <w:lang w:eastAsia="zh-CN"/>
        </w:rPr>
        <w:t>牛</w:t>
      </w:r>
      <w:r>
        <w:rPr>
          <w:rFonts w:hint="eastAsia" w:ascii="Times New Roman" w:hAnsi="Times New Roman" w:cs="Times New Roman"/>
          <w:color w:val="auto"/>
          <w:kern w:val="0"/>
          <w:sz w:val="24"/>
          <w:szCs w:val="24"/>
          <w:highlight w:val="none"/>
        </w:rPr>
        <w:t>体表热量。当气温高于29℃，湿度在50%以上时，从早晨5点到夜间1点都需要降温，夜间</w:t>
      </w:r>
      <w:r>
        <w:rPr>
          <w:rFonts w:hint="eastAsia" w:ascii="Times New Roman" w:hAnsi="Times New Roman" w:cs="Times New Roman"/>
          <w:color w:val="auto"/>
          <w:kern w:val="0"/>
          <w:sz w:val="24"/>
          <w:szCs w:val="24"/>
          <w:highlight w:val="none"/>
          <w:lang w:eastAsia="zh-CN"/>
        </w:rPr>
        <w:t>牛</w:t>
      </w:r>
      <w:r>
        <w:rPr>
          <w:rFonts w:hint="eastAsia" w:ascii="Times New Roman" w:hAnsi="Times New Roman" w:cs="Times New Roman"/>
          <w:color w:val="auto"/>
          <w:kern w:val="0"/>
          <w:sz w:val="24"/>
          <w:szCs w:val="24"/>
          <w:highlight w:val="none"/>
        </w:rPr>
        <w:t>体温和气温的差异相对较大，可以缩短送风时间。</w:t>
      </w:r>
      <w:r>
        <w:rPr>
          <w:rFonts w:hint="eastAsia" w:ascii="Times New Roman" w:hAnsi="Times New Roman" w:cs="Times New Roman"/>
          <w:color w:val="auto"/>
          <w:kern w:val="0"/>
          <w:sz w:val="24"/>
          <w:szCs w:val="24"/>
          <w:highlight w:val="none"/>
          <w:lang w:eastAsia="zh-CN"/>
        </w:rPr>
        <w:t>同时在牛舍墙壁上安装电风扇，加速降温。</w:t>
      </w:r>
    </w:p>
    <w:p>
      <w:pPr>
        <w:widowControl/>
        <w:autoSpaceDE w:val="0"/>
        <w:autoSpaceDN w:val="0"/>
        <w:adjustRightInd w:val="0"/>
        <w:ind w:firstLine="525"/>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牛舍采用水帘+自然抽风方式降温。水帘降温的工作原理为：用负压风机把室内的污浊、热空气抽走，安装在负压风机对面的水帘墙则用于进风。室外的新鲜热空气在经过水帘墙被淋湿的小孔时，与水发生热交换而被过滤和降温。</w:t>
      </w:r>
    </w:p>
    <w:p>
      <w:pPr>
        <w:widowControl/>
        <w:autoSpaceDE w:val="0"/>
        <w:autoSpaceDN w:val="0"/>
        <w:adjustRightInd w:val="0"/>
        <w:ind w:firstLine="525"/>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在舍内温度达到30℃时，就需要开启降温水帘，降温水帘能使厂房内的温度迅速在10分钟内下降，降温环保效果佳。降温水帘通常在夏季5-9月使用。</w:t>
      </w:r>
    </w:p>
    <w:p>
      <w:pPr>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7、消防</w:t>
      </w:r>
    </w:p>
    <w:p>
      <w:pPr>
        <w:ind w:firstLine="480" w:firstLineChars="200"/>
        <w:rPr>
          <w:rFonts w:hint="eastAsia" w:ascii="Times New Roman" w:hAnsi="Times New Roman" w:eastAsia="宋体" w:cs="Times New Roman"/>
          <w:color w:val="auto"/>
          <w:sz w:val="24"/>
          <w:szCs w:val="24"/>
          <w:highlight w:val="none"/>
          <w:lang w:val="en-US" w:eastAsia="zh-CN"/>
        </w:rPr>
      </w:pPr>
      <w:r>
        <w:rPr>
          <w:color w:val="auto"/>
          <w:sz w:val="24"/>
          <w:szCs w:val="24"/>
          <w:highlight w:val="none"/>
        </w:rPr>
        <w:t>项目按照《建筑设计防火规范》要求设置安全出口及疏散距离，各</w:t>
      </w:r>
      <w:r>
        <w:rPr>
          <w:rFonts w:hint="eastAsia"/>
          <w:color w:val="auto"/>
          <w:sz w:val="24"/>
          <w:szCs w:val="24"/>
          <w:highlight w:val="none"/>
          <w:lang w:val="en-US" w:eastAsia="zh-CN"/>
        </w:rPr>
        <w:t>牛舍</w:t>
      </w:r>
      <w:r>
        <w:rPr>
          <w:color w:val="auto"/>
          <w:sz w:val="24"/>
          <w:szCs w:val="24"/>
          <w:highlight w:val="none"/>
        </w:rPr>
        <w:t>间的距离、消防设施设计等严格执行《建筑设计防火规范》等消防规范及法律法规要求；设置常规水消防系统和移动式灭火器，各建（构）筑物内灭火器的类型、</w:t>
      </w:r>
      <w:r>
        <w:rPr>
          <w:rFonts w:hint="eastAsia" w:ascii="Times New Roman" w:hAnsi="Times New Roman" w:eastAsia="宋体" w:cs="Times New Roman"/>
          <w:color w:val="auto"/>
          <w:sz w:val="24"/>
          <w:szCs w:val="24"/>
          <w:highlight w:val="none"/>
          <w:lang w:val="en-US" w:eastAsia="zh-CN"/>
        </w:rPr>
        <w:t>数量符合《建筑灭火器配置设计规范》的要求。</w:t>
      </w:r>
    </w:p>
    <w:p>
      <w:pPr>
        <w:numPr>
          <w:ilvl w:val="0"/>
          <w:numId w:val="0"/>
        </w:numPr>
        <w:ind w:left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8、消毒</w:t>
      </w:r>
    </w:p>
    <w:p>
      <w:pPr>
        <w:ind w:firstLine="480" w:firstLineChars="200"/>
        <w:rPr>
          <w:rFonts w:hint="eastAsia"/>
          <w:color w:val="auto"/>
          <w:sz w:val="24"/>
          <w:szCs w:val="24"/>
          <w:highlight w:val="none"/>
          <w:lang w:val="en-US" w:eastAsia="zh-CN"/>
        </w:rPr>
      </w:pPr>
      <w:r>
        <w:rPr>
          <w:rFonts w:hint="eastAsia"/>
          <w:color w:val="auto"/>
          <w:sz w:val="24"/>
          <w:szCs w:val="24"/>
          <w:highlight w:val="none"/>
          <w:lang w:val="en-US" w:eastAsia="zh-CN"/>
        </w:rPr>
        <w:t>场区大门处设置消毒池，进行车辆消毒。门卫设计简易消毒室，进行进场消毒。生活区通向生产区设置更衣消毒室，进入生产区的所有人员必须经过更衣消毒室。场区设计尽量做到人牛分离，场内外车辆分离，场内人员与场外车辆分离。死亡牛只及时交有资质单位处理，尸体接触的器具和环境作好清洁及消毒工作。运牛车辆必须经过严格消毒后进入指定区域装车。项目消毒方式采用喷雾消毒、浸液消毒、喷洒消毒、热水消毒。</w:t>
      </w:r>
    </w:p>
    <w:p>
      <w:pPr>
        <w:ind w:firstLine="480" w:firstLineChars="200"/>
        <w:rPr>
          <w:rFonts w:hint="eastAsia"/>
          <w:color w:val="auto"/>
          <w:sz w:val="24"/>
          <w:szCs w:val="24"/>
          <w:highlight w:val="none"/>
          <w:lang w:val="en-US" w:eastAsia="zh-CN"/>
        </w:rPr>
      </w:pPr>
      <w:r>
        <w:rPr>
          <w:rFonts w:hint="eastAsia"/>
          <w:color w:val="auto"/>
          <w:sz w:val="24"/>
          <w:szCs w:val="24"/>
          <w:highlight w:val="none"/>
          <w:lang w:val="en-US" w:eastAsia="zh-CN"/>
        </w:rPr>
        <w:t>项目消毒间均设置紫外线灯照射消毒，主入口车行道设置消毒池，3%~5%的火碱溶液消毒，池长2m，宽5m。牛舍每周消毒1次，使用0.3%~0.5%过氧乙酸喷雾；春秋两季各进行一次大消毒，用3%~4%的火碱溶液喷洒地面。</w:t>
      </w:r>
    </w:p>
    <w:p>
      <w:pPr>
        <w:numPr>
          <w:ilvl w:val="0"/>
          <w:numId w:val="22"/>
        </w:numPr>
        <w:ind w:left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防疫</w:t>
      </w:r>
    </w:p>
    <w:p>
      <w:pPr>
        <w:ind w:firstLine="480" w:firstLineChars="200"/>
        <w:rPr>
          <w:rFonts w:hint="eastAsia"/>
          <w:color w:val="auto"/>
          <w:highlight w:val="none"/>
          <w:lang w:val="en-US" w:eastAsia="zh-CN"/>
        </w:rPr>
      </w:pPr>
      <w:r>
        <w:rPr>
          <w:rFonts w:hint="eastAsia"/>
          <w:color w:val="auto"/>
          <w:sz w:val="24"/>
          <w:szCs w:val="24"/>
          <w:highlight w:val="none"/>
          <w:lang w:val="en-US" w:eastAsia="zh-CN"/>
        </w:rPr>
        <w:t>项目养殖场内防疫工作由厂区兽医全权负责，包含预防疫情、病牛的治疗等工作，整个过程中产生的医疗废品亦由该部门收集后定期交由有资质单位进行安全处置。</w:t>
      </w:r>
    </w:p>
    <w:p>
      <w:pPr>
        <w:pStyle w:val="8"/>
        <w:spacing w:before="0" w:after="0" w:line="360" w:lineRule="auto"/>
        <w:ind w:left="0" w:firstLine="0"/>
        <w:rPr>
          <w:rFonts w:cs="Times New Roman"/>
          <w:color w:val="auto"/>
          <w:highlight w:val="none"/>
        </w:rPr>
      </w:pPr>
      <w:bookmarkStart w:id="127" w:name="_Toc17130"/>
      <w:r>
        <w:rPr>
          <w:rFonts w:hint="eastAsia" w:cs="Times New Roman"/>
          <w:color w:val="auto"/>
          <w:highlight w:val="none"/>
        </w:rPr>
        <w:t>施工进度安排</w:t>
      </w:r>
      <w:bookmarkEnd w:id="127"/>
    </w:p>
    <w:p>
      <w:pPr>
        <w:widowControl/>
        <w:autoSpaceDE w:val="0"/>
        <w:autoSpaceDN w:val="0"/>
        <w:adjustRightInd w:val="0"/>
        <w:ind w:firstLine="525"/>
        <w:rPr>
          <w:rFonts w:hint="eastAsia" w:ascii="Times New Roman" w:hAnsi="Times New Roman" w:cs="Times New Roman"/>
          <w:color w:val="auto"/>
          <w:kern w:val="0"/>
          <w:sz w:val="24"/>
          <w:szCs w:val="24"/>
          <w:highlight w:val="none"/>
        </w:rPr>
      </w:pPr>
      <w:r>
        <w:rPr>
          <w:rFonts w:hint="eastAsia" w:ascii="Times New Roman" w:hAnsi="Times New Roman" w:cs="Times New Roman"/>
          <w:color w:val="auto"/>
          <w:kern w:val="0"/>
          <w:sz w:val="24"/>
          <w:szCs w:val="24"/>
          <w:highlight w:val="none"/>
        </w:rPr>
        <w:t>本项目计划于</w:t>
      </w:r>
      <w:r>
        <w:rPr>
          <w:rFonts w:ascii="Times New Roman" w:hAnsi="Times New Roman" w:cs="Times New Roman"/>
          <w:color w:val="auto"/>
          <w:kern w:val="0"/>
          <w:sz w:val="24"/>
          <w:szCs w:val="24"/>
          <w:highlight w:val="none"/>
        </w:rPr>
        <w:t>20</w:t>
      </w:r>
      <w:r>
        <w:rPr>
          <w:rFonts w:hint="eastAsia" w:ascii="Times New Roman" w:hAnsi="Times New Roman" w:cs="Times New Roman"/>
          <w:color w:val="auto"/>
          <w:kern w:val="0"/>
          <w:sz w:val="24"/>
          <w:szCs w:val="24"/>
          <w:highlight w:val="none"/>
          <w:lang w:val="en-US" w:eastAsia="zh-CN"/>
        </w:rPr>
        <w:t>22</w:t>
      </w:r>
      <w:r>
        <w:rPr>
          <w:rFonts w:hint="eastAsia" w:ascii="Times New Roman" w:hAnsi="Times New Roman" w:cs="Times New Roman"/>
          <w:color w:val="auto"/>
          <w:kern w:val="0"/>
          <w:sz w:val="24"/>
          <w:szCs w:val="24"/>
          <w:highlight w:val="none"/>
        </w:rPr>
        <w:t>年</w:t>
      </w:r>
      <w:r>
        <w:rPr>
          <w:rFonts w:hint="eastAsia" w:ascii="Times New Roman" w:hAnsi="Times New Roman" w:cs="Times New Roman"/>
          <w:color w:val="auto"/>
          <w:kern w:val="0"/>
          <w:sz w:val="24"/>
          <w:szCs w:val="24"/>
          <w:highlight w:val="none"/>
          <w:lang w:val="en-US" w:eastAsia="zh-CN"/>
        </w:rPr>
        <w:t>12</w:t>
      </w:r>
      <w:r>
        <w:rPr>
          <w:rFonts w:hint="eastAsia" w:ascii="Times New Roman" w:hAnsi="Times New Roman" w:cs="Times New Roman"/>
          <w:color w:val="auto"/>
          <w:kern w:val="0"/>
          <w:sz w:val="24"/>
          <w:szCs w:val="24"/>
          <w:highlight w:val="none"/>
        </w:rPr>
        <w:t>月开始建设，计划建设工期</w:t>
      </w:r>
      <w:r>
        <w:rPr>
          <w:rFonts w:hint="eastAsia" w:ascii="Times New Roman" w:hAnsi="Times New Roman" w:cs="Times New Roman"/>
          <w:color w:val="auto"/>
          <w:kern w:val="0"/>
          <w:sz w:val="24"/>
          <w:szCs w:val="24"/>
          <w:highlight w:val="none"/>
          <w:lang w:val="en-US" w:eastAsia="zh-CN"/>
        </w:rPr>
        <w:t>12</w:t>
      </w:r>
      <w:r>
        <w:rPr>
          <w:rFonts w:hint="eastAsia" w:ascii="Times New Roman" w:hAnsi="Times New Roman" w:cs="Times New Roman"/>
          <w:color w:val="auto"/>
          <w:kern w:val="0"/>
          <w:sz w:val="24"/>
          <w:szCs w:val="24"/>
          <w:highlight w:val="none"/>
        </w:rPr>
        <w:t>个月，于</w:t>
      </w:r>
      <w:r>
        <w:rPr>
          <w:rFonts w:ascii="Times New Roman" w:hAnsi="Times New Roman" w:cs="Times New Roman"/>
          <w:color w:val="auto"/>
          <w:kern w:val="0"/>
          <w:sz w:val="24"/>
          <w:szCs w:val="24"/>
          <w:highlight w:val="none"/>
        </w:rPr>
        <w:t>20</w:t>
      </w:r>
      <w:r>
        <w:rPr>
          <w:rFonts w:hint="eastAsia" w:ascii="Times New Roman" w:hAnsi="Times New Roman" w:cs="Times New Roman"/>
          <w:color w:val="auto"/>
          <w:kern w:val="0"/>
          <w:sz w:val="24"/>
          <w:szCs w:val="24"/>
          <w:highlight w:val="none"/>
        </w:rPr>
        <w:t>2</w:t>
      </w:r>
      <w:r>
        <w:rPr>
          <w:rFonts w:hint="eastAsia" w:ascii="Times New Roman" w:hAnsi="Times New Roman" w:cs="Times New Roman"/>
          <w:color w:val="auto"/>
          <w:kern w:val="0"/>
          <w:sz w:val="24"/>
          <w:szCs w:val="24"/>
          <w:highlight w:val="none"/>
          <w:lang w:val="en-US" w:eastAsia="zh-CN"/>
        </w:rPr>
        <w:t>3</w:t>
      </w:r>
      <w:r>
        <w:rPr>
          <w:rFonts w:hint="eastAsia" w:ascii="Times New Roman" w:hAnsi="Times New Roman" w:cs="Times New Roman"/>
          <w:color w:val="auto"/>
          <w:kern w:val="0"/>
          <w:sz w:val="24"/>
          <w:szCs w:val="24"/>
          <w:highlight w:val="none"/>
        </w:rPr>
        <w:t>年</w:t>
      </w:r>
      <w:r>
        <w:rPr>
          <w:rFonts w:hint="eastAsia" w:ascii="Times New Roman" w:hAnsi="Times New Roman" w:cs="Times New Roman"/>
          <w:color w:val="auto"/>
          <w:kern w:val="0"/>
          <w:sz w:val="24"/>
          <w:szCs w:val="24"/>
          <w:highlight w:val="none"/>
          <w:lang w:val="en-US" w:eastAsia="zh-CN"/>
        </w:rPr>
        <w:t>12</w:t>
      </w:r>
      <w:r>
        <w:rPr>
          <w:rFonts w:hint="eastAsia" w:ascii="Times New Roman" w:hAnsi="Times New Roman" w:cs="Times New Roman"/>
          <w:color w:val="auto"/>
          <w:kern w:val="0"/>
          <w:sz w:val="24"/>
          <w:szCs w:val="24"/>
          <w:highlight w:val="none"/>
        </w:rPr>
        <w:t>月建成并投入使用。</w:t>
      </w:r>
    </w:p>
    <w:p>
      <w:pPr>
        <w:pStyle w:val="8"/>
        <w:spacing w:before="0" w:after="0" w:line="360" w:lineRule="auto"/>
        <w:ind w:left="0" w:firstLine="0"/>
        <w:rPr>
          <w:color w:val="auto"/>
          <w:highlight w:val="none"/>
        </w:rPr>
      </w:pPr>
      <w:bookmarkStart w:id="128" w:name="_Toc26073"/>
      <w:r>
        <w:rPr>
          <w:rFonts w:hint="eastAsia" w:cs="Times New Roman"/>
          <w:color w:val="auto"/>
          <w:highlight w:val="none"/>
        </w:rPr>
        <w:t>绿化工程</w:t>
      </w:r>
      <w:bookmarkEnd w:id="128"/>
    </w:p>
    <w:p>
      <w:pPr>
        <w:ind w:firstLine="482" w:firstLineChars="200"/>
        <w:rPr>
          <w:rFonts w:hint="eastAsia"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lang w:val="en-US" w:eastAsia="zh-CN"/>
        </w:rPr>
        <w:t>1、</w:t>
      </w:r>
      <w:r>
        <w:rPr>
          <w:rFonts w:hint="eastAsia" w:ascii="Times New Roman" w:hAnsi="Times New Roman" w:eastAsia="宋体" w:cs="Times New Roman"/>
          <w:b/>
          <w:bCs/>
          <w:color w:val="auto"/>
          <w:sz w:val="24"/>
          <w:szCs w:val="24"/>
          <w:highlight w:val="none"/>
        </w:rPr>
        <w:t>原则要求</w:t>
      </w:r>
    </w:p>
    <w:p>
      <w:pPr>
        <w:ind w:firstLine="480" w:firstLineChars="200"/>
        <w:rPr>
          <w:rFonts w:hint="eastAsia"/>
          <w:color w:val="auto"/>
          <w:sz w:val="24"/>
          <w:szCs w:val="24"/>
          <w:highlight w:val="none"/>
        </w:rPr>
      </w:pPr>
      <w:r>
        <w:rPr>
          <w:rFonts w:hint="eastAsia"/>
          <w:color w:val="auto"/>
          <w:sz w:val="24"/>
          <w:szCs w:val="24"/>
          <w:highlight w:val="none"/>
        </w:rPr>
        <w:t>（1）在规划设计前要对牛场的自然条件、生产性质、规模、污染状况等进行充分的调查。要从保护环境的观点出发，合理规划。合理地设置牛场饲养牛的类型、头数，从而优化牛场本身的生态条件。</w:t>
      </w:r>
    </w:p>
    <w:p>
      <w:pPr>
        <w:ind w:firstLine="480" w:firstLineChars="200"/>
        <w:rPr>
          <w:rFonts w:hint="eastAsia"/>
          <w:color w:val="auto"/>
          <w:sz w:val="24"/>
          <w:szCs w:val="24"/>
          <w:highlight w:val="none"/>
        </w:rPr>
      </w:pPr>
      <w:r>
        <w:rPr>
          <w:rFonts w:hint="eastAsia"/>
          <w:color w:val="auto"/>
          <w:sz w:val="24"/>
          <w:szCs w:val="24"/>
          <w:highlight w:val="none"/>
        </w:rPr>
        <w:t>（2）牛场的绿化规划是总体规划的有机组成部分，要在牛场建设总规划的同时进行绿化规划。首先尽可能利用红线内原始生态，减少人工种植；要本着统一安排、统一布局的原则进行，规划时既要有长远考虑，又要有近期安排，要与全场的建设协调一致。</w:t>
      </w:r>
    </w:p>
    <w:p>
      <w:pPr>
        <w:ind w:firstLine="480" w:firstLineChars="200"/>
        <w:rPr>
          <w:rFonts w:hint="eastAsia"/>
          <w:color w:val="auto"/>
          <w:sz w:val="24"/>
          <w:szCs w:val="24"/>
          <w:highlight w:val="none"/>
        </w:rPr>
      </w:pPr>
      <w:r>
        <w:rPr>
          <w:rFonts w:hint="eastAsia"/>
          <w:color w:val="auto"/>
          <w:sz w:val="24"/>
          <w:szCs w:val="24"/>
          <w:highlight w:val="none"/>
        </w:rPr>
        <w:t>（3）绿化规划设计布局要合理，以保证安全生产。绿化时不能影响地下、地上管线和牛舍的采光。</w:t>
      </w:r>
    </w:p>
    <w:p>
      <w:pPr>
        <w:ind w:firstLine="480" w:firstLineChars="200"/>
        <w:rPr>
          <w:rFonts w:hint="eastAsia"/>
          <w:color w:val="auto"/>
          <w:sz w:val="24"/>
          <w:szCs w:val="24"/>
          <w:highlight w:val="none"/>
        </w:rPr>
      </w:pPr>
      <w:r>
        <w:rPr>
          <w:rFonts w:hint="eastAsia"/>
          <w:color w:val="auto"/>
          <w:sz w:val="24"/>
          <w:szCs w:val="24"/>
          <w:highlight w:val="none"/>
        </w:rPr>
        <w:t>（4）在进行绿化苗木选择时要考虑各功能区特点、地形、土质特点、环境污染等情况。为了达到良好的绿化美化效果，树种的选择，除考虑其满足绿化设计功能、易生长、抗病害等因素外，还要考虑其具有较强的抗污染和净化空气的功能。在满足各项功能要求的前提下，还可适当结合牛场生产，种植一些经济植物，以充分合理地利用土地，提高整场的经济效益。</w:t>
      </w:r>
    </w:p>
    <w:p>
      <w:pPr>
        <w:ind w:firstLine="482" w:firstLineChars="200"/>
        <w:rPr>
          <w:rFonts w:hint="eastAsia"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2、绿化措施</w:t>
      </w:r>
    </w:p>
    <w:p>
      <w:pPr>
        <w:pStyle w:val="24"/>
        <w:ind w:firstLine="480"/>
        <w:rPr>
          <w:rFonts w:ascii="Times New Roman" w:hAnsi="Times New Roman"/>
          <w:color w:val="auto"/>
          <w:highlight w:val="none"/>
        </w:rPr>
      </w:pPr>
      <w:r>
        <w:rPr>
          <w:rFonts w:ascii="Times New Roman" w:hAnsi="Times New Roman"/>
          <w:color w:val="auto"/>
          <w:highlight w:val="none"/>
        </w:rPr>
        <w:t>（1）场区林带的规划：在场界周边种植乔木、灌木混合林带或规划种植水果类植物带。乔木类的有大叶杨、钻天杨、白杨、常绿针叶树等。</w:t>
      </w:r>
    </w:p>
    <w:p>
      <w:pPr>
        <w:pStyle w:val="24"/>
        <w:ind w:firstLine="480"/>
        <w:rPr>
          <w:rFonts w:ascii="Times New Roman" w:hAnsi="Times New Roman"/>
          <w:color w:val="auto"/>
          <w:highlight w:val="none"/>
        </w:rPr>
      </w:pPr>
      <w:r>
        <w:rPr>
          <w:rFonts w:ascii="Times New Roman" w:hAnsi="Times New Roman"/>
          <w:color w:val="auto"/>
          <w:highlight w:val="none"/>
        </w:rPr>
        <w:t>（2）场区隔离带的设计：场内各区，如生产区、生活管理区的四周，都应设置隔离林带，采用绿篱植物小叶杨树、松树、竹林等，或以栽种刺笆为主。刺笆可选陈刺、黄刺梅、红玫瑰、野蔷薇、花椒等，以起到防疫、隔离、安全等作用。</w:t>
      </w:r>
    </w:p>
    <w:p>
      <w:pPr>
        <w:pStyle w:val="24"/>
        <w:ind w:firstLine="480"/>
        <w:rPr>
          <w:rFonts w:ascii="Times New Roman" w:hAnsi="Times New Roman"/>
          <w:color w:val="auto"/>
          <w:highlight w:val="none"/>
        </w:rPr>
      </w:pPr>
      <w:r>
        <w:rPr>
          <w:rFonts w:ascii="Times New Roman" w:hAnsi="Times New Roman"/>
          <w:color w:val="auto"/>
          <w:highlight w:val="none"/>
        </w:rPr>
        <w:t>（3）场区道路绿化：宜采用乔木为主，乔、灌木搭配种植。如选种塔柏、冬青、侧柏等四季常青树种，并配置小叶女贞组成绿化带。</w:t>
      </w:r>
    </w:p>
    <w:p>
      <w:pPr>
        <w:pStyle w:val="24"/>
        <w:ind w:firstLine="480"/>
        <w:rPr>
          <w:rFonts w:ascii="Times New Roman" w:hAnsi="Times New Roman"/>
          <w:color w:val="auto"/>
          <w:highlight w:val="none"/>
        </w:rPr>
      </w:pPr>
      <w:r>
        <w:rPr>
          <w:rFonts w:ascii="Times New Roman" w:hAnsi="Times New Roman"/>
          <w:color w:val="auto"/>
          <w:highlight w:val="none"/>
        </w:rPr>
        <w:t>（4）对于生产区内的</w:t>
      </w:r>
      <w:r>
        <w:rPr>
          <w:rFonts w:hint="eastAsia"/>
          <w:color w:val="auto"/>
          <w:highlight w:val="none"/>
          <w:lang w:eastAsia="zh-CN"/>
        </w:rPr>
        <w:t>牛</w:t>
      </w:r>
      <w:r>
        <w:rPr>
          <w:rFonts w:ascii="Times New Roman" w:hAnsi="Times New Roman"/>
          <w:color w:val="auto"/>
          <w:highlight w:val="none"/>
        </w:rPr>
        <w:t>舍，不宜在其四周密植成片的树林，而应多种植低矮的花卉或草坪，以利于通风，便于有害气体扩散。</w:t>
      </w:r>
    </w:p>
    <w:p>
      <w:pPr>
        <w:pStyle w:val="24"/>
        <w:ind w:firstLine="480"/>
        <w:rPr>
          <w:rFonts w:ascii="Times New Roman" w:hAnsi="Times New Roman"/>
          <w:color w:val="auto"/>
          <w:highlight w:val="none"/>
        </w:rPr>
      </w:pPr>
      <w:r>
        <w:rPr>
          <w:rFonts w:ascii="Times New Roman" w:hAnsi="Times New Roman"/>
          <w:color w:val="auto"/>
          <w:highlight w:val="none"/>
        </w:rPr>
        <w:t>（5）生活管理区：该区是与外界社会接触和员工生活休息的主要区域。该区的环境绿化可以适当进行园林式的规划，提升企业的形象和优美员工的生活环境。为了丰富色彩，宜种植容易繁殖、栽培和管理的花卉灌木为主。</w:t>
      </w:r>
    </w:p>
    <w:p>
      <w:pPr>
        <w:pStyle w:val="24"/>
        <w:ind w:firstLine="480"/>
        <w:rPr>
          <w:color w:val="auto"/>
          <w:highlight w:val="none"/>
        </w:rPr>
      </w:pPr>
      <w:r>
        <w:rPr>
          <w:rFonts w:ascii="Times New Roman" w:hAnsi="Times New Roman"/>
          <w:color w:val="auto"/>
          <w:highlight w:val="none"/>
        </w:rPr>
        <w:t>项</w:t>
      </w:r>
      <w:r>
        <w:rPr>
          <w:rFonts w:hint="default" w:ascii="Times New Roman" w:hAnsi="Times New Roman" w:cs="Times New Roman"/>
          <w:color w:val="auto"/>
          <w:highlight w:val="none"/>
        </w:rPr>
        <w:t>目绿化面积</w:t>
      </w:r>
      <w:r>
        <w:rPr>
          <w:rFonts w:hint="default" w:ascii="Times New Roman" w:hAnsi="Times New Roman" w:cs="Times New Roman"/>
          <w:color w:val="auto"/>
          <w:highlight w:val="none"/>
          <w:lang w:eastAsia="zh-CN"/>
        </w:rPr>
        <w:t>约</w:t>
      </w:r>
      <w:r>
        <w:rPr>
          <w:rFonts w:hint="default" w:ascii="Times New Roman" w:hAnsi="Times New Roman" w:cs="Times New Roman"/>
          <w:color w:val="auto"/>
          <w:highlight w:val="none"/>
          <w:lang w:val="en-US" w:eastAsia="zh-CN"/>
        </w:rPr>
        <w:t>78597.48</w:t>
      </w:r>
      <w:r>
        <w:rPr>
          <w:rFonts w:hint="default" w:ascii="Times New Roman" w:hAnsi="Times New Roman" w:cs="Times New Roman"/>
          <w:color w:val="auto"/>
          <w:highlight w:val="none"/>
        </w:rPr>
        <w:t>m</w:t>
      </w:r>
      <w:r>
        <w:rPr>
          <w:rFonts w:ascii="Times New Roman" w:hAnsi="Times New Roman"/>
          <w:color w:val="auto"/>
          <w:highlight w:val="none"/>
          <w:vertAlign w:val="superscript"/>
        </w:rPr>
        <w:t>2</w:t>
      </w:r>
      <w:r>
        <w:rPr>
          <w:rFonts w:ascii="Times New Roman" w:hAnsi="Times New Roman"/>
          <w:color w:val="auto"/>
          <w:highlight w:val="none"/>
        </w:rPr>
        <w:t>，场区绿化带沿场区线形道路布置，边界种植高大的乔木以分隔生产区和周边环境，场内空闲区域种植花草以美化环境，形成一个良好的工作环境。</w:t>
      </w:r>
    </w:p>
    <w:bookmarkEnd w:id="122"/>
    <w:bookmarkEnd w:id="123"/>
    <w:p>
      <w:pPr>
        <w:pStyle w:val="7"/>
        <w:keepNext/>
        <w:keepLines/>
        <w:pageBreakBefore w:val="0"/>
        <w:widowControl w:val="0"/>
        <w:kinsoku/>
        <w:wordWrap/>
        <w:overflowPunct/>
        <w:topLinePunct w:val="0"/>
        <w:autoSpaceDE/>
        <w:autoSpaceDN/>
        <w:bidi w:val="0"/>
        <w:adjustRightInd/>
        <w:snapToGrid/>
        <w:spacing w:line="240" w:lineRule="auto"/>
        <w:ind w:left="578" w:hanging="578"/>
        <w:textAlignment w:val="auto"/>
        <w:rPr>
          <w:rFonts w:cs="Times New Roman"/>
          <w:color w:val="auto"/>
          <w:highlight w:val="none"/>
        </w:rPr>
      </w:pPr>
      <w:bookmarkStart w:id="129" w:name="_Toc31416"/>
      <w:bookmarkStart w:id="130" w:name="_Toc186533446"/>
      <w:r>
        <w:rPr>
          <w:rFonts w:cs="Times New Roman"/>
          <w:color w:val="auto"/>
          <w:highlight w:val="none"/>
        </w:rPr>
        <w:t>工程分析</w:t>
      </w:r>
      <w:bookmarkEnd w:id="129"/>
    </w:p>
    <w:p>
      <w:pPr>
        <w:pStyle w:val="8"/>
        <w:keepNext/>
        <w:keepLines/>
        <w:pageBreakBefore w:val="0"/>
        <w:widowControl w:val="0"/>
        <w:kinsoku/>
        <w:wordWrap/>
        <w:overflowPunct/>
        <w:topLinePunct w:val="0"/>
        <w:autoSpaceDE/>
        <w:autoSpaceDN/>
        <w:bidi w:val="0"/>
        <w:adjustRightInd/>
        <w:snapToGrid/>
        <w:spacing w:before="0" w:after="0" w:line="360" w:lineRule="auto"/>
        <w:ind w:left="0" w:firstLine="0"/>
        <w:textAlignment w:val="auto"/>
        <w:rPr>
          <w:rFonts w:cs="Times New Roman"/>
          <w:color w:val="auto"/>
          <w:highlight w:val="none"/>
        </w:rPr>
      </w:pPr>
      <w:bookmarkStart w:id="131" w:name="_Toc7472"/>
      <w:bookmarkStart w:id="132" w:name="_Toc32075"/>
      <w:bookmarkStart w:id="133" w:name="_Toc18760"/>
      <w:r>
        <w:rPr>
          <w:rFonts w:hint="eastAsia" w:cs="Times New Roman"/>
          <w:color w:val="auto"/>
          <w:highlight w:val="none"/>
        </w:rPr>
        <w:t>施工期工艺流程</w:t>
      </w:r>
      <w:bookmarkEnd w:id="131"/>
      <w:bookmarkEnd w:id="132"/>
      <w:bookmarkEnd w:id="133"/>
    </w:p>
    <w:p>
      <w:pPr>
        <w:ind w:firstLine="480"/>
        <w:rPr>
          <w:color w:val="auto"/>
          <w:sz w:val="24"/>
          <w:szCs w:val="24"/>
          <w:highlight w:val="none"/>
        </w:rPr>
      </w:pPr>
      <w:r>
        <w:rPr>
          <w:color w:val="auto"/>
          <w:sz w:val="24"/>
          <w:szCs w:val="24"/>
          <w:highlight w:val="none"/>
        </w:rPr>
        <w:t>本项目施工按照基础工程——主体工程——装饰工程——设备安装的次序安排施工方案，施工过程中所用到的主要施工方法有：基础构造柱和圈梁、施工材料的装运等。采用的施工机械主要有：推土机、挖掘机、载重汽车、振捣器、打桩机、塔吊等。工程施工期间对环境的影响主要表现在基础工程、主体工程、装饰工程、设备安装等建设工序将产生噪声、扬尘、固体废弃物、少量污水和废气等污染物，其排放量随工期和施工强度不同而有所变化。施工期工艺流程及产污环节见图3.</w:t>
      </w:r>
      <w:r>
        <w:rPr>
          <w:rFonts w:hint="eastAsia"/>
          <w:color w:val="auto"/>
          <w:sz w:val="24"/>
          <w:szCs w:val="24"/>
          <w:highlight w:val="none"/>
          <w:lang w:val="en-US" w:eastAsia="zh-CN"/>
        </w:rPr>
        <w:t>2</w:t>
      </w:r>
      <w:r>
        <w:rPr>
          <w:color w:val="auto"/>
          <w:sz w:val="24"/>
          <w:szCs w:val="24"/>
          <w:highlight w:val="none"/>
        </w:rPr>
        <w:t>-1。</w:t>
      </w:r>
    </w:p>
    <w:p>
      <w:pPr>
        <w:adjustRightInd w:val="0"/>
        <w:snapToGrid w:val="0"/>
        <w:spacing w:before="120" w:beforeLines="50" w:after="120" w:afterLines="50" w:line="360" w:lineRule="auto"/>
        <w:ind w:firstLine="0" w:firstLineChars="0"/>
        <w:jc w:val="left"/>
        <w:rPr>
          <w:color w:val="auto"/>
          <w:spacing w:val="-4"/>
          <w:sz w:val="26"/>
          <w:szCs w:val="26"/>
          <w:highlight w:val="none"/>
        </w:rPr>
      </w:pPr>
      <w:r>
        <w:rPr>
          <w:color w:val="auto"/>
          <w:highlight w:val="none"/>
        </w:rPr>
        <w:drawing>
          <wp:inline distT="0" distB="0" distL="114300" distR="114300">
            <wp:extent cx="5219065" cy="2180590"/>
            <wp:effectExtent l="0" t="0" r="635" b="10160"/>
            <wp:docPr id="2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1"/>
                    <pic:cNvPicPr>
                      <a:picLocks noChangeAspect="1"/>
                    </pic:cNvPicPr>
                  </pic:nvPicPr>
                  <pic:blipFill>
                    <a:blip r:embed="rId19"/>
                    <a:stretch>
                      <a:fillRect/>
                    </a:stretch>
                  </pic:blipFill>
                  <pic:spPr>
                    <a:xfrm>
                      <a:off x="0" y="0"/>
                      <a:ext cx="5219065" cy="2180590"/>
                    </a:xfrm>
                    <a:prstGeom prst="rect">
                      <a:avLst/>
                    </a:prstGeom>
                    <a:noFill/>
                    <a:ln>
                      <a:noFill/>
                    </a:ln>
                  </pic:spPr>
                </pic:pic>
              </a:graphicData>
            </a:graphic>
          </wp:inline>
        </w:drawing>
      </w:r>
    </w:p>
    <w:p>
      <w:pPr>
        <w:pStyle w:val="2504"/>
        <w:numPr>
          <w:ilvl w:val="0"/>
          <w:numId w:val="23"/>
        </w:numPr>
        <w:spacing w:before="120" w:line="360" w:lineRule="auto"/>
        <w:ind w:left="0" w:leftChars="0" w:firstLine="403" w:firstLineChars="0"/>
        <w:rPr>
          <w:rFonts w:ascii="Times New Roman" w:hAnsi="Times New Roman"/>
          <w:color w:val="auto"/>
          <w:highlight w:val="none"/>
        </w:rPr>
      </w:pPr>
      <w:r>
        <w:rPr>
          <w:rFonts w:hint="default" w:ascii="Times New Roman" w:hAnsi="Times New Roman" w:cs="Times New Roman"/>
          <w:color w:val="auto"/>
          <w:highlight w:val="none"/>
        </w:rPr>
        <w:t xml:space="preserve">  施工期工艺流程及产污环节示意图</w:t>
      </w:r>
    </w:p>
    <w:p>
      <w:pPr>
        <w:pStyle w:val="8"/>
        <w:keepNext/>
        <w:keepLines/>
        <w:pageBreakBefore w:val="0"/>
        <w:widowControl w:val="0"/>
        <w:kinsoku/>
        <w:wordWrap/>
        <w:overflowPunct/>
        <w:topLinePunct w:val="0"/>
        <w:autoSpaceDE/>
        <w:autoSpaceDN/>
        <w:bidi w:val="0"/>
        <w:adjustRightInd/>
        <w:snapToGrid/>
        <w:spacing w:before="0" w:after="0" w:line="360" w:lineRule="auto"/>
        <w:ind w:left="0" w:firstLine="0"/>
        <w:textAlignment w:val="auto"/>
        <w:rPr>
          <w:rFonts w:hint="eastAsia" w:cs="Times New Roman"/>
          <w:color w:val="auto"/>
          <w:highlight w:val="none"/>
        </w:rPr>
      </w:pPr>
      <w:bookmarkStart w:id="134" w:name="_Toc25473"/>
      <w:r>
        <w:rPr>
          <w:rFonts w:hint="eastAsia" w:cs="Times New Roman"/>
          <w:color w:val="auto"/>
          <w:highlight w:val="none"/>
        </w:rPr>
        <w:t>施工期主要污染工序</w:t>
      </w:r>
      <w:bookmarkEnd w:id="134"/>
    </w:p>
    <w:p>
      <w:pPr>
        <w:pStyle w:val="9"/>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主要污染工序</w:t>
      </w:r>
    </w:p>
    <w:p>
      <w:pPr>
        <w:pStyle w:val="24"/>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工程建设施工期对环境的影响主要表现为：声环境、环境空气、地表水环境等的影响。在施工过程中，由于</w:t>
      </w:r>
      <w:r>
        <w:rPr>
          <w:rFonts w:hint="eastAsia" w:cs="Times New Roman"/>
          <w:color w:val="auto"/>
          <w:sz w:val="24"/>
          <w:szCs w:val="24"/>
          <w:highlight w:val="none"/>
          <w:lang w:eastAsia="zh-CN"/>
        </w:rPr>
        <w:t>场地的平整、</w:t>
      </w:r>
      <w:r>
        <w:rPr>
          <w:rFonts w:hint="default" w:ascii="Times New Roman" w:hAnsi="Times New Roman" w:cs="Times New Roman"/>
          <w:color w:val="auto"/>
          <w:sz w:val="24"/>
          <w:szCs w:val="24"/>
          <w:highlight w:val="none"/>
        </w:rPr>
        <w:t>土方的挖掘、运输、堆积等，原材料运输等都带来扬尘、噪声等环境污染。挖方过程中产生的弃土在不利气象条件下易造成水土流失。施工期的主要污染工序简析如下：</w:t>
      </w:r>
    </w:p>
    <w:p>
      <w:pPr>
        <w:pStyle w:val="24"/>
        <w:numPr>
          <w:ilvl w:val="0"/>
          <w:numId w:val="24"/>
        </w:numPr>
        <w:ind w:firstLine="482"/>
        <w:rPr>
          <w:rFonts w:hint="eastAsia" w:cs="Times New Roman"/>
          <w:b/>
          <w:color w:val="auto"/>
          <w:sz w:val="24"/>
          <w:szCs w:val="24"/>
          <w:highlight w:val="none"/>
          <w:lang w:val="en-US" w:eastAsia="zh-CN"/>
        </w:rPr>
      </w:pPr>
      <w:r>
        <w:rPr>
          <w:rFonts w:hint="eastAsia" w:cs="Times New Roman"/>
          <w:b/>
          <w:color w:val="auto"/>
          <w:sz w:val="24"/>
          <w:szCs w:val="24"/>
          <w:highlight w:val="none"/>
          <w:lang w:val="en-US" w:eastAsia="zh-CN"/>
        </w:rPr>
        <w:t>场地平整</w:t>
      </w:r>
    </w:p>
    <w:p>
      <w:pPr>
        <w:pStyle w:val="24"/>
        <w:ind w:firstLine="48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项目场地平整主要包括砍树、场地清理以及对基地进行平整开挖，挖出的土方部分回填，剩余土方用于绿化。项目在开挖的同时，尽可能短的时间内完成开挖、排管、回填工作。</w:t>
      </w:r>
    </w:p>
    <w:p>
      <w:pPr>
        <w:pStyle w:val="24"/>
        <w:ind w:firstLine="482"/>
        <w:rPr>
          <w:rFonts w:hint="default" w:ascii="Times New Roman" w:hAnsi="Times New Roman" w:cs="Times New Roman"/>
          <w:b/>
          <w:color w:val="auto"/>
          <w:sz w:val="24"/>
          <w:szCs w:val="24"/>
          <w:highlight w:val="none"/>
        </w:rPr>
      </w:pPr>
      <w:r>
        <w:rPr>
          <w:rFonts w:hint="eastAsia" w:cs="Times New Roman"/>
          <w:b/>
          <w:color w:val="auto"/>
          <w:sz w:val="24"/>
          <w:szCs w:val="24"/>
          <w:highlight w:val="none"/>
          <w:lang w:val="en-US" w:eastAsia="zh-CN"/>
        </w:rPr>
        <w:t>2</w:t>
      </w:r>
      <w:r>
        <w:rPr>
          <w:rFonts w:hint="default" w:ascii="Times New Roman" w:hAnsi="Times New Roman" w:cs="Times New Roman"/>
          <w:b/>
          <w:color w:val="auto"/>
          <w:sz w:val="24"/>
          <w:szCs w:val="24"/>
          <w:highlight w:val="none"/>
        </w:rPr>
        <w:t>、基础工程</w:t>
      </w:r>
    </w:p>
    <w:p>
      <w:pPr>
        <w:pStyle w:val="24"/>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项目建设基础土方（挖方、填方）、地基处理（岩土工程）与基础施工时，由打桩机、挖土机、运土卡车等运行时，将主要产生噪声；同时产生扬尘和工人施工生活废水；基础工程挖土方基本用于厂地绿化或进行回填，外运弃土量较小。</w:t>
      </w:r>
    </w:p>
    <w:p>
      <w:pPr>
        <w:pStyle w:val="24"/>
        <w:ind w:firstLine="482"/>
        <w:rPr>
          <w:rFonts w:hint="default" w:ascii="Times New Roman" w:hAnsi="Times New Roman" w:cs="Times New Roman"/>
          <w:b/>
          <w:color w:val="auto"/>
          <w:sz w:val="24"/>
          <w:szCs w:val="24"/>
          <w:highlight w:val="none"/>
        </w:rPr>
      </w:pPr>
      <w:r>
        <w:rPr>
          <w:rFonts w:hint="eastAsia" w:cs="Times New Roman"/>
          <w:b/>
          <w:color w:val="auto"/>
          <w:sz w:val="24"/>
          <w:szCs w:val="24"/>
          <w:highlight w:val="none"/>
          <w:lang w:val="en-US" w:eastAsia="zh-CN"/>
        </w:rPr>
        <w:t>3</w:t>
      </w:r>
      <w:r>
        <w:rPr>
          <w:rFonts w:hint="default" w:ascii="Times New Roman" w:hAnsi="Times New Roman" w:cs="Times New Roman"/>
          <w:b/>
          <w:color w:val="auto"/>
          <w:sz w:val="24"/>
          <w:szCs w:val="24"/>
          <w:highlight w:val="none"/>
        </w:rPr>
        <w:t>、主体工程</w:t>
      </w:r>
    </w:p>
    <w:p>
      <w:pPr>
        <w:pStyle w:val="24"/>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由混凝土振捣棒、卷扬机、钢筋切割机等施工机械运行产生噪声，挖土、堆场、汽车运输等工程产生扬尘，原材料废弃料及生产和生活污水。</w:t>
      </w:r>
    </w:p>
    <w:p>
      <w:pPr>
        <w:pStyle w:val="24"/>
        <w:ind w:firstLine="482"/>
        <w:rPr>
          <w:rFonts w:hint="default" w:ascii="Times New Roman" w:hAnsi="Times New Roman" w:cs="Times New Roman"/>
          <w:b/>
          <w:color w:val="auto"/>
          <w:sz w:val="24"/>
          <w:szCs w:val="24"/>
          <w:highlight w:val="none"/>
        </w:rPr>
      </w:pPr>
      <w:r>
        <w:rPr>
          <w:rFonts w:hint="eastAsia" w:cs="Times New Roman"/>
          <w:b/>
          <w:color w:val="auto"/>
          <w:sz w:val="24"/>
          <w:szCs w:val="24"/>
          <w:highlight w:val="none"/>
          <w:lang w:val="en-US" w:eastAsia="zh-CN"/>
        </w:rPr>
        <w:t>4</w:t>
      </w:r>
      <w:r>
        <w:rPr>
          <w:rFonts w:hint="default" w:ascii="Times New Roman" w:hAnsi="Times New Roman" w:cs="Times New Roman"/>
          <w:b/>
          <w:color w:val="auto"/>
          <w:sz w:val="24"/>
          <w:szCs w:val="24"/>
          <w:highlight w:val="none"/>
        </w:rPr>
        <w:t>、装饰、绿化工程</w:t>
      </w:r>
    </w:p>
    <w:p>
      <w:pPr>
        <w:pStyle w:val="24"/>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对构筑物室内外进行装修时（如表面粉刷、油漆、喷涂、裱糊等），钻机、电锤、切割机等产生噪声，油漆和喷涂产生废气，废弃物料及生活污水。</w:t>
      </w:r>
    </w:p>
    <w:p>
      <w:pPr>
        <w:pStyle w:val="24"/>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总体来讲，工程在施工期以施工噪声、废弃物料（废渣）和废水为主要污染物，但这些污染物随着施工的结束而消除。</w:t>
      </w:r>
    </w:p>
    <w:p>
      <w:pPr>
        <w:pStyle w:val="9"/>
        <w:bidi w:val="0"/>
        <w:rPr>
          <w:rFonts w:hint="eastAsia" w:cs="Times New Roman"/>
          <w:color w:val="auto"/>
          <w:highlight w:val="none"/>
        </w:rPr>
      </w:pPr>
      <w:r>
        <w:rPr>
          <w:rFonts w:hint="eastAsia" w:cs="Times New Roman"/>
          <w:color w:val="auto"/>
          <w:highlight w:val="none"/>
        </w:rPr>
        <w:t>主要污染因素</w:t>
      </w:r>
    </w:p>
    <w:p>
      <w:pPr>
        <w:pStyle w:val="24"/>
        <w:spacing w:line="440" w:lineRule="exact"/>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施工期污染因素主要为圈舍、厂房修建产生的建筑废渣、建筑噪声、扬尘、施工人员的生活污水。</w:t>
      </w:r>
    </w:p>
    <w:p>
      <w:pPr>
        <w:pStyle w:val="24"/>
        <w:spacing w:line="440" w:lineRule="exact"/>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1、废气：各类燃油动力机械施工作业时会排出各类燃油废气，排放的主要污染物为CO、NOx、SO</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、烟尘。土石方装卸、运输时产生的扬尘，排放的主要污染物为TSP。</w:t>
      </w:r>
    </w:p>
    <w:p>
      <w:pPr>
        <w:pStyle w:val="24"/>
        <w:spacing w:line="440" w:lineRule="exact"/>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2、废水：施工人员产生的生活污水，主要污染物为BOD</w:t>
      </w:r>
      <w:r>
        <w:rPr>
          <w:rFonts w:hint="default" w:ascii="Times New Roman" w:hAnsi="Times New Roman" w:cs="Times New Roman"/>
          <w:color w:val="auto"/>
          <w:sz w:val="24"/>
          <w:szCs w:val="24"/>
          <w:highlight w:val="none"/>
          <w:vertAlign w:val="subscript"/>
        </w:rPr>
        <w:t>5</w:t>
      </w:r>
      <w:r>
        <w:rPr>
          <w:rFonts w:hint="default" w:ascii="Times New Roman" w:hAnsi="Times New Roman" w:cs="Times New Roman"/>
          <w:color w:val="auto"/>
          <w:sz w:val="24"/>
          <w:szCs w:val="24"/>
          <w:highlight w:val="none"/>
        </w:rPr>
        <w:t>、COD、NH</w:t>
      </w:r>
      <w:r>
        <w:rPr>
          <w:rFonts w:hint="default" w:ascii="Times New Roman" w:hAnsi="Times New Roman" w:cs="Times New Roman"/>
          <w:color w:val="auto"/>
          <w:sz w:val="24"/>
          <w:szCs w:val="24"/>
          <w:highlight w:val="none"/>
          <w:vertAlign w:val="subscript"/>
        </w:rPr>
        <w:t>3</w:t>
      </w:r>
      <w:r>
        <w:rPr>
          <w:rFonts w:hint="default" w:ascii="Times New Roman" w:hAnsi="Times New Roman" w:cs="Times New Roman"/>
          <w:color w:val="auto"/>
          <w:sz w:val="24"/>
          <w:szCs w:val="24"/>
          <w:highlight w:val="none"/>
        </w:rPr>
        <w:t>-N、SS。运输车辆冲洗水、混凝土工程的灰浆，主要污染物为SS、石油类等。</w:t>
      </w:r>
    </w:p>
    <w:p>
      <w:pPr>
        <w:pStyle w:val="24"/>
        <w:spacing w:line="440" w:lineRule="exact"/>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3、噪声：各类施工机械和运输车辆等施工作业时产生的设备噪声。</w:t>
      </w:r>
    </w:p>
    <w:p>
      <w:pPr>
        <w:pStyle w:val="24"/>
        <w:spacing w:line="440" w:lineRule="exact"/>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4、固废：基础工程施工时产生挖掘的土方和建筑垃圾等。</w:t>
      </w:r>
    </w:p>
    <w:p>
      <w:pPr>
        <w:pStyle w:val="8"/>
        <w:keepNext/>
        <w:keepLines/>
        <w:pageBreakBefore w:val="0"/>
        <w:widowControl w:val="0"/>
        <w:kinsoku/>
        <w:wordWrap/>
        <w:overflowPunct/>
        <w:topLinePunct w:val="0"/>
        <w:autoSpaceDE/>
        <w:autoSpaceDN/>
        <w:bidi w:val="0"/>
        <w:adjustRightInd/>
        <w:snapToGrid/>
        <w:spacing w:before="0" w:after="0" w:line="360" w:lineRule="auto"/>
        <w:ind w:left="0" w:firstLine="0"/>
        <w:textAlignment w:val="auto"/>
        <w:rPr>
          <w:rFonts w:hint="eastAsia" w:cs="Times New Roman"/>
          <w:color w:val="auto"/>
          <w:highlight w:val="none"/>
        </w:rPr>
      </w:pPr>
      <w:bookmarkStart w:id="135" w:name="_Toc111022442"/>
      <w:bookmarkStart w:id="136" w:name="_Toc110935445"/>
      <w:bookmarkStart w:id="137" w:name="_Toc111453586"/>
      <w:bookmarkStart w:id="138" w:name="_Toc110935813"/>
      <w:bookmarkStart w:id="139" w:name="_Toc387831647"/>
      <w:bookmarkStart w:id="140" w:name="_Toc360634812"/>
      <w:bookmarkStart w:id="141" w:name="_Toc170544195"/>
      <w:bookmarkStart w:id="142" w:name="_Toc170707098"/>
      <w:bookmarkStart w:id="143" w:name="_Toc15047"/>
      <w:r>
        <w:rPr>
          <w:rFonts w:hint="eastAsia" w:cs="Times New Roman"/>
          <w:color w:val="auto"/>
          <w:highlight w:val="none"/>
        </w:rPr>
        <w:t>施工期主要污染物排放</w:t>
      </w:r>
      <w:bookmarkEnd w:id="135"/>
      <w:bookmarkEnd w:id="136"/>
      <w:bookmarkEnd w:id="137"/>
      <w:bookmarkEnd w:id="138"/>
      <w:r>
        <w:rPr>
          <w:rFonts w:hint="eastAsia" w:cs="Times New Roman"/>
          <w:color w:val="auto"/>
          <w:highlight w:val="none"/>
        </w:rPr>
        <w:t>及治理</w:t>
      </w:r>
      <w:bookmarkEnd w:id="139"/>
      <w:bookmarkEnd w:id="140"/>
      <w:bookmarkEnd w:id="141"/>
      <w:bookmarkEnd w:id="142"/>
      <w:r>
        <w:rPr>
          <w:rFonts w:hint="eastAsia" w:cs="Times New Roman"/>
          <w:color w:val="auto"/>
          <w:highlight w:val="none"/>
        </w:rPr>
        <w:t>措施</w:t>
      </w:r>
      <w:bookmarkEnd w:id="143"/>
    </w:p>
    <w:p>
      <w:pPr>
        <w:pStyle w:val="9"/>
        <w:bidi w:val="0"/>
        <w:rPr>
          <w:rFonts w:hint="eastAsia" w:cs="Times New Roman"/>
          <w:color w:val="auto"/>
          <w:highlight w:val="none"/>
        </w:rPr>
      </w:pPr>
      <w:r>
        <w:rPr>
          <w:rFonts w:hint="eastAsia" w:cs="Times New Roman"/>
          <w:color w:val="auto"/>
          <w:highlight w:val="none"/>
        </w:rPr>
        <w:t>施工期废水的产生及治理</w:t>
      </w:r>
    </w:p>
    <w:p>
      <w:pPr>
        <w:ind w:firstLine="480"/>
        <w:rPr>
          <w:color w:val="auto"/>
          <w:sz w:val="24"/>
          <w:szCs w:val="24"/>
          <w:highlight w:val="none"/>
        </w:rPr>
      </w:pPr>
      <w:r>
        <w:rPr>
          <w:color w:val="auto"/>
          <w:sz w:val="24"/>
          <w:szCs w:val="24"/>
          <w:highlight w:val="none"/>
        </w:rPr>
        <w:t>施工期产生的废水包括施工人员生活污水、施工作业废水和暴雨径流初期雨水。</w:t>
      </w:r>
    </w:p>
    <w:p>
      <w:pPr>
        <w:ind w:firstLine="482"/>
        <w:rPr>
          <w:b/>
          <w:color w:val="auto"/>
          <w:sz w:val="24"/>
          <w:szCs w:val="24"/>
          <w:highlight w:val="none"/>
        </w:rPr>
      </w:pPr>
      <w:r>
        <w:rPr>
          <w:b/>
          <w:color w:val="auto"/>
          <w:sz w:val="24"/>
          <w:szCs w:val="24"/>
          <w:highlight w:val="none"/>
        </w:rPr>
        <w:t>1、生活污水</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本项目施工期不在场地内设施工营地，施工人员依托周边居民房屋食宿，仅在施工场地设临时简易</w:t>
      </w:r>
      <w:r>
        <w:rPr>
          <w:rFonts w:hint="eastAsia" w:ascii="Times New Roman" w:hAnsi="Times New Roman" w:cs="Times New Roman"/>
          <w:color w:val="auto"/>
          <w:sz w:val="24"/>
          <w:szCs w:val="24"/>
          <w:highlight w:val="none"/>
          <w:lang w:eastAsia="zh-CN"/>
        </w:rPr>
        <w:t>预处理池</w:t>
      </w:r>
      <w:r>
        <w:rPr>
          <w:rFonts w:hint="default" w:ascii="Times New Roman" w:hAnsi="Times New Roman" w:cs="Times New Roman"/>
          <w:color w:val="auto"/>
          <w:sz w:val="24"/>
          <w:szCs w:val="24"/>
          <w:highlight w:val="none"/>
        </w:rPr>
        <w:t>。施工高峰期施工人员约100人，施工人员生活用水以50L/（人·d）计，用水量为5.0m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/d，污水产生量约占用水量的80%，即4.0m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/d。根据同类工程调查，施工生活污水主要污染物的产生浓度为：COD：350mg/L、NH</w:t>
      </w:r>
      <w:r>
        <w:rPr>
          <w:rFonts w:hint="default" w:ascii="Times New Roman" w:hAnsi="Times New Roman" w:cs="Times New Roman"/>
          <w:color w:val="auto"/>
          <w:sz w:val="24"/>
          <w:szCs w:val="24"/>
          <w:highlight w:val="none"/>
          <w:vertAlign w:val="subscript"/>
        </w:rPr>
        <w:t>3</w:t>
      </w:r>
      <w:r>
        <w:rPr>
          <w:rFonts w:hint="default" w:ascii="Times New Roman" w:hAnsi="Times New Roman" w:cs="Times New Roman"/>
          <w:color w:val="auto"/>
          <w:sz w:val="24"/>
          <w:szCs w:val="24"/>
          <w:highlight w:val="none"/>
        </w:rPr>
        <w:t>-N：35mg/L。</w:t>
      </w:r>
    </w:p>
    <w:p>
      <w:pPr>
        <w:ind w:firstLine="482"/>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防治措施：</w:t>
      </w:r>
      <w:r>
        <w:rPr>
          <w:rFonts w:hint="default" w:ascii="Times New Roman" w:hAnsi="Times New Roman" w:cs="Times New Roman"/>
          <w:color w:val="auto"/>
          <w:sz w:val="24"/>
          <w:szCs w:val="24"/>
          <w:highlight w:val="none"/>
        </w:rPr>
        <w:t>施工人员生活污水进入临时简易</w:t>
      </w:r>
      <w:r>
        <w:rPr>
          <w:rFonts w:hint="eastAsia" w:ascii="Times New Roman" w:hAnsi="Times New Roman" w:cs="Times New Roman"/>
          <w:color w:val="auto"/>
          <w:sz w:val="24"/>
          <w:szCs w:val="24"/>
          <w:highlight w:val="none"/>
          <w:lang w:eastAsia="zh-CN"/>
        </w:rPr>
        <w:t>预处理池</w:t>
      </w:r>
      <w:r>
        <w:rPr>
          <w:rFonts w:hint="default" w:ascii="Times New Roman" w:hAnsi="Times New Roman" w:cs="Times New Roman"/>
          <w:color w:val="auto"/>
          <w:sz w:val="24"/>
          <w:szCs w:val="24"/>
          <w:highlight w:val="none"/>
        </w:rPr>
        <w:t>（10m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），经收集处理后定期清掏，用作周边耕地施肥。</w:t>
      </w:r>
    </w:p>
    <w:p>
      <w:pPr>
        <w:ind w:firstLine="482"/>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2、施工作业废水</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施工作业主要采用商品混凝土，废水主要为施工机械、车辆冲洗废水，产生量约3m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/d，主要污染物是悬浮物、石油类等。</w:t>
      </w:r>
    </w:p>
    <w:p>
      <w:pPr>
        <w:ind w:firstLine="482"/>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防治措施：</w:t>
      </w:r>
      <w:r>
        <w:rPr>
          <w:rFonts w:hint="default" w:ascii="Times New Roman" w:hAnsi="Times New Roman" w:cs="Times New Roman"/>
          <w:color w:val="auto"/>
          <w:sz w:val="24"/>
          <w:szCs w:val="24"/>
          <w:highlight w:val="none"/>
        </w:rPr>
        <w:t>施工场地修建1个临时隔油池1m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、1个临时沉淀池</w:t>
      </w:r>
      <w:r>
        <w:rPr>
          <w:rFonts w:hint="eastAsia" w:ascii="Times New Roman" w:hAnsi="Times New Roman" w:cs="Times New Roman"/>
          <w:color w:val="auto"/>
          <w:sz w:val="24"/>
          <w:szCs w:val="24"/>
          <w:highlight w:val="none"/>
          <w:lang w:val="en-US" w:eastAsia="zh-CN"/>
        </w:rPr>
        <w:t>10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，含SS、石油类的施工废水排入隔油池、沉淀池进行处理后回用于场地洒水降尘。</w:t>
      </w:r>
    </w:p>
    <w:p>
      <w:pPr>
        <w:ind w:firstLine="482"/>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3、暴雨径流初期雨水</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雨季，施工场地上暴雨形成的地表径流夹带建筑原料砂石、水泥，并对裸露地表对泥土有冲刷作用，造成水土流失。</w:t>
      </w:r>
    </w:p>
    <w:p>
      <w:pPr>
        <w:ind w:firstLine="482"/>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防治措施：</w:t>
      </w:r>
      <w:r>
        <w:rPr>
          <w:rFonts w:hint="default" w:ascii="Times New Roman" w:hAnsi="Times New Roman" w:cs="Times New Roman"/>
          <w:color w:val="auto"/>
          <w:sz w:val="24"/>
          <w:szCs w:val="24"/>
          <w:highlight w:val="none"/>
        </w:rPr>
        <w:t>修建临时截水沟及1个20</w:t>
      </w:r>
      <w:r>
        <w:rPr>
          <w:rFonts w:hint="eastAsia" w:ascii="Times New Roman" w:hAnsi="Times New Roman" w:cs="Times New Roman"/>
          <w:color w:val="auto"/>
          <w:sz w:val="24"/>
          <w:szCs w:val="24"/>
          <w:highlight w:val="none"/>
          <w:lang w:val="en-US" w:eastAsia="zh-CN"/>
        </w:rPr>
        <w:t>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的沉砂池，收集的初期雨水回用于项目洒水抑尘；雨季应尽量减小地面坡度，减少开挖面，并争取土料随挖、随运，减少推土裸土的暴露时间，以避免受降雨直接冲刷；部分开挖土方将作为回填土，回填土临时堆场周边设置截水沟，施工材料的临时堆场设置遮雨棚，下雨时不会受到雨水冲击而流失，在暴雨期，还应采取应急措施，尽量用覆盖物覆盖新开挖的陡坡，防止冲刷和塌崩等，可将雨季施工影响降至最低。</w:t>
      </w:r>
    </w:p>
    <w:p>
      <w:pPr>
        <w:pStyle w:val="2504"/>
        <w:numPr>
          <w:ilvl w:val="0"/>
          <w:numId w:val="25"/>
        </w:numPr>
        <w:spacing w:before="120"/>
        <w:ind w:left="0" w:leftChars="0" w:firstLine="403"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施工期废水产生及排放情况</w:t>
      </w:r>
    </w:p>
    <w:tbl>
      <w:tblPr>
        <w:tblStyle w:val="91"/>
        <w:tblW w:w="4998" w:type="pct"/>
        <w:tblInd w:w="0" w:type="dxa"/>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1241"/>
        <w:gridCol w:w="812"/>
        <w:gridCol w:w="1811"/>
        <w:gridCol w:w="1879"/>
        <w:gridCol w:w="1105"/>
        <w:gridCol w:w="1455"/>
      </w:tblGrid>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PrEx>
        <w:tc>
          <w:tcPr>
            <w:tcW w:w="123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污染物名称</w:t>
            </w:r>
          </w:p>
        </w:tc>
        <w:tc>
          <w:tcPr>
            <w:tcW w:w="1090"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产生浓度及产生量</w:t>
            </w:r>
          </w:p>
        </w:tc>
        <w:tc>
          <w:tcPr>
            <w:tcW w:w="113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处理措施</w:t>
            </w:r>
          </w:p>
        </w:tc>
        <w:tc>
          <w:tcPr>
            <w:tcW w:w="665" w:type="pct"/>
            <w:noWrap w:val="0"/>
            <w:vAlign w:val="center"/>
          </w:tcPr>
          <w:p>
            <w:pPr>
              <w:pStyle w:val="167"/>
              <w:keepNext w:val="0"/>
              <w:keepLines w:val="0"/>
              <w:suppressLineNumbers w:val="0"/>
              <w:kinsoku w:val="0"/>
              <w:overflowPunct w:val="0"/>
              <w:spacing w:before="0" w:beforeAutospacing="0" w:after="0" w:afterAutospacing="0"/>
              <w:ind w:left="0" w:right="18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排放浓度</w:t>
            </w:r>
            <w:r>
              <w:rPr>
                <w:rFonts w:hint="default" w:ascii="Times New Roman" w:hAnsi="Times New Roman" w:cs="Times New Roman"/>
                <w:b/>
                <w:bCs/>
                <w:color w:val="auto"/>
                <w:w w:val="99"/>
                <w:sz w:val="21"/>
                <w:szCs w:val="21"/>
                <w:highlight w:val="none"/>
              </w:rPr>
              <w:t xml:space="preserve"> </w:t>
            </w:r>
            <w:r>
              <w:rPr>
                <w:rFonts w:hint="default" w:ascii="Times New Roman" w:hAnsi="Times New Roman" w:cs="Times New Roman"/>
                <w:b/>
                <w:bCs/>
                <w:color w:val="auto"/>
                <w:sz w:val="21"/>
                <w:szCs w:val="21"/>
                <w:highlight w:val="none"/>
              </w:rPr>
              <w:t>及排放量</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5"/>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去向</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PrEx>
        <w:tc>
          <w:tcPr>
            <w:tcW w:w="747" w:type="pct"/>
            <w:vMerge w:val="restar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生活污水</w:t>
            </w:r>
          </w:p>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/d）</w:t>
            </w:r>
          </w:p>
        </w:tc>
        <w:tc>
          <w:tcPr>
            <w:tcW w:w="48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position w:val="2"/>
                <w:sz w:val="21"/>
                <w:szCs w:val="21"/>
                <w:highlight w:val="none"/>
              </w:rPr>
              <w:t>COD</w:t>
            </w:r>
          </w:p>
        </w:tc>
        <w:tc>
          <w:tcPr>
            <w:tcW w:w="1090"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350mg/L，1.40kg/d</w:t>
            </w:r>
          </w:p>
        </w:tc>
        <w:tc>
          <w:tcPr>
            <w:tcW w:w="1131" w:type="pct"/>
            <w:vMerge w:val="restar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排入场地内临时简易</w:t>
            </w:r>
            <w:r>
              <w:rPr>
                <w:rFonts w:hint="eastAsia" w:ascii="Times New Roman" w:hAnsi="Times New Roman" w:cs="Times New Roman"/>
                <w:color w:val="auto"/>
                <w:sz w:val="21"/>
                <w:szCs w:val="21"/>
                <w:highlight w:val="none"/>
                <w:lang w:eastAsia="zh-CN"/>
              </w:rPr>
              <w:t>预处理池</w:t>
            </w:r>
            <w:r>
              <w:rPr>
                <w:rFonts w:hint="default" w:ascii="Times New Roman" w:hAnsi="Times New Roman" w:cs="Times New Roman"/>
                <w:color w:val="auto"/>
                <w:sz w:val="21"/>
                <w:szCs w:val="21"/>
                <w:highlight w:val="none"/>
              </w:rPr>
              <w:t>（10m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p>
        </w:tc>
        <w:tc>
          <w:tcPr>
            <w:tcW w:w="665"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0</w:t>
            </w:r>
          </w:p>
        </w:tc>
        <w:tc>
          <w:tcPr>
            <w:tcW w:w="876" w:type="pct"/>
            <w:vMerge w:val="restar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周边耕地施肥</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PrEx>
        <w:tc>
          <w:tcPr>
            <w:tcW w:w="747" w:type="pct"/>
            <w:vMerge w:val="continue"/>
            <w:noWrap w:val="0"/>
            <w:vAlign w:val="center"/>
          </w:tcPr>
          <w:p>
            <w:pPr>
              <w:pStyle w:val="167"/>
              <w:keepNext w:val="0"/>
              <w:keepLines w:val="0"/>
              <w:suppressLineNumbers w:val="0"/>
              <w:kinsoku w:val="0"/>
              <w:overflowPunct w:val="0"/>
              <w:spacing w:before="0" w:beforeAutospacing="0" w:after="0" w:afterAutospacing="0"/>
              <w:ind w:left="167" w:right="0"/>
              <w:jc w:val="center"/>
              <w:rPr>
                <w:rFonts w:hint="default" w:ascii="Times New Roman" w:hAnsi="Times New Roman" w:cs="Times New Roman"/>
                <w:color w:val="auto"/>
                <w:sz w:val="21"/>
                <w:szCs w:val="21"/>
                <w:highlight w:val="none"/>
              </w:rPr>
            </w:pPr>
          </w:p>
        </w:tc>
        <w:tc>
          <w:tcPr>
            <w:tcW w:w="48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position w:val="2"/>
                <w:sz w:val="21"/>
                <w:szCs w:val="21"/>
                <w:highlight w:val="none"/>
              </w:rPr>
              <w:t>NH</w:t>
            </w:r>
            <w:r>
              <w:rPr>
                <w:rFonts w:hint="default" w:ascii="Times New Roman" w:hAnsi="Times New Roman" w:cs="Times New Roman"/>
                <w:color w:val="auto"/>
                <w:sz w:val="21"/>
                <w:szCs w:val="21"/>
                <w:highlight w:val="none"/>
                <w:vertAlign w:val="subscript"/>
              </w:rPr>
              <w:t>3</w:t>
            </w:r>
            <w:r>
              <w:rPr>
                <w:rFonts w:hint="default" w:ascii="Times New Roman" w:hAnsi="Times New Roman" w:cs="Times New Roman"/>
                <w:color w:val="auto"/>
                <w:position w:val="2"/>
                <w:sz w:val="21"/>
                <w:szCs w:val="21"/>
                <w:highlight w:val="none"/>
              </w:rPr>
              <w:t>-N</w:t>
            </w:r>
          </w:p>
        </w:tc>
        <w:tc>
          <w:tcPr>
            <w:tcW w:w="1090"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35mg/L，0.14kg/d</w:t>
            </w:r>
          </w:p>
        </w:tc>
        <w:tc>
          <w:tcPr>
            <w:tcW w:w="1131" w:type="pct"/>
            <w:vMerge w:val="continue"/>
            <w:noWrap w:val="0"/>
            <w:vAlign w:val="center"/>
          </w:tcPr>
          <w:p>
            <w:pPr>
              <w:pStyle w:val="167"/>
              <w:keepNext w:val="0"/>
              <w:keepLines w:val="0"/>
              <w:suppressLineNumbers w:val="0"/>
              <w:kinsoku w:val="0"/>
              <w:overflowPunct w:val="0"/>
              <w:spacing w:before="0" w:beforeAutospacing="0" w:after="0" w:afterAutospacing="0"/>
              <w:ind w:left="186" w:right="0"/>
              <w:jc w:val="center"/>
              <w:rPr>
                <w:rFonts w:hint="default" w:ascii="Times New Roman" w:hAnsi="Times New Roman" w:cs="Times New Roman"/>
                <w:color w:val="auto"/>
                <w:sz w:val="21"/>
                <w:szCs w:val="21"/>
                <w:highlight w:val="none"/>
              </w:rPr>
            </w:pPr>
          </w:p>
        </w:tc>
        <w:tc>
          <w:tcPr>
            <w:tcW w:w="665"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0</w:t>
            </w:r>
          </w:p>
        </w:tc>
        <w:tc>
          <w:tcPr>
            <w:tcW w:w="876" w:type="pct"/>
            <w:vMerge w:val="continue"/>
            <w:noWrap w:val="0"/>
            <w:vAlign w:val="center"/>
          </w:tcPr>
          <w:p>
            <w:pPr>
              <w:pStyle w:val="167"/>
              <w:keepNext w:val="0"/>
              <w:keepLines w:val="0"/>
              <w:suppressLineNumbers w:val="0"/>
              <w:kinsoku w:val="0"/>
              <w:overflowPunct w:val="0"/>
              <w:spacing w:before="0" w:beforeAutospacing="0" w:after="0" w:afterAutospacing="0"/>
              <w:ind w:left="1" w:right="0"/>
              <w:jc w:val="center"/>
              <w:rPr>
                <w:rFonts w:hint="default" w:ascii="Times New Roman" w:hAnsi="Times New Roman" w:cs="Times New Roman"/>
                <w:color w:val="auto"/>
                <w:sz w:val="21"/>
                <w:szCs w:val="21"/>
                <w:highlight w:val="none"/>
              </w:rPr>
            </w:pP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PrEx>
        <w:tc>
          <w:tcPr>
            <w:tcW w:w="123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施工机械冲洗废水</w:t>
            </w:r>
          </w:p>
        </w:tc>
        <w:tc>
          <w:tcPr>
            <w:tcW w:w="1090"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/d</w:t>
            </w:r>
          </w:p>
        </w:tc>
        <w:tc>
          <w:tcPr>
            <w:tcW w:w="1131" w:type="pct"/>
            <w:noWrap w:val="0"/>
            <w:vAlign w:val="center"/>
          </w:tcPr>
          <w:p>
            <w:pPr>
              <w:pStyle w:val="167"/>
              <w:keepNext w:val="0"/>
              <w:keepLines w:val="0"/>
              <w:suppressLineNumbers w:val="0"/>
              <w:kinsoku w:val="0"/>
              <w:overflowPunct w:val="0"/>
              <w:spacing w:before="0" w:beforeAutospacing="0" w:after="0" w:afterAutospacing="0"/>
              <w:ind w:left="0" w:right="102"/>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隔油池（1m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）、沉淀池（</w:t>
            </w:r>
            <w:r>
              <w:rPr>
                <w:rFonts w:hint="eastAsia" w:ascii="Times New Roman" w:hAnsi="Times New Roman" w:cs="Times New Roman"/>
                <w:color w:val="auto"/>
                <w:sz w:val="21"/>
                <w:szCs w:val="21"/>
                <w:highlight w:val="none"/>
                <w:lang w:val="en-US" w:eastAsia="zh-CN"/>
              </w:rPr>
              <w:t>10</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p>
        </w:tc>
        <w:tc>
          <w:tcPr>
            <w:tcW w:w="665"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0</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回用于场地洒水降尘</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PrEx>
        <w:tc>
          <w:tcPr>
            <w:tcW w:w="1236"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暴雨径流初期雨水</w:t>
            </w:r>
          </w:p>
        </w:tc>
        <w:tc>
          <w:tcPr>
            <w:tcW w:w="1090"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/次</w:t>
            </w:r>
          </w:p>
        </w:tc>
        <w:tc>
          <w:tcPr>
            <w:tcW w:w="113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w:t>
            </w:r>
            <w:r>
              <w:rPr>
                <w:rFonts w:hint="eastAsia" w:ascii="Times New Roman" w:hAnsi="Times New Roman"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沉淀池</w:t>
            </w:r>
          </w:p>
        </w:tc>
        <w:tc>
          <w:tcPr>
            <w:tcW w:w="665"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0</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场地洒水降尘</w:t>
            </w:r>
          </w:p>
        </w:tc>
      </w:tr>
    </w:tbl>
    <w:p>
      <w:pPr>
        <w:pStyle w:val="9"/>
        <w:bidi w:val="0"/>
        <w:rPr>
          <w:rFonts w:hint="eastAsia" w:cs="Times New Roman"/>
          <w:color w:val="auto"/>
          <w:highlight w:val="none"/>
        </w:rPr>
      </w:pPr>
      <w:r>
        <w:rPr>
          <w:rFonts w:hint="eastAsia" w:cs="Times New Roman"/>
          <w:color w:val="auto"/>
          <w:highlight w:val="none"/>
        </w:rPr>
        <w:t>施工期废气的产生及治理</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本项目施工期的大气污染物主要是扬尘，扬尘一般由土地平整、土方填挖、物料装卸和车辆运输造成的。</w:t>
      </w:r>
    </w:p>
    <w:p>
      <w:pPr>
        <w:ind w:firstLine="482"/>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1、施工车辆扬尘</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车辆行驶产生的扬尘，在完全干燥情况下，按下列经验公式计算：</w:t>
      </w:r>
    </w:p>
    <w:p>
      <w:pPr>
        <w:spacing w:line="240" w:lineRule="auto"/>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drawing>
          <wp:inline distT="0" distB="0" distL="114300" distR="114300">
            <wp:extent cx="2095500" cy="561975"/>
            <wp:effectExtent l="0" t="0" r="0" b="9525"/>
            <wp:docPr id="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0"/>
                    <pic:cNvPicPr>
                      <a:picLocks noChangeAspect="1"/>
                    </pic:cNvPicPr>
                  </pic:nvPicPr>
                  <pic:blipFill>
                    <a:blip r:embed="rId20"/>
                    <a:stretch>
                      <a:fillRect/>
                    </a:stretch>
                  </pic:blipFill>
                  <pic:spPr>
                    <a:xfrm>
                      <a:off x="0" y="0"/>
                      <a:ext cx="2095500" cy="561975"/>
                    </a:xfrm>
                    <a:prstGeom prst="rect">
                      <a:avLst/>
                    </a:prstGeom>
                    <a:noFill/>
                    <a:ln>
                      <a:noFill/>
                    </a:ln>
                  </pic:spPr>
                </pic:pic>
              </a:graphicData>
            </a:graphic>
          </wp:inline>
        </w:drawing>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式中：Q——汽车行驶的扬尘，kg/km·辆；</w:t>
      </w:r>
    </w:p>
    <w:p>
      <w:pPr>
        <w:ind w:firstLine="1200" w:firstLineChars="5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V——汽车速度，km/hr；</w:t>
      </w:r>
    </w:p>
    <w:p>
      <w:pPr>
        <w:ind w:firstLine="1200" w:firstLineChars="5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W——汽车载重量，吨；</w:t>
      </w:r>
    </w:p>
    <w:p>
      <w:pPr>
        <w:ind w:firstLine="1200" w:firstLineChars="5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P——道路表面粉尘量，kg/m</w:t>
      </w:r>
      <w:r>
        <w:rPr>
          <w:rFonts w:hint="default" w:ascii="Times New Roman" w:hAnsi="Times New Roman" w:cs="Times New Roman"/>
          <w:color w:val="auto"/>
          <w:position w:val="8"/>
          <w:sz w:val="24"/>
          <w:szCs w:val="24"/>
          <w:highlight w:val="none"/>
        </w:rPr>
        <w:t>2</w:t>
      </w:r>
      <w:r>
        <w:rPr>
          <w:rFonts w:hint="default" w:ascii="Times New Roman" w:hAnsi="Times New Roman" w:cs="Times New Roman"/>
          <w:color w:val="auto"/>
          <w:sz w:val="24"/>
          <w:szCs w:val="24"/>
          <w:highlight w:val="none"/>
        </w:rPr>
        <w:t>。</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表3.</w:t>
      </w:r>
      <w:r>
        <w:rPr>
          <w:rFonts w:hint="eastAsia"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-2为一辆10吨卡车，通过一段长度为1km的路面时，不同路面清洁程度，不同行驶速度情况下产生的扬尘量。</w:t>
      </w:r>
    </w:p>
    <w:p>
      <w:pPr>
        <w:pStyle w:val="2504"/>
        <w:numPr>
          <w:ilvl w:val="0"/>
          <w:numId w:val="25"/>
        </w:numPr>
        <w:spacing w:before="120"/>
        <w:ind w:left="0" w:leftChars="0" w:firstLine="403"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在不同车速和地面清洁程度的汽车扬尘</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t>单位：kg/辆·km</w:t>
      </w:r>
    </w:p>
    <w:tbl>
      <w:tblPr>
        <w:tblStyle w:val="91"/>
        <w:tblW w:w="4996" w:type="pct"/>
        <w:tblInd w:w="0" w:type="dxa"/>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1246"/>
        <w:gridCol w:w="1176"/>
        <w:gridCol w:w="1176"/>
        <w:gridCol w:w="1176"/>
        <w:gridCol w:w="1176"/>
        <w:gridCol w:w="1174"/>
        <w:gridCol w:w="1175"/>
      </w:tblGrid>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27" w:hRule="atLeast"/>
        </w:trPr>
        <w:tc>
          <w:tcPr>
            <w:tcW w:w="750"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P车速</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0.1(kg/m</w:t>
            </w:r>
            <w:r>
              <w:rPr>
                <w:rFonts w:hint="default" w:ascii="Times New Roman" w:hAnsi="Times New Roman" w:cs="Times New Roman"/>
                <w:b/>
                <w:bCs/>
                <w:color w:val="auto"/>
                <w:sz w:val="21"/>
                <w:szCs w:val="21"/>
                <w:highlight w:val="none"/>
                <w:vertAlign w:val="superscript"/>
              </w:rPr>
              <w:t>2</w:t>
            </w:r>
            <w:r>
              <w:rPr>
                <w:rFonts w:hint="default" w:ascii="Times New Roman" w:hAnsi="Times New Roman" w:cs="Times New Roman"/>
                <w:b/>
                <w:bCs/>
                <w:color w:val="auto"/>
                <w:sz w:val="21"/>
                <w:szCs w:val="21"/>
                <w:highlight w:val="none"/>
              </w:rPr>
              <w:t>)</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0.2(kg/m</w:t>
            </w:r>
            <w:r>
              <w:rPr>
                <w:rFonts w:hint="default" w:ascii="Times New Roman" w:hAnsi="Times New Roman" w:cs="Times New Roman"/>
                <w:b/>
                <w:bCs/>
                <w:color w:val="auto"/>
                <w:sz w:val="21"/>
                <w:szCs w:val="21"/>
                <w:highlight w:val="none"/>
                <w:vertAlign w:val="superscript"/>
              </w:rPr>
              <w:t>2</w:t>
            </w:r>
            <w:r>
              <w:rPr>
                <w:rFonts w:hint="default" w:ascii="Times New Roman" w:hAnsi="Times New Roman" w:cs="Times New Roman"/>
                <w:b/>
                <w:bCs/>
                <w:color w:val="auto"/>
                <w:sz w:val="21"/>
                <w:szCs w:val="21"/>
                <w:highlight w:val="none"/>
              </w:rPr>
              <w:t>)</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0.3(kg/m</w:t>
            </w:r>
            <w:r>
              <w:rPr>
                <w:rFonts w:hint="default" w:ascii="Times New Roman" w:hAnsi="Times New Roman" w:cs="Times New Roman"/>
                <w:b/>
                <w:bCs/>
                <w:color w:val="auto"/>
                <w:sz w:val="21"/>
                <w:szCs w:val="21"/>
                <w:highlight w:val="none"/>
                <w:vertAlign w:val="superscript"/>
              </w:rPr>
              <w:t>2</w:t>
            </w:r>
            <w:r>
              <w:rPr>
                <w:rFonts w:hint="default" w:ascii="Times New Roman" w:hAnsi="Times New Roman" w:cs="Times New Roman"/>
                <w:b/>
                <w:bCs/>
                <w:color w:val="auto"/>
                <w:sz w:val="21"/>
                <w:szCs w:val="21"/>
                <w:highlight w:val="none"/>
              </w:rPr>
              <w:t>)</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0.4(kg/m</w:t>
            </w:r>
            <w:r>
              <w:rPr>
                <w:rFonts w:hint="default" w:ascii="Times New Roman" w:hAnsi="Times New Roman" w:cs="Times New Roman"/>
                <w:b/>
                <w:bCs/>
                <w:color w:val="auto"/>
                <w:sz w:val="21"/>
                <w:szCs w:val="21"/>
                <w:highlight w:val="none"/>
                <w:vertAlign w:val="superscript"/>
              </w:rPr>
              <w:t>2</w:t>
            </w:r>
            <w:r>
              <w:rPr>
                <w:rFonts w:hint="default" w:ascii="Times New Roman" w:hAnsi="Times New Roman" w:cs="Times New Roman"/>
                <w:b/>
                <w:bCs/>
                <w:color w:val="auto"/>
                <w:sz w:val="21"/>
                <w:szCs w:val="21"/>
                <w:highlight w:val="none"/>
              </w:rPr>
              <w:t>)</w:t>
            </w:r>
          </w:p>
        </w:tc>
        <w:tc>
          <w:tcPr>
            <w:tcW w:w="707"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0.5(kg/m</w:t>
            </w:r>
            <w:r>
              <w:rPr>
                <w:rFonts w:hint="default" w:ascii="Times New Roman" w:hAnsi="Times New Roman" w:cs="Times New Roman"/>
                <w:b/>
                <w:bCs/>
                <w:color w:val="auto"/>
                <w:sz w:val="21"/>
                <w:szCs w:val="21"/>
                <w:highlight w:val="none"/>
                <w:vertAlign w:val="superscript"/>
              </w:rPr>
              <w:t>2</w:t>
            </w:r>
            <w:r>
              <w:rPr>
                <w:rFonts w:hint="default" w:ascii="Times New Roman" w:hAnsi="Times New Roman" w:cs="Times New Roman"/>
                <w:b/>
                <w:bCs/>
                <w:color w:val="auto"/>
                <w:sz w:val="21"/>
                <w:szCs w:val="21"/>
                <w:highlight w:val="none"/>
              </w:rPr>
              <w:t>)</w:t>
            </w:r>
          </w:p>
        </w:tc>
        <w:tc>
          <w:tcPr>
            <w:tcW w:w="707"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1(kg/m</w:t>
            </w:r>
            <w:r>
              <w:rPr>
                <w:rFonts w:hint="default" w:ascii="Times New Roman" w:hAnsi="Times New Roman" w:cs="Times New Roman"/>
                <w:b/>
                <w:bCs/>
                <w:color w:val="auto"/>
                <w:sz w:val="21"/>
                <w:szCs w:val="21"/>
                <w:highlight w:val="none"/>
                <w:vertAlign w:val="superscript"/>
              </w:rPr>
              <w:t>2</w:t>
            </w:r>
            <w:r>
              <w:rPr>
                <w:rFonts w:hint="default" w:ascii="Times New Roman" w:hAnsi="Times New Roman" w:cs="Times New Roman"/>
                <w:b/>
                <w:bCs/>
                <w:color w:val="auto"/>
                <w:sz w:val="21"/>
                <w:szCs w:val="21"/>
                <w:highlight w:val="none"/>
              </w:rPr>
              <w:t>)</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91" w:hRule="atLeast"/>
        </w:trPr>
        <w:tc>
          <w:tcPr>
            <w:tcW w:w="750"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5(km/h)</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0.051056</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0.085865</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0.116382</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0.144408</w:t>
            </w:r>
          </w:p>
        </w:tc>
        <w:tc>
          <w:tcPr>
            <w:tcW w:w="707"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0.170715</w:t>
            </w:r>
          </w:p>
        </w:tc>
        <w:tc>
          <w:tcPr>
            <w:tcW w:w="707"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0.287108</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91" w:hRule="atLeast"/>
        </w:trPr>
        <w:tc>
          <w:tcPr>
            <w:tcW w:w="750"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10(km/h)</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0.102112</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0.171731</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0.232764</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0.288815</w:t>
            </w:r>
          </w:p>
        </w:tc>
        <w:tc>
          <w:tcPr>
            <w:tcW w:w="707"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0.341431</w:t>
            </w:r>
          </w:p>
        </w:tc>
        <w:tc>
          <w:tcPr>
            <w:tcW w:w="707"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0.574216</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91" w:hRule="atLeast"/>
        </w:trPr>
        <w:tc>
          <w:tcPr>
            <w:tcW w:w="750"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15(km/h)</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0.153167</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0.257596</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0.349146</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0.433223</w:t>
            </w:r>
          </w:p>
        </w:tc>
        <w:tc>
          <w:tcPr>
            <w:tcW w:w="707"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0.512146</w:t>
            </w:r>
          </w:p>
        </w:tc>
        <w:tc>
          <w:tcPr>
            <w:tcW w:w="707"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0.861323</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91" w:hRule="atLeast"/>
        </w:trPr>
        <w:tc>
          <w:tcPr>
            <w:tcW w:w="750"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25(km/h)</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0.255279</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0.429326</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0.58191</w:t>
            </w:r>
          </w:p>
        </w:tc>
        <w:tc>
          <w:tcPr>
            <w:tcW w:w="70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0.722038</w:t>
            </w:r>
          </w:p>
        </w:tc>
        <w:tc>
          <w:tcPr>
            <w:tcW w:w="707"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0.853577</w:t>
            </w:r>
          </w:p>
        </w:tc>
        <w:tc>
          <w:tcPr>
            <w:tcW w:w="707"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1.435539</w:t>
            </w:r>
          </w:p>
        </w:tc>
      </w:tr>
    </w:tbl>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由此可见，施工车辆扬尘与车速、地面清洁程度等有密切关系。在同样路面清洁程度条件下，车速越快，扬尘量越大；而在同样车速情况下，路面越脏，则扬尘量越</w:t>
      </w:r>
      <w:r>
        <w:rPr>
          <w:rFonts w:ascii="Times New Roman" w:hAnsi="Times New Roman"/>
          <w:color w:val="auto"/>
          <w:spacing w:val="-55"/>
          <w:sz w:val="24"/>
          <w:szCs w:val="24"/>
          <w:highlight w:val="none"/>
        </w:rPr>
        <w:t xml:space="preserve"> </w:t>
      </w:r>
      <w:r>
        <w:rPr>
          <w:rFonts w:ascii="Times New Roman" w:hAnsi="Times New Roman"/>
          <w:color w:val="auto"/>
          <w:sz w:val="24"/>
          <w:szCs w:val="24"/>
          <w:highlight w:val="none"/>
        </w:rPr>
        <w:t>大。</w:t>
      </w:r>
    </w:p>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由于本项目大部分施工作业都是在场内进行，场址内目前为林地。施工区域全部为</w:t>
      </w:r>
      <w:r>
        <w:rPr>
          <w:rFonts w:hint="eastAsia" w:ascii="Times New Roman" w:hAnsi="Times New Roman"/>
          <w:color w:val="auto"/>
          <w:sz w:val="24"/>
          <w:szCs w:val="24"/>
          <w:highlight w:val="none"/>
          <w:lang w:eastAsia="zh-CN"/>
        </w:rPr>
        <w:t>林</w:t>
      </w:r>
      <w:r>
        <w:rPr>
          <w:rFonts w:ascii="Times New Roman" w:hAnsi="Times New Roman"/>
          <w:color w:val="auto"/>
          <w:sz w:val="24"/>
          <w:szCs w:val="24"/>
          <w:highlight w:val="none"/>
        </w:rPr>
        <w:t>地，因此在场地内施工扬尘会较大，遇汛期将增加水土流失量。</w:t>
      </w:r>
    </w:p>
    <w:p>
      <w:pPr>
        <w:pStyle w:val="4"/>
        <w:kinsoku w:val="0"/>
        <w:overflowPunct w:val="0"/>
        <w:spacing w:after="0"/>
        <w:ind w:right="249" w:firstLine="482"/>
        <w:rPr>
          <w:rFonts w:hint="eastAsia" w:ascii="Times New Roman" w:hAnsi="Times New Roman"/>
          <w:color w:val="auto"/>
          <w:sz w:val="24"/>
          <w:szCs w:val="24"/>
          <w:highlight w:val="none"/>
        </w:rPr>
      </w:pPr>
      <w:r>
        <w:rPr>
          <w:rFonts w:ascii="Times New Roman" w:hAnsi="Times New Roman"/>
          <w:b/>
          <w:color w:val="auto"/>
          <w:sz w:val="24"/>
          <w:szCs w:val="24"/>
          <w:highlight w:val="none"/>
        </w:rPr>
        <w:t>防治措施：</w:t>
      </w:r>
    </w:p>
    <w:p>
      <w:pPr>
        <w:spacing w:line="360" w:lineRule="auto"/>
        <w:ind w:firstLine="480"/>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为强化扬尘排放管理，改善大气环境质量，经四川省人民政府同意，四川省强制性地方环境标准《四川省施工场地扬尘排放标准》（DB512682-2020）已由四川省生态环境厅会同四川省市场监督管理局联合发布，定于2020年9月1日起实施。施工过程中，建设单位对建设工程的扬尘污染负首要责任，必须将施工扬尘污染防治目标、污染防治措施及污染防治专项费用纳入施工合同。同时，施工单位项目负责人对现场扬尘污染防治负实施责任，必须严格按照《导则》提出的污染防治措施，建筑工地施工要严格落实“六必须”“六不准”“六个百分百”要求，包括：工地周边围挡、物料堆放覆盖、出入车辆冲洗、施工现场道路及材料堆场硬化、工地湿法作业及渣土车辆密闭运输。</w:t>
      </w:r>
    </w:p>
    <w:p>
      <w:pPr>
        <w:pStyle w:val="2"/>
        <w:spacing w:line="360" w:lineRule="auto"/>
        <w:rPr>
          <w:rFonts w:hint="default"/>
          <w:color w:val="auto"/>
          <w:highlight w:val="none"/>
        </w:rPr>
      </w:pPr>
      <w:r>
        <w:rPr>
          <w:rFonts w:hint="default"/>
          <w:color w:val="auto"/>
          <w:highlight w:val="none"/>
        </w:rPr>
        <w:t>①工程建设单位应按照《中华人民共和国环境影响评价法》和《建设项目环境保护管理条例》的相关规定，向当地环境保护行政主管部门提供施工扬尘防治实施方案。工程建设单位根据施工工序编制施工期内扬尘污染防治任务书，实施扬尘防治全过程管理，责任到每个施工工序。</w:t>
      </w:r>
    </w:p>
    <w:p>
      <w:pPr>
        <w:pStyle w:val="2"/>
        <w:spacing w:line="360" w:lineRule="auto"/>
        <w:rPr>
          <w:rFonts w:hint="default"/>
          <w:color w:val="auto"/>
          <w:highlight w:val="none"/>
        </w:rPr>
      </w:pPr>
      <w:r>
        <w:rPr>
          <w:rFonts w:hint="default"/>
          <w:color w:val="auto"/>
          <w:highlight w:val="none"/>
        </w:rPr>
        <w:t>②施工单位应根据《建设工程施工现场管理规定》的规定设置现场平面布置图、工程概况牌、安全生产牌、消防保卫牌、文明施工牌、环境保护牌、管理人员名单及监督电话牌等。</w:t>
      </w:r>
    </w:p>
    <w:p>
      <w:pPr>
        <w:pStyle w:val="2"/>
        <w:spacing w:line="360" w:lineRule="auto"/>
        <w:rPr>
          <w:rFonts w:hint="default"/>
          <w:color w:val="auto"/>
          <w:highlight w:val="none"/>
        </w:rPr>
      </w:pPr>
      <w:r>
        <w:rPr>
          <w:rFonts w:hint="default"/>
          <w:color w:val="auto"/>
          <w:highlight w:val="none"/>
        </w:rPr>
        <w:t>③施工工程要做到工地周边围挡、物料堆放覆盖、土方开挖湿法作业、路面硬化、出入车辆轮胎冲洗、渣土车辆密闭运输“六个百分之百”。</w:t>
      </w:r>
    </w:p>
    <w:p>
      <w:pPr>
        <w:pStyle w:val="2"/>
        <w:spacing w:line="360" w:lineRule="auto"/>
        <w:rPr>
          <w:rFonts w:hint="default"/>
          <w:color w:val="auto"/>
          <w:highlight w:val="none"/>
        </w:rPr>
      </w:pPr>
      <w:r>
        <w:rPr>
          <w:rFonts w:hint="default"/>
          <w:color w:val="auto"/>
          <w:highlight w:val="none"/>
        </w:rPr>
        <w:t>④施工现场设置2.5m高施工围挡，封闭施工现场，并在围挡上安装喷雾降尘装置，以降低粉尘向大气环境逸散。</w:t>
      </w:r>
    </w:p>
    <w:p>
      <w:pPr>
        <w:pStyle w:val="2"/>
        <w:spacing w:line="360" w:lineRule="auto"/>
        <w:rPr>
          <w:rFonts w:hint="default"/>
          <w:color w:val="auto"/>
          <w:highlight w:val="none"/>
        </w:rPr>
      </w:pPr>
      <w:r>
        <w:rPr>
          <w:rFonts w:hint="default"/>
          <w:color w:val="auto"/>
          <w:highlight w:val="none"/>
        </w:rPr>
        <w:t>⑤要求施工单位文明施工，定期对地面及施工道路洒水，每天定时洒水达到有效防尘。</w:t>
      </w:r>
    </w:p>
    <w:p>
      <w:pPr>
        <w:pStyle w:val="2"/>
        <w:spacing w:line="360" w:lineRule="auto"/>
        <w:rPr>
          <w:rFonts w:hint="default"/>
          <w:color w:val="auto"/>
          <w:highlight w:val="none"/>
        </w:rPr>
      </w:pPr>
      <w:r>
        <w:rPr>
          <w:rFonts w:hint="default"/>
          <w:color w:val="auto"/>
          <w:highlight w:val="none"/>
        </w:rPr>
        <w:t>⑥材料运输禁止超载，应限制车速，装高不得超过车厢板，并采取覆盖篷布等防尘措施，严禁沿途洒落。</w:t>
      </w:r>
    </w:p>
    <w:p>
      <w:pPr>
        <w:pStyle w:val="2"/>
        <w:spacing w:line="360" w:lineRule="auto"/>
        <w:rPr>
          <w:rFonts w:hint="default"/>
          <w:color w:val="auto"/>
          <w:highlight w:val="none"/>
        </w:rPr>
      </w:pPr>
      <w:r>
        <w:rPr>
          <w:rFonts w:hint="default"/>
          <w:color w:val="auto"/>
          <w:highlight w:val="none"/>
        </w:rPr>
        <w:t>⑦由于道路和扬尘量与车辆的行驶速度有关，速度越快，扬尘量越大，因此在施工场地对施工车辆必须实施限速行驶；同时定期清扫路面，保持路面清洁。</w:t>
      </w:r>
    </w:p>
    <w:p>
      <w:pPr>
        <w:pStyle w:val="2"/>
        <w:spacing w:line="360" w:lineRule="auto"/>
        <w:rPr>
          <w:rFonts w:hint="default"/>
          <w:color w:val="auto"/>
          <w:highlight w:val="none"/>
        </w:rPr>
      </w:pPr>
      <w:r>
        <w:rPr>
          <w:rFonts w:hint="default"/>
          <w:color w:val="auto"/>
          <w:highlight w:val="none"/>
        </w:rPr>
        <w:t>⑧在厂区车辆进出口设置冲洗平台，车辆冲洗干净方可出场。</w:t>
      </w:r>
    </w:p>
    <w:p>
      <w:pPr>
        <w:pStyle w:val="2"/>
        <w:spacing w:line="360" w:lineRule="auto"/>
        <w:rPr>
          <w:rFonts w:hint="default"/>
          <w:color w:val="auto"/>
          <w:highlight w:val="none"/>
        </w:rPr>
      </w:pPr>
      <w:r>
        <w:rPr>
          <w:rFonts w:hint="default"/>
          <w:color w:val="auto"/>
          <w:highlight w:val="none"/>
        </w:rPr>
        <w:t>⑨建材堆放地点要相对集中，应堆放在项目施工场地上设置的材料堆放处，减少建材的露天堆放时间，对建材使用毡布覆盖；且材料堆放应尽量设置在当地主导风向的下风向。</w:t>
      </w:r>
    </w:p>
    <w:p>
      <w:pPr>
        <w:pStyle w:val="2"/>
        <w:spacing w:line="360" w:lineRule="auto"/>
        <w:rPr>
          <w:rFonts w:hint="default"/>
          <w:color w:val="auto"/>
          <w:highlight w:val="none"/>
        </w:rPr>
      </w:pPr>
      <w:r>
        <w:rPr>
          <w:rFonts w:hint="default"/>
          <w:color w:val="auto"/>
          <w:highlight w:val="none"/>
        </w:rPr>
        <w:t>⑩自卸车、垃圾运输车等运输车辆不允许超载，选择对周围环境影响较小的运输路线，定时对运输路线进行清扫，运输车辆出场时必须封闭，避免在运输过程中的抛洒现象。</w:t>
      </w:r>
    </w:p>
    <w:p>
      <w:pPr>
        <w:pStyle w:val="2"/>
        <w:spacing w:line="360" w:lineRule="auto"/>
        <w:rPr>
          <w:rFonts w:hint="default"/>
          <w:color w:val="auto"/>
          <w:highlight w:val="none"/>
        </w:rPr>
      </w:pPr>
      <w:r>
        <w:rPr>
          <w:rFonts w:hint="default"/>
          <w:color w:val="auto"/>
          <w:highlight w:val="none"/>
        </w:rPr>
        <w:t>⑪施工过程中，施工产生的建筑渣土，不许在楼上向下倾倒，须运送地面。</w:t>
      </w:r>
    </w:p>
    <w:p>
      <w:pPr>
        <w:pStyle w:val="2"/>
        <w:spacing w:line="360" w:lineRule="auto"/>
        <w:rPr>
          <w:rFonts w:hint="default"/>
          <w:color w:val="auto"/>
          <w:highlight w:val="none"/>
        </w:rPr>
      </w:pPr>
      <w:r>
        <w:rPr>
          <w:rFonts w:hint="default"/>
          <w:color w:val="auto"/>
          <w:highlight w:val="none"/>
        </w:rPr>
        <w:t>⑫禁止在大风天进行渣土堆放作业，土石方堆场采用塑料篷布遮盖，覆盖率需达100%。</w:t>
      </w:r>
    </w:p>
    <w:p>
      <w:pPr>
        <w:pStyle w:val="2"/>
        <w:spacing w:line="360" w:lineRule="auto"/>
        <w:rPr>
          <w:rFonts w:hint="default"/>
          <w:color w:val="auto"/>
          <w:highlight w:val="none"/>
        </w:rPr>
      </w:pPr>
      <w:r>
        <w:rPr>
          <w:rFonts w:hint="default"/>
          <w:color w:val="auto"/>
          <w:highlight w:val="none"/>
        </w:rPr>
        <w:t>⑬施工期所使用的混凝土为商品混凝土，禁止现场搅拌。</w:t>
      </w:r>
    </w:p>
    <w:p>
      <w:pPr>
        <w:pStyle w:val="2"/>
        <w:spacing w:line="360" w:lineRule="auto"/>
        <w:rPr>
          <w:rFonts w:hint="default"/>
          <w:color w:val="auto"/>
          <w:highlight w:val="none"/>
        </w:rPr>
      </w:pPr>
      <w:r>
        <w:rPr>
          <w:rFonts w:hint="default"/>
          <w:color w:val="auto"/>
          <w:highlight w:val="none"/>
        </w:rPr>
        <w:t>⑭施工临时弃土进行覆盖处理，采用防风抑尘网进行覆盖。</w:t>
      </w:r>
    </w:p>
    <w:p>
      <w:pPr>
        <w:pStyle w:val="2"/>
        <w:spacing w:line="360" w:lineRule="auto"/>
        <w:rPr>
          <w:rFonts w:hint="default"/>
          <w:color w:val="auto"/>
          <w:highlight w:val="none"/>
        </w:rPr>
      </w:pPr>
      <w:r>
        <w:rPr>
          <w:rFonts w:hint="default"/>
          <w:color w:val="auto"/>
          <w:highlight w:val="none"/>
        </w:rPr>
        <w:t>⑮项目厂区施工管理由专人负责，并设定专门负责人定期对该区的施工扬尘污染防治措施以及环保管理进行检查和核实，严格按城市扬尘污染管理的有关规定和规范进行治理，尽量减少扬尘对环境的影响程度。</w:t>
      </w:r>
    </w:p>
    <w:p>
      <w:pPr>
        <w:pStyle w:val="2"/>
        <w:spacing w:line="360" w:lineRule="auto"/>
        <w:rPr>
          <w:rFonts w:hint="default"/>
          <w:color w:val="auto"/>
          <w:highlight w:val="none"/>
        </w:rPr>
      </w:pPr>
      <w:r>
        <w:rPr>
          <w:rFonts w:hint="default"/>
          <w:color w:val="auto"/>
          <w:highlight w:val="none"/>
        </w:rPr>
        <w:t>⑯扬尘管理“六不准、六必须”：必须打围作业、必须硬化道路、必须设置冲洗设施、必须湿法作业、必须配齐保洁人员、必须定时清扫施工现场；不准车辆带泥出门、不准高空抛撒建渣、不准现场搅拌混凝土、不准场地积水、不准现场焚烧废弃物、不准现场堆放未覆盖的裸土。</w:t>
      </w:r>
    </w:p>
    <w:p>
      <w:pPr>
        <w:pStyle w:val="2"/>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施工场地扬尘排放应满足《四川省施工场地扬尘排放标准》（DB51/2682-2020）限值要求：</w:t>
      </w:r>
    </w:p>
    <w:p>
      <w:pPr>
        <w:pStyle w:val="2"/>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①土方开挖/土方回填阶段：监测点排放限值≤600μg/m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w:t>
      </w:r>
    </w:p>
    <w:p>
      <w:pPr>
        <w:pStyle w:val="2"/>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②其他工程阶段：监测点排放限值≤250μg/m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w:t>
      </w:r>
    </w:p>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由于区域</w:t>
      </w:r>
      <w:r>
        <w:rPr>
          <w:rFonts w:hint="eastAsia" w:ascii="Times New Roman" w:hAnsi="Times New Roman"/>
          <w:color w:val="auto"/>
          <w:sz w:val="24"/>
          <w:szCs w:val="24"/>
          <w:highlight w:val="none"/>
          <w:lang w:eastAsia="zh-CN"/>
        </w:rPr>
        <w:t>林</w:t>
      </w:r>
      <w:r>
        <w:rPr>
          <w:rFonts w:ascii="Times New Roman" w:hAnsi="Times New Roman"/>
          <w:color w:val="auto"/>
          <w:sz w:val="24"/>
          <w:szCs w:val="24"/>
          <w:highlight w:val="none"/>
        </w:rPr>
        <w:t>地土壤吸水性能较好，要求在施工前分片区洒水增加土壤湿度，然后在进行挖掘、运输，场内运输车应控制车速，降低扬尘的产生。</w:t>
      </w:r>
    </w:p>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要求在车辆进出场口设置冲洗平台，车辆冲洗干净方可出场，运输车辆必须遮蓬，防治运输途中的扬尘。</w:t>
      </w:r>
    </w:p>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定期清扫路面，保持路面清洁，控制车速。</w:t>
      </w:r>
    </w:p>
    <w:p>
      <w:pPr>
        <w:pStyle w:val="4"/>
        <w:kinsoku w:val="0"/>
        <w:overflowPunct w:val="0"/>
        <w:spacing w:after="0"/>
        <w:ind w:right="249" w:firstLine="482"/>
        <w:rPr>
          <w:rFonts w:ascii="Times New Roman" w:hAnsi="Times New Roman"/>
          <w:b/>
          <w:color w:val="auto"/>
          <w:sz w:val="24"/>
          <w:szCs w:val="24"/>
          <w:highlight w:val="none"/>
        </w:rPr>
      </w:pPr>
      <w:r>
        <w:rPr>
          <w:rFonts w:ascii="Times New Roman" w:hAnsi="Times New Roman"/>
          <w:b/>
          <w:color w:val="auto"/>
          <w:sz w:val="24"/>
          <w:szCs w:val="24"/>
          <w:highlight w:val="none"/>
        </w:rPr>
        <w:t>2、物料装卸扬尘</w:t>
      </w:r>
    </w:p>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装卸扬尘可根据经验计算公式：</w:t>
      </w:r>
    </w:p>
    <w:p>
      <w:pPr>
        <w:pStyle w:val="4"/>
        <w:kinsoku w:val="0"/>
        <w:overflowPunct w:val="0"/>
        <w:spacing w:after="0"/>
        <w:ind w:right="249" w:firstLine="0" w:firstLineChars="0"/>
        <w:jc w:val="center"/>
        <w:rPr>
          <w:rFonts w:ascii="Times New Roman" w:hAnsi="Times New Roman"/>
          <w:color w:val="auto"/>
          <w:sz w:val="24"/>
          <w:szCs w:val="24"/>
          <w:highlight w:val="none"/>
        </w:rPr>
      </w:pPr>
      <w:r>
        <w:rPr>
          <w:rFonts w:ascii="Times New Roman" w:hAnsi="Times New Roman"/>
          <w:color w:val="auto"/>
          <w:sz w:val="24"/>
          <w:szCs w:val="24"/>
          <w:highlight w:val="none"/>
        </w:rPr>
        <w:t>Q=M×K</w:t>
      </w:r>
    </w:p>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式中：Q——起尘量，kg/min；</w:t>
      </w:r>
    </w:p>
    <w:p>
      <w:pPr>
        <w:pStyle w:val="4"/>
        <w:kinsoku w:val="0"/>
        <w:overflowPunct w:val="0"/>
        <w:spacing w:after="0"/>
        <w:ind w:right="249" w:firstLine="1200" w:firstLineChars="500"/>
        <w:rPr>
          <w:rFonts w:ascii="Times New Roman" w:hAnsi="Times New Roman"/>
          <w:color w:val="auto"/>
          <w:sz w:val="24"/>
          <w:szCs w:val="24"/>
          <w:highlight w:val="none"/>
        </w:rPr>
      </w:pPr>
      <w:r>
        <w:rPr>
          <w:rFonts w:ascii="Times New Roman" w:hAnsi="Times New Roman"/>
          <w:color w:val="auto"/>
          <w:sz w:val="24"/>
          <w:szCs w:val="24"/>
          <w:highlight w:val="none"/>
        </w:rPr>
        <w:t>M——抓运土石方量，kg/min；</w:t>
      </w:r>
    </w:p>
    <w:p>
      <w:pPr>
        <w:pStyle w:val="4"/>
        <w:kinsoku w:val="0"/>
        <w:overflowPunct w:val="0"/>
        <w:spacing w:after="0"/>
        <w:ind w:right="249" w:firstLine="1200" w:firstLineChars="500"/>
        <w:rPr>
          <w:rFonts w:ascii="Times New Roman" w:hAnsi="Times New Roman"/>
          <w:color w:val="auto"/>
          <w:sz w:val="24"/>
          <w:szCs w:val="24"/>
          <w:highlight w:val="none"/>
        </w:rPr>
      </w:pPr>
      <w:r>
        <w:rPr>
          <w:rFonts w:ascii="Times New Roman" w:hAnsi="Times New Roman"/>
          <w:color w:val="auto"/>
          <w:sz w:val="24"/>
          <w:szCs w:val="24"/>
          <w:highlight w:val="none"/>
        </w:rPr>
        <w:t>K——起尘经验系数（不考虑防护措施时），0.1～1.0%。</w:t>
      </w:r>
    </w:p>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结合项目区域特点，本次评价的起尘经验系数取0.2%。设定挖土机在5分钟内装完一辆5t运输车，一次抓土量1.5t，则每装载一辆运输车辆的产尘速率约2kg/min、即33.3g/s。</w:t>
      </w:r>
    </w:p>
    <w:p>
      <w:pPr>
        <w:pStyle w:val="4"/>
        <w:kinsoku w:val="0"/>
        <w:overflowPunct w:val="0"/>
        <w:spacing w:after="0"/>
        <w:ind w:right="249" w:firstLine="482"/>
        <w:rPr>
          <w:rFonts w:ascii="Times New Roman" w:hAnsi="Times New Roman"/>
          <w:b/>
          <w:color w:val="auto"/>
          <w:sz w:val="24"/>
          <w:szCs w:val="24"/>
          <w:highlight w:val="none"/>
        </w:rPr>
      </w:pPr>
      <w:r>
        <w:rPr>
          <w:rFonts w:ascii="Times New Roman" w:hAnsi="Times New Roman"/>
          <w:b/>
          <w:color w:val="auto"/>
          <w:sz w:val="24"/>
          <w:szCs w:val="24"/>
          <w:highlight w:val="none"/>
        </w:rPr>
        <w:t>防治措施：</w:t>
      </w:r>
    </w:p>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1）加强管理，设置1.8m高施工围挡。</w:t>
      </w:r>
    </w:p>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2）运输沙、石、水泥、垃圾的车辆装载高度应低于车箱上沿，不得超高超载。实行封闭运输，以免车辆颠簸洒漏。坚持文明装卸，运输车辆装卸完货后应清洗车厢。施工车辆及运输车辆在驶出施工区之前，需作清泥除尘处理，不得将泥土尘土带出场。</w:t>
      </w:r>
    </w:p>
    <w:p>
      <w:pPr>
        <w:pStyle w:val="4"/>
        <w:kinsoku w:val="0"/>
        <w:overflowPunct w:val="0"/>
        <w:spacing w:after="0"/>
        <w:ind w:right="249" w:firstLine="482"/>
        <w:rPr>
          <w:rFonts w:ascii="Times New Roman" w:hAnsi="Times New Roman"/>
          <w:b/>
          <w:color w:val="auto"/>
          <w:sz w:val="24"/>
          <w:szCs w:val="24"/>
          <w:highlight w:val="none"/>
        </w:rPr>
      </w:pPr>
      <w:r>
        <w:rPr>
          <w:rFonts w:ascii="Times New Roman" w:hAnsi="Times New Roman"/>
          <w:b/>
          <w:color w:val="auto"/>
          <w:sz w:val="24"/>
          <w:szCs w:val="24"/>
          <w:highlight w:val="none"/>
        </w:rPr>
        <w:t>3、堆场扬尘</w:t>
      </w:r>
    </w:p>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施工期扬尘的另一个主要原因是露天堆场和裸露场地的风力扬尘。由于施工的需要，一些建材需露天堆放；一些施工点表层土壤需人工开挖、堆放，在气候干燥又有风的情况下，会产生扬尘，其扬尘可按堆场起尘的经验公式计算：</w:t>
      </w:r>
    </w:p>
    <w:p>
      <w:pPr>
        <w:pStyle w:val="4"/>
        <w:kinsoku w:val="0"/>
        <w:overflowPunct w:val="0"/>
        <w:spacing w:after="0" w:line="240" w:lineRule="auto"/>
        <w:ind w:right="249" w:firstLine="0" w:firstLineChars="0"/>
        <w:jc w:val="center"/>
        <w:rPr>
          <w:rFonts w:ascii="Times New Roman" w:hAnsi="Times New Roman"/>
          <w:color w:val="auto"/>
          <w:sz w:val="24"/>
          <w:szCs w:val="24"/>
          <w:highlight w:val="none"/>
        </w:rPr>
      </w:pPr>
      <w:r>
        <w:rPr>
          <w:rFonts w:ascii="Times New Roman" w:hAnsi="Times New Roman"/>
          <w:color w:val="auto"/>
          <w:sz w:val="24"/>
          <w:szCs w:val="24"/>
          <w:highlight w:val="none"/>
        </w:rPr>
        <w:drawing>
          <wp:inline distT="0" distB="0" distL="114300" distR="114300">
            <wp:extent cx="1704975" cy="381000"/>
            <wp:effectExtent l="0" t="0" r="9525" b="0"/>
            <wp:docPr id="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1"/>
                    <pic:cNvPicPr>
                      <a:picLocks noChangeAspect="1"/>
                    </pic:cNvPicPr>
                  </pic:nvPicPr>
                  <pic:blipFill>
                    <a:blip r:embed="rId21"/>
                    <a:stretch>
                      <a:fillRect/>
                    </a:stretch>
                  </pic:blipFill>
                  <pic:spPr>
                    <a:xfrm>
                      <a:off x="0" y="0"/>
                      <a:ext cx="1704975" cy="381000"/>
                    </a:xfrm>
                    <a:prstGeom prst="rect">
                      <a:avLst/>
                    </a:prstGeom>
                    <a:noFill/>
                    <a:ln>
                      <a:noFill/>
                    </a:ln>
                  </pic:spPr>
                </pic:pic>
              </a:graphicData>
            </a:graphic>
          </wp:inline>
        </w:drawing>
      </w:r>
    </w:p>
    <w:p>
      <w:pPr>
        <w:pStyle w:val="4"/>
        <w:kinsoku w:val="0"/>
        <w:overflowPunct w:val="0"/>
        <w:spacing w:after="0"/>
        <w:ind w:right="249" w:firstLine="480"/>
        <w:rPr>
          <w:rFonts w:ascii="Times New Roman" w:hAnsi="Times New Roman"/>
          <w:color w:val="auto"/>
          <w:sz w:val="24"/>
          <w:szCs w:val="24"/>
          <w:highlight w:val="none"/>
        </w:rPr>
      </w:pPr>
      <w:r>
        <w:rPr>
          <w:rFonts w:ascii="Times New Roman" w:hAnsi="Times New Roman"/>
          <w:color w:val="auto"/>
          <w:sz w:val="24"/>
          <w:szCs w:val="24"/>
          <w:highlight w:val="none"/>
        </w:rPr>
        <w:t>其中：Q——起尘量，kg/吨·年；</w:t>
      </w:r>
    </w:p>
    <w:p>
      <w:pPr>
        <w:pStyle w:val="4"/>
        <w:kinsoku w:val="0"/>
        <w:overflowPunct w:val="0"/>
        <w:spacing w:after="0"/>
        <w:ind w:right="249" w:firstLine="1200" w:firstLineChars="500"/>
        <w:rPr>
          <w:rFonts w:ascii="Times New Roman" w:hAnsi="Times New Roman"/>
          <w:color w:val="auto"/>
          <w:sz w:val="24"/>
          <w:szCs w:val="24"/>
          <w:highlight w:val="none"/>
        </w:rPr>
      </w:pPr>
      <w:r>
        <w:rPr>
          <w:rFonts w:ascii="Times New Roman" w:hAnsi="Times New Roman"/>
          <w:color w:val="auto"/>
          <w:sz w:val="24"/>
          <w:szCs w:val="24"/>
          <w:highlight w:val="none"/>
        </w:rPr>
        <w:t>V</w:t>
      </w:r>
      <w:r>
        <w:rPr>
          <w:rFonts w:ascii="Times New Roman" w:hAnsi="Times New Roman"/>
          <w:color w:val="auto"/>
          <w:sz w:val="24"/>
          <w:szCs w:val="24"/>
          <w:highlight w:val="none"/>
          <w:vertAlign w:val="subscript"/>
        </w:rPr>
        <w:t>50</w:t>
      </w:r>
      <w:r>
        <w:rPr>
          <w:rFonts w:ascii="Times New Roman" w:hAnsi="Times New Roman"/>
          <w:color w:val="auto"/>
          <w:sz w:val="24"/>
          <w:szCs w:val="24"/>
          <w:highlight w:val="none"/>
        </w:rPr>
        <w:t xml:space="preserve"> ——距地面50m处风速，m/s；</w:t>
      </w:r>
    </w:p>
    <w:p>
      <w:pPr>
        <w:pStyle w:val="4"/>
        <w:kinsoku w:val="0"/>
        <w:overflowPunct w:val="0"/>
        <w:spacing w:after="0"/>
        <w:ind w:right="249" w:firstLine="1200" w:firstLineChars="500"/>
        <w:rPr>
          <w:rFonts w:ascii="Times New Roman" w:hAnsi="Times New Roman"/>
          <w:color w:val="auto"/>
          <w:sz w:val="24"/>
          <w:szCs w:val="24"/>
          <w:highlight w:val="none"/>
        </w:rPr>
      </w:pPr>
      <w:r>
        <w:rPr>
          <w:rFonts w:ascii="Times New Roman" w:hAnsi="Times New Roman"/>
          <w:color w:val="auto"/>
          <w:sz w:val="24"/>
          <w:szCs w:val="24"/>
          <w:highlight w:val="none"/>
        </w:rPr>
        <w:t>V</w:t>
      </w:r>
      <w:r>
        <w:rPr>
          <w:rFonts w:ascii="Times New Roman" w:hAnsi="Times New Roman"/>
          <w:color w:val="auto"/>
          <w:sz w:val="24"/>
          <w:szCs w:val="24"/>
          <w:highlight w:val="none"/>
          <w:vertAlign w:val="subscript"/>
        </w:rPr>
        <w:t>0</w:t>
      </w:r>
      <w:r>
        <w:rPr>
          <w:rFonts w:ascii="Times New Roman" w:hAnsi="Times New Roman"/>
          <w:color w:val="auto"/>
          <w:sz w:val="24"/>
          <w:szCs w:val="24"/>
          <w:highlight w:val="none"/>
        </w:rPr>
        <w:t xml:space="preserve"> ——起尘风速，m/s；</w:t>
      </w:r>
    </w:p>
    <w:p>
      <w:pPr>
        <w:pStyle w:val="4"/>
        <w:kinsoku w:val="0"/>
        <w:overflowPunct w:val="0"/>
        <w:spacing w:after="0"/>
        <w:ind w:right="249" w:firstLine="1200" w:firstLineChars="500"/>
        <w:rPr>
          <w:rFonts w:ascii="Times New Roman" w:hAnsi="Times New Roman"/>
          <w:color w:val="auto"/>
          <w:sz w:val="24"/>
          <w:szCs w:val="24"/>
          <w:highlight w:val="none"/>
        </w:rPr>
      </w:pPr>
      <w:r>
        <w:rPr>
          <w:rFonts w:ascii="Times New Roman" w:hAnsi="Times New Roman"/>
          <w:color w:val="auto"/>
          <w:sz w:val="24"/>
          <w:szCs w:val="24"/>
          <w:highlight w:val="none"/>
        </w:rPr>
        <w:t>W——尘粒的含水率，%。</w:t>
      </w:r>
    </w:p>
    <w:p>
      <w:pPr>
        <w:pStyle w:val="4"/>
        <w:kinsoku w:val="0"/>
        <w:overflowPunct w:val="0"/>
        <w:spacing w:after="0"/>
        <w:ind w:right="249"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V</w:t>
      </w:r>
      <w:r>
        <w:rPr>
          <w:rFonts w:hint="default" w:ascii="Times New Roman" w:hAnsi="Times New Roman" w:cs="Times New Roman"/>
          <w:color w:val="auto"/>
          <w:sz w:val="24"/>
          <w:szCs w:val="24"/>
          <w:highlight w:val="none"/>
          <w:vertAlign w:val="subscript"/>
        </w:rPr>
        <w:t>0</w:t>
      </w:r>
      <w:r>
        <w:rPr>
          <w:rFonts w:hint="default" w:ascii="Times New Roman" w:hAnsi="Times New Roman" w:cs="Times New Roman"/>
          <w:color w:val="auto"/>
          <w:sz w:val="24"/>
          <w:szCs w:val="24"/>
          <w:highlight w:val="none"/>
        </w:rPr>
        <w:t>与粒径和含水率有关，因此，减少露天堆放和保证一定的含水率及减少裸露地面是减少风力起尘的有效手段。</w:t>
      </w:r>
    </w:p>
    <w:p>
      <w:pPr>
        <w:pStyle w:val="4"/>
        <w:kinsoku w:val="0"/>
        <w:overflowPunct w:val="0"/>
        <w:spacing w:after="0"/>
        <w:ind w:right="249"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尘粒在空气中的传播扩散情况与风速等气象条件有关，也与尘粒本身的沉降速度有关。以煤尘为例，不同粒径的尘粒的沉降速度见表3.</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-3。</w:t>
      </w:r>
    </w:p>
    <w:p>
      <w:pPr>
        <w:pStyle w:val="2504"/>
        <w:numPr>
          <w:ilvl w:val="0"/>
          <w:numId w:val="25"/>
        </w:numPr>
        <w:spacing w:before="120"/>
        <w:ind w:left="0" w:leftChars="0" w:firstLine="403"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ab/>
      </w:r>
      <w:r>
        <w:rPr>
          <w:rFonts w:hint="default" w:ascii="Times New Roman" w:hAnsi="Times New Roman" w:cs="Times New Roman"/>
          <w:color w:val="auto"/>
          <w:highlight w:val="none"/>
        </w:rPr>
        <w:t xml:space="preserve"> 不同粒径尘粒的沉降速度</w:t>
      </w:r>
    </w:p>
    <w:tbl>
      <w:tblPr>
        <w:tblStyle w:val="91"/>
        <w:tblW w:w="4999" w:type="pct"/>
        <w:tblInd w:w="0" w:type="dxa"/>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1792"/>
        <w:gridCol w:w="931"/>
        <w:gridCol w:w="931"/>
        <w:gridCol w:w="931"/>
        <w:gridCol w:w="931"/>
        <w:gridCol w:w="929"/>
        <w:gridCol w:w="929"/>
        <w:gridCol w:w="930"/>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3" w:hRule="exact"/>
        </w:trPr>
        <w:tc>
          <w:tcPr>
            <w:tcW w:w="1078" w:type="pct"/>
            <w:noWrap w:val="0"/>
            <w:vAlign w:val="center"/>
          </w:tcPr>
          <w:p>
            <w:pPr>
              <w:pStyle w:val="167"/>
              <w:keepNext w:val="0"/>
              <w:keepLines w:val="0"/>
              <w:suppressLineNumbers w:val="0"/>
              <w:kinsoku w:val="0"/>
              <w:overflowPunct w:val="0"/>
              <w:spacing w:before="1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粒径，μm</w:t>
            </w:r>
          </w:p>
        </w:tc>
        <w:tc>
          <w:tcPr>
            <w:tcW w:w="560"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w:t>
            </w:r>
          </w:p>
        </w:tc>
        <w:tc>
          <w:tcPr>
            <w:tcW w:w="560"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w:t>
            </w:r>
          </w:p>
        </w:tc>
        <w:tc>
          <w:tcPr>
            <w:tcW w:w="560"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30</w:t>
            </w:r>
          </w:p>
        </w:tc>
        <w:tc>
          <w:tcPr>
            <w:tcW w:w="560"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w:t>
            </w:r>
          </w:p>
        </w:tc>
        <w:tc>
          <w:tcPr>
            <w:tcW w:w="559"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w:t>
            </w:r>
          </w:p>
        </w:tc>
        <w:tc>
          <w:tcPr>
            <w:tcW w:w="559"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60</w:t>
            </w:r>
          </w:p>
        </w:tc>
        <w:tc>
          <w:tcPr>
            <w:tcW w:w="559" w:type="pct"/>
            <w:noWrap w:val="0"/>
            <w:vAlign w:val="center"/>
          </w:tcPr>
          <w:p>
            <w:pPr>
              <w:pStyle w:val="167"/>
              <w:keepNext w:val="0"/>
              <w:keepLines w:val="0"/>
              <w:suppressLineNumbers w:val="0"/>
              <w:kinsoku w:val="0"/>
              <w:overflowPunct w:val="0"/>
              <w:spacing w:before="68" w:beforeAutospacing="0" w:after="0" w:afterAutospacing="0"/>
              <w:ind w:left="0" w:right="5"/>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exact"/>
        </w:trPr>
        <w:tc>
          <w:tcPr>
            <w:tcW w:w="1078" w:type="pct"/>
            <w:noWrap w:val="0"/>
            <w:vAlign w:val="center"/>
          </w:tcPr>
          <w:p>
            <w:pPr>
              <w:pStyle w:val="167"/>
              <w:keepNext w:val="0"/>
              <w:keepLines w:val="0"/>
              <w:suppressLineNumbers w:val="0"/>
              <w:kinsoku w:val="0"/>
              <w:overflowPunct w:val="0"/>
              <w:spacing w:before="2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沉降速度，m/s</w:t>
            </w:r>
          </w:p>
        </w:tc>
        <w:tc>
          <w:tcPr>
            <w:tcW w:w="560"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0.003</w:t>
            </w:r>
          </w:p>
        </w:tc>
        <w:tc>
          <w:tcPr>
            <w:tcW w:w="560"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0.012</w:t>
            </w:r>
          </w:p>
        </w:tc>
        <w:tc>
          <w:tcPr>
            <w:tcW w:w="560"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0.027</w:t>
            </w:r>
          </w:p>
        </w:tc>
        <w:tc>
          <w:tcPr>
            <w:tcW w:w="560"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0.048</w:t>
            </w:r>
          </w:p>
        </w:tc>
        <w:tc>
          <w:tcPr>
            <w:tcW w:w="559"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0.075</w:t>
            </w:r>
          </w:p>
        </w:tc>
        <w:tc>
          <w:tcPr>
            <w:tcW w:w="559"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0.108</w:t>
            </w:r>
          </w:p>
        </w:tc>
        <w:tc>
          <w:tcPr>
            <w:tcW w:w="559"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0.147</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exact"/>
        </w:trPr>
        <w:tc>
          <w:tcPr>
            <w:tcW w:w="1078" w:type="pct"/>
            <w:noWrap w:val="0"/>
            <w:vAlign w:val="center"/>
          </w:tcPr>
          <w:p>
            <w:pPr>
              <w:pStyle w:val="167"/>
              <w:keepNext w:val="0"/>
              <w:keepLines w:val="0"/>
              <w:suppressLineNumbers w:val="0"/>
              <w:kinsoku w:val="0"/>
              <w:overflowPunct w:val="0"/>
              <w:spacing w:before="1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粒径，μm</w:t>
            </w:r>
          </w:p>
        </w:tc>
        <w:tc>
          <w:tcPr>
            <w:tcW w:w="560"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80</w:t>
            </w:r>
          </w:p>
        </w:tc>
        <w:tc>
          <w:tcPr>
            <w:tcW w:w="560"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w:t>
            </w:r>
          </w:p>
        </w:tc>
        <w:tc>
          <w:tcPr>
            <w:tcW w:w="560"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100</w:t>
            </w:r>
          </w:p>
        </w:tc>
        <w:tc>
          <w:tcPr>
            <w:tcW w:w="560"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150</w:t>
            </w:r>
          </w:p>
        </w:tc>
        <w:tc>
          <w:tcPr>
            <w:tcW w:w="559"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200</w:t>
            </w:r>
          </w:p>
        </w:tc>
        <w:tc>
          <w:tcPr>
            <w:tcW w:w="559"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250</w:t>
            </w:r>
          </w:p>
        </w:tc>
        <w:tc>
          <w:tcPr>
            <w:tcW w:w="559" w:type="pct"/>
            <w:noWrap w:val="0"/>
            <w:vAlign w:val="center"/>
          </w:tcPr>
          <w:p>
            <w:pPr>
              <w:pStyle w:val="167"/>
              <w:keepNext w:val="0"/>
              <w:keepLines w:val="0"/>
              <w:suppressLineNumbers w:val="0"/>
              <w:kinsoku w:val="0"/>
              <w:overflowPunct w:val="0"/>
              <w:spacing w:before="67" w:beforeAutospacing="0" w:after="0" w:afterAutospacing="0"/>
              <w:ind w:left="0" w:right="5"/>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350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exact"/>
        </w:trPr>
        <w:tc>
          <w:tcPr>
            <w:tcW w:w="1078" w:type="pct"/>
            <w:noWrap w:val="0"/>
            <w:vAlign w:val="center"/>
          </w:tcPr>
          <w:p>
            <w:pPr>
              <w:pStyle w:val="167"/>
              <w:keepNext w:val="0"/>
              <w:keepLines w:val="0"/>
              <w:suppressLineNumbers w:val="0"/>
              <w:kinsoku w:val="0"/>
              <w:overflowPunct w:val="0"/>
              <w:spacing w:before="1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沉降速度，m/s</w:t>
            </w:r>
          </w:p>
        </w:tc>
        <w:tc>
          <w:tcPr>
            <w:tcW w:w="560"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0.165</w:t>
            </w:r>
          </w:p>
        </w:tc>
        <w:tc>
          <w:tcPr>
            <w:tcW w:w="560"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0.170</w:t>
            </w:r>
          </w:p>
        </w:tc>
        <w:tc>
          <w:tcPr>
            <w:tcW w:w="560"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0.00251</w:t>
            </w:r>
          </w:p>
        </w:tc>
        <w:tc>
          <w:tcPr>
            <w:tcW w:w="560"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0.239</w:t>
            </w:r>
          </w:p>
        </w:tc>
        <w:tc>
          <w:tcPr>
            <w:tcW w:w="559"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0.804</w:t>
            </w:r>
          </w:p>
        </w:tc>
        <w:tc>
          <w:tcPr>
            <w:tcW w:w="559"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1.005</w:t>
            </w:r>
          </w:p>
        </w:tc>
        <w:tc>
          <w:tcPr>
            <w:tcW w:w="559" w:type="pct"/>
            <w:noWrap w:val="0"/>
            <w:vAlign w:val="center"/>
          </w:tcPr>
          <w:p>
            <w:pPr>
              <w:pStyle w:val="167"/>
              <w:keepNext w:val="0"/>
              <w:keepLines w:val="0"/>
              <w:suppressLineNumbers w:val="0"/>
              <w:kinsoku w:val="0"/>
              <w:overflowPunct w:val="0"/>
              <w:spacing w:before="6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1.829</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exact"/>
        </w:trPr>
        <w:tc>
          <w:tcPr>
            <w:tcW w:w="1078" w:type="pct"/>
            <w:noWrap w:val="0"/>
            <w:vAlign w:val="center"/>
          </w:tcPr>
          <w:p>
            <w:pPr>
              <w:pStyle w:val="167"/>
              <w:keepNext w:val="0"/>
              <w:keepLines w:val="0"/>
              <w:suppressLineNumbers w:val="0"/>
              <w:kinsoku w:val="0"/>
              <w:overflowPunct w:val="0"/>
              <w:spacing w:before="2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粒径，μm</w:t>
            </w:r>
          </w:p>
        </w:tc>
        <w:tc>
          <w:tcPr>
            <w:tcW w:w="560"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450</w:t>
            </w:r>
          </w:p>
        </w:tc>
        <w:tc>
          <w:tcPr>
            <w:tcW w:w="560"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550</w:t>
            </w:r>
          </w:p>
        </w:tc>
        <w:tc>
          <w:tcPr>
            <w:tcW w:w="560"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650</w:t>
            </w:r>
          </w:p>
        </w:tc>
        <w:tc>
          <w:tcPr>
            <w:tcW w:w="560"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750</w:t>
            </w:r>
          </w:p>
        </w:tc>
        <w:tc>
          <w:tcPr>
            <w:tcW w:w="559"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850</w:t>
            </w:r>
          </w:p>
        </w:tc>
        <w:tc>
          <w:tcPr>
            <w:tcW w:w="559"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950</w:t>
            </w:r>
          </w:p>
        </w:tc>
        <w:tc>
          <w:tcPr>
            <w:tcW w:w="559" w:type="pct"/>
            <w:noWrap w:val="0"/>
            <w:vAlign w:val="center"/>
          </w:tcPr>
          <w:p>
            <w:pPr>
              <w:pStyle w:val="167"/>
              <w:keepNext w:val="0"/>
              <w:keepLines w:val="0"/>
              <w:suppressLineNumbers w:val="0"/>
              <w:kinsoku w:val="0"/>
              <w:overflowPunct w:val="0"/>
              <w:spacing w:before="69"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1050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7" w:hRule="exact"/>
        </w:trPr>
        <w:tc>
          <w:tcPr>
            <w:tcW w:w="1078" w:type="pct"/>
            <w:noWrap w:val="0"/>
            <w:vAlign w:val="center"/>
          </w:tcPr>
          <w:p>
            <w:pPr>
              <w:pStyle w:val="167"/>
              <w:keepNext w:val="0"/>
              <w:keepLines w:val="0"/>
              <w:suppressLineNumbers w:val="0"/>
              <w:kinsoku w:val="0"/>
              <w:overflowPunct w:val="0"/>
              <w:spacing w:before="18"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沉降速度，m/s</w:t>
            </w:r>
          </w:p>
        </w:tc>
        <w:tc>
          <w:tcPr>
            <w:tcW w:w="560"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2.211</w:t>
            </w:r>
          </w:p>
        </w:tc>
        <w:tc>
          <w:tcPr>
            <w:tcW w:w="560"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2.614</w:t>
            </w:r>
          </w:p>
        </w:tc>
        <w:tc>
          <w:tcPr>
            <w:tcW w:w="560"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3.016</w:t>
            </w:r>
          </w:p>
        </w:tc>
        <w:tc>
          <w:tcPr>
            <w:tcW w:w="560"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3.418</w:t>
            </w:r>
          </w:p>
        </w:tc>
        <w:tc>
          <w:tcPr>
            <w:tcW w:w="559"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3.820</w:t>
            </w:r>
          </w:p>
        </w:tc>
        <w:tc>
          <w:tcPr>
            <w:tcW w:w="559"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4.222</w:t>
            </w:r>
          </w:p>
        </w:tc>
        <w:tc>
          <w:tcPr>
            <w:tcW w:w="559" w:type="pct"/>
            <w:noWrap w:val="0"/>
            <w:vAlign w:val="center"/>
          </w:tcPr>
          <w:p>
            <w:pPr>
              <w:pStyle w:val="167"/>
              <w:keepNext w:val="0"/>
              <w:keepLines w:val="0"/>
              <w:suppressLineNumbers w:val="0"/>
              <w:kinsoku w:val="0"/>
              <w:overflowPunct w:val="0"/>
              <w:spacing w:before="67"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4.624</w:t>
            </w:r>
          </w:p>
        </w:tc>
      </w:tr>
    </w:tbl>
    <w:p>
      <w:pPr>
        <w:pStyle w:val="4"/>
        <w:kinsoku w:val="0"/>
        <w:overflowPunct w:val="0"/>
        <w:spacing w:after="0"/>
        <w:ind w:right="249"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由表3.</w:t>
      </w:r>
      <w:r>
        <w:rPr>
          <w:rFonts w:hint="eastAsia"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-3可知，尘粒的沉降速度随粒径的增大而迅速增大。当粒径为250μm时，沉降 速度为1.005m/s，因此可以认为当尘粒大</w:t>
      </w:r>
      <w:r>
        <w:rPr>
          <w:rFonts w:hint="eastAsia" w:ascii="Times New Roman" w:hAnsi="Times New Roman" w:cs="Times New Roman"/>
          <w:color w:val="auto"/>
          <w:sz w:val="24"/>
          <w:szCs w:val="24"/>
          <w:highlight w:val="none"/>
          <w:lang w:eastAsia="zh-CN"/>
        </w:rPr>
        <w:t>于</w:t>
      </w:r>
      <w:r>
        <w:rPr>
          <w:rFonts w:hint="default" w:ascii="Times New Roman" w:hAnsi="Times New Roman" w:cs="Times New Roman"/>
          <w:color w:val="auto"/>
          <w:sz w:val="24"/>
          <w:szCs w:val="24"/>
          <w:highlight w:val="none"/>
        </w:rPr>
        <w:t>250μm时，主要影响范围在扬尘点下风向近距离范围内，而真正对外环境产生影响的是一些微小尘粒。</w:t>
      </w:r>
    </w:p>
    <w:p>
      <w:pPr>
        <w:pStyle w:val="4"/>
        <w:kinsoku w:val="0"/>
        <w:overflowPunct w:val="0"/>
        <w:spacing w:after="0"/>
        <w:ind w:right="249" w:firstLine="482"/>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防治措施：</w:t>
      </w:r>
      <w:r>
        <w:rPr>
          <w:rFonts w:hint="default" w:ascii="Times New Roman" w:hAnsi="Times New Roman" w:cs="Times New Roman"/>
          <w:color w:val="auto"/>
          <w:sz w:val="24"/>
          <w:szCs w:val="24"/>
          <w:highlight w:val="none"/>
        </w:rPr>
        <w:t>场内建筑主要为砖混结构及砖砌墙结构，路面为水泥路面铺设。混凝土为商品混凝土，场内仅采用小型搅拌器，搅拌水泥、砂石等，用于砖砌墙的的粘合剂。因此，场内的水泥、砂石等必须进行防风处理，减少扬尘。建议：①对水泥及其它易飞扬的细颗粒散体材料，储存在库房内或密闭存放；②施工临时弃土进行覆盖处理，采用防风网。</w:t>
      </w:r>
    </w:p>
    <w:p>
      <w:pPr>
        <w:pStyle w:val="4"/>
        <w:kinsoku w:val="0"/>
        <w:overflowPunct w:val="0"/>
        <w:spacing w:after="0"/>
        <w:ind w:right="249" w:firstLine="482"/>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4、施工机械废气</w:t>
      </w:r>
    </w:p>
    <w:p>
      <w:pPr>
        <w:pStyle w:val="4"/>
        <w:kinsoku w:val="0"/>
        <w:overflowPunct w:val="0"/>
        <w:spacing w:after="0"/>
        <w:ind w:right="249"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各种施工设备、运输车辆在燃油时会产生TSP、CO、SO</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、NOx、CnHm等大气污染物，但这些污染物排放量很少，且为间断排放，尾气中所含的有害物质主要有CO、NOx等，对施工人员产生一定的影响。因此施工单位必须使用污染物排放符合国家标准的运输 车辆，加强车辆的保养，使车辆处于良好的工作状态，严禁使用报废车辆，以减少施工对周围环境的影响。</w:t>
      </w:r>
    </w:p>
    <w:p>
      <w:pPr>
        <w:pStyle w:val="4"/>
        <w:kinsoku w:val="0"/>
        <w:overflowPunct w:val="0"/>
        <w:spacing w:after="0"/>
        <w:ind w:right="249" w:firstLine="482"/>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防治措施：</w:t>
      </w:r>
      <w:r>
        <w:rPr>
          <w:rFonts w:hint="default" w:ascii="Times New Roman" w:hAnsi="Times New Roman" w:cs="Times New Roman"/>
          <w:color w:val="auto"/>
          <w:sz w:val="24"/>
          <w:szCs w:val="24"/>
          <w:highlight w:val="none"/>
        </w:rPr>
        <w:t>运输车辆、挖掘机等设备产生的尾气特点是排放量小，属间断性排放，加之施工场地开阔，扩散条件良好。要求加强机械车辆维护和管理，确保施工机械正常运行，建议采用优质燃料。</w:t>
      </w:r>
    </w:p>
    <w:p>
      <w:pPr>
        <w:pStyle w:val="4"/>
        <w:kinsoku w:val="0"/>
        <w:overflowPunct w:val="0"/>
        <w:spacing w:after="0"/>
        <w:ind w:right="249"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本项目不设置施工营地，不在场地食宿，无食堂油烟产生，食宿依托周边居民房屋。</w:t>
      </w:r>
    </w:p>
    <w:p>
      <w:pPr>
        <w:pStyle w:val="9"/>
        <w:bidi w:val="0"/>
        <w:rPr>
          <w:color w:val="auto"/>
          <w:sz w:val="24"/>
          <w:szCs w:val="24"/>
          <w:highlight w:val="none"/>
        </w:rPr>
      </w:pPr>
      <w:r>
        <w:rPr>
          <w:color w:val="auto"/>
          <w:sz w:val="24"/>
          <w:szCs w:val="24"/>
          <w:highlight w:val="none"/>
        </w:rPr>
        <w:t>施工期噪声的产生及治理</w:t>
      </w:r>
    </w:p>
    <w:p>
      <w:pPr>
        <w:ind w:firstLine="480"/>
        <w:rPr>
          <w:color w:val="auto"/>
          <w:sz w:val="24"/>
          <w:szCs w:val="24"/>
          <w:highlight w:val="none"/>
        </w:rPr>
      </w:pPr>
      <w:r>
        <w:rPr>
          <w:color w:val="auto"/>
          <w:sz w:val="24"/>
          <w:szCs w:val="24"/>
          <w:highlight w:val="none"/>
        </w:rPr>
        <w:t>本项目施工期噪声源主要包括施工场地的各类机械设备和施工材料运输的交通噪声。《环境噪声与振动控制工程技术导则》附录中给出的常见施工机械设备噪声源情况见表3.</w:t>
      </w:r>
      <w:r>
        <w:rPr>
          <w:rFonts w:hint="eastAsia"/>
          <w:color w:val="auto"/>
          <w:sz w:val="24"/>
          <w:szCs w:val="24"/>
          <w:highlight w:val="none"/>
          <w:lang w:val="en-US" w:eastAsia="zh-CN"/>
        </w:rPr>
        <w:t>2</w:t>
      </w:r>
      <w:r>
        <w:rPr>
          <w:color w:val="auto"/>
          <w:sz w:val="24"/>
          <w:szCs w:val="24"/>
          <w:highlight w:val="none"/>
        </w:rPr>
        <w:t>-4。</w:t>
      </w:r>
    </w:p>
    <w:p>
      <w:pPr>
        <w:pStyle w:val="2504"/>
        <w:numPr>
          <w:ilvl w:val="0"/>
          <w:numId w:val="25"/>
        </w:numPr>
        <w:spacing w:before="120"/>
        <w:ind w:left="0" w:leftChars="0" w:firstLine="403" w:firstLineChars="0"/>
        <w:rPr>
          <w:b/>
          <w:bCs w:val="0"/>
          <w:color w:val="auto"/>
          <w:sz w:val="21"/>
          <w:szCs w:val="21"/>
          <w:highlight w:val="none"/>
        </w:rPr>
      </w:pPr>
      <w:r>
        <w:rPr>
          <w:rFonts w:hint="eastAsia"/>
          <w:b/>
          <w:bCs w:val="0"/>
          <w:color w:val="auto"/>
          <w:sz w:val="21"/>
          <w:szCs w:val="21"/>
          <w:highlight w:val="none"/>
          <w:lang w:val="en-US" w:eastAsia="zh-CN"/>
        </w:rPr>
        <w:t xml:space="preserve">  </w:t>
      </w:r>
      <w:r>
        <w:rPr>
          <w:b/>
          <w:bCs w:val="0"/>
          <w:color w:val="auto"/>
          <w:sz w:val="21"/>
          <w:szCs w:val="21"/>
          <w:highlight w:val="none"/>
        </w:rPr>
        <w:t>施工机械设备噪声源强    单位：dB(A)</w:t>
      </w:r>
    </w:p>
    <w:tbl>
      <w:tblPr>
        <w:tblStyle w:val="91"/>
        <w:tblW w:w="0" w:type="auto"/>
        <w:jc w:val="center"/>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1315"/>
        <w:gridCol w:w="2090"/>
        <w:gridCol w:w="2691"/>
        <w:gridCol w:w="2691"/>
      </w:tblGrid>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8"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设备名称</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距离声源</w:t>
            </w:r>
            <w:r>
              <w:rPr>
                <w:rFonts w:hint="default" w:ascii="Times New Roman" w:hAnsi="Times New Roman" w:eastAsia="宋体" w:cs="Times New Roman"/>
                <w:b/>
                <w:bCs/>
                <w:color w:val="auto"/>
                <w:spacing w:val="-56"/>
                <w:sz w:val="21"/>
                <w:szCs w:val="21"/>
                <w:highlight w:val="none"/>
              </w:rPr>
              <w:t xml:space="preserve"> </w:t>
            </w:r>
            <w:r>
              <w:rPr>
                <w:rFonts w:hint="default" w:ascii="Times New Roman" w:hAnsi="Times New Roman" w:eastAsia="宋体" w:cs="Times New Roman"/>
                <w:b/>
                <w:bCs/>
                <w:color w:val="auto"/>
                <w:sz w:val="21"/>
                <w:szCs w:val="21"/>
                <w:highlight w:val="none"/>
              </w:rPr>
              <w:t>5m</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距离声源</w:t>
            </w:r>
            <w:r>
              <w:rPr>
                <w:rFonts w:hint="default" w:ascii="Times New Roman" w:hAnsi="Times New Roman" w:eastAsia="宋体" w:cs="Times New Roman"/>
                <w:b/>
                <w:bCs/>
                <w:color w:val="auto"/>
                <w:spacing w:val="-56"/>
                <w:sz w:val="21"/>
                <w:szCs w:val="21"/>
                <w:highlight w:val="none"/>
              </w:rPr>
              <w:t xml:space="preserve"> </w:t>
            </w:r>
            <w:r>
              <w:rPr>
                <w:rFonts w:hint="default" w:ascii="Times New Roman" w:hAnsi="Times New Roman" w:eastAsia="宋体" w:cs="Times New Roman"/>
                <w:b/>
                <w:bCs/>
                <w:color w:val="auto"/>
                <w:sz w:val="21"/>
                <w:szCs w:val="21"/>
                <w:highlight w:val="none"/>
              </w:rPr>
              <w:t>10m</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1</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液压挖掘机</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82~90</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78~86</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2</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挖掘机</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80~86</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75~83</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3</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轮式装载机</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90~95</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85~91</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4</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推土机</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83~88</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80~85</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5</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重型运输车</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82~90</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78~86</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6</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木工电锯</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93~99</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93~99</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7</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电锤</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95~100</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95~99</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8</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振动夯锤</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92~100</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86~94</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9</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静力压桩机</w:t>
            </w:r>
          </w:p>
        </w:tc>
        <w:tc>
          <w:tcPr>
            <w:tcW w:w="2691" w:type="dxa"/>
            <w:noWrap w:val="0"/>
            <w:vAlign w:val="center"/>
          </w:tcPr>
          <w:p>
            <w:pPr>
              <w:pStyle w:val="167"/>
              <w:keepNext w:val="0"/>
              <w:keepLines w:val="0"/>
              <w:suppressLineNumbers w:val="0"/>
              <w:kinsoku w:val="0"/>
              <w:overflowPunct w:val="0"/>
              <w:spacing w:before="0" w:beforeAutospacing="0" w:after="0" w:afterAutospacing="0"/>
              <w:ind w:left="3"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70~75</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68~73</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混凝土输送泵</w:t>
            </w:r>
          </w:p>
        </w:tc>
        <w:tc>
          <w:tcPr>
            <w:tcW w:w="2691" w:type="dxa"/>
            <w:noWrap w:val="0"/>
            <w:vAlign w:val="center"/>
          </w:tcPr>
          <w:p>
            <w:pPr>
              <w:pStyle w:val="167"/>
              <w:keepNext w:val="0"/>
              <w:keepLines w:val="0"/>
              <w:suppressLineNumbers w:val="0"/>
              <w:kinsoku w:val="0"/>
              <w:overflowPunct w:val="0"/>
              <w:spacing w:before="0" w:beforeAutospacing="0" w:after="0" w:afterAutospacing="0"/>
              <w:ind w:left="3"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88~95</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84~90</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商砼运输车</w:t>
            </w:r>
          </w:p>
        </w:tc>
        <w:tc>
          <w:tcPr>
            <w:tcW w:w="2691" w:type="dxa"/>
            <w:noWrap w:val="0"/>
            <w:vAlign w:val="center"/>
          </w:tcPr>
          <w:p>
            <w:pPr>
              <w:pStyle w:val="167"/>
              <w:keepNext w:val="0"/>
              <w:keepLines w:val="0"/>
              <w:suppressLineNumbers w:val="0"/>
              <w:kinsoku w:val="0"/>
              <w:overflowPunct w:val="0"/>
              <w:spacing w:before="0" w:beforeAutospacing="0" w:after="0" w:afterAutospacing="0"/>
              <w:ind w:left="3"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85~90</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81~84</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混凝土振捣器</w:t>
            </w:r>
          </w:p>
        </w:tc>
        <w:tc>
          <w:tcPr>
            <w:tcW w:w="2691" w:type="dxa"/>
            <w:noWrap w:val="0"/>
            <w:vAlign w:val="center"/>
          </w:tcPr>
          <w:p>
            <w:pPr>
              <w:pStyle w:val="167"/>
              <w:keepNext w:val="0"/>
              <w:keepLines w:val="0"/>
              <w:suppressLineNumbers w:val="0"/>
              <w:kinsoku w:val="0"/>
              <w:overflowPunct w:val="0"/>
              <w:spacing w:before="0" w:beforeAutospacing="0" w:after="0" w:afterAutospacing="0"/>
              <w:ind w:left="3"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80~88</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75~84</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315" w:type="dxa"/>
            <w:noWrap w:val="0"/>
            <w:vAlign w:val="center"/>
          </w:tcPr>
          <w:p>
            <w:pPr>
              <w:pStyle w:val="167"/>
              <w:keepNext w:val="0"/>
              <w:keepLines w:val="0"/>
              <w:suppressLineNumbers w:val="0"/>
              <w:kinsoku w:val="0"/>
              <w:overflowPunct w:val="0"/>
              <w:spacing w:before="0" w:beforeAutospacing="0" w:after="0" w:afterAutospacing="0"/>
              <w:ind w:left="4"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w:t>
            </w:r>
          </w:p>
        </w:tc>
        <w:tc>
          <w:tcPr>
            <w:tcW w:w="209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空压机</w:t>
            </w:r>
          </w:p>
        </w:tc>
        <w:tc>
          <w:tcPr>
            <w:tcW w:w="2691" w:type="dxa"/>
            <w:noWrap w:val="0"/>
            <w:vAlign w:val="center"/>
          </w:tcPr>
          <w:p>
            <w:pPr>
              <w:pStyle w:val="167"/>
              <w:keepNext w:val="0"/>
              <w:keepLines w:val="0"/>
              <w:suppressLineNumbers w:val="0"/>
              <w:kinsoku w:val="0"/>
              <w:overflowPunct w:val="0"/>
              <w:spacing w:before="0" w:beforeAutospacing="0" w:after="0" w:afterAutospacing="0"/>
              <w:ind w:left="3"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88~92</w:t>
            </w:r>
          </w:p>
        </w:tc>
        <w:tc>
          <w:tcPr>
            <w:tcW w:w="2691"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83~88</w:t>
            </w:r>
          </w:p>
        </w:tc>
      </w:tr>
    </w:tbl>
    <w:p>
      <w:pPr>
        <w:pStyle w:val="4"/>
        <w:kinsoku w:val="0"/>
        <w:overflowPunct w:val="0"/>
        <w:spacing w:after="0"/>
        <w:ind w:right="249" w:firstLine="482"/>
        <w:rPr>
          <w:rFonts w:ascii="Times New Roman" w:hAnsi="Times New Roman"/>
          <w:b/>
          <w:color w:val="auto"/>
          <w:sz w:val="24"/>
          <w:szCs w:val="24"/>
          <w:highlight w:val="none"/>
        </w:rPr>
      </w:pPr>
      <w:r>
        <w:rPr>
          <w:rFonts w:ascii="Times New Roman" w:hAnsi="Times New Roman"/>
          <w:b/>
          <w:color w:val="auto"/>
          <w:sz w:val="24"/>
          <w:szCs w:val="24"/>
          <w:highlight w:val="none"/>
        </w:rPr>
        <w:t>防治措施：</w:t>
      </w:r>
    </w:p>
    <w:p>
      <w:pPr>
        <w:pStyle w:val="4"/>
        <w:kinsoku w:val="0"/>
        <w:overflowPunct w:val="0"/>
        <w:spacing w:after="0"/>
        <w:ind w:right="249" w:firstLine="480"/>
        <w:rPr>
          <w:rFonts w:ascii="Times New Roman" w:hAnsi="Times New Roman"/>
          <w:color w:val="auto"/>
          <w:sz w:val="24"/>
          <w:szCs w:val="24"/>
          <w:highlight w:val="none"/>
        </w:rPr>
      </w:pPr>
      <w:r>
        <w:rPr>
          <w:rFonts w:hint="eastAsia" w:ascii="宋体" w:hAnsi="宋体" w:cs="宋体"/>
          <w:color w:val="auto"/>
          <w:sz w:val="24"/>
          <w:szCs w:val="24"/>
          <w:highlight w:val="none"/>
        </w:rPr>
        <w:t>①</w:t>
      </w:r>
      <w:r>
        <w:rPr>
          <w:rFonts w:ascii="Times New Roman" w:hAnsi="Times New Roman"/>
          <w:color w:val="auto"/>
          <w:sz w:val="24"/>
          <w:szCs w:val="24"/>
          <w:highlight w:val="none"/>
        </w:rPr>
        <w:t>首先从噪声源强进行控制：建设单位在与施工单位签订合同时，应要求其使用的主要机械设备为低噪设备。尽量选低噪声液压施工机械替代气压机械；不使用汽锤打桩机，采用长螺旋钻机；尽可能使用商品混凝土，不使用混凝土搅拌机。同时在施 工过程中施工单位应设专人对设备进行定期保养和维护，并负责对现场工作人员进行培训，严格按操作规范使用各类机械。</w:t>
      </w:r>
    </w:p>
    <w:p>
      <w:pPr>
        <w:pStyle w:val="4"/>
        <w:kinsoku w:val="0"/>
        <w:overflowPunct w:val="0"/>
        <w:spacing w:after="0"/>
        <w:ind w:right="249" w:firstLine="480"/>
        <w:rPr>
          <w:rFonts w:ascii="Times New Roman" w:hAnsi="Times New Roman"/>
          <w:color w:val="auto"/>
          <w:sz w:val="24"/>
          <w:szCs w:val="24"/>
          <w:highlight w:val="none"/>
        </w:rPr>
      </w:pPr>
      <w:r>
        <w:rPr>
          <w:rFonts w:hint="eastAsia" w:ascii="宋体" w:hAnsi="宋体" w:cs="宋体"/>
          <w:color w:val="auto"/>
          <w:sz w:val="24"/>
          <w:szCs w:val="24"/>
          <w:highlight w:val="none"/>
        </w:rPr>
        <w:t>②</w:t>
      </w:r>
      <w:r>
        <w:rPr>
          <w:rFonts w:ascii="Times New Roman" w:hAnsi="Times New Roman"/>
          <w:color w:val="auto"/>
          <w:sz w:val="24"/>
          <w:szCs w:val="24"/>
          <w:highlight w:val="none"/>
        </w:rPr>
        <w:t>作业时在高噪声设备周围设置屏蔽，不低于1.8m。</w:t>
      </w:r>
    </w:p>
    <w:p>
      <w:pPr>
        <w:pStyle w:val="4"/>
        <w:kinsoku w:val="0"/>
        <w:overflowPunct w:val="0"/>
        <w:spacing w:after="0"/>
        <w:ind w:right="249" w:firstLine="480"/>
        <w:rPr>
          <w:rFonts w:ascii="Times New Roman" w:hAnsi="Times New Roman"/>
          <w:color w:val="auto"/>
          <w:sz w:val="24"/>
          <w:szCs w:val="24"/>
          <w:highlight w:val="none"/>
        </w:rPr>
      </w:pPr>
      <w:r>
        <w:rPr>
          <w:rFonts w:hint="eastAsia" w:ascii="宋体" w:hAnsi="宋体" w:cs="宋体"/>
          <w:color w:val="auto"/>
          <w:sz w:val="24"/>
          <w:szCs w:val="24"/>
          <w:highlight w:val="none"/>
        </w:rPr>
        <w:t>③</w:t>
      </w:r>
      <w:r>
        <w:rPr>
          <w:rFonts w:ascii="Times New Roman" w:hAnsi="Times New Roman"/>
          <w:color w:val="auto"/>
          <w:sz w:val="24"/>
          <w:szCs w:val="24"/>
          <w:highlight w:val="none"/>
        </w:rPr>
        <w:t>合理安排施工进度和作业时间，尽量避免高噪声设备同时作业，夜间（晚22点到次日早晨6点）禁止施工。</w:t>
      </w:r>
    </w:p>
    <w:p>
      <w:pPr>
        <w:pStyle w:val="4"/>
        <w:kinsoku w:val="0"/>
        <w:overflowPunct w:val="0"/>
        <w:spacing w:after="0"/>
        <w:ind w:right="249" w:firstLine="480"/>
        <w:rPr>
          <w:rFonts w:ascii="Times New Roman" w:hAnsi="Times New Roman"/>
          <w:color w:val="auto"/>
          <w:sz w:val="24"/>
          <w:szCs w:val="24"/>
          <w:highlight w:val="none"/>
        </w:rPr>
      </w:pPr>
      <w:r>
        <w:rPr>
          <w:rFonts w:hint="eastAsia" w:ascii="宋体" w:hAnsi="宋体" w:cs="宋体"/>
          <w:color w:val="auto"/>
          <w:sz w:val="24"/>
          <w:szCs w:val="24"/>
          <w:highlight w:val="none"/>
        </w:rPr>
        <w:t>④</w:t>
      </w:r>
      <w:r>
        <w:rPr>
          <w:rFonts w:ascii="Times New Roman" w:hAnsi="Times New Roman"/>
          <w:color w:val="auto"/>
          <w:sz w:val="24"/>
          <w:szCs w:val="24"/>
          <w:highlight w:val="none"/>
        </w:rPr>
        <w:t>对人为的施工噪声应有管理制度和降噪措施，并进行严格控制：承担材料运输的车辆，行经居民点处禁止鸣笛，并要减速慢行，装卸材料应做到轻拿轻放，最大限度地减少噪声影响。</w:t>
      </w:r>
    </w:p>
    <w:p>
      <w:pPr>
        <w:pStyle w:val="4"/>
        <w:kinsoku w:val="0"/>
        <w:overflowPunct w:val="0"/>
        <w:spacing w:after="0"/>
        <w:ind w:right="249" w:firstLine="480"/>
        <w:rPr>
          <w:rFonts w:ascii="Times New Roman" w:hAnsi="Times New Roman"/>
          <w:color w:val="auto"/>
          <w:sz w:val="24"/>
          <w:szCs w:val="24"/>
          <w:highlight w:val="none"/>
        </w:rPr>
      </w:pPr>
      <w:r>
        <w:rPr>
          <w:rFonts w:hint="eastAsia" w:ascii="宋体" w:hAnsi="宋体" w:cs="宋体"/>
          <w:color w:val="auto"/>
          <w:sz w:val="24"/>
          <w:szCs w:val="24"/>
          <w:highlight w:val="none"/>
        </w:rPr>
        <w:t>⑤</w:t>
      </w:r>
      <w:r>
        <w:rPr>
          <w:rFonts w:ascii="Times New Roman" w:hAnsi="Times New Roman"/>
          <w:color w:val="auto"/>
          <w:sz w:val="24"/>
          <w:szCs w:val="24"/>
          <w:highlight w:val="none"/>
        </w:rPr>
        <w:t>建设管理部门应加强对施工场地的噪声管理，施工企业也应对施工噪声进行自律，文明施工，避免因施工噪声产生纠纷。</w:t>
      </w:r>
    </w:p>
    <w:p>
      <w:pPr>
        <w:pStyle w:val="9"/>
        <w:bidi w:val="0"/>
        <w:rPr>
          <w:color w:val="auto"/>
          <w:sz w:val="24"/>
          <w:szCs w:val="24"/>
          <w:highlight w:val="none"/>
        </w:rPr>
      </w:pPr>
      <w:bookmarkStart w:id="144" w:name="_Toc111022443"/>
      <w:bookmarkStart w:id="145" w:name="_Toc110935814"/>
      <w:bookmarkStart w:id="146" w:name="_Toc111453587"/>
      <w:bookmarkStart w:id="147" w:name="_Toc110935446"/>
      <w:bookmarkStart w:id="148" w:name="_Toc170547617"/>
      <w:bookmarkStart w:id="149" w:name="_Toc169867758"/>
      <w:bookmarkStart w:id="150" w:name="_Toc170014878"/>
      <w:bookmarkStart w:id="151" w:name="_Toc170533972"/>
      <w:bookmarkStart w:id="152" w:name="_Toc169669370"/>
      <w:bookmarkStart w:id="153" w:name="_Toc170627290"/>
      <w:bookmarkStart w:id="154" w:name="_Toc170707101"/>
      <w:bookmarkStart w:id="155" w:name="_Toc170533713"/>
      <w:bookmarkStart w:id="156" w:name="_Toc149710713"/>
      <w:bookmarkStart w:id="157" w:name="_Toc170544198"/>
      <w:bookmarkStart w:id="158" w:name="_Toc170548695"/>
      <w:bookmarkStart w:id="159" w:name="_Toc170533191"/>
      <w:bookmarkStart w:id="160" w:name="_Toc149714155"/>
      <w:bookmarkStart w:id="161" w:name="_Toc170548315"/>
      <w:bookmarkStart w:id="162" w:name="_Toc170707312"/>
      <w:r>
        <w:rPr>
          <w:color w:val="auto"/>
          <w:sz w:val="24"/>
          <w:szCs w:val="24"/>
          <w:highlight w:val="none"/>
        </w:rPr>
        <w:t>施工期</w:t>
      </w:r>
      <w:bookmarkEnd w:id="144"/>
      <w:bookmarkEnd w:id="145"/>
      <w:bookmarkEnd w:id="146"/>
      <w:bookmarkEnd w:id="147"/>
      <w:r>
        <w:rPr>
          <w:color w:val="auto"/>
          <w:sz w:val="24"/>
          <w:szCs w:val="24"/>
          <w:highlight w:val="none"/>
        </w:rPr>
        <w:t>固体废物的产生及治理</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pPr>
        <w:ind w:firstLine="480"/>
        <w:rPr>
          <w:rFonts w:hint="default" w:ascii="Times New Roman" w:hAnsi="Times New Roman" w:cs="Times New Roman"/>
          <w:color w:val="auto"/>
          <w:sz w:val="24"/>
          <w:szCs w:val="24"/>
          <w:highlight w:val="none"/>
        </w:rPr>
      </w:pPr>
      <w:bookmarkStart w:id="163" w:name="_Toc170533714"/>
      <w:bookmarkStart w:id="164" w:name="_Toc170533973"/>
      <w:bookmarkStart w:id="165" w:name="_Toc170548316"/>
      <w:bookmarkStart w:id="166" w:name="_Toc169669371"/>
      <w:bookmarkStart w:id="167" w:name="_Toc169867759"/>
      <w:bookmarkStart w:id="168" w:name="_Toc170533192"/>
      <w:bookmarkStart w:id="169" w:name="_Toc170707313"/>
      <w:bookmarkStart w:id="170" w:name="_Toc170707102"/>
      <w:bookmarkStart w:id="171" w:name="_Toc170548696"/>
      <w:bookmarkStart w:id="172" w:name="_Toc170544199"/>
      <w:bookmarkStart w:id="173" w:name="_Toc170014879"/>
      <w:bookmarkStart w:id="174" w:name="_Toc170627291"/>
      <w:bookmarkStart w:id="175" w:name="_Toc170547618"/>
      <w:bookmarkStart w:id="176" w:name="_Toc149714156"/>
      <w:bookmarkStart w:id="177" w:name="_Toc149710714"/>
      <w:r>
        <w:rPr>
          <w:rFonts w:hint="default" w:ascii="Times New Roman" w:hAnsi="Times New Roman" w:cs="Times New Roman"/>
          <w:color w:val="auto"/>
          <w:sz w:val="24"/>
          <w:szCs w:val="24"/>
          <w:highlight w:val="none"/>
        </w:rPr>
        <w:t>本项目施工期产生的固体废弃物主要为施工人员产生的生活垃圾和各种建筑垃圾等。</w:t>
      </w:r>
    </w:p>
    <w:p>
      <w:pPr>
        <w:ind w:firstLine="482"/>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1、生活垃圾</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生活垃圾以人均每天产生0.5kg计算，施工高峰期施工人员约100人，施工期以180d计，则施工期产生的生活垃圾约9.0t。</w:t>
      </w:r>
    </w:p>
    <w:p>
      <w:pPr>
        <w:ind w:firstLine="482"/>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防治措施：</w:t>
      </w:r>
      <w:r>
        <w:rPr>
          <w:rFonts w:hint="default" w:ascii="Times New Roman" w:hAnsi="Times New Roman" w:cs="Times New Roman"/>
          <w:color w:val="auto"/>
          <w:sz w:val="24"/>
          <w:szCs w:val="24"/>
          <w:highlight w:val="none"/>
        </w:rPr>
        <w:t>生活垃圾由场地内垃圾桶（至少6个）收集，日产日清，交由当地环卫部门统一收集清运。</w:t>
      </w:r>
    </w:p>
    <w:p>
      <w:pPr>
        <w:ind w:firstLine="482"/>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2、建筑垃圾</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在建设过程中产生的建筑垃圾主要为建材损耗产生的垃圾。在施工过程中产生的建筑垃圾包括砂土、石块、水泥、碎木料、锯木屑、废金属、钢筋、铁丝、土石方等杂物。工程施工过程中产生的各类建渣，按照0.5t/100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，本项目建筑面积为</w:t>
      </w:r>
      <w:r>
        <w:rPr>
          <w:rFonts w:hint="eastAsia" w:ascii="Times New Roman" w:hAnsi="Times New Roman" w:cs="Times New Roman"/>
          <w:color w:val="auto"/>
          <w:sz w:val="24"/>
          <w:szCs w:val="24"/>
          <w:highlight w:val="none"/>
          <w:lang w:eastAsia="zh-CN"/>
        </w:rPr>
        <w:t>约</w:t>
      </w:r>
      <w:r>
        <w:rPr>
          <w:rFonts w:hint="eastAsia" w:ascii="Times New Roman" w:hAnsi="Times New Roman" w:cs="Times New Roman"/>
          <w:color w:val="auto"/>
          <w:sz w:val="24"/>
          <w:szCs w:val="24"/>
          <w:highlight w:val="none"/>
          <w:lang w:val="en-US" w:eastAsia="zh-CN"/>
        </w:rPr>
        <w:t>75055</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，故本项目产生的建筑垃圾约</w:t>
      </w:r>
      <w:r>
        <w:rPr>
          <w:rFonts w:hint="eastAsia" w:ascii="Times New Roman" w:hAnsi="Times New Roman" w:cs="Times New Roman"/>
          <w:color w:val="auto"/>
          <w:sz w:val="24"/>
          <w:szCs w:val="24"/>
          <w:highlight w:val="none"/>
          <w:lang w:val="en-US" w:eastAsia="zh-CN"/>
        </w:rPr>
        <w:t>375.275</w:t>
      </w:r>
      <w:r>
        <w:rPr>
          <w:rFonts w:hint="default" w:ascii="Times New Roman" w:hAnsi="Times New Roman" w:cs="Times New Roman"/>
          <w:color w:val="auto"/>
          <w:sz w:val="24"/>
          <w:szCs w:val="24"/>
          <w:highlight w:val="none"/>
        </w:rPr>
        <w:t>t。</w:t>
      </w:r>
    </w:p>
    <w:p>
      <w:pPr>
        <w:ind w:firstLine="482"/>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防治措施：</w:t>
      </w:r>
      <w:r>
        <w:rPr>
          <w:rFonts w:hint="default" w:ascii="Times New Roman" w:hAnsi="Times New Roman" w:cs="Times New Roman"/>
          <w:color w:val="auto"/>
          <w:sz w:val="24"/>
          <w:szCs w:val="24"/>
          <w:highlight w:val="none"/>
        </w:rPr>
        <w:t>建筑垃圾中废金属、废钢筋、废铁丝、废砖块、废木料等应尽量回收利用，其他不能回收利用的建筑垃圾清运至当地管理部门指定的的受纳场地堆放，严禁乱倾乱倒。建筑施工单位在建设项目竣工后，应随即清理、清运完建筑垃圾。</w:t>
      </w:r>
    </w:p>
    <w:p>
      <w:pPr>
        <w:ind w:firstLine="482"/>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3、弃土弃渣</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施工期基础工程包括开挖土方量与回填土方量，项目开挖表土暂存于表土临时堆场，用于后期绿化覆土。项目挖方量（主要包括</w:t>
      </w:r>
      <w:r>
        <w:rPr>
          <w:rFonts w:hint="eastAsia" w:ascii="Times New Roman" w:hAnsi="Times New Roman" w:cs="Times New Roman"/>
          <w:color w:val="auto"/>
          <w:sz w:val="24"/>
          <w:szCs w:val="24"/>
          <w:highlight w:val="none"/>
          <w:lang w:eastAsia="zh-CN"/>
        </w:rPr>
        <w:t>牛</w:t>
      </w:r>
      <w:r>
        <w:rPr>
          <w:rFonts w:hint="default" w:ascii="Times New Roman" w:hAnsi="Times New Roman" w:cs="Times New Roman"/>
          <w:color w:val="auto"/>
          <w:sz w:val="24"/>
          <w:szCs w:val="24"/>
          <w:highlight w:val="none"/>
        </w:rPr>
        <w:t>舍基础开挖、环保处理设施基坑开挖、</w:t>
      </w:r>
      <w:r>
        <w:rPr>
          <w:rFonts w:hint="eastAsia" w:ascii="Times New Roman" w:hAnsi="Times New Roman" w:cs="Times New Roman"/>
          <w:color w:val="auto"/>
          <w:sz w:val="24"/>
          <w:szCs w:val="24"/>
          <w:highlight w:val="none"/>
          <w:lang w:eastAsia="zh-CN"/>
        </w:rPr>
        <w:t>尾水暂存池</w:t>
      </w:r>
      <w:r>
        <w:rPr>
          <w:rFonts w:hint="default" w:ascii="Times New Roman" w:hAnsi="Times New Roman" w:cs="Times New Roman"/>
          <w:color w:val="auto"/>
          <w:sz w:val="24"/>
          <w:szCs w:val="24"/>
          <w:highlight w:val="none"/>
        </w:rPr>
        <w:t>基坑开挖等）约为18.6万m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，填方量（场地低处平整、厂区硬化区土地压实、绿化区需要的表土）约为15.5万m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，剩余土方量（主要为表土）约为3.1万m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，用作修建周边道路绿化覆土、本项目绿化工程的填方及绿化覆土及周边农田整治覆土。本项目不产生弃土，不设置弃土场。</w:t>
      </w:r>
    </w:p>
    <w:p>
      <w:pPr>
        <w:ind w:firstLine="482"/>
        <w:rPr>
          <w:rFonts w:hint="default"/>
          <w:color w:val="auto"/>
          <w:highlight w:val="none"/>
        </w:rPr>
      </w:pPr>
      <w:r>
        <w:rPr>
          <w:rFonts w:hint="default" w:ascii="Times New Roman" w:hAnsi="Times New Roman" w:cs="Times New Roman"/>
          <w:b/>
          <w:color w:val="auto"/>
          <w:sz w:val="24"/>
          <w:szCs w:val="24"/>
          <w:highlight w:val="none"/>
        </w:rPr>
        <w:t>防治措施：</w:t>
      </w:r>
      <w:r>
        <w:rPr>
          <w:rFonts w:hint="default" w:ascii="Times New Roman" w:hAnsi="Times New Roman" w:cs="Times New Roman"/>
          <w:color w:val="auto"/>
          <w:sz w:val="24"/>
          <w:szCs w:val="24"/>
          <w:highlight w:val="none"/>
        </w:rPr>
        <w:t>项目多余土方用作修建周边道路的填方，不单独设置弃土场。</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Start w:id="178" w:name="_Toc110935447"/>
      <w:bookmarkStart w:id="179" w:name="_Toc111022444"/>
      <w:bookmarkStart w:id="180" w:name="_Toc111453588"/>
      <w:bookmarkStart w:id="181" w:name="_Toc110935815"/>
      <w:r>
        <w:rPr>
          <w:rFonts w:hint="default" w:ascii="Times New Roman" w:hAnsi="Times New Roman" w:cs="Times New Roman"/>
          <w:color w:val="auto"/>
          <w:sz w:val="24"/>
          <w:szCs w:val="24"/>
          <w:highlight w:val="none"/>
        </w:rPr>
        <w:t>施工期结束后应及时对裸露土地进行绿化，防止水土流失。</w:t>
      </w:r>
    </w:p>
    <w:bookmarkEnd w:id="178"/>
    <w:bookmarkEnd w:id="179"/>
    <w:bookmarkEnd w:id="180"/>
    <w:bookmarkEnd w:id="181"/>
    <w:p>
      <w:pPr>
        <w:pStyle w:val="9"/>
        <w:bidi w:val="0"/>
        <w:rPr>
          <w:color w:val="auto"/>
          <w:sz w:val="24"/>
          <w:szCs w:val="24"/>
          <w:highlight w:val="none"/>
        </w:rPr>
      </w:pPr>
      <w:r>
        <w:rPr>
          <w:color w:val="auto"/>
          <w:sz w:val="24"/>
          <w:szCs w:val="24"/>
          <w:highlight w:val="none"/>
        </w:rPr>
        <w:t>施工期水土保持及生态恢复措施</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项目用地现状为</w:t>
      </w:r>
      <w:r>
        <w:rPr>
          <w:rFonts w:hint="eastAsia" w:ascii="Times New Roman" w:hAnsi="Times New Roman" w:eastAsia="宋体" w:cs="Times New Roman"/>
          <w:color w:val="auto"/>
          <w:sz w:val="24"/>
          <w:szCs w:val="24"/>
          <w:highlight w:val="none"/>
          <w:lang w:val="en-US" w:eastAsia="zh-CN"/>
        </w:rPr>
        <w:t>设施农用地</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占地面积</w:t>
      </w:r>
      <w:r>
        <w:rPr>
          <w:rFonts w:hint="eastAsia" w:ascii="Times New Roman" w:hAnsi="Times New Roman" w:eastAsia="宋体" w:cs="Times New Roman"/>
          <w:color w:val="auto"/>
          <w:sz w:val="24"/>
          <w:szCs w:val="24"/>
          <w:highlight w:val="none"/>
          <w:lang w:val="en-US" w:eastAsia="zh-CN"/>
        </w:rPr>
        <w:t>512.52</w:t>
      </w:r>
      <w:r>
        <w:rPr>
          <w:rFonts w:hint="default" w:ascii="Times New Roman" w:hAnsi="Times New Roman" w:eastAsia="宋体" w:cs="Times New Roman"/>
          <w:color w:val="auto"/>
          <w:sz w:val="24"/>
          <w:szCs w:val="24"/>
          <w:highlight w:val="none"/>
          <w:lang w:val="en-US" w:eastAsia="zh-CN"/>
        </w:rPr>
        <w:t>亩，</w:t>
      </w:r>
      <w:r>
        <w:rPr>
          <w:rFonts w:hint="default" w:ascii="Times New Roman" w:hAnsi="Times New Roman" w:eastAsia="宋体" w:cs="Times New Roman"/>
          <w:color w:val="auto"/>
          <w:sz w:val="24"/>
          <w:szCs w:val="24"/>
          <w:highlight w:val="none"/>
          <w:lang w:eastAsia="zh-CN"/>
        </w:rPr>
        <w:t>建设</w:t>
      </w:r>
      <w:r>
        <w:rPr>
          <w:rFonts w:hint="default" w:ascii="Times New Roman" w:hAnsi="Times New Roman" w:eastAsia="宋体" w:cs="Times New Roman"/>
          <w:color w:val="auto"/>
          <w:sz w:val="24"/>
          <w:szCs w:val="24"/>
          <w:highlight w:val="none"/>
        </w:rPr>
        <w:t>面积为</w:t>
      </w:r>
      <w:r>
        <w:rPr>
          <w:rFonts w:hint="eastAsia" w:ascii="Times New Roman" w:hAnsi="Times New Roman" w:eastAsia="宋体" w:cs="Times New Roman"/>
          <w:color w:val="auto"/>
          <w:sz w:val="24"/>
          <w:szCs w:val="24"/>
          <w:highlight w:val="none"/>
          <w:lang w:val="en-US" w:eastAsia="zh-CN"/>
        </w:rPr>
        <w:t>211</w:t>
      </w:r>
      <w:r>
        <w:rPr>
          <w:rFonts w:hint="default" w:ascii="Times New Roman" w:hAnsi="Times New Roman" w:eastAsia="宋体" w:cs="Times New Roman"/>
          <w:color w:val="auto"/>
          <w:sz w:val="24"/>
          <w:szCs w:val="24"/>
          <w:highlight w:val="none"/>
          <w:lang w:val="en-US" w:eastAsia="zh-CN"/>
        </w:rPr>
        <w:t>亩</w:t>
      </w:r>
      <w:r>
        <w:rPr>
          <w:rFonts w:hint="default" w:ascii="Times New Roman" w:hAnsi="Times New Roman" w:eastAsia="宋体" w:cs="Times New Roman"/>
          <w:color w:val="auto"/>
          <w:sz w:val="24"/>
          <w:szCs w:val="24"/>
          <w:highlight w:val="none"/>
        </w:rPr>
        <w:t>，施工会改变原有土地性质，施工过程中可能会对周围的植被产生影响。本次工程施工期为</w:t>
      </w:r>
      <w:r>
        <w:rPr>
          <w:rFonts w:hint="default" w:ascii="Times New Roman" w:hAnsi="Times New Roman" w:eastAsia="宋体"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rPr>
        <w:t>个月，在此期间进行基础施工及局部场地平整将会造成一定程度的水土流失，主要体现在：</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裸露地表：项目在施工建设中的基础开挖及施工车辆的频繁往来将不可避免地损坏原土地的自然地貌和地表植被，使地表土壤裸露，造成水土流失。这种土壤侵蚀和水土流失现象尤其是在强降水季节变得更为突出。</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（2）施工过程中的挖填方临时土堆：项目施工会产生开挖与填方，中间过程会产生土方的临时堆存，土堆的斜坡坡面通常不能进行碾压处理，土质疏松，容易造成水土流失。</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（3）由于占用大量土地将减少区域农作物产量及生物量。在项目建设期间，地表裸露、挖填方、机械碾轧等都会加大水土流失量。</w:t>
      </w:r>
    </w:p>
    <w:p>
      <w:pPr>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防治措施：</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针对本项目的实际情况，要求采取以下生态减缓措补偿施、水土流失保持措施。施工前做好土石方平衡，严格控制施工线路，施工范围，避免对施工区外的生态环境造成破坏，减少土石方的开挖。</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①建设所需物料堆放在场区，可减少对土地的占用，减少对生态的影响；砂石料运输途中，应防止石料抛洒路面造成新的水土流失。</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②禁止建筑垃圾乱堆乱放，占压施工场地以外土地。在加快施工进度的前提下，施工完毕后进行覆土绿化，破坏的植被进行及时恢复，不会对生态环境造成明显影响。</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③项目施工场地内及时做好排水导流工作，完善排水设施，筑好排水沟，有效汇集水流，减轻水流对裸露地表的冲刷。</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④项目应合理安排施工时间，尽量将土石方开挖期避开大规模的降雨天气，并尽量缩短挖方时间，尽量在雨季到来之前完成挖方工程。</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⑤项目施工过程中，应尽量做到挖填同步、挖填平衡，剥离土石方就地消化为填土石方。对开挖的土壤分层堆放，分层回填，以保护植被生长层，恢复土壤生产力。</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⑥项目施工结束后，应及时对场地进行平整和复原；按照要求及时铺好草皮及植树绿化工作，以保护当地的天然生态环境。</w:t>
      </w:r>
    </w:p>
    <w:p>
      <w:pPr>
        <w:pStyle w:val="8"/>
        <w:spacing w:before="0" w:after="0" w:line="360" w:lineRule="auto"/>
        <w:ind w:left="0" w:firstLine="0"/>
        <w:rPr>
          <w:rFonts w:cs="Times New Roman"/>
          <w:color w:val="auto"/>
          <w:highlight w:val="none"/>
        </w:rPr>
      </w:pPr>
      <w:bookmarkStart w:id="182" w:name="_Toc23571"/>
      <w:r>
        <w:rPr>
          <w:rFonts w:cs="Times New Roman"/>
          <w:color w:val="auto"/>
          <w:highlight w:val="none"/>
        </w:rPr>
        <w:t>营运期工艺流程</w:t>
      </w:r>
      <w:bookmarkEnd w:id="182"/>
    </w:p>
    <w:p>
      <w:pPr>
        <w:pStyle w:val="9"/>
        <w:bidi w:val="0"/>
        <w:rPr>
          <w:rFonts w:hint="default" w:ascii="Times New Roman" w:hAnsi="Times New Roman" w:eastAsia="宋体" w:cs="Times New Roman"/>
          <w:color w:val="auto"/>
          <w:sz w:val="24"/>
          <w:szCs w:val="24"/>
          <w:highlight w:val="none"/>
        </w:rPr>
      </w:pPr>
      <w:r>
        <w:rPr>
          <w:rFonts w:hint="eastAsia" w:eastAsia="宋体" w:cs="Times New Roman"/>
          <w:color w:val="auto"/>
          <w:sz w:val="24"/>
          <w:szCs w:val="24"/>
          <w:highlight w:val="none"/>
          <w:lang w:eastAsia="zh-CN"/>
        </w:rPr>
        <w:t>青贮饲料</w:t>
      </w:r>
      <w:r>
        <w:rPr>
          <w:rFonts w:hint="default" w:ascii="Times New Roman" w:hAnsi="Times New Roman" w:eastAsia="宋体" w:cs="Times New Roman"/>
          <w:color w:val="auto"/>
          <w:sz w:val="24"/>
          <w:szCs w:val="24"/>
          <w:highlight w:val="none"/>
        </w:rPr>
        <w:t>工艺流程分析</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项目</w:t>
      </w:r>
      <w:r>
        <w:rPr>
          <w:rFonts w:hint="eastAsia" w:ascii="Times New Roman" w:hAnsi="Times New Roman" w:cs="Times New Roman"/>
          <w:color w:val="auto"/>
          <w:sz w:val="24"/>
          <w:szCs w:val="24"/>
          <w:highlight w:val="none"/>
          <w:lang w:eastAsia="zh-CN"/>
        </w:rPr>
        <w:t>肉牛</w:t>
      </w:r>
      <w:r>
        <w:rPr>
          <w:rFonts w:hint="eastAsia" w:ascii="Times New Roman" w:hAnsi="Times New Roman" w:cs="Times New Roman"/>
          <w:color w:val="auto"/>
          <w:sz w:val="24"/>
          <w:szCs w:val="24"/>
          <w:highlight w:val="none"/>
        </w:rPr>
        <w:t>养殖时，不同阶段</w:t>
      </w:r>
      <w:r>
        <w:rPr>
          <w:rFonts w:hint="eastAsia" w:ascii="Times New Roman" w:hAnsi="Times New Roman" w:cs="Times New Roman"/>
          <w:color w:val="auto"/>
          <w:sz w:val="24"/>
          <w:szCs w:val="24"/>
          <w:highlight w:val="none"/>
          <w:lang w:eastAsia="zh-CN"/>
        </w:rPr>
        <w:t>肉牛</w:t>
      </w:r>
      <w:r>
        <w:rPr>
          <w:rFonts w:hint="eastAsia" w:ascii="Times New Roman" w:hAnsi="Times New Roman" w:cs="Times New Roman"/>
          <w:color w:val="auto"/>
          <w:sz w:val="24"/>
          <w:szCs w:val="24"/>
          <w:highlight w:val="none"/>
        </w:rPr>
        <w:t>所需饲料不同，养殖工艺所需饲料主要分为青饲料、粗饲料和精饲料。</w:t>
      </w:r>
    </w:p>
    <w:p>
      <w:pPr>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object>
          <v:shape id="_x0000_i1026" o:spt="75" type="#_x0000_t75" style="height:90.6pt;width:415.15pt;" o:ole="t" filled="f" o:preferrelative="t" stroked="f" coordsize="21600,21600">
            <v:path/>
            <v:fill on="f" focussize="0,0"/>
            <v:stroke on="f"/>
            <v:imagedata r:id="rId23" o:title=""/>
            <o:lock v:ext="edit" aspectratio="f"/>
            <w10:wrap type="none"/>
            <w10:anchorlock/>
          </v:shape>
          <o:OLEObject Type="Embed" ProgID="Visio.Drawing.11" ShapeID="_x0000_i1026" DrawAspect="Content" ObjectID="_1468075726" r:id="rId22">
            <o:LockedField>false</o:LockedField>
          </o:OLEObject>
        </w:object>
      </w:r>
    </w:p>
    <w:p>
      <w:pPr>
        <w:pStyle w:val="2504"/>
        <w:numPr>
          <w:ilvl w:val="0"/>
          <w:numId w:val="26"/>
        </w:numPr>
        <w:spacing w:before="120" w:line="360" w:lineRule="auto"/>
        <w:ind w:left="0" w:leftChars="0" w:firstLine="403" w:firstLineChars="0"/>
        <w:rPr>
          <w:rFonts w:hint="eastAsia"/>
          <w:color w:val="auto"/>
          <w:highlight w:val="none"/>
        </w:rPr>
      </w:pPr>
      <w:r>
        <w:rPr>
          <w:rFonts w:hint="eastAsia"/>
          <w:color w:val="auto"/>
          <w:highlight w:val="none"/>
          <w:lang w:val="en-US" w:eastAsia="zh-CN"/>
        </w:rPr>
        <w:t xml:space="preserve">  饲料加工工艺流程</w:t>
      </w:r>
      <w:r>
        <w:rPr>
          <w:rFonts w:hint="eastAsia"/>
          <w:color w:val="auto"/>
          <w:highlight w:val="none"/>
        </w:rPr>
        <w:t>及产污环节示意图</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项目</w:t>
      </w:r>
      <w:r>
        <w:rPr>
          <w:rFonts w:hint="eastAsia" w:ascii="Times New Roman" w:hAnsi="Times New Roman" w:cs="Times New Roman"/>
          <w:color w:val="auto"/>
          <w:sz w:val="24"/>
          <w:szCs w:val="24"/>
          <w:highlight w:val="none"/>
          <w:lang w:val="en-US" w:eastAsia="zh-CN"/>
        </w:rPr>
        <w:t>肉牛</w:t>
      </w:r>
      <w:r>
        <w:rPr>
          <w:rFonts w:hint="eastAsia" w:ascii="Times New Roman" w:hAnsi="Times New Roman" w:cs="Times New Roman"/>
          <w:color w:val="auto"/>
          <w:sz w:val="24"/>
          <w:szCs w:val="24"/>
          <w:highlight w:val="none"/>
        </w:rPr>
        <w:t>养殖时，不同阶段</w:t>
      </w:r>
      <w:r>
        <w:rPr>
          <w:rFonts w:hint="eastAsia" w:ascii="Times New Roman" w:hAnsi="Times New Roman" w:cs="Times New Roman"/>
          <w:color w:val="auto"/>
          <w:sz w:val="24"/>
          <w:szCs w:val="24"/>
          <w:highlight w:val="none"/>
          <w:lang w:val="en-US" w:eastAsia="zh-CN"/>
        </w:rPr>
        <w:t>肉牛</w:t>
      </w:r>
      <w:r>
        <w:rPr>
          <w:rFonts w:hint="eastAsia" w:ascii="Times New Roman" w:hAnsi="Times New Roman" w:cs="Times New Roman"/>
          <w:color w:val="auto"/>
          <w:sz w:val="24"/>
          <w:szCs w:val="24"/>
          <w:highlight w:val="none"/>
        </w:rPr>
        <w:t>所需饲料不同，养殖工艺所需饲料主要分为青饲料、粗饲料和精饲料。</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项目饲料制作工艺如下：</w:t>
      </w:r>
    </w:p>
    <w:p>
      <w:pPr>
        <w:numPr>
          <w:ilvl w:val="0"/>
          <w:numId w:val="27"/>
        </w:num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玉米秸秆青贮制作步骤如下：</w:t>
      </w:r>
    </w:p>
    <w:p>
      <w:pPr>
        <w:pStyle w:val="114"/>
        <w:numPr>
          <w:ilvl w:val="0"/>
          <w:numId w:val="0"/>
        </w:numPr>
        <w:jc w:val="center"/>
        <w:rPr>
          <w:rFonts w:hint="eastAsia"/>
          <w:color w:val="auto"/>
          <w:highlight w:val="none"/>
        </w:rPr>
      </w:pPr>
      <w:r>
        <w:rPr>
          <w:rFonts w:hint="eastAsia"/>
          <w:color w:val="auto"/>
          <w:highlight w:val="none"/>
        </w:rPr>
        <w:object>
          <v:shape id="_x0000_i1027" o:spt="75" type="#_x0000_t75" style="height:155.65pt;width:244.75pt;" o:ole="t" filled="f" o:preferrelative="t" stroked="f" coordsize="21600,21600">
            <v:path/>
            <v:fill on="f" focussize="0,0"/>
            <v:stroke on="f"/>
            <v:imagedata r:id="rId25" o:title=""/>
            <o:lock v:ext="edit" aspectratio="f"/>
            <w10:wrap type="none"/>
            <w10:anchorlock/>
          </v:shape>
          <o:OLEObject Type="Embed" ProgID="Visio.Drawing.11" ShapeID="_x0000_i1027" DrawAspect="Content" ObjectID="_1468075727" r:id="rId24">
            <o:LockedField>false</o:LockedField>
          </o:OLEObject>
        </w:object>
      </w:r>
    </w:p>
    <w:p>
      <w:pPr>
        <w:pStyle w:val="2504"/>
        <w:numPr>
          <w:ilvl w:val="0"/>
          <w:numId w:val="26"/>
        </w:numPr>
        <w:spacing w:before="120" w:line="360" w:lineRule="auto"/>
        <w:ind w:left="0" w:leftChars="0" w:firstLine="403" w:firstLineChars="0"/>
        <w:rPr>
          <w:rFonts w:hint="eastAsia"/>
          <w:color w:val="auto"/>
          <w:highlight w:val="none"/>
        </w:rPr>
      </w:pPr>
      <w:r>
        <w:rPr>
          <w:rFonts w:hint="eastAsia"/>
          <w:color w:val="auto"/>
          <w:highlight w:val="none"/>
          <w:lang w:val="en-US" w:eastAsia="zh-CN"/>
        </w:rPr>
        <w:t xml:space="preserve">  青贮窖加工工艺流程</w:t>
      </w:r>
      <w:r>
        <w:rPr>
          <w:rFonts w:hint="eastAsia"/>
          <w:color w:val="auto"/>
          <w:highlight w:val="none"/>
        </w:rPr>
        <w:t>及产污环节示意图</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①青贮原料</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的青贮原料为玉米秸秆，根据青储玉米的成熟程度，在乳熟后期至蜡熟前期进行及时收割，入窖时原料水分应控制在70%左右，一般以用手攥紧切碎的青贮原料有液体渗出而不下滴为宜，青贮玉米应含一定的可溶性糖（&gt;2%），含糖量不足时，应掺入含糖量较高的青绿饲料或添加适量淀粉、糖蜜等。以免影响原料产量或青贮质量，甚至导致青贮失败，在果穗达到乳熟期，收割全株青贮。</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②切短</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为便于装填、踩实和乳酸发酵、取喂，需将青贮玉米破碎成2~3cm的长度，</w:t>
      </w:r>
      <w:r>
        <w:rPr>
          <w:rFonts w:hint="eastAsia" w:ascii="Times New Roman" w:hAnsi="Times New Roman" w:cs="Times New Roman"/>
          <w:b/>
          <w:bCs/>
          <w:color w:val="auto"/>
          <w:sz w:val="24"/>
          <w:szCs w:val="24"/>
          <w:highlight w:val="none"/>
        </w:rPr>
        <w:t>项目采用青储的玉米均在收割时采用机器破碎</w:t>
      </w:r>
      <w:r>
        <w:rPr>
          <w:rFonts w:hint="eastAsia" w:ascii="Times New Roman" w:hAnsi="Times New Roman" w:cs="Times New Roman"/>
          <w:b/>
          <w:bCs/>
          <w:color w:val="auto"/>
          <w:sz w:val="24"/>
          <w:szCs w:val="24"/>
          <w:highlight w:val="none"/>
          <w:lang w:eastAsia="zh-CN"/>
        </w:rPr>
        <w:t>，</w:t>
      </w:r>
      <w:r>
        <w:rPr>
          <w:rFonts w:hint="eastAsia" w:ascii="Times New Roman" w:hAnsi="Times New Roman" w:cs="Times New Roman"/>
          <w:b/>
          <w:bCs/>
          <w:color w:val="auto"/>
          <w:sz w:val="24"/>
          <w:szCs w:val="24"/>
          <w:highlight w:val="none"/>
        </w:rPr>
        <w:t>不在场内进行</w:t>
      </w:r>
      <w:r>
        <w:rPr>
          <w:rFonts w:hint="eastAsia" w:ascii="Times New Roman" w:hAnsi="Times New Roman" w:cs="Times New Roman"/>
          <w:color w:val="auto"/>
          <w:sz w:val="24"/>
          <w:szCs w:val="24"/>
          <w:highlight w:val="none"/>
        </w:rPr>
        <w:t>，采用收割机收割时将其破碎成2~3cm的长度后运送至场内。</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③装填</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在装填前先在平台底部铺上30cm厚的垫草，然后将铡短的青贮原料迅速装入平台内。装时要边装料边用装载机或链轨推土机层层压实，尽量排除空气。</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④封窑</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为地面式青贮窖，地面为水泥抹面，方便青贮饲料的储用。当青贮饲料高出地面2m时进行封窑，采用防老化的双层塑料布（长度和宽度依窖的大小而定），从一端铺至另一端，薄膜上放置废旧轮胎进行压覆，以保证薄膜不会被风吹起或刮烂。秸秆在堆存中进行微发酵，提升青贮料的营养价值。</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⑤青贮饲料取用</w:t>
      </w:r>
    </w:p>
    <w:p>
      <w:pPr>
        <w:ind w:firstLine="480" w:firstLineChars="200"/>
        <w:rPr>
          <w:rFonts w:hint="eastAsia"/>
          <w:color w:val="auto"/>
          <w:highlight w:val="none"/>
        </w:rPr>
      </w:pPr>
      <w:r>
        <w:rPr>
          <w:rFonts w:hint="eastAsia" w:ascii="Times New Roman" w:hAnsi="Times New Roman" w:cs="Times New Roman"/>
          <w:color w:val="auto"/>
          <w:sz w:val="24"/>
          <w:szCs w:val="24"/>
          <w:highlight w:val="none"/>
        </w:rPr>
        <w:t>饲料青贮后30~50d便可开窑取喂，取料后随即盖严取料口。</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（2）粗饲料（干草、苜蓿）</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干草、苜蓿等不含添加剂的原生植物，不进行再加工。</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（3）精饲料</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主要成分为植物蛋白粉、动物蛋白粉、粗饲料、无机盐、能量饲料和饲料添加剂等。项目所用精饲料均为采购市场成品，不进行加工。</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项目各种饲料混合采用专用的全混合日粮饲喂（TMR）技术，是指根据牛不同的生理阶段，制定不同的营养配方，再按照营养配方，用专用搅拌机械，将青贮饲料、精饲料、粗饲料等日粮各组分按照一定比例、投入顺序混合充分而获得的一种营养相对均衡的混合饲料，供</w:t>
      </w:r>
      <w:r>
        <w:rPr>
          <w:rFonts w:hint="eastAsia" w:ascii="Times New Roman" w:hAnsi="Times New Roman" w:cs="Times New Roman"/>
          <w:color w:val="auto"/>
          <w:sz w:val="24"/>
          <w:szCs w:val="24"/>
          <w:highlight w:val="none"/>
          <w:lang w:val="en-US" w:eastAsia="zh-CN"/>
        </w:rPr>
        <w:t>肉</w:t>
      </w:r>
      <w:r>
        <w:rPr>
          <w:rFonts w:hint="eastAsia" w:ascii="Times New Roman" w:hAnsi="Times New Roman" w:cs="Times New Roman"/>
          <w:color w:val="auto"/>
          <w:sz w:val="24"/>
          <w:szCs w:val="24"/>
          <w:highlight w:val="none"/>
        </w:rPr>
        <w:t>牛自由采食的一种营养平衡日粮。</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其加工制作方法步骤如下：</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①原料填装。立式全混合日粮（TMR）搅拌车的原料填装顺序为粗饲料、青贮饲料、精饲料。人工添加原料过程中，防止将铁器、石块、包装绳等杂物混入搅拌车。</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②原料混合。采用边投料边搅拌的方式，通常在最后一批原料加完后再混合4分钟~8分钟。原则是确保搅拌后日粮中长于4厘米的粗饲料占全日粮的15%~20%。由人工将配制好的精饲料与定量的粗饲料（干草应铡短至2厘米~3厘米）多次掺拌，至混合均匀。</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使用TMR饲喂技术，可充分利用饲料资源，降低养殖成本。减少人工需求，提高牛场工作效率。维持瘤胃内环境稳定，提高饲料的利用效率。</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固定式TMR制备机可将饲料制备和饲料投放进行分离，大幅度节约喂料时间，一台固定式TMR制备机可完成两台以上其它机器的作业任务显著减少了人员配备，牧场不需额外购买拖拉机装载机、取料机、皮带输送机等辅助设备，由于豆粕、棉籽、玉米粉等原料粒度大，而青储、苜蓿等均为短段、湿度大，无破碎工序，各物料一般都有一定的湿度，同时其配方中喷入一定量的水，以保持饲料的湿度，因此在配制过程中，需在喷水的情况下进行搅拌，且固定式TMR制备机封闭运行，故不考虑饲料粉尘。</w:t>
      </w:r>
    </w:p>
    <w:p>
      <w:pPr>
        <w:pStyle w:val="9"/>
        <w:bidi w:val="0"/>
        <w:rPr>
          <w:rFonts w:hint="eastAsia" w:ascii="Times New Roman" w:hAnsi="Times New Roman" w:cs="Times New Roman"/>
          <w:color w:val="auto"/>
          <w:sz w:val="24"/>
          <w:szCs w:val="24"/>
          <w:highlight w:val="none"/>
        </w:rPr>
      </w:pPr>
      <w:r>
        <w:rPr>
          <w:rFonts w:hint="eastAsia" w:eastAsia="宋体" w:cs="Times New Roman"/>
          <w:color w:val="auto"/>
          <w:sz w:val="24"/>
          <w:szCs w:val="24"/>
          <w:highlight w:val="none"/>
          <w:lang w:val="en-US" w:eastAsia="zh-CN"/>
        </w:rPr>
        <w:t>肉牛养殖</w:t>
      </w:r>
      <w:r>
        <w:rPr>
          <w:rFonts w:hint="default" w:ascii="Times New Roman" w:hAnsi="Times New Roman" w:eastAsia="宋体" w:cs="Times New Roman"/>
          <w:color w:val="auto"/>
          <w:sz w:val="24"/>
          <w:szCs w:val="24"/>
          <w:highlight w:val="none"/>
        </w:rPr>
        <w:t>工艺流程分析</w:t>
      </w:r>
    </w:p>
    <w:p>
      <w:pPr>
        <w:ind w:firstLine="480" w:firstLineChars="200"/>
        <w:rPr>
          <w:rFonts w:hint="default" w:eastAsiaTheme="minorEastAsia"/>
          <w:color w:val="auto"/>
          <w:highlight w:val="none"/>
          <w:lang w:val="en-US" w:eastAsia="zh-CN"/>
        </w:rPr>
      </w:pPr>
      <w:r>
        <w:rPr>
          <w:rFonts w:hint="eastAsia" w:ascii="Times New Roman" w:hAnsi="Times New Roman" w:cs="Times New Roman"/>
          <w:color w:val="auto"/>
          <w:sz w:val="24"/>
          <w:szCs w:val="24"/>
          <w:highlight w:val="none"/>
        </w:rPr>
        <w:t>本项目外购犊牛在场内进行养殖育肥，进场时犊牛体重为</w:t>
      </w:r>
      <w:r>
        <w:rPr>
          <w:rFonts w:hint="eastAsia" w:ascii="Times New Roman" w:hAnsi="Times New Roman" w:cs="Times New Roman"/>
          <w:color w:val="auto"/>
          <w:sz w:val="24"/>
          <w:szCs w:val="24"/>
          <w:highlight w:val="none"/>
          <w:lang w:val="en-US" w:eastAsia="zh-CN"/>
        </w:rPr>
        <w:t>150</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200</w:t>
      </w:r>
      <w:r>
        <w:rPr>
          <w:rFonts w:hint="eastAsia" w:ascii="Times New Roman" w:hAnsi="Times New Roman" w:cs="Times New Roman"/>
          <w:color w:val="auto"/>
          <w:sz w:val="24"/>
          <w:szCs w:val="24"/>
          <w:highlight w:val="none"/>
        </w:rPr>
        <w:t>kg，经过</w:t>
      </w:r>
      <w:r>
        <w:rPr>
          <w:rFonts w:hint="eastAsia" w:ascii="Times New Roman" w:hAnsi="Times New Roman" w:cs="Times New Roman"/>
          <w:color w:val="auto"/>
          <w:sz w:val="24"/>
          <w:szCs w:val="24"/>
          <w:highlight w:val="none"/>
          <w:lang w:val="en-US" w:eastAsia="zh-CN"/>
        </w:rPr>
        <w:t>6-12</w:t>
      </w:r>
      <w:r>
        <w:rPr>
          <w:rFonts w:hint="eastAsia" w:ascii="Times New Roman" w:hAnsi="Times New Roman" w:cs="Times New Roman"/>
          <w:color w:val="auto"/>
          <w:sz w:val="24"/>
          <w:szCs w:val="24"/>
          <w:highlight w:val="none"/>
        </w:rPr>
        <w:t>个月育肥养殖后，当育肥牛达到</w:t>
      </w:r>
      <w:r>
        <w:rPr>
          <w:rFonts w:hint="eastAsia" w:ascii="Times New Roman" w:hAnsi="Times New Roman" w:cs="Times New Roman"/>
          <w:color w:val="auto"/>
          <w:sz w:val="24"/>
          <w:szCs w:val="24"/>
          <w:highlight w:val="none"/>
          <w:lang w:val="en-US" w:eastAsia="zh-CN"/>
        </w:rPr>
        <w:t>6</w:t>
      </w:r>
      <w:r>
        <w:rPr>
          <w:rFonts w:hint="eastAsia" w:ascii="Times New Roman" w:hAnsi="Times New Roman" w:cs="Times New Roman"/>
          <w:color w:val="auto"/>
          <w:sz w:val="24"/>
          <w:szCs w:val="24"/>
          <w:highlight w:val="none"/>
        </w:rPr>
        <w:t>00kg以上的出栏标准时出栏外售。项目养殖工艺流程及产污位置图见</w:t>
      </w:r>
      <w:r>
        <w:rPr>
          <w:rFonts w:hint="eastAsia" w:ascii="Times New Roman" w:hAnsi="Times New Roman" w:cs="Times New Roman"/>
          <w:color w:val="auto"/>
          <w:sz w:val="24"/>
          <w:szCs w:val="24"/>
          <w:highlight w:val="none"/>
          <w:lang w:eastAsia="zh-CN"/>
        </w:rPr>
        <w:t>下图</w:t>
      </w:r>
    </w:p>
    <w:p>
      <w:pPr>
        <w:pStyle w:val="2504"/>
        <w:numPr>
          <w:ilvl w:val="0"/>
          <w:numId w:val="0"/>
        </w:numPr>
        <w:spacing w:before="120" w:line="360" w:lineRule="auto"/>
        <w:jc w:val="both"/>
        <w:rPr>
          <w:rFonts w:hint="eastAsia" w:ascii="Times New Roman" w:hAnsi="Times New Roman" w:cs="Times New Roman"/>
          <w:color w:val="auto"/>
          <w:sz w:val="24"/>
          <w:szCs w:val="24"/>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504"/>
        <w:numPr>
          <w:ilvl w:val="0"/>
          <w:numId w:val="0"/>
        </w:numPr>
        <w:spacing w:before="120" w:line="360" w:lineRule="auto"/>
        <w:jc w:val="both"/>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object>
          <v:shape id="_x0000_i1028" o:spt="75" type="#_x0000_t75" style="height:342.75pt;width:674.25pt;" o:ole="t" filled="f" o:preferrelative="t" stroked="f" coordsize="21600,21600">
            <v:path/>
            <v:fill on="f" focussize="0,0"/>
            <v:stroke on="f"/>
            <v:imagedata r:id="rId27" o:title=""/>
            <o:lock v:ext="edit" aspectratio="f"/>
            <w10:wrap type="none"/>
            <w10:anchorlock/>
          </v:shape>
          <o:OLEObject Type="Embed" ProgID="Visio.Drawing.11" ShapeID="_x0000_i1028" DrawAspect="Content" ObjectID="_1468075728" r:id="rId26">
            <o:LockedField>false</o:LockedField>
          </o:OLEObject>
        </w:object>
      </w:r>
    </w:p>
    <w:p>
      <w:pPr>
        <w:pStyle w:val="2504"/>
        <w:numPr>
          <w:ilvl w:val="0"/>
          <w:numId w:val="26"/>
        </w:numPr>
        <w:spacing w:before="120" w:line="360" w:lineRule="auto"/>
        <w:ind w:left="0" w:leftChars="0" w:firstLine="403" w:firstLineChars="0"/>
        <w:rPr>
          <w:rFonts w:hint="eastAsia" w:ascii="Times New Roman" w:hAnsi="Times New Roman" w:cs="Times New Roman"/>
          <w:color w:val="auto"/>
          <w:sz w:val="24"/>
          <w:szCs w:val="24"/>
          <w:highlight w:val="none"/>
        </w:rPr>
      </w:pPr>
      <w:r>
        <w:rPr>
          <w:color w:val="auto"/>
          <w:highlight w:val="none"/>
        </w:rPr>
        <w:t xml:space="preserve">   养殖工艺流程及产污环节示意图</w:t>
      </w:r>
    </w:p>
    <w:p>
      <w:pPr>
        <w:pStyle w:val="2504"/>
        <w:numPr>
          <w:ilvl w:val="0"/>
          <w:numId w:val="0"/>
        </w:numPr>
        <w:spacing w:before="120" w:line="360" w:lineRule="auto"/>
        <w:jc w:val="both"/>
        <w:rPr>
          <w:rFonts w:hint="eastAsia" w:ascii="Times New Roman" w:hAnsi="Times New Roman" w:cs="Times New Roman"/>
          <w:color w:val="auto"/>
          <w:sz w:val="24"/>
          <w:szCs w:val="24"/>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1、养殖工艺流程简介：</w:t>
      </w:r>
    </w:p>
    <w:p>
      <w:pPr>
        <w:keepNext w:val="0"/>
        <w:keepLines w:val="0"/>
        <w:widowControl w:val="0"/>
        <w:suppressLineNumbers w:val="0"/>
        <w:topLinePunct/>
        <w:autoSpaceDE w:val="0"/>
        <w:autoSpaceDN/>
        <w:spacing w:before="0" w:beforeAutospacing="0" w:after="0" w:afterAutospacing="0" w:line="480" w:lineRule="exact"/>
        <w:ind w:left="0" w:right="0" w:firstLine="480" w:firstLineChars="200"/>
        <w:jc w:val="both"/>
        <w:rPr>
          <w:rFonts w:hint="default" w:ascii="Times New Roman" w:hAnsi="Times New Roman" w:cs="Times New Roman"/>
          <w:color w:val="auto"/>
          <w:sz w:val="24"/>
          <w:szCs w:val="24"/>
          <w:highlight w:val="none"/>
          <w:lang w:val="en-US"/>
        </w:rPr>
      </w:pPr>
      <w:r>
        <w:rPr>
          <w:rFonts w:hint="default" w:ascii="Times New Roman" w:hAnsi="Times New Roman" w:eastAsia="宋体" w:cs="Times New Roman"/>
          <w:color w:val="auto"/>
          <w:kern w:val="2"/>
          <w:sz w:val="24"/>
          <w:szCs w:val="24"/>
          <w:highlight w:val="none"/>
          <w:lang w:val="en-US" w:eastAsia="zh-CN" w:bidi="ar"/>
        </w:rPr>
        <w:t>外购的</w:t>
      </w:r>
      <w:r>
        <w:rPr>
          <w:rFonts w:hint="eastAsia" w:ascii="Times New Roman" w:hAnsi="Times New Roman" w:eastAsia="宋体" w:cs="Times New Roman"/>
          <w:color w:val="auto"/>
          <w:kern w:val="2"/>
          <w:sz w:val="24"/>
          <w:szCs w:val="24"/>
          <w:highlight w:val="none"/>
          <w:lang w:val="en-US" w:eastAsia="zh-CN" w:bidi="ar"/>
        </w:rPr>
        <w:t>架子牛</w:t>
      </w:r>
      <w:r>
        <w:rPr>
          <w:rFonts w:hint="default" w:ascii="Times New Roman" w:hAnsi="Times New Roman" w:eastAsia="宋体" w:cs="Times New Roman"/>
          <w:color w:val="auto"/>
          <w:kern w:val="2"/>
          <w:sz w:val="24"/>
          <w:szCs w:val="24"/>
          <w:highlight w:val="none"/>
          <w:lang w:val="en-US" w:eastAsia="zh-CN" w:bidi="ar"/>
        </w:rPr>
        <w:t>体重在1</w:t>
      </w:r>
      <w:r>
        <w:rPr>
          <w:rFonts w:hint="eastAsia" w:ascii="Times New Roman" w:hAnsi="Times New Roman" w:eastAsia="宋体" w:cs="Times New Roman"/>
          <w:color w:val="auto"/>
          <w:kern w:val="2"/>
          <w:sz w:val="24"/>
          <w:szCs w:val="24"/>
          <w:highlight w:val="none"/>
          <w:lang w:val="en-US" w:eastAsia="zh-CN" w:bidi="ar"/>
        </w:rPr>
        <w:t>50</w:t>
      </w:r>
      <w:r>
        <w:rPr>
          <w:rFonts w:hint="default" w:ascii="Times New Roman" w:hAnsi="Times New Roman" w:eastAsia="宋体" w:cs="Times New Roman"/>
          <w:color w:val="auto"/>
          <w:kern w:val="2"/>
          <w:sz w:val="24"/>
          <w:szCs w:val="24"/>
          <w:highlight w:val="none"/>
          <w:lang w:val="en-US" w:eastAsia="zh-CN" w:bidi="ar"/>
        </w:rPr>
        <w:t>-</w:t>
      </w:r>
      <w:r>
        <w:rPr>
          <w:rFonts w:hint="eastAsia" w:ascii="Times New Roman" w:hAnsi="Times New Roman" w:eastAsia="宋体" w:cs="Times New Roman"/>
          <w:color w:val="auto"/>
          <w:kern w:val="2"/>
          <w:sz w:val="24"/>
          <w:szCs w:val="24"/>
          <w:highlight w:val="none"/>
          <w:lang w:val="en-US" w:eastAsia="zh-CN" w:bidi="ar"/>
        </w:rPr>
        <w:t>200</w:t>
      </w:r>
      <w:r>
        <w:rPr>
          <w:rFonts w:hint="default" w:ascii="Times New Roman" w:hAnsi="Times New Roman" w:eastAsia="宋体" w:cs="Times New Roman"/>
          <w:color w:val="auto"/>
          <w:kern w:val="2"/>
          <w:sz w:val="24"/>
          <w:szCs w:val="24"/>
          <w:highlight w:val="none"/>
          <w:lang w:val="en-US" w:eastAsia="zh-CN" w:bidi="ar"/>
        </w:rPr>
        <w:t>kg，进厂先进行消毒、防疫，经检疫后在厂区内的隔离舍隔离观察25-30天，经确定健康状况符合要求后，分配至各牛舍进行培育，育肥期为</w:t>
      </w:r>
      <w:r>
        <w:rPr>
          <w:rFonts w:hint="eastAsia" w:ascii="Times New Roman" w:hAnsi="Times New Roman" w:eastAsia="宋体" w:cs="Times New Roman"/>
          <w:color w:val="auto"/>
          <w:kern w:val="2"/>
          <w:sz w:val="24"/>
          <w:szCs w:val="24"/>
          <w:highlight w:val="none"/>
          <w:lang w:val="en-US" w:eastAsia="zh-CN" w:bidi="ar"/>
        </w:rPr>
        <w:t>6-12</w:t>
      </w:r>
      <w:r>
        <w:rPr>
          <w:rFonts w:hint="default" w:ascii="Times New Roman" w:hAnsi="Times New Roman" w:eastAsia="宋体" w:cs="Times New Roman"/>
          <w:color w:val="auto"/>
          <w:kern w:val="2"/>
          <w:sz w:val="24"/>
          <w:szCs w:val="24"/>
          <w:highlight w:val="none"/>
          <w:lang w:val="en-US" w:eastAsia="zh-CN" w:bidi="ar"/>
        </w:rPr>
        <w:t>个月，体重达到600kg左右结束育肥，出栏外售。本阶段的主要任务是让牛充分生长，提高牛的饲料利用率。</w:t>
      </w:r>
    </w:p>
    <w:p>
      <w:pPr>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2、养殖工艺说明：</w:t>
      </w:r>
    </w:p>
    <w:p>
      <w:pPr>
        <w:ind w:firstLine="480"/>
        <w:rPr>
          <w:color w:val="auto"/>
          <w:sz w:val="24"/>
          <w:szCs w:val="24"/>
          <w:highlight w:val="none"/>
        </w:rPr>
      </w:pPr>
      <w:r>
        <w:rPr>
          <w:color w:val="auto"/>
          <w:sz w:val="24"/>
          <w:szCs w:val="24"/>
          <w:highlight w:val="none"/>
        </w:rPr>
        <w:t>（1）饲养工艺说明</w:t>
      </w:r>
    </w:p>
    <w:p>
      <w:pPr>
        <w:ind w:firstLine="480"/>
        <w:rPr>
          <w:color w:val="auto"/>
          <w:sz w:val="24"/>
          <w:szCs w:val="24"/>
          <w:highlight w:val="none"/>
        </w:rPr>
      </w:pPr>
      <w:r>
        <w:rPr>
          <w:rFonts w:hint="eastAsia" w:ascii="宋体" w:hAnsi="宋体" w:cs="宋体"/>
          <w:color w:val="auto"/>
          <w:sz w:val="24"/>
          <w:szCs w:val="24"/>
          <w:highlight w:val="none"/>
        </w:rPr>
        <w:t>①</w:t>
      </w:r>
      <w:r>
        <w:rPr>
          <w:rFonts w:hint="eastAsia"/>
          <w:color w:val="auto"/>
          <w:sz w:val="24"/>
          <w:szCs w:val="24"/>
          <w:highlight w:val="none"/>
          <w:lang w:val="en-US" w:eastAsia="zh-CN"/>
        </w:rPr>
        <w:t>饲喂</w:t>
      </w:r>
      <w:r>
        <w:rPr>
          <w:color w:val="auto"/>
          <w:sz w:val="24"/>
          <w:szCs w:val="24"/>
          <w:highlight w:val="none"/>
        </w:rPr>
        <w:t>系统</w:t>
      </w:r>
    </w:p>
    <w:p>
      <w:pPr>
        <w:ind w:firstLine="480" w:firstLineChars="200"/>
        <w:rPr>
          <w:color w:val="auto"/>
          <w:sz w:val="24"/>
          <w:szCs w:val="24"/>
          <w:highlight w:val="none"/>
        </w:rPr>
      </w:pPr>
      <w:r>
        <w:rPr>
          <w:rFonts w:hint="eastAsia" w:ascii="Times New Roman" w:hAnsi="Times New Roman" w:cs="Times New Roman"/>
          <w:color w:val="auto"/>
          <w:sz w:val="24"/>
          <w:szCs w:val="24"/>
          <w:highlight w:val="none"/>
        </w:rPr>
        <w:t>使用TMR饲喂技术，可充分利用饲料资源，降低养殖成本。减少人工需求，提高牛场工作效率。维持瘤胃内环境稳定，提高饲料的利用效率。</w:t>
      </w:r>
    </w:p>
    <w:p>
      <w:pPr>
        <w:ind w:firstLine="480" w:firstLineChars="200"/>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val="en-US" w:eastAsia="zh-CN"/>
        </w:rPr>
        <w:t>②</w:t>
      </w:r>
      <w:r>
        <w:rPr>
          <w:rFonts w:hint="eastAsia" w:ascii="Times New Roman" w:hAnsi="Times New Roman" w:cs="Times New Roman"/>
          <w:color w:val="auto"/>
          <w:sz w:val="24"/>
          <w:szCs w:val="24"/>
          <w:highlight w:val="none"/>
          <w:lang w:eastAsia="zh-CN"/>
        </w:rPr>
        <w:t>环境控制自动化</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val="en-US" w:eastAsia="zh-CN"/>
        </w:rPr>
        <w:t>牛</w:t>
      </w:r>
      <w:r>
        <w:rPr>
          <w:rFonts w:hint="eastAsia" w:ascii="Times New Roman" w:hAnsi="Times New Roman" w:cs="Times New Roman"/>
          <w:color w:val="auto"/>
          <w:sz w:val="24"/>
          <w:szCs w:val="24"/>
          <w:highlight w:val="none"/>
        </w:rPr>
        <w:t>舍全部采用风机负压通风，夏天用水帘通过风机负压通风降温，即</w:t>
      </w:r>
      <w:r>
        <w:rPr>
          <w:rFonts w:hint="eastAsia" w:ascii="Times New Roman" w:hAnsi="Times New Roman" w:cs="Times New Roman"/>
          <w:color w:val="auto"/>
          <w:sz w:val="24"/>
          <w:szCs w:val="24"/>
          <w:highlight w:val="none"/>
          <w:lang w:val="en-US" w:eastAsia="zh-CN"/>
        </w:rPr>
        <w:t>牛</w:t>
      </w:r>
      <w:r>
        <w:rPr>
          <w:rFonts w:hint="eastAsia" w:ascii="Times New Roman" w:hAnsi="Times New Roman" w:cs="Times New Roman"/>
          <w:color w:val="auto"/>
          <w:sz w:val="24"/>
          <w:szCs w:val="24"/>
          <w:highlight w:val="none"/>
        </w:rPr>
        <w:t>舍外的空气通过水帘进入舍内达到降温目的，水帘用水为通过水泵循环利用；所有</w:t>
      </w:r>
      <w:r>
        <w:rPr>
          <w:rFonts w:hint="eastAsia" w:ascii="Times New Roman" w:hAnsi="Times New Roman" w:cs="Times New Roman"/>
          <w:color w:val="auto"/>
          <w:sz w:val="24"/>
          <w:szCs w:val="24"/>
          <w:highlight w:val="none"/>
          <w:lang w:val="en-US" w:eastAsia="zh-CN"/>
        </w:rPr>
        <w:t>牛</w:t>
      </w:r>
      <w:r>
        <w:rPr>
          <w:rFonts w:hint="eastAsia" w:ascii="Times New Roman" w:hAnsi="Times New Roman" w:cs="Times New Roman"/>
          <w:color w:val="auto"/>
          <w:sz w:val="24"/>
          <w:szCs w:val="24"/>
          <w:highlight w:val="none"/>
        </w:rPr>
        <w:t>舍外墙加保温层，冬天</w:t>
      </w:r>
      <w:r>
        <w:rPr>
          <w:rFonts w:hint="eastAsia" w:ascii="Times New Roman" w:hAnsi="Times New Roman" w:cs="Times New Roman"/>
          <w:color w:val="auto"/>
          <w:kern w:val="0"/>
          <w:sz w:val="24"/>
          <w:szCs w:val="24"/>
          <w:highlight w:val="none"/>
          <w:lang w:eastAsia="zh-CN"/>
        </w:rPr>
        <w:t>牛舍不设</w:t>
      </w:r>
      <w:r>
        <w:rPr>
          <w:rFonts w:hint="eastAsia" w:ascii="Times New Roman" w:hAnsi="Times New Roman" w:cs="Times New Roman"/>
          <w:color w:val="auto"/>
          <w:kern w:val="0"/>
          <w:sz w:val="24"/>
          <w:szCs w:val="24"/>
          <w:highlight w:val="none"/>
        </w:rPr>
        <w:t>采暖</w:t>
      </w:r>
      <w:r>
        <w:rPr>
          <w:rFonts w:hint="eastAsia" w:ascii="Times New Roman" w:hAnsi="Times New Roman" w:cs="Times New Roman"/>
          <w:color w:val="auto"/>
          <w:kern w:val="0"/>
          <w:sz w:val="24"/>
          <w:szCs w:val="24"/>
          <w:highlight w:val="none"/>
          <w:lang w:eastAsia="zh-CN"/>
        </w:rPr>
        <w:t>设备。</w:t>
      </w:r>
    </w:p>
    <w:p>
      <w:pPr>
        <w:ind w:firstLine="480"/>
        <w:rPr>
          <w:color w:val="auto"/>
          <w:sz w:val="24"/>
          <w:szCs w:val="24"/>
          <w:highlight w:val="none"/>
        </w:rPr>
      </w:pPr>
      <w:r>
        <w:rPr>
          <w:color w:val="auto"/>
          <w:sz w:val="24"/>
          <w:szCs w:val="24"/>
          <w:highlight w:val="none"/>
        </w:rPr>
        <w:t>全热交换器主要原理：热交换通风系统主要包括进风管、布风管、排风道、变速风机等。其中布风管和进风管相联通安装于</w:t>
      </w:r>
      <w:r>
        <w:rPr>
          <w:rFonts w:hint="eastAsia"/>
          <w:color w:val="auto"/>
          <w:sz w:val="24"/>
          <w:szCs w:val="24"/>
          <w:highlight w:val="none"/>
          <w:lang w:val="en-US" w:eastAsia="zh-CN"/>
        </w:rPr>
        <w:t>牛</w:t>
      </w:r>
      <w:r>
        <w:rPr>
          <w:color w:val="auto"/>
          <w:sz w:val="24"/>
          <w:szCs w:val="24"/>
          <w:highlight w:val="none"/>
        </w:rPr>
        <w:t>舍上部，中间为</w:t>
      </w:r>
      <w:r>
        <w:rPr>
          <w:rFonts w:hint="eastAsia"/>
          <w:color w:val="auto"/>
          <w:sz w:val="24"/>
          <w:szCs w:val="24"/>
          <w:highlight w:val="none"/>
          <w:lang w:val="en-US" w:eastAsia="zh-CN"/>
        </w:rPr>
        <w:t>牛</w:t>
      </w:r>
      <w:r>
        <w:rPr>
          <w:color w:val="auto"/>
          <w:sz w:val="24"/>
          <w:szCs w:val="24"/>
          <w:highlight w:val="none"/>
        </w:rPr>
        <w:t>群生活的漏缝板，</w:t>
      </w:r>
      <w:r>
        <w:rPr>
          <w:rFonts w:hint="eastAsia"/>
          <w:color w:val="auto"/>
          <w:sz w:val="24"/>
          <w:szCs w:val="24"/>
          <w:highlight w:val="none"/>
          <w:lang w:val="en-US" w:eastAsia="zh-CN"/>
        </w:rPr>
        <w:t>牛</w:t>
      </w:r>
      <w:r>
        <w:rPr>
          <w:color w:val="auto"/>
          <w:sz w:val="24"/>
          <w:szCs w:val="24"/>
          <w:highlight w:val="none"/>
        </w:rPr>
        <w:t>舍下部为封闭的排风道，变速风机位于</w:t>
      </w:r>
      <w:r>
        <w:rPr>
          <w:rFonts w:hint="eastAsia"/>
          <w:color w:val="auto"/>
          <w:sz w:val="24"/>
          <w:szCs w:val="24"/>
          <w:highlight w:val="none"/>
          <w:lang w:val="en-US" w:eastAsia="zh-CN"/>
        </w:rPr>
        <w:t>牛</w:t>
      </w:r>
      <w:r>
        <w:rPr>
          <w:color w:val="auto"/>
          <w:sz w:val="24"/>
          <w:szCs w:val="24"/>
          <w:highlight w:val="none"/>
        </w:rPr>
        <w:t>舍另一侧排风道中间。当变速风机启动时，从封闭通道抽出</w:t>
      </w:r>
      <w:r>
        <w:rPr>
          <w:rFonts w:hint="eastAsia"/>
          <w:color w:val="auto"/>
          <w:sz w:val="24"/>
          <w:szCs w:val="24"/>
          <w:highlight w:val="none"/>
          <w:lang w:val="en-US" w:eastAsia="zh-CN"/>
        </w:rPr>
        <w:t>牛</w:t>
      </w:r>
      <w:r>
        <w:rPr>
          <w:color w:val="auto"/>
          <w:sz w:val="24"/>
          <w:szCs w:val="24"/>
          <w:highlight w:val="none"/>
        </w:rPr>
        <w:t>舍内部污浊高温的空气，室外清新的冷空气经由进风道进入</w:t>
      </w:r>
      <w:r>
        <w:rPr>
          <w:rFonts w:hint="eastAsia"/>
          <w:color w:val="auto"/>
          <w:sz w:val="24"/>
          <w:szCs w:val="24"/>
          <w:highlight w:val="none"/>
          <w:lang w:eastAsia="zh-CN"/>
        </w:rPr>
        <w:t>牛舍</w:t>
      </w:r>
      <w:r>
        <w:rPr>
          <w:color w:val="auto"/>
          <w:sz w:val="24"/>
          <w:szCs w:val="24"/>
          <w:highlight w:val="none"/>
        </w:rPr>
        <w:t>内。因进风管采用导热性能较好的材料制成，在冷空气进入</w:t>
      </w:r>
      <w:r>
        <w:rPr>
          <w:rFonts w:hint="eastAsia"/>
          <w:color w:val="auto"/>
          <w:sz w:val="24"/>
          <w:szCs w:val="24"/>
          <w:highlight w:val="none"/>
          <w:lang w:eastAsia="zh-CN"/>
        </w:rPr>
        <w:t>牛舍</w:t>
      </w:r>
      <w:r>
        <w:rPr>
          <w:color w:val="auto"/>
          <w:sz w:val="24"/>
          <w:szCs w:val="24"/>
          <w:highlight w:val="none"/>
        </w:rPr>
        <w:t>内的过程中，可通过进风管壁与</w:t>
      </w:r>
      <w:r>
        <w:rPr>
          <w:rFonts w:hint="eastAsia"/>
          <w:color w:val="auto"/>
          <w:sz w:val="24"/>
          <w:szCs w:val="24"/>
          <w:highlight w:val="none"/>
          <w:lang w:eastAsia="zh-CN"/>
        </w:rPr>
        <w:t>牛舍</w:t>
      </w:r>
      <w:r>
        <w:rPr>
          <w:color w:val="auto"/>
          <w:sz w:val="24"/>
          <w:szCs w:val="24"/>
          <w:highlight w:val="none"/>
        </w:rPr>
        <w:t>内空气进行充分的热交换，使进入</w:t>
      </w:r>
      <w:r>
        <w:rPr>
          <w:rFonts w:hint="eastAsia"/>
          <w:color w:val="auto"/>
          <w:sz w:val="24"/>
          <w:szCs w:val="24"/>
          <w:highlight w:val="none"/>
          <w:lang w:eastAsia="zh-CN"/>
        </w:rPr>
        <w:t>牛舍</w:t>
      </w:r>
      <w:r>
        <w:rPr>
          <w:color w:val="auto"/>
          <w:sz w:val="24"/>
          <w:szCs w:val="24"/>
          <w:highlight w:val="none"/>
        </w:rPr>
        <w:t>的新鲜空气温度大大提高，避免了</w:t>
      </w:r>
      <w:r>
        <w:rPr>
          <w:rFonts w:hint="eastAsia"/>
          <w:color w:val="auto"/>
          <w:sz w:val="24"/>
          <w:szCs w:val="24"/>
          <w:highlight w:val="none"/>
          <w:lang w:val="en-US" w:eastAsia="zh-CN"/>
        </w:rPr>
        <w:t>牛</w:t>
      </w:r>
      <w:r>
        <w:rPr>
          <w:color w:val="auto"/>
          <w:sz w:val="24"/>
          <w:szCs w:val="24"/>
          <w:highlight w:val="none"/>
        </w:rPr>
        <w:t>群在生长过程中的冷应激作用。</w:t>
      </w:r>
    </w:p>
    <w:p>
      <w:pPr>
        <w:ind w:firstLine="480"/>
        <w:rPr>
          <w:color w:val="auto"/>
          <w:sz w:val="24"/>
          <w:szCs w:val="24"/>
          <w:highlight w:val="none"/>
        </w:rPr>
      </w:pPr>
      <w:r>
        <w:rPr>
          <w:color w:val="auto"/>
          <w:sz w:val="24"/>
          <w:szCs w:val="24"/>
          <w:highlight w:val="none"/>
        </w:rPr>
        <w:t>在对</w:t>
      </w:r>
      <w:r>
        <w:rPr>
          <w:rFonts w:hint="eastAsia"/>
          <w:color w:val="auto"/>
          <w:sz w:val="24"/>
          <w:szCs w:val="24"/>
          <w:highlight w:val="none"/>
          <w:lang w:eastAsia="zh-CN"/>
        </w:rPr>
        <w:t>牛舍</w:t>
      </w:r>
      <w:r>
        <w:rPr>
          <w:color w:val="auto"/>
          <w:sz w:val="24"/>
          <w:szCs w:val="24"/>
          <w:highlight w:val="none"/>
        </w:rPr>
        <w:t>内外空气进行交换的同时，也进行热量交换，</w:t>
      </w:r>
      <w:r>
        <w:rPr>
          <w:rFonts w:hint="eastAsia"/>
          <w:color w:val="auto"/>
          <w:sz w:val="24"/>
          <w:szCs w:val="24"/>
          <w:highlight w:val="none"/>
          <w:lang w:eastAsia="zh-CN"/>
        </w:rPr>
        <w:t>牛舍</w:t>
      </w:r>
      <w:r>
        <w:rPr>
          <w:color w:val="auto"/>
          <w:sz w:val="24"/>
          <w:szCs w:val="24"/>
          <w:highlight w:val="none"/>
        </w:rPr>
        <w:t>在热交换的过程中，实施最小通风量，防止过度通风带来不必要的热量损失。运行时，新风从排风获得热量，温度升高，通过换热芯体的全热换热过程，让新风从排风中回收能量，保证在通风时也保持</w:t>
      </w:r>
      <w:r>
        <w:rPr>
          <w:rFonts w:hint="eastAsia"/>
          <w:color w:val="auto"/>
          <w:sz w:val="24"/>
          <w:szCs w:val="24"/>
          <w:highlight w:val="none"/>
          <w:lang w:eastAsia="zh-CN"/>
        </w:rPr>
        <w:t>牛舍</w:t>
      </w:r>
      <w:r>
        <w:rPr>
          <w:color w:val="auto"/>
          <w:sz w:val="24"/>
          <w:szCs w:val="24"/>
          <w:highlight w:val="none"/>
        </w:rPr>
        <w:t>内部温度，既保证了</w:t>
      </w:r>
      <w:r>
        <w:rPr>
          <w:rFonts w:hint="eastAsia"/>
          <w:color w:val="auto"/>
          <w:sz w:val="24"/>
          <w:szCs w:val="24"/>
          <w:highlight w:val="none"/>
          <w:lang w:val="en-US" w:eastAsia="zh-CN"/>
        </w:rPr>
        <w:t>牛</w:t>
      </w:r>
      <w:r>
        <w:rPr>
          <w:color w:val="auto"/>
          <w:sz w:val="24"/>
          <w:szCs w:val="24"/>
          <w:highlight w:val="none"/>
        </w:rPr>
        <w:t>群对新鲜空气的需要，又保证单元内有害气体不超标，同时满足了通风和稳定</w:t>
      </w:r>
      <w:r>
        <w:rPr>
          <w:rFonts w:hint="eastAsia"/>
          <w:color w:val="auto"/>
          <w:sz w:val="24"/>
          <w:szCs w:val="24"/>
          <w:highlight w:val="none"/>
          <w:lang w:eastAsia="zh-CN"/>
        </w:rPr>
        <w:t>牛舍</w:t>
      </w:r>
      <w:r>
        <w:rPr>
          <w:color w:val="auto"/>
          <w:sz w:val="24"/>
          <w:szCs w:val="24"/>
          <w:highlight w:val="none"/>
        </w:rPr>
        <w:t>温度的需求，节约了能源消耗，降低了饲养成本。</w:t>
      </w:r>
    </w:p>
    <w:p>
      <w:pPr>
        <w:ind w:firstLine="480"/>
        <w:rPr>
          <w:color w:val="auto"/>
          <w:sz w:val="24"/>
          <w:szCs w:val="24"/>
          <w:highlight w:val="none"/>
        </w:rPr>
      </w:pPr>
      <w:r>
        <w:rPr>
          <w:color w:val="auto"/>
          <w:sz w:val="24"/>
          <w:szCs w:val="24"/>
          <w:highlight w:val="none"/>
        </w:rPr>
        <w:t>冬季保温：主要是通过</w:t>
      </w:r>
      <w:r>
        <w:rPr>
          <w:rFonts w:hint="eastAsia"/>
          <w:color w:val="auto"/>
          <w:sz w:val="24"/>
          <w:szCs w:val="24"/>
          <w:highlight w:val="none"/>
          <w:lang w:eastAsia="zh-CN"/>
        </w:rPr>
        <w:t>牛舍</w:t>
      </w:r>
      <w:r>
        <w:rPr>
          <w:color w:val="auto"/>
          <w:sz w:val="24"/>
          <w:szCs w:val="24"/>
          <w:highlight w:val="none"/>
        </w:rPr>
        <w:t>墙体保温材料与外部断绝交换，</w:t>
      </w:r>
      <w:r>
        <w:rPr>
          <w:rFonts w:hint="eastAsia"/>
          <w:color w:val="auto"/>
          <w:sz w:val="24"/>
          <w:szCs w:val="24"/>
          <w:highlight w:val="none"/>
          <w:lang w:val="en-US" w:eastAsia="zh-CN"/>
        </w:rPr>
        <w:t>不设其他采暖设备</w:t>
      </w:r>
      <w:r>
        <w:rPr>
          <w:color w:val="auto"/>
          <w:sz w:val="24"/>
          <w:szCs w:val="24"/>
          <w:highlight w:val="none"/>
        </w:rPr>
        <w:t>。</w:t>
      </w:r>
    </w:p>
    <w:p>
      <w:pPr>
        <w:ind w:firstLine="480"/>
        <w:rPr>
          <w:rFonts w:hint="eastAsia" w:ascii="宋体" w:hAnsi="宋体" w:eastAsia="宋体" w:cs="宋体"/>
          <w:color w:val="auto"/>
          <w:sz w:val="24"/>
          <w:szCs w:val="24"/>
          <w:highlight w:val="none"/>
          <w:lang w:eastAsia="zh-CN"/>
        </w:rPr>
      </w:pPr>
      <w:r>
        <w:rPr>
          <w:color w:val="auto"/>
          <w:sz w:val="24"/>
          <w:szCs w:val="24"/>
          <w:highlight w:val="none"/>
        </w:rPr>
        <w:t>夏季降温：</w:t>
      </w:r>
      <w:r>
        <w:rPr>
          <w:rFonts w:ascii="宋体" w:hAnsi="宋体" w:eastAsia="宋体" w:cs="宋体"/>
          <w:color w:val="auto"/>
          <w:sz w:val="24"/>
          <w:szCs w:val="24"/>
          <w:highlight w:val="none"/>
        </w:rPr>
        <w:t>保持</w:t>
      </w:r>
      <w:r>
        <w:rPr>
          <w:rFonts w:hint="eastAsia" w:ascii="宋体" w:hAnsi="宋体" w:eastAsia="宋体" w:cs="宋体"/>
          <w:color w:val="auto"/>
          <w:sz w:val="24"/>
          <w:szCs w:val="24"/>
          <w:highlight w:val="none"/>
          <w:lang w:eastAsia="zh-CN"/>
        </w:rPr>
        <w:t>牛舍</w:t>
      </w:r>
      <w:r>
        <w:rPr>
          <w:rFonts w:ascii="宋体" w:hAnsi="宋体" w:eastAsia="宋体" w:cs="宋体"/>
          <w:color w:val="auto"/>
          <w:sz w:val="24"/>
          <w:szCs w:val="24"/>
          <w:highlight w:val="none"/>
        </w:rPr>
        <w:t>通风良好打开门窗加强空气对流。在</w:t>
      </w:r>
      <w:r>
        <w:rPr>
          <w:rFonts w:hint="eastAsia" w:ascii="宋体" w:hAnsi="宋体" w:eastAsia="宋体" w:cs="宋体"/>
          <w:color w:val="auto"/>
          <w:sz w:val="24"/>
          <w:szCs w:val="24"/>
          <w:highlight w:val="none"/>
          <w:lang w:eastAsia="zh-CN"/>
        </w:rPr>
        <w:t>牛</w:t>
      </w:r>
      <w:r>
        <w:rPr>
          <w:rFonts w:ascii="宋体" w:hAnsi="宋体" w:eastAsia="宋体" w:cs="宋体"/>
          <w:color w:val="auto"/>
          <w:sz w:val="24"/>
          <w:szCs w:val="24"/>
          <w:highlight w:val="none"/>
        </w:rPr>
        <w:t>舍墙壁预留通风孔，加速舍内气流的速度，带走</w:t>
      </w:r>
      <w:r>
        <w:rPr>
          <w:rFonts w:hint="eastAsia" w:ascii="宋体" w:hAnsi="宋体" w:eastAsia="宋体" w:cs="宋体"/>
          <w:color w:val="auto"/>
          <w:sz w:val="24"/>
          <w:szCs w:val="24"/>
          <w:highlight w:val="none"/>
          <w:lang w:eastAsia="zh-CN"/>
        </w:rPr>
        <w:t>牛</w:t>
      </w:r>
      <w:r>
        <w:rPr>
          <w:rFonts w:ascii="宋体" w:hAnsi="宋体" w:eastAsia="宋体" w:cs="宋体"/>
          <w:color w:val="auto"/>
          <w:sz w:val="24"/>
          <w:szCs w:val="24"/>
          <w:highlight w:val="none"/>
        </w:rPr>
        <w:t>体表热量。当气温高于29℃，湿度在50%以上时，从早晨5点到夜间1点都需要降温，夜间</w:t>
      </w:r>
      <w:r>
        <w:rPr>
          <w:rFonts w:hint="eastAsia" w:ascii="宋体" w:hAnsi="宋体" w:eastAsia="宋体" w:cs="宋体"/>
          <w:color w:val="auto"/>
          <w:sz w:val="24"/>
          <w:szCs w:val="24"/>
          <w:highlight w:val="none"/>
          <w:lang w:eastAsia="zh-CN"/>
        </w:rPr>
        <w:t>牛</w:t>
      </w:r>
      <w:r>
        <w:rPr>
          <w:rFonts w:ascii="宋体" w:hAnsi="宋体" w:eastAsia="宋体" w:cs="宋体"/>
          <w:color w:val="auto"/>
          <w:sz w:val="24"/>
          <w:szCs w:val="24"/>
          <w:highlight w:val="none"/>
        </w:rPr>
        <w:t>体温和气温的差异相对较大，可以缩短送风时间。</w:t>
      </w:r>
      <w:r>
        <w:rPr>
          <w:rFonts w:hint="eastAsia" w:ascii="宋体" w:hAnsi="宋体" w:eastAsia="宋体" w:cs="宋体"/>
          <w:color w:val="auto"/>
          <w:sz w:val="24"/>
          <w:szCs w:val="24"/>
          <w:highlight w:val="none"/>
          <w:lang w:eastAsia="zh-CN"/>
        </w:rPr>
        <w:t>同时在牛舍墙壁上安装电风扇，加速降温。</w:t>
      </w:r>
    </w:p>
    <w:p>
      <w:pPr>
        <w:widowControl/>
        <w:autoSpaceDE w:val="0"/>
        <w:autoSpaceDN w:val="0"/>
        <w:adjustRightInd w:val="0"/>
        <w:ind w:firstLine="525"/>
        <w:rPr>
          <w:color w:val="auto"/>
          <w:sz w:val="24"/>
          <w:szCs w:val="24"/>
          <w:highlight w:val="none"/>
        </w:rPr>
      </w:pPr>
      <w:r>
        <w:rPr>
          <w:color w:val="auto"/>
          <w:sz w:val="24"/>
          <w:szCs w:val="24"/>
          <w:highlight w:val="none"/>
        </w:rPr>
        <w:t>在舍内温度达到30℃时，就需要开启降温水帘，降温水帘能使厂房内的温度迅速在10分钟内下降，降温环保效果佳。降温水帘通常在夏季5-9月使用。水帘降温系统由水帘、循环水路、抽风机和温度控制装置组成。水帘用波纹状纤维纸粘结而成，在制作的原料中添加了不会随水流、气流的作用而分解的特殊化学成分，具有耐腐蚀、使用时间长等特点。在封闭式的</w:t>
      </w:r>
      <w:r>
        <w:rPr>
          <w:rFonts w:hint="eastAsia"/>
          <w:color w:val="auto"/>
          <w:sz w:val="24"/>
          <w:szCs w:val="24"/>
          <w:highlight w:val="none"/>
          <w:lang w:eastAsia="zh-CN"/>
        </w:rPr>
        <w:t>牛舍</w:t>
      </w:r>
      <w:r>
        <w:rPr>
          <w:color w:val="auto"/>
          <w:sz w:val="24"/>
          <w:szCs w:val="24"/>
          <w:highlight w:val="none"/>
        </w:rPr>
        <w:t>内，一端的水泵将蓄水池中的水送至喷水管，把水喷向反水板，水均匀地从反水板上流下淋湿整个水帘，水在水槽和水帘间循环，从而保证空气与完全湿透的水帘表面接触。另一端安装负压风机向外排风，</w:t>
      </w:r>
      <w:r>
        <w:rPr>
          <w:rFonts w:hint="eastAsia"/>
          <w:color w:val="auto"/>
          <w:sz w:val="24"/>
          <w:szCs w:val="24"/>
          <w:highlight w:val="none"/>
          <w:lang w:eastAsia="zh-CN"/>
        </w:rPr>
        <w:t>牛舍</w:t>
      </w:r>
      <w:r>
        <w:rPr>
          <w:color w:val="auto"/>
          <w:sz w:val="24"/>
          <w:szCs w:val="24"/>
          <w:highlight w:val="none"/>
        </w:rPr>
        <w:t>内形成负压区，舍外空气穿过水帘被吸入舍内，带着</w:t>
      </w:r>
      <w:r>
        <w:rPr>
          <w:rFonts w:hint="eastAsia"/>
          <w:color w:val="auto"/>
          <w:sz w:val="24"/>
          <w:szCs w:val="24"/>
          <w:highlight w:val="none"/>
          <w:lang w:eastAsia="zh-CN"/>
        </w:rPr>
        <w:t>牛舍</w:t>
      </w:r>
      <w:r>
        <w:rPr>
          <w:color w:val="auto"/>
          <w:sz w:val="24"/>
          <w:szCs w:val="24"/>
          <w:highlight w:val="none"/>
        </w:rPr>
        <w:t>内的热量经风机排出室外，从而达到降温的目的。</w:t>
      </w:r>
    </w:p>
    <w:p>
      <w:pPr>
        <w:ind w:firstLine="480"/>
        <w:rPr>
          <w:color w:val="auto"/>
          <w:highlight w:val="none"/>
        </w:rPr>
      </w:pPr>
      <w:r>
        <w:rPr>
          <w:color w:val="auto"/>
          <w:sz w:val="24"/>
          <w:szCs w:val="24"/>
          <w:highlight w:val="none"/>
        </w:rPr>
        <w:t>水帘风机降温系统的所有的温控全部由电脑程序自动控制，包括空气过滤、风机开启、地辅热启动，自动湿度调节等，该系统旨在给</w:t>
      </w:r>
      <w:r>
        <w:rPr>
          <w:rFonts w:hint="eastAsia"/>
          <w:color w:val="auto"/>
          <w:sz w:val="24"/>
          <w:szCs w:val="24"/>
          <w:highlight w:val="none"/>
          <w:lang w:val="en-US" w:eastAsia="zh-CN"/>
        </w:rPr>
        <w:t>肉牛</w:t>
      </w:r>
      <w:r>
        <w:rPr>
          <w:color w:val="auto"/>
          <w:sz w:val="24"/>
          <w:szCs w:val="24"/>
          <w:highlight w:val="none"/>
        </w:rPr>
        <w:t>提供一个温度适宜、湿度适中的饲养小环境。</w:t>
      </w:r>
    </w:p>
    <w:p>
      <w:pPr>
        <w:ind w:firstLine="480" w:firstLineChars="200"/>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eastAsia="zh-CN"/>
        </w:rPr>
        <w:t>④</w:t>
      </w:r>
      <w:r>
        <w:rPr>
          <w:rFonts w:hint="eastAsia" w:ascii="Times New Roman" w:hAnsi="Times New Roman" w:cs="Times New Roman"/>
          <w:color w:val="auto"/>
          <w:sz w:val="24"/>
          <w:szCs w:val="24"/>
          <w:highlight w:val="none"/>
          <w:lang w:val="en-US" w:eastAsia="zh-CN"/>
        </w:rPr>
        <w:t>牛</w:t>
      </w:r>
      <w:r>
        <w:rPr>
          <w:rFonts w:hint="eastAsia" w:ascii="Times New Roman" w:hAnsi="Times New Roman" w:cs="Times New Roman"/>
          <w:color w:val="auto"/>
          <w:sz w:val="24"/>
          <w:szCs w:val="24"/>
          <w:highlight w:val="none"/>
        </w:rPr>
        <w:t>舍排水方式</w:t>
      </w:r>
    </w:p>
    <w:p>
      <w:pPr>
        <w:tabs>
          <w:tab w:val="left" w:pos="7560"/>
        </w:tabs>
        <w:ind w:firstLine="480" w:firstLineChars="200"/>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val="en-US" w:eastAsia="zh-CN"/>
        </w:rPr>
        <w:t>牛</w:t>
      </w:r>
      <w:r>
        <w:rPr>
          <w:rFonts w:hint="eastAsia" w:ascii="Times New Roman" w:hAnsi="Times New Roman" w:cs="Times New Roman"/>
          <w:color w:val="auto"/>
          <w:sz w:val="24"/>
          <w:szCs w:val="24"/>
          <w:highlight w:val="none"/>
        </w:rPr>
        <w:t>舍排水实行雨污分流，室外雨水（初期雨水除外）通过雨水沟渠自然排放，所有舍内污水均采用地下管道方式排到项目拟建的污水处理区集中处理。</w:t>
      </w:r>
    </w:p>
    <w:p>
      <w:pPr>
        <w:ind w:firstLine="480" w:firstLineChars="200"/>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eastAsia="zh-CN"/>
        </w:rPr>
        <w:t>⑤</w:t>
      </w:r>
      <w:r>
        <w:rPr>
          <w:rFonts w:hint="eastAsia" w:ascii="Times New Roman" w:hAnsi="Times New Roman" w:cs="Times New Roman"/>
          <w:color w:val="auto"/>
          <w:sz w:val="24"/>
          <w:szCs w:val="24"/>
          <w:highlight w:val="none"/>
          <w:lang w:val="en-US" w:eastAsia="zh-CN"/>
        </w:rPr>
        <w:t>牛粪</w:t>
      </w:r>
      <w:r>
        <w:rPr>
          <w:rFonts w:hint="eastAsia" w:ascii="Times New Roman" w:hAnsi="Times New Roman" w:cs="Times New Roman"/>
          <w:color w:val="auto"/>
          <w:sz w:val="24"/>
          <w:szCs w:val="24"/>
          <w:highlight w:val="none"/>
        </w:rPr>
        <w:t>清理方式</w:t>
      </w:r>
    </w:p>
    <w:p>
      <w:pPr>
        <w:pStyle w:val="1386"/>
        <w:ind w:firstLine="480"/>
        <w:rPr>
          <w:color w:val="auto"/>
          <w:highlight w:val="none"/>
        </w:rPr>
      </w:pPr>
      <w:r>
        <w:rPr>
          <w:rFonts w:hint="eastAsia"/>
          <w:color w:val="auto"/>
          <w:highlight w:val="none"/>
        </w:rPr>
        <w:t>根据《畜禽养殖业污染治理工程技术规范》（HJ497-2009）要求：新建、改建、扩建的畜禽养殖场宜采用干清粪工艺。现有采用水冲粪、水泡粪清粪工艺的养殖场，应逐步改为干清粪工艺。</w:t>
      </w:r>
    </w:p>
    <w:p>
      <w:pPr>
        <w:pStyle w:val="1386"/>
        <w:ind w:firstLine="480"/>
        <w:rPr>
          <w:color w:val="auto"/>
          <w:highlight w:val="none"/>
        </w:rPr>
      </w:pPr>
      <w:r>
        <w:rPr>
          <w:rFonts w:hint="eastAsia"/>
          <w:color w:val="auto"/>
          <w:highlight w:val="none"/>
        </w:rPr>
        <w:t>农业部办公厅关于印发《畜禽规模养殖场粪污资源化利用设施建设规范（试行）》的通知（农办牧[2018]2号）要求：畜禽规模养殖场宜采用干清粪工艺。采用水泡粪工艺的，要控制用水量，减少粪污产生总量。鼓励水冲粪工艺改造为干清粪或水泡粪。不同畜种不同清粪工艺最高允许排水量按照</w:t>
      </w:r>
      <w:r>
        <w:rPr>
          <w:color w:val="auto"/>
          <w:highlight w:val="none"/>
        </w:rPr>
        <w:t>GB 18596</w:t>
      </w:r>
      <w:r>
        <w:rPr>
          <w:rFonts w:hint="eastAsia"/>
          <w:color w:val="auto"/>
          <w:highlight w:val="none"/>
        </w:rPr>
        <w:t>执行。</w:t>
      </w:r>
    </w:p>
    <w:p>
      <w:pPr>
        <w:pStyle w:val="1386"/>
        <w:ind w:firstLine="480"/>
        <w:rPr>
          <w:color w:val="auto"/>
          <w:highlight w:val="none"/>
        </w:rPr>
      </w:pPr>
      <w:r>
        <w:rPr>
          <w:rFonts w:hint="eastAsia"/>
          <w:color w:val="auto"/>
          <w:highlight w:val="none"/>
        </w:rPr>
        <w:t>干清粪工艺：指畜禽排放的粪便一经产生便通过机械或人工收集、清除，尿液、残余粪便及冲洗水则从排污道排出的清粪方式。</w:t>
      </w:r>
    </w:p>
    <w:p>
      <w:pPr>
        <w:pStyle w:val="1386"/>
        <w:ind w:firstLine="480"/>
        <w:rPr>
          <w:color w:val="auto"/>
          <w:highlight w:val="none"/>
        </w:rPr>
      </w:pPr>
      <w:r>
        <w:rPr>
          <w:rFonts w:hint="eastAsia"/>
          <w:color w:val="auto"/>
          <w:highlight w:val="none"/>
        </w:rPr>
        <w:t>尿泡粪工艺：指在畜禽舍内的排粪沟中注入一定量的水，将粪、尿、冲洗和饲养管理用水一并排放至漏缝地板下的粪沟中，贮存一定时间（一般为</w:t>
      </w:r>
      <w:r>
        <w:rPr>
          <w:color w:val="auto"/>
          <w:highlight w:val="none"/>
        </w:rPr>
        <w:t>1</w:t>
      </w:r>
      <w:r>
        <w:rPr>
          <w:rFonts w:hint="eastAsia"/>
          <w:color w:val="auto"/>
          <w:highlight w:val="none"/>
        </w:rPr>
        <w:t>～</w:t>
      </w:r>
      <w:r>
        <w:rPr>
          <w:color w:val="auto"/>
          <w:highlight w:val="none"/>
        </w:rPr>
        <w:t>2</w:t>
      </w:r>
      <w:r>
        <w:rPr>
          <w:rFonts w:hint="eastAsia"/>
          <w:color w:val="auto"/>
          <w:highlight w:val="none"/>
        </w:rPr>
        <w:t>个月）、待粪沟填满后，打开出口闸门，沟中的粪水顺粪沟流入粪便主干沟后排出的清粪工艺。</w:t>
      </w:r>
    </w:p>
    <w:p>
      <w:pPr>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本项目饲养过程中采用干清粪工艺，将</w:t>
      </w:r>
      <w:r>
        <w:rPr>
          <w:rFonts w:hint="eastAsia" w:ascii="宋体" w:hAnsi="宋体" w:eastAsia="宋体" w:cs="宋体"/>
          <w:color w:val="auto"/>
          <w:sz w:val="24"/>
          <w:szCs w:val="24"/>
          <w:highlight w:val="none"/>
          <w:lang w:val="en-US" w:eastAsia="zh-CN"/>
        </w:rPr>
        <w:t>牛</w:t>
      </w:r>
      <w:r>
        <w:rPr>
          <w:rFonts w:ascii="宋体" w:hAnsi="宋体" w:eastAsia="宋体" w:cs="宋体"/>
          <w:color w:val="auto"/>
          <w:sz w:val="24"/>
          <w:szCs w:val="24"/>
          <w:highlight w:val="none"/>
        </w:rPr>
        <w:t>粪单独清出，不与尿、污水混合。</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项目牛舍设置牛栏枷，枷位位于牛舍两端高台上根据牛体位进行设置，牛臀部朝向牛舍中间稍低平台上，可确保牛的粪尿恰好落入该平台，中间平台设置机械刮粪板，</w:t>
      </w:r>
      <w:r>
        <w:rPr>
          <w:rFonts w:hint="eastAsia" w:ascii="宋体" w:hAnsi="宋体" w:eastAsia="宋体" w:cs="宋体"/>
          <w:color w:val="auto"/>
          <w:sz w:val="24"/>
          <w:szCs w:val="24"/>
          <w:highlight w:val="none"/>
          <w:lang w:eastAsia="zh-CN"/>
        </w:rPr>
        <w:t>肉</w:t>
      </w:r>
      <w:r>
        <w:rPr>
          <w:rFonts w:hint="eastAsia" w:ascii="宋体" w:hAnsi="宋体" w:eastAsia="宋体" w:cs="宋体"/>
          <w:color w:val="auto"/>
          <w:sz w:val="24"/>
          <w:szCs w:val="24"/>
          <w:highlight w:val="none"/>
        </w:rPr>
        <w:t>牛饲养过程产生的粪尿经刮粪板刮至牛舍末端设置的集粪坑，集粪池粪尿经固液分离后，粪便外售有机肥厂，尿液进入污水处理系统经处理后回用于项目附近农田施肥。</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本项目干清粪工艺具有以下特点：</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1）牛舍不注入清水，也不将清水用于圈舍粪尿日常淸理，大大减少了粪污产生量。</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2）牛舍内粪尿每日由自动刮板机将污粪清空。</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粪污水离开粪污储存池后即进行干湿分离和无害化处理，经干湿分离后固体粪暂存后外售生产有机肥，废水经污水处理站处理后用于周边农田施肥，可以实现粪污离开粪池即进行干湿分离和无害化并全部实现综合利用，不混合排出。</w:t>
      </w:r>
    </w:p>
    <w:p>
      <w:pPr>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牛</w:t>
      </w:r>
      <w:r>
        <w:rPr>
          <w:rFonts w:ascii="宋体" w:hAnsi="宋体" w:eastAsia="宋体" w:cs="宋体"/>
          <w:color w:val="auto"/>
          <w:sz w:val="24"/>
          <w:szCs w:val="24"/>
          <w:highlight w:val="none"/>
        </w:rPr>
        <w:t>粪每日清运，实现日产日清。</w:t>
      </w:r>
    </w:p>
    <w:p>
      <w:pPr>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本工程采用干清粪工艺满足《畜禽养殖业污染防治技术规范》（HJ/T81-2001） 要求，措施可行。</w:t>
      </w:r>
    </w:p>
    <w:p>
      <w:pPr>
        <w:numPr>
          <w:ilvl w:val="0"/>
          <w:numId w:val="28"/>
        </w:num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消毒工艺说明</w:t>
      </w:r>
    </w:p>
    <w:p>
      <w:pPr>
        <w:ind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本项目实施严格的兽医卫生消毒、免疫程序，保证</w:t>
      </w:r>
      <w:r>
        <w:rPr>
          <w:rFonts w:hint="eastAsia" w:ascii="Times New Roman" w:hAnsi="Times New Roman" w:cs="Times New Roman"/>
          <w:color w:val="auto"/>
          <w:sz w:val="24"/>
          <w:szCs w:val="24"/>
          <w:highlight w:val="none"/>
          <w:lang w:eastAsia="zh-CN"/>
        </w:rPr>
        <w:t>牛群</w:t>
      </w:r>
      <w:r>
        <w:rPr>
          <w:rFonts w:hint="eastAsia" w:ascii="Times New Roman" w:hAnsi="Times New Roman" w:cs="Times New Roman"/>
          <w:color w:val="auto"/>
          <w:sz w:val="24"/>
          <w:szCs w:val="24"/>
          <w:highlight w:val="none"/>
        </w:rPr>
        <w:t>健康。所有与外界接触的进出口均设有消毒池，运送饲料的车辆进入时先经消毒池消毒再用高压水龙头清洗消毒。所有工作人员进场时必须从小门进入并在消毒通道内使用超声波雾化机雾化消毒</w:t>
      </w:r>
      <w:r>
        <w:rPr>
          <w:rFonts w:ascii="Times New Roman" w:hAnsi="Times New Roman" w:cs="Times New Roman"/>
          <w:color w:val="auto"/>
          <w:sz w:val="24"/>
          <w:szCs w:val="24"/>
          <w:highlight w:val="none"/>
        </w:rPr>
        <w:t>3</w:t>
      </w:r>
      <w:r>
        <w:rPr>
          <w:rFonts w:hint="eastAsia" w:ascii="Times New Roman" w:hAnsi="Times New Roman" w:cs="Times New Roman"/>
          <w:color w:val="auto"/>
          <w:sz w:val="24"/>
          <w:szCs w:val="24"/>
          <w:highlight w:val="none"/>
        </w:rPr>
        <w:t>分钟，消毒后在门卫室登记。需进入生产区的工作人员必须在生活区隔离，隔离后在浴室洗澡，更换成工作服、工作鞋帽，从浴室直接进入生产区。分娩舍以及所使用的物品、设备等均采用消毒剂进行消毒。</w:t>
      </w:r>
    </w:p>
    <w:p>
      <w:pPr>
        <w:adjustRightInd w:val="0"/>
        <w:snapToGrid w:val="0"/>
        <w:ind w:firstLine="480" w:firstLineChars="200"/>
        <w:jc w:val="left"/>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消毒间均设置紫外线灯照射消毒，主入口车行道设置消毒池，3%~5%的火碱溶液消毒，池长2m，宽5m。每周更换两次消毒液，</w:t>
      </w:r>
      <w:r>
        <w:rPr>
          <w:rFonts w:ascii="Times New Roman" w:hAnsi="Times New Roman"/>
          <w:bCs/>
          <w:color w:val="auto"/>
          <w:sz w:val="24"/>
          <w:szCs w:val="24"/>
          <w:highlight w:val="none"/>
          <w:lang w:bidi="ar"/>
        </w:rPr>
        <w:t>另外，对牛舍和运动场定期进行消毒，一般使用聚维酮碘溶液和复方戊二醛复合消毒液，两种药液交替使用，聚维酮碘溶液按1: 300的比例加水稀释，复方戊二醛复合消毒液按1: 500的比例加水稀释，将配好的消毒液在整个牛场直接喷洒，每周消毒1次。</w:t>
      </w:r>
      <w:r>
        <w:rPr>
          <w:rFonts w:hint="default" w:ascii="Times New Roman" w:hAnsi="Times New Roman" w:eastAsia="宋体" w:cs="Times New Roman"/>
          <w:color w:val="auto"/>
          <w:sz w:val="24"/>
          <w:szCs w:val="24"/>
          <w:highlight w:val="none"/>
        </w:rPr>
        <w:t>运输</w:t>
      </w:r>
      <w:r>
        <w:rPr>
          <w:rFonts w:hint="eastAsia" w:ascii="Times New Roman" w:hAnsi="Times New Roman" w:eastAsia="宋体" w:cs="Times New Roman"/>
          <w:color w:val="auto"/>
          <w:sz w:val="24"/>
          <w:szCs w:val="24"/>
          <w:highlight w:val="none"/>
          <w:lang w:val="en-US" w:eastAsia="zh-CN"/>
        </w:rPr>
        <w:t>牛</w:t>
      </w:r>
      <w:r>
        <w:rPr>
          <w:rFonts w:hint="default" w:ascii="Times New Roman" w:hAnsi="Times New Roman" w:eastAsia="宋体" w:cs="Times New Roman"/>
          <w:color w:val="auto"/>
          <w:sz w:val="24"/>
          <w:szCs w:val="24"/>
          <w:highlight w:val="none"/>
        </w:rPr>
        <w:t>和饲料的车辆，装运前后必须用灭菌灵喷雾消毒</w:t>
      </w:r>
      <w:r>
        <w:rPr>
          <w:rFonts w:hint="eastAsia" w:ascii="Times New Roman" w:hAnsi="Times New Roman" w:eastAsia="宋体" w:cs="Times New Roman"/>
          <w:color w:val="auto"/>
          <w:sz w:val="24"/>
          <w:szCs w:val="24"/>
          <w:highlight w:val="none"/>
          <w:lang w:eastAsia="zh-CN"/>
        </w:rPr>
        <w:t>。</w:t>
      </w:r>
    </w:p>
    <w:p>
      <w:pPr>
        <w:ind w:firstLine="480" w:firstLineChars="20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夏秋时节养殖场蚊蝇孽生，可采取化学、物理结合的方法驱蝇灭蚊，对于粪便贮存池、污水沟等死水，每周使用高效农药化学杀虫剂消杀2次。同时在圈舍内安装灭蚊灯、门窗均安装纱窗。</w:t>
      </w:r>
    </w:p>
    <w:p>
      <w:pPr>
        <w:ind w:firstLine="480" w:firstLineChars="200"/>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3</w:t>
      </w:r>
      <w:r>
        <w:rPr>
          <w:rFonts w:hint="eastAsia" w:ascii="Times New Roman" w:hAnsi="Times New Roman" w:cs="Times New Roman"/>
          <w:color w:val="auto"/>
          <w:sz w:val="24"/>
          <w:szCs w:val="24"/>
          <w:highlight w:val="none"/>
        </w:rPr>
        <w:t>）养</w:t>
      </w:r>
      <w:r>
        <w:rPr>
          <w:rFonts w:hint="eastAsia" w:ascii="Times New Roman" w:hAnsi="Times New Roman" w:cs="Times New Roman"/>
          <w:color w:val="auto"/>
          <w:sz w:val="24"/>
          <w:szCs w:val="24"/>
          <w:highlight w:val="none"/>
          <w:lang w:val="en-US" w:eastAsia="zh-CN"/>
        </w:rPr>
        <w:t>牛</w:t>
      </w:r>
      <w:r>
        <w:rPr>
          <w:rFonts w:hint="eastAsia" w:ascii="Times New Roman" w:hAnsi="Times New Roman" w:cs="Times New Roman"/>
          <w:color w:val="auto"/>
          <w:sz w:val="24"/>
          <w:szCs w:val="24"/>
          <w:highlight w:val="none"/>
        </w:rPr>
        <w:t>场</w:t>
      </w:r>
      <w:r>
        <w:rPr>
          <w:rFonts w:hint="eastAsia" w:ascii="Times New Roman" w:hAnsi="Times New Roman" w:cs="Times New Roman"/>
          <w:color w:val="auto"/>
          <w:sz w:val="24"/>
          <w:szCs w:val="24"/>
          <w:highlight w:val="none"/>
          <w:lang w:val="en-US" w:eastAsia="zh-CN"/>
        </w:rPr>
        <w:t>卫生</w:t>
      </w:r>
      <w:r>
        <w:rPr>
          <w:rFonts w:hint="eastAsia" w:ascii="Times New Roman" w:hAnsi="Times New Roman" w:cs="Times New Roman"/>
          <w:color w:val="auto"/>
          <w:sz w:val="24"/>
          <w:szCs w:val="24"/>
          <w:highlight w:val="none"/>
        </w:rPr>
        <w:t>防疫</w:t>
      </w:r>
    </w:p>
    <w:p>
      <w:pPr>
        <w:ind w:firstLine="480" w:firstLineChars="20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卫生防疫是规模化养殖场的生命线，也是规模化养殖场成败的关键点。为此，必须严格执行国家《动物防疫法》，做到以防为主，防治结合，制度健全，责任到人。本项目不单独设防疫工作，防疫工作委托当地防疫部门负责。</w:t>
      </w:r>
    </w:p>
    <w:p>
      <w:pPr>
        <w:ind w:firstLine="480" w:firstLineChars="20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1）防疫制度</w:t>
      </w:r>
    </w:p>
    <w:p>
      <w:pPr>
        <w:ind w:firstLine="480" w:firstLineChars="20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更衣换鞋制度：凡是进入饲养场的工作人员，一律更衣换鞋。</w:t>
      </w:r>
    </w:p>
    <w:p>
      <w:pPr>
        <w:ind w:firstLine="480" w:firstLineChars="20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消毒制度：凡进入饲养场的人和车辆等都需经过消毒。</w:t>
      </w:r>
    </w:p>
    <w:p>
      <w:pPr>
        <w:ind w:firstLine="480" w:firstLineChars="20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防疫隔离制度：凡新引进的畜种在场外隔离二个月以上，隔离观察期间进行测温和血清及微生物检查，确认健康无病方能进场。</w:t>
      </w:r>
    </w:p>
    <w:p>
      <w:pPr>
        <w:ind w:firstLine="480" w:firstLineChars="20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2）免疫程序管理</w:t>
      </w:r>
    </w:p>
    <w:p>
      <w:pPr>
        <w:ind w:firstLine="480" w:firstLineChars="20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制定一套合理的免疫程序，做到“以防为主，防治结合”。</w:t>
      </w:r>
    </w:p>
    <w:p>
      <w:pPr>
        <w:ind w:firstLine="480" w:firstLineChars="20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3）诊疗程序管理</w:t>
      </w:r>
    </w:p>
    <w:p>
      <w:pPr>
        <w:ind w:firstLine="480" w:firstLineChars="200"/>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本项目配备专职兽医，加强防治结合。要求兽医每天观察畜群，发现病情做好记录并向有关技术部门备案，一旦发现疫情，做到早、严、快、小，并向上级部门汇报。</w:t>
      </w:r>
    </w:p>
    <w:p>
      <w:pPr>
        <w:adjustRightInd w:val="0"/>
        <w:snapToGrid w:val="0"/>
        <w:ind w:firstLine="480" w:firstLineChars="200"/>
        <w:jc w:val="left"/>
        <w:rPr>
          <w:rFonts w:hint="eastAsia"/>
          <w:color w:val="auto"/>
          <w:highlight w:val="none"/>
          <w:lang w:eastAsia="zh-CN"/>
        </w:rPr>
      </w:pPr>
      <w:r>
        <w:rPr>
          <w:rFonts w:hint="eastAsia" w:ascii="Times New Roman" w:hAnsi="Times New Roman"/>
          <w:bCs/>
          <w:color w:val="auto"/>
          <w:sz w:val="24"/>
          <w:szCs w:val="24"/>
          <w:highlight w:val="none"/>
          <w:lang w:val="en-US" w:eastAsia="zh-CN" w:bidi="ar"/>
        </w:rPr>
        <w:t>同时</w:t>
      </w:r>
      <w:r>
        <w:rPr>
          <w:rFonts w:ascii="Times New Roman" w:hAnsi="Times New Roman"/>
          <w:bCs/>
          <w:color w:val="auto"/>
          <w:sz w:val="24"/>
          <w:szCs w:val="24"/>
          <w:highlight w:val="none"/>
          <w:lang w:bidi="ar"/>
        </w:rPr>
        <w:t>牛舍和运动场的清洁，一般每天清理3次。牛舍和运动场的清洁工作交替进行，牛群到牛舍吃饲料时要趁机清理运动场，牛群吃完饲料到运动场休息时要趁机清扫牛舍。运动场的水池每天清理1次，每天换水，保证牛群饮用干净的水。</w:t>
      </w:r>
    </w:p>
    <w:p>
      <w:pPr>
        <w:pStyle w:val="9"/>
        <w:bidi w:val="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污染治理工艺流程分析</w:t>
      </w:r>
    </w:p>
    <w:p>
      <w:pPr>
        <w:ind w:firstLine="482"/>
        <w:rPr>
          <w:b/>
          <w:color w:val="auto"/>
          <w:sz w:val="24"/>
          <w:szCs w:val="24"/>
          <w:highlight w:val="none"/>
        </w:rPr>
      </w:pPr>
      <w:r>
        <w:rPr>
          <w:b/>
          <w:color w:val="auto"/>
          <w:sz w:val="24"/>
          <w:szCs w:val="24"/>
          <w:highlight w:val="none"/>
        </w:rPr>
        <w:t>1、</w:t>
      </w:r>
      <w:r>
        <w:rPr>
          <w:rFonts w:hint="eastAsia"/>
          <w:b/>
          <w:color w:val="auto"/>
          <w:sz w:val="24"/>
          <w:szCs w:val="24"/>
          <w:highlight w:val="none"/>
          <w:lang w:eastAsia="zh-CN"/>
        </w:rPr>
        <w:t>病死</w:t>
      </w:r>
      <w:r>
        <w:rPr>
          <w:rFonts w:hint="eastAsia"/>
          <w:b/>
          <w:color w:val="auto"/>
          <w:sz w:val="24"/>
          <w:szCs w:val="24"/>
          <w:highlight w:val="none"/>
          <w:lang w:val="en-US" w:eastAsia="zh-CN"/>
        </w:rPr>
        <w:t>牛</w:t>
      </w:r>
      <w:r>
        <w:rPr>
          <w:rFonts w:hint="eastAsia"/>
          <w:b/>
          <w:color w:val="auto"/>
          <w:sz w:val="24"/>
          <w:szCs w:val="24"/>
          <w:highlight w:val="none"/>
          <w:lang w:eastAsia="zh-CN"/>
        </w:rPr>
        <w:t>处置方式</w:t>
      </w:r>
    </w:p>
    <w:p>
      <w:pPr>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本项目采用云浮市益康生环保科技有限公司专利产品（专利证书详见附件</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）无害化降解处理机处理病死</w:t>
      </w:r>
      <w:r>
        <w:rPr>
          <w:rFonts w:hint="eastAsia" w:ascii="Times New Roman" w:hAnsi="Times New Roman" w:eastAsia="宋体" w:cs="Times New Roman"/>
          <w:color w:val="auto"/>
          <w:sz w:val="24"/>
          <w:szCs w:val="24"/>
          <w:highlight w:val="none"/>
          <w:lang w:val="en-US" w:eastAsia="zh-CN"/>
        </w:rPr>
        <w:t>牛</w:t>
      </w:r>
      <w:r>
        <w:rPr>
          <w:rFonts w:hint="default" w:ascii="Times New Roman" w:hAnsi="Times New Roman" w:eastAsia="宋体" w:cs="Times New Roman"/>
          <w:color w:val="auto"/>
          <w:sz w:val="24"/>
          <w:szCs w:val="24"/>
          <w:highlight w:val="none"/>
        </w:rPr>
        <w:t>。目前该专利已在50余单位成功应用，取得优异的处理效果。同时无害无处理机处理过程中产生的恶臭气体经云浮市益康生环保科技有限公司专利产品（专利证书详见附件</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恶臭气体净化装置处理后排放。根据中国广州分析测试中心对该专利产品废气排放口及其下风向5m监测报告数据可知，该专利产品排放的废气能够达到《恶臭污染物排放标准》（GB14554-93）（详见附件监测报告），符合环保要求。同时根据广东出入境检验检疫局检验检疫技术中心卫生检疫实验室对该专利生物安全效果验证报告数据可知，该专利废气排放口无病毒和细菌产生，符合生物安全相关要求（详见附件</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生物安全效果验证报告）。本项目无害化处理机设计处理规模为1000kg/d。</w:t>
      </w:r>
    </w:p>
    <w:p>
      <w:pPr>
        <w:ind w:firstLine="482" w:firstLineChars="200"/>
        <w:rPr>
          <w:rFonts w:hint="eastAsia"/>
          <w:b/>
          <w:bCs/>
          <w:color w:val="auto"/>
          <w:sz w:val="24"/>
          <w:szCs w:val="24"/>
          <w:highlight w:val="none"/>
        </w:rPr>
      </w:pPr>
      <w:r>
        <w:rPr>
          <w:rFonts w:ascii="宋体" w:hAnsi="宋体" w:eastAsia="宋体" w:cs="宋体"/>
          <w:b/>
          <w:bCs/>
          <w:color w:val="auto"/>
          <w:sz w:val="24"/>
          <w:szCs w:val="24"/>
          <w:highlight w:val="none"/>
        </w:rPr>
        <w:t>无害化降解处理机原理：</w:t>
      </w:r>
      <w:r>
        <w:rPr>
          <w:rFonts w:ascii="宋体" w:hAnsi="宋体" w:eastAsia="宋体" w:cs="宋体"/>
          <w:color w:val="auto"/>
          <w:sz w:val="24"/>
          <w:szCs w:val="24"/>
          <w:highlight w:val="none"/>
        </w:rPr>
        <w:t>采用高温生物发酵技术原理,利用设备产生的连续24h的高温(100PC)环境实现灭活病原体，利用芽孢杆菌分解的脂肪酶、蛋白质酶降解有机物的特性，实现动物尸体无害化降解处理。同时该设备综合分切、绞碎、发酵、杀菌、干燥等多个同步环节，把畜禽尸体等废弃物快速降解处理为有机肥原料</w:t>
      </w:r>
      <w:r>
        <w:rPr>
          <w:rFonts w:hint="eastAsia" w:ascii="宋体" w:hAnsi="宋体" w:eastAsia="宋体" w:cs="宋体"/>
          <w:color w:val="auto"/>
          <w:sz w:val="24"/>
          <w:szCs w:val="24"/>
          <w:highlight w:val="none"/>
          <w:lang w:eastAsia="zh-CN"/>
        </w:rPr>
        <w:t>，最后送入堆肥车间进行发酵罐堆肥</w:t>
      </w:r>
      <w:r>
        <w:rPr>
          <w:rFonts w:ascii="宋体" w:hAnsi="宋体" w:eastAsia="宋体" w:cs="宋体"/>
          <w:color w:val="auto"/>
          <w:sz w:val="24"/>
          <w:szCs w:val="24"/>
          <w:highlight w:val="none"/>
        </w:rPr>
        <w:t>。</w:t>
      </w:r>
      <w:r>
        <w:rPr>
          <w:rFonts w:hint="eastAsia"/>
          <w:b/>
          <w:bCs/>
          <w:color w:val="auto"/>
          <w:sz w:val="24"/>
          <w:szCs w:val="24"/>
          <w:highlight w:val="none"/>
        </w:rPr>
        <w:t>工作原理完全符合高温法要求。</w:t>
      </w:r>
    </w:p>
    <w:p>
      <w:pPr>
        <w:ind w:firstLine="480" w:firstLineChars="200"/>
        <w:rPr>
          <w:rFonts w:ascii="宋体" w:hAnsi="宋体" w:eastAsia="宋体" w:cs="宋体"/>
          <w:color w:val="auto"/>
          <w:sz w:val="24"/>
          <w:szCs w:val="24"/>
          <w:highlight w:val="none"/>
        </w:rPr>
      </w:pPr>
      <w:r>
        <w:rPr>
          <w:rFonts w:hint="default" w:ascii="Times New Roman" w:hAnsi="Times New Roman" w:cs="Times New Roman"/>
          <w:b w:val="0"/>
          <w:bCs w:val="0"/>
          <w:color w:val="auto"/>
          <w:sz w:val="24"/>
          <w:szCs w:val="24"/>
          <w:highlight w:val="none"/>
          <w:lang w:val="en-US" w:eastAsia="zh-CN"/>
        </w:rPr>
        <w:t>动物尸体无害化降解处理机设备参数</w:t>
      </w:r>
      <w:r>
        <w:rPr>
          <w:rFonts w:hint="eastAsia" w:ascii="Times New Roman" w:hAnsi="Times New Roman" w:cs="Times New Roman"/>
          <w:b w:val="0"/>
          <w:bCs w:val="0"/>
          <w:color w:val="auto"/>
          <w:sz w:val="24"/>
          <w:szCs w:val="24"/>
          <w:highlight w:val="none"/>
          <w:lang w:val="en-US" w:eastAsia="zh-CN"/>
        </w:rPr>
        <w:t>见下表。</w:t>
      </w:r>
    </w:p>
    <w:p>
      <w:pPr>
        <w:pStyle w:val="2504"/>
        <w:numPr>
          <w:ilvl w:val="0"/>
          <w:numId w:val="25"/>
        </w:numPr>
        <w:spacing w:before="120"/>
        <w:ind w:left="0" w:leftChars="0" w:firstLine="403" w:firstLineChars="0"/>
        <w:rPr>
          <w:rFonts w:hint="default" w:ascii="Times New Roman" w:hAnsi="Times New Roman" w:cs="Times New Roman"/>
          <w:b/>
          <w:bCs w:val="0"/>
          <w:color w:val="auto"/>
          <w:sz w:val="21"/>
          <w:szCs w:val="21"/>
          <w:highlight w:val="none"/>
          <w:lang w:val="en-US" w:eastAsia="zh-CN"/>
        </w:rPr>
      </w:pPr>
      <w:r>
        <w:rPr>
          <w:rFonts w:hint="eastAsia" w:ascii="Times New Roman" w:hAnsi="Times New Roman" w:cs="Times New Roman"/>
          <w:b/>
          <w:bCs w:val="0"/>
          <w:color w:val="auto"/>
          <w:sz w:val="21"/>
          <w:szCs w:val="21"/>
          <w:highlight w:val="none"/>
          <w:lang w:val="en-US" w:eastAsia="zh-CN"/>
        </w:rPr>
        <w:t xml:space="preserve">  </w:t>
      </w:r>
      <w:r>
        <w:rPr>
          <w:rFonts w:hint="default" w:ascii="Times New Roman" w:hAnsi="Times New Roman" w:cs="Times New Roman"/>
          <w:b/>
          <w:bCs w:val="0"/>
          <w:color w:val="auto"/>
          <w:sz w:val="21"/>
          <w:szCs w:val="21"/>
          <w:highlight w:val="none"/>
          <w:lang w:val="en-US" w:eastAsia="zh-CN"/>
        </w:rPr>
        <w:t>动物尸体无害化降解处理机设备参数一览表</w:t>
      </w:r>
    </w:p>
    <w:tbl>
      <w:tblPr>
        <w:tblStyle w:val="91"/>
        <w:tblW w:w="5000" w:type="pct"/>
        <w:tblInd w:w="0"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564"/>
        <w:gridCol w:w="5958"/>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26" w:hRule="atLeast"/>
        </w:trPr>
        <w:tc>
          <w:tcPr>
            <w:tcW w:w="1504" w:type="pct"/>
            <w:tcBorders>
              <w:bottom w:val="single" w:color="000000" w:sz="4" w:space="0"/>
            </w:tcBorders>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型号</w:t>
            </w:r>
          </w:p>
        </w:tc>
        <w:tc>
          <w:tcPr>
            <w:tcW w:w="3495" w:type="pct"/>
            <w:tcBorders>
              <w:bottom w:val="single" w:color="000000" w:sz="4" w:space="0"/>
            </w:tcBorders>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9WJC-24/Q</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c>
          <w:tcPr>
            <w:tcW w:w="1504"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规格</w:t>
            </w:r>
          </w:p>
        </w:tc>
        <w:tc>
          <w:tcPr>
            <w:tcW w:w="3495"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4000（长）×1400（宽）×1700（高）mm</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c>
          <w:tcPr>
            <w:tcW w:w="1504"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整机额定功率</w:t>
            </w:r>
          </w:p>
        </w:tc>
        <w:tc>
          <w:tcPr>
            <w:tcW w:w="3495"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14kw</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c>
          <w:tcPr>
            <w:tcW w:w="1504"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整机重量</w:t>
            </w:r>
          </w:p>
        </w:tc>
        <w:tc>
          <w:tcPr>
            <w:tcW w:w="3495"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3000kg</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c>
          <w:tcPr>
            <w:tcW w:w="1504"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工作电压</w:t>
            </w:r>
          </w:p>
        </w:tc>
        <w:tc>
          <w:tcPr>
            <w:tcW w:w="3495"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380V</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c>
          <w:tcPr>
            <w:tcW w:w="1504"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有效处理容积</w:t>
            </w:r>
          </w:p>
        </w:tc>
        <w:tc>
          <w:tcPr>
            <w:tcW w:w="3495"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2.4m³</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c>
          <w:tcPr>
            <w:tcW w:w="1504"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处理范围</w:t>
            </w:r>
          </w:p>
        </w:tc>
        <w:tc>
          <w:tcPr>
            <w:tcW w:w="3495"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畜类、禽类</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c>
          <w:tcPr>
            <w:tcW w:w="1504"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单次最大处理量</w:t>
            </w:r>
          </w:p>
        </w:tc>
        <w:tc>
          <w:tcPr>
            <w:tcW w:w="3495"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800-1000公斤/批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c>
          <w:tcPr>
            <w:tcW w:w="1504"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日处理最大量</w:t>
            </w:r>
          </w:p>
        </w:tc>
        <w:tc>
          <w:tcPr>
            <w:tcW w:w="3495"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1500公斤</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504"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单次处理周期</w:t>
            </w:r>
          </w:p>
        </w:tc>
        <w:tc>
          <w:tcPr>
            <w:tcW w:w="3495"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24h</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504"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bidi="ar"/>
              </w:rPr>
              <w:t>适用场所</w:t>
            </w:r>
          </w:p>
        </w:tc>
        <w:tc>
          <w:tcPr>
            <w:tcW w:w="3495"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规模化</w:t>
            </w:r>
            <w:r>
              <w:rPr>
                <w:rFonts w:hint="eastAsia" w:ascii="Times New Roman" w:hAnsi="Times New Roman" w:eastAsia="宋体" w:cs="Times New Roman"/>
                <w:color w:val="auto"/>
                <w:sz w:val="21"/>
                <w:szCs w:val="21"/>
                <w:highlight w:val="none"/>
                <w:lang w:val="en-US" w:eastAsia="zh-CN" w:bidi="ar"/>
              </w:rPr>
              <w:t>饲养场</w:t>
            </w:r>
            <w:r>
              <w:rPr>
                <w:rFonts w:hint="default" w:ascii="Times New Roman" w:hAnsi="Times New Roman" w:eastAsia="宋体" w:cs="Times New Roman"/>
                <w:color w:val="auto"/>
                <w:sz w:val="21"/>
                <w:szCs w:val="21"/>
                <w:highlight w:val="none"/>
                <w:lang w:bidi="ar"/>
              </w:rPr>
              <w:t>、区域处理中心等</w:t>
            </w:r>
          </w:p>
        </w:tc>
      </w:tr>
    </w:tbl>
    <w:p>
      <w:pPr>
        <w:ind w:firstLine="482" w:firstLineChars="200"/>
        <w:rPr>
          <w:rFonts w:ascii="宋体" w:hAnsi="宋体" w:eastAsia="宋体" w:cs="宋体"/>
          <w:color w:val="auto"/>
          <w:sz w:val="24"/>
          <w:szCs w:val="24"/>
          <w:highlight w:val="none"/>
        </w:rPr>
      </w:pPr>
      <w:r>
        <w:rPr>
          <w:rFonts w:ascii="宋体" w:hAnsi="宋体" w:eastAsia="宋体" w:cs="宋体"/>
          <w:b/>
          <w:bCs/>
          <w:color w:val="auto"/>
          <w:sz w:val="24"/>
          <w:szCs w:val="24"/>
          <w:highlight w:val="none"/>
        </w:rPr>
        <w:t>恶臭气体净化装置原理：</w:t>
      </w:r>
      <w:r>
        <w:rPr>
          <w:rFonts w:ascii="宋体" w:hAnsi="宋体" w:eastAsia="宋体" w:cs="宋体"/>
          <w:color w:val="auto"/>
          <w:sz w:val="24"/>
          <w:szCs w:val="24"/>
          <w:highlight w:val="none"/>
        </w:rPr>
        <w:t>采用紫外线光束照射和TiO2催化法裂解恶臭气体(如三甲 胺、硫化氢、甲硫氢、甲硫醇、二甲二硫、二硫化碳和苯乙烯、HS、氨、苯、甲苯、二甲苯)。本项目恶臭气体净化装置使有机或无机高分子化合物分子链，在紫外线和Ti0光催化剂作用下，降解转变为低分子化合物，如CO2、H2O等，从而达到高效除臭的目的。</w:t>
      </w:r>
      <w:r>
        <w:rPr>
          <w:rFonts w:hint="eastAsia" w:ascii="宋体" w:hAnsi="宋体" w:eastAsia="宋体" w:cs="宋体"/>
          <w:color w:val="auto"/>
          <w:sz w:val="24"/>
          <w:szCs w:val="24"/>
          <w:highlight w:val="none"/>
        </w:rPr>
        <w:t>处理过程环保，无二次污染。</w:t>
      </w:r>
      <w:r>
        <w:rPr>
          <w:rFonts w:ascii="宋体" w:hAnsi="宋体" w:eastAsia="宋体" w:cs="宋体"/>
          <w:color w:val="auto"/>
          <w:sz w:val="24"/>
          <w:szCs w:val="24"/>
          <w:highlight w:val="none"/>
        </w:rPr>
        <w:t>病死</w:t>
      </w:r>
      <w:r>
        <w:rPr>
          <w:rFonts w:hint="eastAsia" w:ascii="宋体" w:hAnsi="宋体" w:eastAsia="宋体" w:cs="宋体"/>
          <w:color w:val="auto"/>
          <w:sz w:val="24"/>
          <w:szCs w:val="24"/>
          <w:highlight w:val="none"/>
          <w:lang w:val="en-US" w:eastAsia="zh-CN"/>
        </w:rPr>
        <w:t>牛</w:t>
      </w:r>
      <w:r>
        <w:rPr>
          <w:rFonts w:ascii="宋体" w:hAnsi="宋体" w:eastAsia="宋体" w:cs="宋体"/>
          <w:color w:val="auto"/>
          <w:sz w:val="24"/>
          <w:szCs w:val="24"/>
          <w:highlight w:val="none"/>
        </w:rPr>
        <w:t>无害化处理工艺流程图见图3</w:t>
      </w:r>
      <w:r>
        <w:rPr>
          <w:rFonts w:hint="eastAsia" w:ascii="宋体" w:hAnsi="宋体" w:eastAsia="宋体" w:cs="宋体"/>
          <w:color w:val="auto"/>
          <w:sz w:val="24"/>
          <w:szCs w:val="24"/>
          <w:highlight w:val="none"/>
          <w:lang w:val="en-US" w:eastAsia="zh-CN"/>
        </w:rPr>
        <w:t>.2</w:t>
      </w:r>
      <w:r>
        <w:rPr>
          <w:rFonts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ascii="宋体" w:hAnsi="宋体" w:eastAsia="宋体" w:cs="宋体"/>
          <w:color w:val="auto"/>
          <w:sz w:val="24"/>
          <w:szCs w:val="24"/>
          <w:highlight w:val="none"/>
        </w:rPr>
        <w:t>，无害化处理降解机图片见图3</w:t>
      </w:r>
      <w:r>
        <w:rPr>
          <w:rFonts w:hint="eastAsia" w:ascii="宋体" w:hAnsi="宋体" w:eastAsia="宋体" w:cs="宋体"/>
          <w:color w:val="auto"/>
          <w:sz w:val="24"/>
          <w:szCs w:val="24"/>
          <w:highlight w:val="none"/>
          <w:lang w:val="en-US" w:eastAsia="zh-CN"/>
        </w:rPr>
        <w:t>.2-4和</w:t>
      </w:r>
      <w:r>
        <w:rPr>
          <w:rFonts w:ascii="宋体" w:hAnsi="宋体" w:eastAsia="宋体" w:cs="宋体"/>
          <w:color w:val="auto"/>
          <w:sz w:val="24"/>
          <w:szCs w:val="24"/>
          <w:highlight w:val="none"/>
        </w:rPr>
        <w:t>图3</w:t>
      </w:r>
      <w:r>
        <w:rPr>
          <w:rFonts w:hint="eastAsia" w:ascii="宋体" w:hAnsi="宋体" w:eastAsia="宋体" w:cs="宋体"/>
          <w:color w:val="auto"/>
          <w:sz w:val="24"/>
          <w:szCs w:val="24"/>
          <w:highlight w:val="none"/>
          <w:lang w:val="en-US" w:eastAsia="zh-CN"/>
        </w:rPr>
        <w:t>.2-5</w:t>
      </w:r>
      <w:r>
        <w:rPr>
          <w:rFonts w:ascii="宋体" w:hAnsi="宋体" w:eastAsia="宋体" w:cs="宋体"/>
          <w:color w:val="auto"/>
          <w:sz w:val="24"/>
          <w:szCs w:val="24"/>
          <w:highlight w:val="none"/>
        </w:rPr>
        <w:t>。</w:t>
      </w:r>
    </w:p>
    <w:p>
      <w:pPr>
        <w:ind w:firstLine="420" w:firstLineChars="200"/>
        <w:rPr>
          <w:color w:val="auto"/>
          <w:highlight w:val="none"/>
        </w:rPr>
      </w:pPr>
      <w:r>
        <w:rPr>
          <w:color w:val="auto"/>
          <w:szCs w:val="24"/>
          <w:highlight w:val="none"/>
        </w:rPr>
        <w:pict>
          <v:group id="_x0000_s2051" o:spid="_x0000_s2051" o:spt="203" style="position:absolute;left:0pt;margin-left:-24.5pt;margin-top:4.55pt;height:98.7pt;width:426.35pt;mso-wrap-distance-bottom:0pt;mso-wrap-distance-top:0pt;z-index:251664384;mso-width-relative:page;mso-height-relative:page;" coordorigin="1625,11698" coordsize="8843,1411">
            <o:lock v:ext="edit" aspectratio="f"/>
            <v:roundrect id="自选图形 283" o:spid="_x0000_s2052" o:spt="2" style="position:absolute;left:1625;top:12063;height:570;width:1403;" fillcolor="#BBD5F0" filled="t" stroked="t" coordsize="21600,21600" arcsize="0.166666666666667" o:gfxdata="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lnWY82QAAAAgB&#10;AAAPAAAAAAAAAAEAIAAAACIAAABkcnMvZG93bnJldi54bWxQSwECFAAUAAAACACHTuJAIzNwP1MC&#10;AACXBAAADgAAAAAAAAABACAAAAAoAQAAZHJzL2Uyb0RvYy54bWxQSwUGAAAAAAYABgBZAQAA7QUA&#10;AAAA&#10;">
              <v:path/>
              <v:fill type="gradient" on="t" color2="#9CBEE0" focus="100%" focussize="0f,0f" focusposition="0f,0f">
                <o:fill type="gradientUnscaled" v:ext="backwardCompatible"/>
              </v:fill>
              <v:stroke weight="1.25pt" color="#739CC3"/>
              <v:imagedata o:title=""/>
              <o:lock v:ext="edit" aspectratio="f"/>
              <v:textbox>
                <w:txbxContent>
                  <w:p>
                    <w:pPr>
                      <w:ind w:firstLine="0" w:firstLineChars="0"/>
                    </w:pPr>
                    <w:r>
                      <w:rPr>
                        <w:rFonts w:hint="eastAsia" w:cs="宋体"/>
                        <w:szCs w:val="21"/>
                        <w:lang w:bidi="ar"/>
                      </w:rPr>
                      <w:t>动物尸</w:t>
                    </w:r>
                    <w:r>
                      <w:rPr>
                        <w:rFonts w:hint="eastAsia" w:cs="宋体"/>
                        <w:lang w:bidi="ar"/>
                      </w:rPr>
                      <w:t>体</w:t>
                    </w:r>
                  </w:p>
                </w:txbxContent>
              </v:textbox>
            </v:roundrect>
            <v:roundrect id="自选图形 284" o:spid="_x0000_s2053" o:spt="2" style="position:absolute;left:3515;top:12063;height:570;width:953;" fillcolor="#BBD5F0" filled="t" stroked="t" coordsize="21600,21600" arcsize="0.166666666666667" o:gfxdata="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ym5VKtoAAAAK&#10;AQAADwAAAAAAAAABACAAAAAiAAAAZHJzL2Rvd25yZXYueG1sUEsBAhQAFAAAAAgAh07iQMAzBFxT&#10;AgAAmAQAAA4AAAAAAAAAAQAgAAAAKQEAAGRycy9lMm9Eb2MueG1sUEsFBgAAAAAGAAYAWQEAAO4F&#10;AAAAAA==&#10;">
              <v:path/>
              <v:fill type="gradient" on="t" color2="#9CBEE0" focus="100%" focussize="0f,0f" focusposition="0f,0f">
                <o:fill type="gradientUnscaled" v:ext="backwardCompatible"/>
              </v:fill>
              <v:stroke weight="1.25pt" color="#739CC3"/>
              <v:imagedata o:title=""/>
              <o:lock v:ext="edit" aspectratio="f"/>
              <v:textbox>
                <w:txbxContent>
                  <w:p>
                    <w:pPr>
                      <w:ind w:firstLine="0" w:firstLineChars="0"/>
                    </w:pPr>
                    <w:r>
                      <w:rPr>
                        <w:rFonts w:hint="eastAsia" w:cs="宋体"/>
                        <w:lang w:bidi="ar"/>
                      </w:rPr>
                      <w:t>提升</w:t>
                    </w:r>
                  </w:p>
                </w:txbxContent>
              </v:textbox>
            </v:roundrect>
            <v:roundrect id="自选图形 285" o:spid="_x0000_s2054" o:spt="2" style="position:absolute;left:4972;top:11698;height:1411;width:1900;" fillcolor="#BBD5F0" filled="t" stroked="t" coordsize="21600,21600" arcsize="0.166666666666667" o:gfxdata="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A5hR4dkAAAAK&#10;AQAADwAAAAAAAAABACAAAAAiAAAAZHJzL2Rvd25yZXYueG1sUEsBAhQAFAAAAAgAh07iQCa7bgJU&#10;AgAAmAQAAA4AAAAAAAAAAQAgAAAAKAEAAGRycy9lMm9Eb2MueG1sUEsFBgAAAAAGAAYAWQEAAO4F&#10;AAAAAA==&#10;">
              <v:path/>
              <v:fill type="gradient" on="t" color2="#9CBEE0" focus="100%" focussize="0f,0f" focusposition="0f,0f">
                <o:fill type="gradientUnscaled" v:ext="backwardCompatible"/>
              </v:fill>
              <v:stroke weight="1.25pt" color="#739CC3"/>
              <v:imagedata o:title=""/>
              <o:lock v:ext="edit" aspectratio="f"/>
              <v:textbox>
                <w:txbxContent>
                  <w:p>
                    <w:pPr>
                      <w:ind w:firstLine="0" w:firstLineChars="0"/>
                      <w:rPr>
                        <w:sz w:val="21"/>
                        <w:szCs w:val="21"/>
                      </w:rPr>
                    </w:pPr>
                    <w:r>
                      <w:rPr>
                        <w:rFonts w:hint="eastAsia" w:cs="宋体"/>
                        <w:sz w:val="21"/>
                        <w:szCs w:val="21"/>
                        <w:lang w:bidi="ar"/>
                      </w:rPr>
                      <w:t>破碎、高温、搅拌、发酵、烘干一体工艺</w:t>
                    </w:r>
                  </w:p>
                </w:txbxContent>
              </v:textbox>
            </v:roundrect>
            <v:roundrect id="自选图形 286" o:spid="_x0000_s2055" o:spt="2" style="position:absolute;left:7293;top:12017;height:570;width:895;" fillcolor="#BBD5F0" filled="t" stroked="t" coordsize="21600,21600" arcsize="0.166666666666667" o:gfxdata="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byVZSdoAAAAK&#10;AQAADwAAAAAAAAABACAAAAAiAAAAZHJzL2Rvd25yZXYueG1sUEsBAhQAFAAAAAgAh07iQIyR2jZT&#10;AgAAlwQAAA4AAAAAAAAAAQAgAAAAKQEAAGRycy9lMm9Eb2MueG1sUEsFBgAAAAAGAAYAWQEAAO4F&#10;AAAAAA==&#10;">
              <v:path/>
              <v:fill type="gradient" on="t" color2="#9CBEE0" focus="100%" focussize="0f,0f" focusposition="0f,0f">
                <o:fill type="gradientUnscaled" v:ext="backwardCompatible"/>
              </v:fill>
              <v:stroke weight="1.25pt" color="#739CC3"/>
              <v:imagedata o:title=""/>
              <o:lock v:ext="edit" aspectratio="f"/>
              <v:textbox>
                <w:txbxContent>
                  <w:p>
                    <w:pPr>
                      <w:ind w:firstLine="0" w:firstLineChars="0"/>
                      <w:rPr>
                        <w:szCs w:val="21"/>
                      </w:rPr>
                    </w:pPr>
                    <w:r>
                      <w:rPr>
                        <w:rFonts w:hint="eastAsia" w:cs="宋体"/>
                        <w:szCs w:val="21"/>
                        <w:lang w:bidi="ar"/>
                      </w:rPr>
                      <w:t>出料</w:t>
                    </w:r>
                  </w:p>
                </w:txbxContent>
              </v:textbox>
            </v:roundrect>
            <v:roundrect id="自选图形 287" o:spid="_x0000_s2056" o:spt="2" style="position:absolute;left:8548;top:12017;height:570;width:1920;" fillcolor="#BBD5F0" filled="t" stroked="t" coordsize="21600,21600" arcsize="0.166666666666667" o:gfxdata="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1wPYi9oAAAAK&#10;AQAADwAAAAAAAAABACAAAAAiAAAAZHJzL2Rvd25yZXYueG1sUEsBAhQAFAAAAAgAh07iQBUqwiFT&#10;AgAAmAQAAA4AAAAAAAAAAQAgAAAAKQEAAGRycy9lMm9Eb2MueG1sUEsFBgAAAAAGAAYAWQEAAO4F&#10;AAAAAA==&#10;">
              <v:path/>
              <v:fill type="gradient" on="t" color2="#9CBEE0" focus="100%" focussize="0f,0f" focusposition="0f,0f">
                <o:fill type="gradientUnscaled" v:ext="backwardCompatible"/>
              </v:fill>
              <v:stroke weight="1.25pt" color="#739CC3"/>
              <v:imagedata o:title=""/>
              <o:lock v:ext="edit" aspectratio="f"/>
              <v:textbox>
                <w:txbxContent>
                  <w:p>
                    <w:pPr>
                      <w:ind w:firstLine="0" w:firstLineChars="0"/>
                      <w:rPr>
                        <w:szCs w:val="21"/>
                      </w:rPr>
                    </w:pPr>
                    <w:r>
                      <w:rPr>
                        <w:rFonts w:hint="eastAsia" w:cs="宋体"/>
                        <w:szCs w:val="21"/>
                        <w:lang w:val="en-US" w:eastAsia="zh-CN" w:bidi="ar"/>
                      </w:rPr>
                      <w:t>外售有机肥场</w:t>
                    </w:r>
                  </w:p>
                </w:txbxContent>
              </v:textbox>
            </v:roundrect>
            <v:shape id="自选图形 288" o:spid="_x0000_s2057" o:spt="32" type="#_x0000_t32" style="position:absolute;left:3073;top:12348;height:0;width:435;" filled="f" stroked="t" coordsize="21600,21600" o:gfxdata="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s9rkJdgA&#10;AAALAQAADwAAAAAAAAABACAAAAAiAAAAZHJzL2Rvd25yZXYueG1sUEsBAhQAFAAAAAgAh07iQHq7&#10;uXHmAQAAnAMAAA4AAAAAAAAAAQAgAAAAJwEAAGRycy9lMm9Eb2MueG1sUEsFBgAAAAAGAAYAWQEA&#10;AH8FAAAAAA==&#10;">
              <v:path arrowok="t"/>
              <v:fill on="f" focussize="0,0"/>
              <v:stroke weight="1.25pt" color="#739CC3" endarrow="block"/>
              <v:imagedata o:title=""/>
              <o:lock v:ext="edit" aspectratio="f"/>
            </v:shape>
            <v:shape id="自选图形 289" o:spid="_x0000_s2058" o:spt="32" type="#_x0000_t32" style="position:absolute;left:4490;top:12335;flip:y;height:13;width:482;" filled="f" stroked="t" coordsize="21600,21600" o:gfxdata="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nkLEjaAAAACwEAAA8AAAAAAAAAAQAgAAAAIgAAAGRycy9kb3ducmV2LnhtbFBLAQIUABQA&#10;AAAIAIdO4kD18pM17gEAAKkDAAAOAAAAAAAAAAEAIAAAACkBAABkcnMvZTJvRG9jLnhtbFBLBQYA&#10;AAAABgAGAFkBAACJBQAAAAA=&#10;">
              <v:path arrowok="t"/>
              <v:fill on="f" focussize="0,0"/>
              <v:stroke weight="1.25pt" color="#739CC3" endarrow="block"/>
              <v:imagedata o:title=""/>
              <o:lock v:ext="edit" aspectratio="f"/>
            </v:shape>
            <v:shape id="自选图形 290" o:spid="_x0000_s2059" o:spt="32" type="#_x0000_t32" style="position:absolute;left:6872;top:12348;height:13;width:421;" filled="f" stroked="t" coordsize="21600,21600" o:gfxdata="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LsndRPb&#10;AAAACwEAAA8AAAAAAAAAAQAgAAAAIgAAAGRycy9kb3ducmV2LnhtbFBLAQIUABQAAAAIAIdO4kCv&#10;9+Oq5AEAAJ4DAAAOAAAAAAAAAAEAIAAAACoBAABkcnMvZTJvRG9jLnhtbFBLBQYAAAAABgAGAFkB&#10;AACABQAAAAA=&#10;">
              <v:path arrowok="t"/>
              <v:fill on="f" focussize="0,0"/>
              <v:stroke weight="1.25pt" color="#739CC3" endarrow="block"/>
              <v:imagedata o:title=""/>
              <o:lock v:ext="edit" aspectratio="f"/>
            </v:shape>
            <v:shape id="自选图形 291" o:spid="_x0000_s2060" o:spt="32" type="#_x0000_t32" style="position:absolute;left:8188;top:12329;height:0;width:345;" filled="f" stroked="t" coordsize="21600,21600" o:gfxdata="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05UQHa&#10;AAAACwEAAA8AAAAAAAAAAQAgAAAAIgAAAGRycy9kb3ducmV2LnhtbFBLAQIUABQAAAAIAIdO4kA/&#10;NtJC5QEAAJsDAAAOAAAAAAAAAAEAIAAAACkBAABkcnMvZTJvRG9jLnhtbFBLBQYAAAAABgAGAFkB&#10;AACABQAAAAA=&#10;">
              <v:path arrowok="t"/>
              <v:fill on="f" focussize="0,0"/>
              <v:stroke weight="1.25pt" color="#739CC3" endarrow="block"/>
              <v:imagedata o:title=""/>
              <o:lock v:ext="edit" aspectratio="f"/>
            </v:shape>
            <w10:wrap type="topAndBottom"/>
          </v:group>
        </w:pict>
      </w:r>
    </w:p>
    <w:p>
      <w:pPr>
        <w:pStyle w:val="2504"/>
        <w:numPr>
          <w:ilvl w:val="0"/>
          <w:numId w:val="26"/>
        </w:numPr>
        <w:spacing w:before="120" w:line="360" w:lineRule="auto"/>
        <w:ind w:left="0" w:leftChars="0" w:firstLine="403" w:firstLineChars="0"/>
        <w:rPr>
          <w:rFonts w:hint="default" w:ascii="Times New Roman" w:hAnsi="Times New Roman" w:cs="Times New Roman"/>
          <w:color w:val="auto"/>
          <w:highlight w:val="none"/>
        </w:rPr>
      </w:pP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eastAsiaTheme="minorEastAsia"/>
          <w:b/>
          <w:color w:val="auto"/>
          <w:kern w:val="2"/>
          <w:sz w:val="21"/>
          <w:szCs w:val="21"/>
          <w:highlight w:val="none"/>
          <w:lang w:val="en-US" w:eastAsia="zh-CN" w:bidi="ar-SA"/>
        </w:rPr>
        <w:t>动物尸体无害化降解处理工艺流程图</w:t>
      </w:r>
    </w:p>
    <w:p>
      <w:pPr>
        <w:rPr>
          <w:rFonts w:hint="default" w:ascii="Times New Roman" w:hAnsi="Times New Roman" w:cs="Times New Roman"/>
          <w:color w:val="auto"/>
          <w:sz w:val="21"/>
          <w:szCs w:val="21"/>
          <w:highlight w:val="none"/>
          <w:lang w:val="en-US" w:eastAsia="zh-CN"/>
        </w:rPr>
      </w:pPr>
      <w:r>
        <w:rPr>
          <w:color w:val="auto"/>
          <w:highlight w:val="none"/>
        </w:rPr>
        <w:drawing>
          <wp:inline distT="0" distB="0" distL="114300" distR="114300">
            <wp:extent cx="4800600" cy="2813050"/>
            <wp:effectExtent l="0" t="0" r="0" b="6350"/>
            <wp:docPr id="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3"/>
                    <pic:cNvPicPr>
                      <a:picLocks noChangeAspect="1"/>
                    </pic:cNvPicPr>
                  </pic:nvPicPr>
                  <pic:blipFill>
                    <a:blip r:embed="rId28"/>
                    <a:stretch>
                      <a:fillRect/>
                    </a:stretch>
                  </pic:blipFill>
                  <pic:spPr>
                    <a:xfrm>
                      <a:off x="0" y="0"/>
                      <a:ext cx="4800600" cy="2813050"/>
                    </a:xfrm>
                    <a:prstGeom prst="rect">
                      <a:avLst/>
                    </a:prstGeom>
                    <a:noFill/>
                    <a:ln>
                      <a:noFill/>
                    </a:ln>
                  </pic:spPr>
                </pic:pic>
              </a:graphicData>
            </a:graphic>
          </wp:inline>
        </w:drawing>
      </w:r>
    </w:p>
    <w:p>
      <w:pPr>
        <w:pStyle w:val="2504"/>
        <w:numPr>
          <w:ilvl w:val="0"/>
          <w:numId w:val="26"/>
        </w:numPr>
        <w:spacing w:before="120" w:line="360" w:lineRule="auto"/>
        <w:ind w:left="0" w:leftChars="0" w:firstLine="403" w:firstLineChars="0"/>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lang w:val="en-US" w:eastAsia="zh-CN"/>
        </w:rPr>
        <w:t xml:space="preserve"> 动物尸体无害化处理降解处理机</w:t>
      </w:r>
    </w:p>
    <w:p>
      <w:pPr>
        <w:pStyle w:val="2504"/>
        <w:widowControl w:val="0"/>
        <w:numPr>
          <w:ilvl w:val="0"/>
          <w:numId w:val="0"/>
        </w:numPr>
        <w:tabs>
          <w:tab w:val="left" w:pos="0"/>
        </w:tabs>
        <w:spacing w:before="120" w:beforeLines="50" w:line="360" w:lineRule="auto"/>
        <w:jc w:val="both"/>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drawing>
          <wp:inline distT="0" distB="0" distL="114300" distR="114300">
            <wp:extent cx="4848860" cy="2293620"/>
            <wp:effectExtent l="0" t="0" r="8890" b="11430"/>
            <wp:docPr id="8" name="图片 8" descr="4832f909d7a50f38ee394e48f4cac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832f909d7a50f38ee394e48f4cac9c"/>
                    <pic:cNvPicPr>
                      <a:picLocks noChangeAspect="1"/>
                    </pic:cNvPicPr>
                  </pic:nvPicPr>
                  <pic:blipFill>
                    <a:blip r:embed="rId29"/>
                    <a:stretch>
                      <a:fillRect/>
                    </a:stretch>
                  </pic:blipFill>
                  <pic:spPr>
                    <a:xfrm>
                      <a:off x="0" y="0"/>
                      <a:ext cx="4848860" cy="2293620"/>
                    </a:xfrm>
                    <a:prstGeom prst="rect">
                      <a:avLst/>
                    </a:prstGeom>
                  </pic:spPr>
                </pic:pic>
              </a:graphicData>
            </a:graphic>
          </wp:inline>
        </w:drawing>
      </w:r>
    </w:p>
    <w:p>
      <w:pPr>
        <w:pStyle w:val="2504"/>
        <w:numPr>
          <w:ilvl w:val="0"/>
          <w:numId w:val="26"/>
        </w:numPr>
        <w:spacing w:before="120" w:line="360" w:lineRule="auto"/>
        <w:ind w:left="0" w:leftChars="0" w:firstLine="403" w:firstLineChars="0"/>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lang w:val="en-US" w:eastAsia="zh-CN"/>
        </w:rPr>
        <w:t xml:space="preserve"> 动物尸体无害化处理降解处理机</w:t>
      </w:r>
      <w:r>
        <w:rPr>
          <w:rFonts w:hint="eastAsia" w:ascii="Times New Roman" w:hAnsi="Times New Roman" w:cs="Times New Roman"/>
          <w:color w:val="auto"/>
          <w:sz w:val="21"/>
          <w:szCs w:val="21"/>
          <w:highlight w:val="none"/>
          <w:lang w:val="en-US" w:eastAsia="zh-CN"/>
        </w:rPr>
        <w:t>尾气处理装置</w:t>
      </w:r>
    </w:p>
    <w:p>
      <w:pPr>
        <w:ind w:firstLine="482"/>
        <w:rPr>
          <w:b/>
          <w:color w:val="auto"/>
          <w:sz w:val="24"/>
          <w:szCs w:val="24"/>
          <w:highlight w:val="none"/>
        </w:rPr>
      </w:pPr>
      <w:r>
        <w:rPr>
          <w:rFonts w:hint="eastAsia"/>
          <w:b/>
          <w:color w:val="auto"/>
          <w:sz w:val="24"/>
          <w:szCs w:val="24"/>
          <w:highlight w:val="none"/>
          <w:lang w:val="en-US" w:eastAsia="zh-CN"/>
        </w:rPr>
        <w:t>2</w:t>
      </w:r>
      <w:r>
        <w:rPr>
          <w:b/>
          <w:color w:val="auto"/>
          <w:sz w:val="24"/>
          <w:szCs w:val="24"/>
          <w:highlight w:val="none"/>
        </w:rPr>
        <w:t>、粪便发酵</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本项目不在厂内设置设置堆肥区，本项目采用干清粪工艺，粪料</w:t>
      </w:r>
      <w:r>
        <w:rPr>
          <w:rFonts w:hint="eastAsia" w:ascii="宋体" w:hAnsi="宋体" w:eastAsia="宋体" w:cs="宋体"/>
          <w:color w:val="auto"/>
          <w:sz w:val="24"/>
          <w:szCs w:val="24"/>
          <w:highlight w:val="none"/>
        </w:rPr>
        <w:t>经固液分离后，粪便</w:t>
      </w:r>
      <w:r>
        <w:rPr>
          <w:rFonts w:hint="eastAsia" w:ascii="宋体" w:hAnsi="宋体" w:eastAsia="宋体" w:cs="宋体"/>
          <w:color w:val="auto"/>
          <w:sz w:val="24"/>
          <w:szCs w:val="24"/>
          <w:highlight w:val="none"/>
          <w:lang w:eastAsia="zh-CN"/>
        </w:rPr>
        <w:t>暂存于干粪棚内，日产日清，</w:t>
      </w:r>
      <w:r>
        <w:rPr>
          <w:rFonts w:hint="eastAsia" w:ascii="宋体" w:hAnsi="宋体" w:eastAsia="宋体" w:cs="宋体"/>
          <w:color w:val="auto"/>
          <w:sz w:val="24"/>
          <w:szCs w:val="24"/>
          <w:highlight w:val="none"/>
        </w:rPr>
        <w:t>外售有机肥厂，尿液进入污水处理系统经处理后回用于项目附近农田</w:t>
      </w:r>
      <w:r>
        <w:rPr>
          <w:rFonts w:hint="eastAsia" w:ascii="宋体" w:hAnsi="宋体" w:eastAsia="宋体" w:cs="宋体"/>
          <w:color w:val="auto"/>
          <w:sz w:val="24"/>
          <w:szCs w:val="24"/>
          <w:highlight w:val="none"/>
          <w:lang w:eastAsia="zh-CN"/>
        </w:rPr>
        <w:t>灌溉</w:t>
      </w:r>
      <w:r>
        <w:rPr>
          <w:rFonts w:hint="eastAsia" w:ascii="宋体" w:hAnsi="宋体" w:eastAsia="宋体" w:cs="宋体"/>
          <w:color w:val="auto"/>
          <w:sz w:val="24"/>
          <w:szCs w:val="24"/>
          <w:highlight w:val="none"/>
        </w:rPr>
        <w:t>。</w:t>
      </w:r>
    </w:p>
    <w:p>
      <w:pPr>
        <w:ind w:firstLine="482"/>
        <w:rPr>
          <w:b/>
          <w:color w:val="auto"/>
          <w:sz w:val="24"/>
          <w:szCs w:val="24"/>
          <w:highlight w:val="none"/>
        </w:rPr>
      </w:pPr>
      <w:r>
        <w:rPr>
          <w:rFonts w:hint="eastAsia"/>
          <w:b/>
          <w:color w:val="auto"/>
          <w:sz w:val="24"/>
          <w:szCs w:val="24"/>
          <w:highlight w:val="none"/>
          <w:lang w:val="en-US" w:eastAsia="zh-CN"/>
        </w:rPr>
        <w:t>3</w:t>
      </w:r>
      <w:r>
        <w:rPr>
          <w:b/>
          <w:color w:val="auto"/>
          <w:sz w:val="24"/>
          <w:szCs w:val="24"/>
          <w:highlight w:val="none"/>
        </w:rPr>
        <w:t>、粪污水处理工艺流程</w:t>
      </w:r>
    </w:p>
    <w:p>
      <w:pPr>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本项目拟设置一座处理规模为</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00m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/d的污水处理站，污水处理站拟采用“固液分离+UASB厌氧+絮凝沉淀+两级A/O系统+混凝絮凝沉淀+消毒”处理工艺，出水处理达到《农田灌溉水质标准》（</w:t>
      </w:r>
      <w:r>
        <w:rPr>
          <w:rFonts w:hint="eastAsia" w:ascii="Times New Roman" w:hAnsi="Times New Roman" w:eastAsia="宋体" w:cs="Times New Roman"/>
          <w:color w:val="auto"/>
          <w:sz w:val="24"/>
          <w:szCs w:val="24"/>
          <w:highlight w:val="none"/>
          <w:lang w:eastAsia="zh-CN"/>
        </w:rPr>
        <w:t>GB5084-2021</w:t>
      </w:r>
      <w:r>
        <w:rPr>
          <w:rFonts w:hint="default" w:ascii="Times New Roman" w:hAnsi="Times New Roman" w:eastAsia="宋体" w:cs="Times New Roman"/>
          <w:color w:val="auto"/>
          <w:sz w:val="24"/>
          <w:szCs w:val="24"/>
          <w:highlight w:val="none"/>
        </w:rPr>
        <w:t>）表2中</w:t>
      </w:r>
      <w:r>
        <w:rPr>
          <w:rFonts w:hint="eastAsia" w:ascii="Times New Roman" w:hAnsi="Times New Roman" w:eastAsia="宋体" w:cs="Times New Roman"/>
          <w:color w:val="auto"/>
          <w:sz w:val="24"/>
          <w:szCs w:val="24"/>
          <w:highlight w:val="none"/>
          <w:lang w:eastAsia="zh-CN"/>
        </w:rPr>
        <w:t>蔬菜（除氨氮、总磷外其他污染物执行该标准）</w:t>
      </w:r>
      <w:r>
        <w:rPr>
          <w:rFonts w:hint="default" w:ascii="Times New Roman" w:hAnsi="Times New Roman" w:eastAsia="宋体" w:cs="Times New Roman"/>
          <w:color w:val="auto"/>
          <w:sz w:val="24"/>
          <w:szCs w:val="24"/>
          <w:highlight w:val="none"/>
        </w:rPr>
        <w:t>和《畜禽养殖业污染物排放标准》（GB18596-2001）表5中的水污染物排放标准后</w:t>
      </w:r>
      <w:r>
        <w:rPr>
          <w:rFonts w:hint="eastAsia" w:ascii="Times New Roman" w:hAnsi="Times New Roman" w:eastAsia="宋体" w:cs="Times New Roman"/>
          <w:color w:val="auto"/>
          <w:sz w:val="24"/>
          <w:szCs w:val="24"/>
          <w:highlight w:val="none"/>
          <w:lang w:eastAsia="zh-CN"/>
        </w:rPr>
        <w:t>（氨氮、总磷执行该标准）</w:t>
      </w:r>
      <w:r>
        <w:rPr>
          <w:rFonts w:hint="default" w:ascii="Times New Roman" w:hAnsi="Times New Roman" w:eastAsia="宋体" w:cs="Times New Roman"/>
          <w:color w:val="auto"/>
          <w:sz w:val="24"/>
          <w:szCs w:val="24"/>
          <w:highlight w:val="none"/>
        </w:rPr>
        <w:t>用作土地</w:t>
      </w:r>
      <w:r>
        <w:rPr>
          <w:rFonts w:hint="eastAsia" w:ascii="Times New Roman" w:hAnsi="Times New Roman" w:eastAsia="宋体" w:cs="Times New Roman"/>
          <w:color w:val="auto"/>
          <w:sz w:val="24"/>
          <w:szCs w:val="24"/>
          <w:highlight w:val="none"/>
          <w:lang w:eastAsia="zh-CN"/>
        </w:rPr>
        <w:t>灌溉</w:t>
      </w:r>
      <w:r>
        <w:rPr>
          <w:rFonts w:hint="default" w:ascii="Times New Roman" w:hAnsi="Times New Roman" w:eastAsia="宋体" w:cs="Times New Roman"/>
          <w:color w:val="auto"/>
          <w:sz w:val="24"/>
          <w:szCs w:val="24"/>
          <w:highlight w:val="none"/>
        </w:rPr>
        <w:t>，不外排。UASB反应器产生的沼气脱硫处理后用作食堂燃料</w:t>
      </w:r>
      <w:r>
        <w:rPr>
          <w:rFonts w:hint="eastAsia" w:ascii="Times New Roman" w:hAnsi="Times New Roman" w:eastAsia="宋体" w:cs="Times New Roman"/>
          <w:color w:val="auto"/>
          <w:sz w:val="24"/>
          <w:szCs w:val="24"/>
          <w:highlight w:val="none"/>
          <w:lang w:eastAsia="zh-CN"/>
        </w:rPr>
        <w:t>及发电使用</w:t>
      </w:r>
      <w:r>
        <w:rPr>
          <w:rFonts w:hint="default" w:ascii="Times New Roman" w:hAnsi="Times New Roman" w:eastAsia="宋体" w:cs="Times New Roman"/>
          <w:color w:val="auto"/>
          <w:sz w:val="24"/>
          <w:szCs w:val="24"/>
          <w:highlight w:val="none"/>
        </w:rPr>
        <w:t>；分离出的粪便、沼渣和污泥</w:t>
      </w:r>
      <w:r>
        <w:rPr>
          <w:rFonts w:hint="eastAsia" w:ascii="Times New Roman" w:hAnsi="Times New Roman" w:eastAsia="宋体" w:cs="Times New Roman"/>
          <w:color w:val="auto"/>
          <w:sz w:val="24"/>
          <w:szCs w:val="24"/>
          <w:highlight w:val="none"/>
          <w:lang w:val="en-US" w:eastAsia="zh-CN"/>
        </w:rPr>
        <w:t>运送至</w:t>
      </w:r>
      <w:r>
        <w:rPr>
          <w:rFonts w:hint="default" w:ascii="Times New Roman" w:hAnsi="Times New Roman" w:eastAsia="宋体" w:cs="Times New Roman"/>
          <w:color w:val="auto"/>
          <w:sz w:val="24"/>
          <w:szCs w:val="24"/>
          <w:highlight w:val="none"/>
        </w:rPr>
        <w:t>有机肥</w:t>
      </w:r>
      <w:r>
        <w:rPr>
          <w:rFonts w:hint="eastAsia" w:ascii="Times New Roman" w:hAnsi="Times New Roman" w:eastAsia="宋体" w:cs="Times New Roman"/>
          <w:color w:val="auto"/>
          <w:sz w:val="24"/>
          <w:szCs w:val="24"/>
          <w:highlight w:val="none"/>
          <w:lang w:val="en-US" w:eastAsia="zh-CN"/>
        </w:rPr>
        <w:t>厂进行</w:t>
      </w:r>
      <w:r>
        <w:rPr>
          <w:rFonts w:hint="default" w:ascii="Times New Roman" w:hAnsi="Times New Roman" w:eastAsia="宋体" w:cs="Times New Roman"/>
          <w:color w:val="auto"/>
          <w:sz w:val="24"/>
          <w:szCs w:val="24"/>
          <w:highlight w:val="none"/>
        </w:rPr>
        <w:t>堆肥处理后外售</w:t>
      </w:r>
      <w:r>
        <w:rPr>
          <w:rFonts w:hint="default" w:ascii="Times New Roman" w:hAnsi="Times New Roman" w:eastAsia="宋体" w:cs="Times New Roman"/>
          <w:color w:val="auto"/>
          <w:sz w:val="24"/>
          <w:szCs w:val="24"/>
          <w:highlight w:val="none"/>
          <w:lang w:eastAsia="zh-CN"/>
        </w:rPr>
        <w:t>。</w:t>
      </w:r>
    </w:p>
    <w:p>
      <w:pPr>
        <w:pStyle w:val="2"/>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本项目</w:t>
      </w:r>
      <w:r>
        <w:rPr>
          <w:rFonts w:hint="eastAsia" w:ascii="Times New Roman" w:hAnsi="Times New Roman" w:eastAsia="宋体" w:cs="Times New Roman"/>
          <w:color w:val="auto"/>
          <w:sz w:val="24"/>
          <w:szCs w:val="24"/>
          <w:highlight w:val="none"/>
          <w:lang w:eastAsia="zh-CN"/>
        </w:rPr>
        <w:t>粪污</w:t>
      </w:r>
      <w:r>
        <w:rPr>
          <w:rFonts w:hint="default" w:ascii="Times New Roman" w:hAnsi="Times New Roman" w:eastAsia="宋体" w:cs="Times New Roman"/>
          <w:color w:val="auto"/>
          <w:sz w:val="24"/>
          <w:szCs w:val="24"/>
          <w:highlight w:val="none"/>
          <w:lang w:eastAsia="zh-CN"/>
        </w:rPr>
        <w:t>处理工艺流程见图</w:t>
      </w:r>
      <w:r>
        <w:rPr>
          <w:rFonts w:hint="default" w:ascii="Times New Roman" w:hAnsi="Times New Roman" w:eastAsia="宋体"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val="en-US" w:eastAsia="zh-CN"/>
        </w:rPr>
        <w:t>。</w:t>
      </w:r>
    </w:p>
    <w:p>
      <w:pPr>
        <w:rPr>
          <w:rFonts w:hint="default" w:ascii="Times New Roman" w:hAnsi="Times New Roman" w:cs="Times New Roman"/>
          <w:color w:val="auto"/>
          <w:sz w:val="21"/>
          <w:szCs w:val="21"/>
          <w:highlight w:val="none"/>
          <w:lang w:val="en-US" w:eastAsia="zh-CN"/>
        </w:rPr>
      </w:pPr>
      <w:r>
        <w:rPr>
          <w:rFonts w:hint="default"/>
          <w:color w:val="auto"/>
          <w:highlight w:val="none"/>
          <w:lang w:val="en-US" w:eastAsia="zh-CN"/>
        </w:rPr>
        <w:object>
          <v:shape id="_x0000_i1029" o:spt="75" type="#_x0000_t75" style="height:395.65pt;width:378.8pt;" o:ole="t" filled="f" o:preferrelative="t" stroked="f" coordsize="21600,21600">
            <v:path/>
            <v:fill on="f" focussize="0,0"/>
            <v:stroke on="f"/>
            <v:imagedata r:id="rId31" o:title=""/>
            <o:lock v:ext="edit" aspectratio="f"/>
            <w10:wrap type="none"/>
            <w10:anchorlock/>
          </v:shape>
          <o:OLEObject Type="Embed" ProgID="Visio.Drawing.15" ShapeID="_x0000_i1029" DrawAspect="Content" ObjectID="_1468075729" r:id="rId30">
            <o:LockedField>false</o:LockedField>
          </o:OLEObject>
        </w:object>
      </w:r>
    </w:p>
    <w:p>
      <w:pPr>
        <w:pStyle w:val="2504"/>
        <w:numPr>
          <w:ilvl w:val="0"/>
          <w:numId w:val="26"/>
        </w:numPr>
        <w:spacing w:before="120" w:line="360" w:lineRule="auto"/>
        <w:ind w:left="0" w:leftChars="0" w:firstLine="403" w:firstLineChars="0"/>
        <w:rPr>
          <w:rFonts w:hint="default" w:ascii="宋体" w:hAnsi="宋体" w:eastAsia="宋体" w:cs="宋体"/>
          <w:color w:val="auto"/>
          <w:sz w:val="24"/>
          <w:szCs w:val="24"/>
          <w:highlight w:val="none"/>
          <w:lang w:val="en-US" w:eastAsia="zh-CN"/>
        </w:rPr>
      </w:pPr>
      <w:r>
        <w:rPr>
          <w:rFonts w:hint="eastAsia" w:ascii="Times New Roman" w:hAnsi="Times New Roman" w:cs="Times New Roman"/>
          <w:color w:val="auto"/>
          <w:sz w:val="21"/>
          <w:szCs w:val="21"/>
          <w:highlight w:val="none"/>
          <w:lang w:val="en-US" w:eastAsia="zh-CN"/>
        </w:rPr>
        <w:t xml:space="preserve">  粪污</w:t>
      </w:r>
      <w:r>
        <w:rPr>
          <w:rFonts w:hint="default" w:ascii="Times New Roman" w:hAnsi="Times New Roman" w:cs="Times New Roman" w:eastAsiaTheme="minorEastAsia"/>
          <w:b/>
          <w:color w:val="auto"/>
          <w:kern w:val="2"/>
          <w:sz w:val="21"/>
          <w:szCs w:val="21"/>
          <w:highlight w:val="none"/>
          <w:lang w:val="en-US" w:eastAsia="zh-CN" w:bidi="ar-SA"/>
        </w:rPr>
        <w:t>处理工艺流程</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工艺简介：</w:t>
      </w:r>
    </w:p>
    <w:p>
      <w:pPr>
        <w:numPr>
          <w:ilvl w:val="0"/>
          <w:numId w:val="29"/>
        </w:num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格栅</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拦截污水中树枝、木条等较大的悬浮物装置，防止这类物质进入污水处理系统以免对设备造成损坏，降低后续的处理负荷。</w:t>
      </w:r>
    </w:p>
    <w:p>
      <w:pPr>
        <w:numPr>
          <w:ilvl w:val="0"/>
          <w:numId w:val="29"/>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集水池</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集水池主要用于收集养殖场内的污水，起到集中、调节、均质均量的作用，搅拌均匀后提升至固液分离机。</w:t>
      </w:r>
    </w:p>
    <w:p>
      <w:pPr>
        <w:pStyle w:val="2"/>
        <w:numPr>
          <w:ilvl w:val="0"/>
          <w:numId w:val="29"/>
        </w:numPr>
        <w:spacing w:line="360" w:lineRule="auto"/>
        <w:ind w:left="0" w:leftChars="0"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固液分离机</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污水经过筛网过滤，污水中大多数粪便被截流在斜筛网中，粪渣再经螺旋压榨机挤压排出，实现粪便与水分离，分离出的粪便</w:t>
      </w:r>
      <w:r>
        <w:rPr>
          <w:rFonts w:hint="eastAsia" w:ascii="Times New Roman" w:hAnsi="Times New Roman" w:eastAsia="宋体" w:cs="Times New Roman"/>
          <w:color w:val="auto"/>
          <w:highlight w:val="none"/>
          <w:lang w:val="en-US" w:eastAsia="zh-CN"/>
        </w:rPr>
        <w:t>运输</w:t>
      </w:r>
      <w:r>
        <w:rPr>
          <w:rFonts w:hint="default" w:ascii="Times New Roman" w:hAnsi="Times New Roman" w:eastAsia="宋体" w:cs="Times New Roman"/>
          <w:color w:val="auto"/>
          <w:highlight w:val="none"/>
          <w:lang w:val="en-US" w:eastAsia="zh-CN"/>
        </w:rPr>
        <w:t>至有机肥</w:t>
      </w:r>
      <w:r>
        <w:rPr>
          <w:rFonts w:hint="eastAsia" w:ascii="Times New Roman" w:hAnsi="Times New Roman" w:eastAsia="宋体" w:cs="Times New Roman"/>
          <w:color w:val="auto"/>
          <w:highlight w:val="none"/>
          <w:lang w:val="en-US" w:eastAsia="zh-CN"/>
        </w:rPr>
        <w:t>生产厂</w:t>
      </w:r>
      <w:r>
        <w:rPr>
          <w:rFonts w:hint="default" w:ascii="Times New Roman" w:hAnsi="Times New Roman" w:eastAsia="宋体" w:cs="Times New Roman"/>
          <w:color w:val="auto"/>
          <w:highlight w:val="none"/>
          <w:lang w:val="en-US" w:eastAsia="zh-CN"/>
        </w:rPr>
        <w:t>堆肥处理。</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（4）调节池</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起到均衡水量的作用，保持污水以恒定的流速进入后续污水处理系统，保证系统的稳定运行。</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（5）UASB</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UASB中文名称:上流式厌氧污泥床反应器。污水自下而上地通过厌氧污泥床反应器，在反应器底部有一个高浓度、高活性的污泥层，大部分有机物在这里被转化为CH</w:t>
      </w:r>
      <w:r>
        <w:rPr>
          <w:rFonts w:hint="default" w:ascii="Times New Roman" w:hAnsi="Times New Roman" w:eastAsia="宋体" w:cs="Times New Roman"/>
          <w:color w:val="auto"/>
          <w:kern w:val="2"/>
          <w:sz w:val="24"/>
          <w:szCs w:val="24"/>
          <w:highlight w:val="none"/>
          <w:vertAlign w:val="subscript"/>
          <w:lang w:val="en-US" w:eastAsia="zh-CN" w:bidi="ar-SA"/>
        </w:rPr>
        <w:t>4</w:t>
      </w:r>
      <w:r>
        <w:rPr>
          <w:rFonts w:hint="default" w:ascii="Times New Roman" w:hAnsi="Times New Roman" w:eastAsia="宋体" w:cs="Times New Roman"/>
          <w:color w:val="auto"/>
          <w:kern w:val="2"/>
          <w:sz w:val="24"/>
          <w:szCs w:val="24"/>
          <w:highlight w:val="none"/>
          <w:lang w:val="en-US" w:eastAsia="zh-CN" w:bidi="ar-SA"/>
        </w:rPr>
        <w:t>和CO</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气态产物的搅动和气泡粘附污泥上升形成一个污泥悬浮层。反应器上部设有三相分离器，完成气、液、固三相的分离。被分离的气体从上部导出，被分离的污泥则自动滑落到悬浮污泥层，出水则从澄清区流出。由于反应器有良好的布水、混合、水流搅拌、三相分离、排渣系统，反应器具有负荷大，有机物降解效率高、停留时间短、产气效率高等优势。</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（6）絮凝初沉系统</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前端通过加</w:t>
      </w:r>
      <w:r>
        <w:rPr>
          <w:rFonts w:hint="eastAsia" w:ascii="Times New Roman" w:hAnsi="Times New Roman" w:eastAsia="宋体" w:cs="Times New Roman"/>
          <w:color w:val="auto"/>
          <w:kern w:val="2"/>
          <w:sz w:val="24"/>
          <w:szCs w:val="24"/>
          <w:highlight w:val="none"/>
          <w:lang w:val="en-US" w:eastAsia="zh-CN" w:bidi="ar-SA"/>
        </w:rPr>
        <w:t>入PAC、PAM等絮凝沉淀药剂</w:t>
      </w:r>
      <w:r>
        <w:rPr>
          <w:rFonts w:hint="default" w:ascii="Times New Roman" w:hAnsi="Times New Roman" w:eastAsia="宋体" w:cs="Times New Roman"/>
          <w:color w:val="auto"/>
          <w:kern w:val="2"/>
          <w:sz w:val="24"/>
          <w:szCs w:val="24"/>
          <w:highlight w:val="none"/>
          <w:lang w:val="en-US" w:eastAsia="zh-CN" w:bidi="ar-SA"/>
        </w:rPr>
        <w:t>将水中大部分的粪渣去除，减少后端的生化负荷。</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（7）中转池</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絮凝沉淀系统出水由中转池提升泵均量提升至组合池中，进行生化反应。</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（8）两级A/O工艺</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一级生化系统由缺氧池+好氧池组成。在缺氧池中，反硝化细菌在碳源充足的情况下将好氧池回流的消化液中的硝态氮转化为氮气，达到脱氮的效果。在好氧池中，COD、BOD可以得到有效的降解，同时硝化细菌将氨氮转化为硝态氮，并通过回流泵将混合液回流至缺氧池中，吸磷菌将污水中的P吸收待在沉淀池中排除。一级生化系统用于降解COD的同时具有高效的脱氮除磷功能。一级生化产生的活性污泥在沉淀池内沉淀，活性污泥能充分回流至生化系统，剩余污泥通过污泥泵排出，完成除磷的功能。同时，使一级生化和二级生化微生物类别和功能区分开来，发挥一级和二级生化系统各自的功效，有效保证二级生化的有效运行。</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经一级生化系统处理后，COD、NH</w:t>
      </w:r>
      <w:r>
        <w:rPr>
          <w:rFonts w:hint="default" w:ascii="Times New Roman" w:hAnsi="Times New Roman" w:eastAsia="宋体" w:cs="Times New Roman"/>
          <w:color w:val="auto"/>
          <w:kern w:val="2"/>
          <w:sz w:val="24"/>
          <w:szCs w:val="24"/>
          <w:highlight w:val="none"/>
          <w:vertAlign w:val="sub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N、TP、SS都获得了较大量的处理，但仍未达标，通过二级生化进一步降解污染物浓度，其反应机理与一级生化池相似。二级生化产生的活性污泥在二级沉淀池内沉淀，活性污泥能充分回流至二级生化系统，保证二级生化池内的活性污泥浓度。同时剩余污泥通过污泥泵排出，完成除磷的功能。</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两级A/O工艺具备传统A/O工艺的特点外，还具有更强的脱氮除磷能力、内源补碳能力和内源补碱能力，从而使高COD、N、P污水实现协同降解，可使养殖污水轻松处理至《畜禽养殖业污染物排放标准》（GB18596-2001）和《农田灌溉水质标准》（</w:t>
      </w:r>
      <w:r>
        <w:rPr>
          <w:rFonts w:hint="eastAsia" w:ascii="Times New Roman" w:hAnsi="Times New Roman" w:eastAsia="宋体" w:cs="Times New Roman"/>
          <w:color w:val="auto"/>
          <w:kern w:val="2"/>
          <w:sz w:val="24"/>
          <w:szCs w:val="24"/>
          <w:highlight w:val="none"/>
          <w:lang w:val="en-US" w:eastAsia="zh-CN" w:bidi="ar-SA"/>
        </w:rPr>
        <w:t>GB5084-2021</w:t>
      </w:r>
      <w:r>
        <w:rPr>
          <w:rFonts w:hint="default"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sz w:val="24"/>
          <w:szCs w:val="24"/>
          <w:highlight w:val="none"/>
          <w:lang w:eastAsia="zh-CN"/>
        </w:rPr>
        <w:t>（氨氮、总磷执行</w:t>
      </w:r>
      <w:r>
        <w:rPr>
          <w:rFonts w:hint="default" w:ascii="Times New Roman" w:hAnsi="Times New Roman" w:eastAsia="宋体" w:cs="Times New Roman"/>
          <w:color w:val="auto"/>
          <w:kern w:val="2"/>
          <w:sz w:val="24"/>
          <w:szCs w:val="24"/>
          <w:highlight w:val="none"/>
          <w:lang w:val="en-US" w:eastAsia="zh-CN" w:bidi="ar-SA"/>
        </w:rPr>
        <w:t>GB18596-2001</w:t>
      </w:r>
      <w:r>
        <w:rPr>
          <w:rFonts w:hint="eastAsia" w:ascii="Times New Roman" w:hAnsi="Times New Roman" w:eastAsia="宋体" w:cs="Times New Roman"/>
          <w:color w:val="auto"/>
          <w:sz w:val="24"/>
          <w:szCs w:val="24"/>
          <w:highlight w:val="none"/>
          <w:lang w:eastAsia="zh-CN"/>
        </w:rPr>
        <w:t>标准，其余执行</w:t>
      </w:r>
      <w:r>
        <w:rPr>
          <w:rFonts w:hint="eastAsia" w:ascii="Times New Roman" w:hAnsi="Times New Roman" w:eastAsia="宋体" w:cs="Times New Roman"/>
          <w:color w:val="auto"/>
          <w:kern w:val="2"/>
          <w:sz w:val="24"/>
          <w:szCs w:val="24"/>
          <w:highlight w:val="none"/>
          <w:lang w:val="en-US" w:eastAsia="zh-CN" w:bidi="ar-SA"/>
        </w:rPr>
        <w:t>GB5084-2021标准</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bidi="ar-SA"/>
        </w:rPr>
        <w:t>。</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（9）混凝絮凝沉淀系统</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在加药池向水中投机石灰水，在一定的pH值下，Ca</w:t>
      </w:r>
      <w:r>
        <w:rPr>
          <w:rFonts w:hint="default" w:ascii="Times New Roman" w:hAnsi="Times New Roman" w:eastAsia="宋体" w:cs="Times New Roman"/>
          <w:color w:val="auto"/>
          <w:kern w:val="2"/>
          <w:sz w:val="24"/>
          <w:szCs w:val="24"/>
          <w:highlight w:val="none"/>
          <w:vertAlign w:val="super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和水中金属离子生产沉淀。然后在絮凝池投加混凝剂，使沉淀物得到有效沉淀去除，完成脱色的反应。再利用三级沉淀池使加药絮凝池的沉淀物得到有效沉淀去除，保证出水澄清。</w:t>
      </w:r>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（10）消毒池/清水池/暂存池</w:t>
      </w:r>
    </w:p>
    <w:p>
      <w:pPr>
        <w:spacing w:line="360" w:lineRule="auto"/>
        <w:ind w:firstLine="480" w:firstLineChars="200"/>
        <w:rPr>
          <w:rFonts w:hint="eastAsia"/>
          <w:color w:val="auto"/>
          <w:sz w:val="24"/>
          <w:highlight w:val="none"/>
        </w:rPr>
      </w:pPr>
      <w:r>
        <w:rPr>
          <w:rFonts w:hint="default" w:ascii="Times New Roman" w:hAnsi="Times New Roman" w:eastAsia="宋体" w:cs="Times New Roman"/>
          <w:color w:val="auto"/>
          <w:kern w:val="2"/>
          <w:sz w:val="24"/>
          <w:szCs w:val="24"/>
          <w:highlight w:val="none"/>
          <w:lang w:val="en-US" w:eastAsia="zh-CN" w:bidi="ar-SA"/>
        </w:rPr>
        <w:t>养</w:t>
      </w:r>
      <w:r>
        <w:rPr>
          <w:rFonts w:hint="eastAsia" w:ascii="Times New Roman" w:hAnsi="Times New Roman" w:eastAsia="宋体" w:cs="Times New Roman"/>
          <w:color w:val="auto"/>
          <w:kern w:val="2"/>
          <w:sz w:val="24"/>
          <w:szCs w:val="24"/>
          <w:highlight w:val="none"/>
          <w:lang w:val="en-US" w:eastAsia="zh-CN" w:bidi="ar-SA"/>
        </w:rPr>
        <w:t>牛</w:t>
      </w:r>
      <w:r>
        <w:rPr>
          <w:rFonts w:hint="default" w:ascii="Times New Roman" w:hAnsi="Times New Roman" w:eastAsia="宋体" w:cs="Times New Roman"/>
          <w:color w:val="auto"/>
          <w:kern w:val="2"/>
          <w:sz w:val="24"/>
          <w:szCs w:val="24"/>
          <w:highlight w:val="none"/>
          <w:lang w:val="en-US" w:eastAsia="zh-CN" w:bidi="ar-SA"/>
        </w:rPr>
        <w:t>废水中含有许多细菌、病毒微生物等，在经过前段的生化处理后，微生物指标可能达不到排放要求，因此，必须在末端消毒池中投加二氧化氯进行消毒，去除水中的大肠菌群等病菌，同时进一步氧化废水中有机污染物，更稳妥保障污水达标排放，最后废水达标后暂存于8000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暂存池内，</w:t>
      </w:r>
      <w:r>
        <w:rPr>
          <w:rFonts w:hint="eastAsia" w:ascii="Times New Roman" w:hAnsi="Times New Roman" w:eastAsia="宋体" w:cs="Times New Roman"/>
          <w:color w:val="auto"/>
          <w:sz w:val="24"/>
          <w:szCs w:val="24"/>
          <w:highlight w:val="none"/>
          <w:lang w:eastAsia="zh-CN"/>
        </w:rPr>
        <w:t>最后</w:t>
      </w:r>
      <w:r>
        <w:rPr>
          <w:rFonts w:hint="eastAsia" w:ascii="Times New Roman" w:hAnsi="Times New Roman" w:eastAsia="宋体" w:cs="Times New Roman"/>
          <w:color w:val="auto"/>
          <w:sz w:val="24"/>
          <w:szCs w:val="24"/>
          <w:highlight w:val="none"/>
        </w:rPr>
        <w:t>废水用作耕地、林地灌溉，不外排</w:t>
      </w:r>
      <w:r>
        <w:rPr>
          <w:rFonts w:hint="default" w:ascii="Times New Roman" w:hAnsi="Times New Roman" w:eastAsia="宋体" w:cs="Times New Roman"/>
          <w:color w:val="auto"/>
          <w:kern w:val="2"/>
          <w:sz w:val="24"/>
          <w:szCs w:val="24"/>
          <w:highlight w:val="none"/>
          <w:lang w:val="en-US" w:eastAsia="zh-CN" w:bidi="ar-SA"/>
        </w:rPr>
        <w:t>。</w:t>
      </w:r>
      <w:r>
        <w:rPr>
          <w:rFonts w:hint="eastAsia"/>
          <w:color w:val="auto"/>
          <w:sz w:val="24"/>
          <w:highlight w:val="none"/>
        </w:rPr>
        <w:t>本项目</w:t>
      </w:r>
      <w:r>
        <w:rPr>
          <w:rFonts w:hint="eastAsia"/>
          <w:color w:val="auto"/>
          <w:sz w:val="24"/>
          <w:highlight w:val="none"/>
          <w:lang w:eastAsia="zh-CN"/>
        </w:rPr>
        <w:t>暂存池</w:t>
      </w:r>
      <w:r>
        <w:rPr>
          <w:rFonts w:hint="eastAsia"/>
          <w:color w:val="auto"/>
          <w:sz w:val="24"/>
          <w:highlight w:val="none"/>
        </w:rPr>
        <w:t>上方设置密闭池盖和建设彩钢棚进行遮盖，可有效防止恶臭产生，同时防止雨水、洪水等进入</w:t>
      </w:r>
      <w:r>
        <w:rPr>
          <w:rFonts w:hint="eastAsia"/>
          <w:color w:val="auto"/>
          <w:sz w:val="24"/>
          <w:highlight w:val="none"/>
          <w:lang w:eastAsia="zh-CN"/>
        </w:rPr>
        <w:t>暂存池</w:t>
      </w:r>
      <w:r>
        <w:rPr>
          <w:rFonts w:hint="eastAsia"/>
          <w:color w:val="auto"/>
          <w:sz w:val="24"/>
          <w:highlight w:val="none"/>
        </w:rPr>
        <w:t>。</w:t>
      </w:r>
    </w:p>
    <w:p>
      <w:pPr>
        <w:spacing w:line="360" w:lineRule="auto"/>
        <w:ind w:firstLine="480" w:firstLineChars="200"/>
        <w:rPr>
          <w:rFonts w:hint="eastAsia" w:eastAsia="宋体"/>
          <w:color w:val="auto"/>
          <w:sz w:val="24"/>
          <w:highlight w:val="none"/>
          <w:lang w:eastAsia="zh-CN"/>
        </w:rPr>
      </w:pPr>
      <w:r>
        <w:rPr>
          <w:rFonts w:hint="eastAsia"/>
          <w:color w:val="auto"/>
          <w:sz w:val="24"/>
          <w:highlight w:val="none"/>
        </w:rPr>
        <w:t>污水输送管线及</w:t>
      </w:r>
      <w:r>
        <w:rPr>
          <w:rFonts w:hint="eastAsia"/>
          <w:color w:val="auto"/>
          <w:sz w:val="24"/>
          <w:highlight w:val="none"/>
          <w:lang w:eastAsia="zh-CN"/>
        </w:rPr>
        <w:t>灌溉</w:t>
      </w:r>
      <w:r>
        <w:rPr>
          <w:rFonts w:hint="eastAsia"/>
          <w:color w:val="auto"/>
          <w:sz w:val="24"/>
          <w:highlight w:val="none"/>
        </w:rPr>
        <w:t>系统：</w:t>
      </w:r>
      <w:r>
        <w:rPr>
          <w:rFonts w:hint="eastAsia"/>
          <w:color w:val="auto"/>
          <w:sz w:val="24"/>
          <w:highlight w:val="none"/>
          <w:lang w:eastAsia="zh-CN"/>
        </w:rPr>
        <w:t>本项目</w:t>
      </w:r>
      <w:r>
        <w:rPr>
          <w:rFonts w:hint="eastAsia"/>
          <w:color w:val="auto"/>
          <w:sz w:val="24"/>
          <w:highlight w:val="none"/>
        </w:rPr>
        <w:t>灌溉管网采用防爆抗堵管网系统，结合现场实际情况，树状布置，即：主管（PE管，DN</w:t>
      </w:r>
      <w:r>
        <w:rPr>
          <w:rFonts w:hint="eastAsia"/>
          <w:color w:val="auto"/>
          <w:sz w:val="24"/>
          <w:highlight w:val="none"/>
          <w:lang w:val="en-US" w:eastAsia="zh-CN"/>
        </w:rPr>
        <w:t>200</w:t>
      </w:r>
      <w:r>
        <w:rPr>
          <w:rFonts w:hint="eastAsia"/>
          <w:color w:val="auto"/>
          <w:sz w:val="24"/>
          <w:highlight w:val="none"/>
        </w:rPr>
        <w:t>，1.25Mpa）垂直作物种植方向布置，支管（PE管，DN50</w:t>
      </w:r>
      <w:r>
        <w:rPr>
          <w:rFonts w:hint="eastAsia"/>
          <w:color w:val="auto"/>
          <w:sz w:val="24"/>
          <w:highlight w:val="none"/>
          <w:lang w:eastAsia="zh-CN"/>
        </w:rPr>
        <w:t>和</w:t>
      </w:r>
      <w:r>
        <w:rPr>
          <w:rFonts w:hint="eastAsia"/>
          <w:color w:val="auto"/>
          <w:sz w:val="24"/>
          <w:highlight w:val="none"/>
        </w:rPr>
        <w:t>DN</w:t>
      </w:r>
      <w:r>
        <w:rPr>
          <w:rFonts w:hint="eastAsia"/>
          <w:color w:val="auto"/>
          <w:sz w:val="24"/>
          <w:highlight w:val="none"/>
          <w:lang w:val="en-US" w:eastAsia="zh-CN"/>
        </w:rPr>
        <w:t>32</w:t>
      </w:r>
      <w:r>
        <w:rPr>
          <w:rFonts w:hint="eastAsia"/>
          <w:color w:val="auto"/>
          <w:sz w:val="24"/>
          <w:highlight w:val="none"/>
        </w:rPr>
        <w:t>，1.25MPa）沿作物种植方向布置，支管间距50-100m；管网埋深为：管顶深度10cm，裸露部分进行防老化处理</w:t>
      </w:r>
      <w:r>
        <w:rPr>
          <w:rFonts w:hint="eastAsia"/>
          <w:color w:val="auto"/>
          <w:sz w:val="24"/>
          <w:highlight w:val="none"/>
          <w:lang w:eastAsia="zh-CN"/>
        </w:rPr>
        <w:t>。</w:t>
      </w:r>
    </w:p>
    <w:p>
      <w:pPr>
        <w:spacing w:line="360" w:lineRule="auto"/>
        <w:ind w:firstLine="480" w:firstLineChars="200"/>
        <w:rPr>
          <w:rFonts w:hint="default"/>
          <w:color w:val="auto"/>
          <w:highlight w:val="none"/>
          <w:lang w:val="en-US" w:eastAsia="zh-CN"/>
        </w:rPr>
      </w:pPr>
      <w:r>
        <w:rPr>
          <w:rFonts w:hint="eastAsia"/>
          <w:color w:val="auto"/>
          <w:sz w:val="24"/>
          <w:highlight w:val="none"/>
        </w:rPr>
        <w:t>田间采用人工浇灌，其出水口位置、间距按灌溉面积均衡布置原则布置，兼顾农户管理、使用方便。</w:t>
      </w:r>
    </w:p>
    <w:p>
      <w:pPr>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（11）污泥处理</w:t>
      </w:r>
    </w:p>
    <w:p>
      <w:pPr>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本工程产生的剩余污泥抽入污泥浓缩池，经脱水设施设备处理后运至有机肥生产厂进行堆肥处理。</w:t>
      </w:r>
    </w:p>
    <w:p>
      <w:pPr>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（12）安全水封的作用</w:t>
      </w:r>
    </w:p>
    <w:p>
      <w:pPr>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安全水封是利用水的阻隔能力对沼气进行通路进行阻断。当安全水封的进口与出口压力差超过设置水封高度时，沼气突破水封面，流出安全水封。</w:t>
      </w:r>
    </w:p>
    <w:p>
      <w:pPr>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安全水封的主要功能是防止沼气系统出现意外回火爆燃情况下对厌氧罐进行保护的最后屏障，是避免因爆燃回火出现重大灾难性事故的安全设备，因此厌氧出口处设置安全水封，意义重大。</w:t>
      </w:r>
    </w:p>
    <w:p>
      <w:pPr>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（13）沼气汽水分离</w:t>
      </w:r>
    </w:p>
    <w:p>
      <w:pPr>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由于一般养殖业都是采用中温发酵工艺，有些厌氧发酵沼气从厌氧罐流出时，会夹带部分液滴。通常情况下，沼气中至少含有35℃时的饱和蒸汽。当沼气流出厌氧罐后，随着温度降低，部分水蒸气会凝聚成液滴。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当液滴多时，会影响到沼气燃烧，会对输送管道造成损害。因此沼气在使用前必须经脱水（汽水分离）处理。</w:t>
      </w:r>
    </w:p>
    <w:p>
      <w:pPr>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（14）沼气干法脱硫与再生工艺原理</w:t>
      </w:r>
    </w:p>
    <w:p>
      <w:pPr>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干法脱硫是在圆柱状脱硫塔内装填一定高度的脱硫剂，沼气自下而上通过脱硫剂，H2S被去除，实现脱硫过程。常用的脱硫剂为氧化铁，其粒状为圆柱状，氧化铁脱硫的原理如下：</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O+3H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·H</w:t>
      </w:r>
      <w:r>
        <w:rPr>
          <w:rFonts w:hint="default" w:ascii="Times New Roman" w:hAnsi="Times New Roman" w:cs="Times New Roman"/>
          <w:color w:val="auto"/>
          <w:highlight w:val="none"/>
          <w:vertAlign w:val="subscript"/>
          <w:lang w:val="en-US" w:eastAsia="zh-CN"/>
        </w:rPr>
        <w:t>2</w:t>
      </w:r>
      <w:r>
        <w:rPr>
          <w:rFonts w:hint="default" w:ascii="Times New Roman" w:hAnsi="Times New Roman" w:cs="Times New Roman"/>
          <w:color w:val="auto"/>
          <w:highlight w:val="none"/>
          <w:lang w:eastAsia="zh-CN"/>
        </w:rPr>
        <w:t>O+3H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由上面的反应方程式可以看出，Fe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吸收H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S变成Fe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，随着沼气的不断产生，氧化铁吸收H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S，当吸收H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S达到一定的量，H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S的去除率将大大降低，直至失效。本装置能耐冲击负荷，当污染物的浓度上升后，短时间内处理效果下降，但是能很快恢复正常。Fe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是可以还原再生的，与O</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和H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O发生化学反应可还原为Fe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，原理如下：</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2Fe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O+3O</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＝2Fe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O+6S</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综合以上两反应式，沼气脱硫反应式如下：</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S+1/2O</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O(反应条件是Fe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由以上化学反应方程式可以看出，Fe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吸收H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S变成Fe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要还原成Fe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，需要O</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和H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O。关闭脱硫塔管路前后阀门，利用空气泵给脱硫塔供人空气，空气即可满足脱硫剂对O</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的要求，脱硫剂在沼气中吸附的水分完全满足脱硫剂还原对水分的要求。脱硫剂吸收H</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S失效，空气中的O</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和沼气中的饱和水将失效的脱硫剂还原再生成Fe</w:t>
      </w:r>
      <w:r>
        <w:rPr>
          <w:rFonts w:hint="default" w:ascii="Times New Roman" w:hAnsi="Times New Roman" w:cs="Times New Roman"/>
          <w:color w:val="auto"/>
          <w:highlight w:val="none"/>
          <w:vertAlign w:val="subscript"/>
          <w:lang w:eastAsia="zh-CN"/>
        </w:rPr>
        <w:t>2</w:t>
      </w:r>
      <w:r>
        <w:rPr>
          <w:rFonts w:hint="default" w:ascii="Times New Roman" w:hAnsi="Times New Roman" w:cs="Times New Roman"/>
          <w:color w:val="auto"/>
          <w:highlight w:val="none"/>
          <w:lang w:eastAsia="zh-CN"/>
        </w:rPr>
        <w:t>O</w:t>
      </w:r>
      <w:r>
        <w:rPr>
          <w:rFonts w:hint="default" w:ascii="Times New Roman" w:hAnsi="Times New Roman" w:cs="Times New Roman"/>
          <w:color w:val="auto"/>
          <w:highlight w:val="none"/>
          <w:vertAlign w:val="subscript"/>
          <w:lang w:eastAsia="zh-CN"/>
        </w:rPr>
        <w:t>3</w:t>
      </w:r>
      <w:r>
        <w:rPr>
          <w:rFonts w:hint="default" w:ascii="Times New Roman" w:hAnsi="Times New Roman" w:cs="Times New Roman"/>
          <w:color w:val="auto"/>
          <w:highlight w:val="none"/>
          <w:lang w:eastAsia="zh-CN"/>
        </w:rPr>
        <w:t>，此工艺即为沼气干法脱硫再生工艺。</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（15）</w:t>
      </w:r>
      <w:r>
        <w:rPr>
          <w:rFonts w:hint="eastAsia" w:ascii="Times New Roman" w:hAnsi="Times New Roman" w:cs="Times New Roman"/>
          <w:color w:val="auto"/>
          <w:highlight w:val="none"/>
          <w:lang w:eastAsia="zh-CN"/>
        </w:rPr>
        <w:t>双膜储气袋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沼气柜外型一般为1/2球体，罐体由外膜、内膜、底部基础及附属设备组成，具有抗紫外线及各种微生物的能力，高度防火并符合标准。</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内膜与底部基础之间形成一个容量可变的气密空间用作储存沼气，外膜构成储存柜的球状外型。利用外膜进气鼓风机恒压，当内膜沼气量减少时，外膜通过鼓风机进气，保持内膜沼气的设计压力，当沼气量增加时，内膜正常伸张，通过安全阀将外膜多余空气排出，使沼气压力始终恒定在一个需要的设计压力。</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16）</w:t>
      </w:r>
      <w:r>
        <w:rPr>
          <w:rFonts w:hint="default" w:ascii="Times New Roman" w:hAnsi="Times New Roman" w:cs="Times New Roman"/>
          <w:color w:val="auto"/>
          <w:highlight w:val="none"/>
          <w:lang w:eastAsia="zh-CN"/>
        </w:rPr>
        <w:t>沼气去向</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本项目UASB反应器产生的沼气经密闭收集并脱水脱硫处理后输送至食堂作为燃料</w:t>
      </w:r>
      <w:r>
        <w:rPr>
          <w:rFonts w:hint="eastAsia" w:ascii="Times New Roman" w:hAnsi="Times New Roman" w:cs="Times New Roman"/>
          <w:color w:val="auto"/>
          <w:highlight w:val="none"/>
          <w:lang w:eastAsia="zh-CN"/>
        </w:rPr>
        <w:t>及发电</w:t>
      </w:r>
      <w:r>
        <w:rPr>
          <w:rFonts w:hint="default" w:ascii="Times New Roman" w:hAnsi="Times New Roman" w:cs="Times New Roman"/>
          <w:color w:val="auto"/>
          <w:highlight w:val="none"/>
          <w:lang w:eastAsia="zh-CN"/>
        </w:rPr>
        <w:t>。</w:t>
      </w:r>
    </w:p>
    <w:p>
      <w:pPr>
        <w:pStyle w:val="8"/>
        <w:spacing w:before="0" w:after="0" w:line="360" w:lineRule="auto"/>
        <w:ind w:left="0" w:firstLine="0"/>
        <w:rPr>
          <w:rFonts w:hint="default" w:cs="Times New Roman"/>
          <w:color w:val="auto"/>
          <w:highlight w:val="none"/>
          <w:lang w:eastAsia="zh-CN"/>
        </w:rPr>
      </w:pPr>
      <w:bookmarkStart w:id="183" w:name="_Toc30731"/>
      <w:r>
        <w:rPr>
          <w:rFonts w:hint="default" w:cs="Times New Roman"/>
          <w:color w:val="auto"/>
          <w:highlight w:val="none"/>
          <w:lang w:eastAsia="zh-CN"/>
        </w:rPr>
        <w:t>主要污染工序</w:t>
      </w:r>
      <w:bookmarkEnd w:id="183"/>
    </w:p>
    <w:p>
      <w:pPr>
        <w:ind w:firstLine="48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本项目运营期污染物主要包括废水、废气、噪声、固体废弃物，其污染工序及污染因素如下：</w:t>
      </w:r>
    </w:p>
    <w:p>
      <w:pPr>
        <w:ind w:firstLine="482"/>
        <w:rPr>
          <w:rFonts w:hint="default" w:ascii="Times New Roman" w:hAnsi="Times New Roman" w:eastAsia="宋体" w:cs="Times New Roman"/>
          <w:b/>
          <w:color w:val="auto"/>
          <w:sz w:val="24"/>
          <w:szCs w:val="24"/>
          <w:highlight w:val="none"/>
          <w:lang w:val="zh-CN"/>
        </w:rPr>
      </w:pPr>
      <w:r>
        <w:rPr>
          <w:rFonts w:hint="default" w:ascii="Times New Roman" w:hAnsi="Times New Roman" w:eastAsia="宋体" w:cs="Times New Roman"/>
          <w:b/>
          <w:color w:val="auto"/>
          <w:sz w:val="24"/>
          <w:szCs w:val="24"/>
          <w:highlight w:val="none"/>
          <w:lang w:val="zh-CN"/>
        </w:rPr>
        <w:t>1、废水</w:t>
      </w:r>
    </w:p>
    <w:p>
      <w:pPr>
        <w:ind w:firstLine="48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本项目废水主要分为两类，一类为养殖过程中产生的</w:t>
      </w:r>
      <w:r>
        <w:rPr>
          <w:rFonts w:hint="eastAsia" w:ascii="Times New Roman" w:hAnsi="Times New Roman" w:eastAsia="宋体" w:cs="Times New Roman"/>
          <w:color w:val="auto"/>
          <w:sz w:val="24"/>
          <w:szCs w:val="24"/>
          <w:highlight w:val="none"/>
          <w:lang w:val="en-US" w:eastAsia="zh-CN"/>
        </w:rPr>
        <w:t>牛</w:t>
      </w:r>
      <w:r>
        <w:rPr>
          <w:rFonts w:hint="default" w:ascii="Times New Roman" w:hAnsi="Times New Roman" w:eastAsia="宋体" w:cs="Times New Roman"/>
          <w:color w:val="auto"/>
          <w:sz w:val="24"/>
          <w:szCs w:val="24"/>
          <w:highlight w:val="none"/>
          <w:lang w:val="zh-CN"/>
        </w:rPr>
        <w:t>尿液、</w:t>
      </w:r>
      <w:r>
        <w:rPr>
          <w:rFonts w:hint="eastAsia" w:ascii="Times New Roman" w:hAnsi="Times New Roman" w:eastAsia="宋体" w:cs="Times New Roman"/>
          <w:color w:val="auto"/>
          <w:sz w:val="24"/>
          <w:szCs w:val="24"/>
          <w:highlight w:val="none"/>
          <w:lang w:val="en-US" w:eastAsia="zh-CN"/>
        </w:rPr>
        <w:t>牛</w:t>
      </w:r>
      <w:r>
        <w:rPr>
          <w:rFonts w:hint="default" w:ascii="Times New Roman" w:hAnsi="Times New Roman" w:eastAsia="宋体" w:cs="Times New Roman"/>
          <w:color w:val="auto"/>
          <w:sz w:val="24"/>
          <w:szCs w:val="24"/>
          <w:highlight w:val="none"/>
          <w:lang w:val="zh-CN"/>
        </w:rPr>
        <w:t>粪脱水；另一类为生活污水，主要为职工办公、食堂餐饮废水。</w:t>
      </w:r>
    </w:p>
    <w:p>
      <w:pPr>
        <w:ind w:firstLine="482"/>
        <w:rPr>
          <w:rFonts w:hint="default" w:ascii="Times New Roman" w:hAnsi="Times New Roman" w:eastAsia="宋体" w:cs="Times New Roman"/>
          <w:b/>
          <w:color w:val="auto"/>
          <w:sz w:val="24"/>
          <w:szCs w:val="24"/>
          <w:highlight w:val="none"/>
          <w:lang w:val="zh-CN"/>
        </w:rPr>
      </w:pPr>
      <w:r>
        <w:rPr>
          <w:rFonts w:hint="default" w:ascii="Times New Roman" w:hAnsi="Times New Roman" w:eastAsia="宋体" w:cs="Times New Roman"/>
          <w:b/>
          <w:color w:val="auto"/>
          <w:sz w:val="24"/>
          <w:szCs w:val="24"/>
          <w:highlight w:val="none"/>
          <w:lang w:val="zh-CN"/>
        </w:rPr>
        <w:t>2、废气</w:t>
      </w:r>
    </w:p>
    <w:p>
      <w:pPr>
        <w:ind w:firstLine="48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项目废气包括养殖场恶臭</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污水处理站、干粪棚、病死牛处理车间）</w:t>
      </w:r>
      <w:r>
        <w:rPr>
          <w:rFonts w:hint="default" w:ascii="Times New Roman" w:hAnsi="Times New Roman" w:eastAsia="宋体" w:cs="Times New Roman"/>
          <w:color w:val="auto"/>
          <w:sz w:val="24"/>
          <w:szCs w:val="24"/>
          <w:highlight w:val="none"/>
          <w:lang w:val="zh-CN"/>
        </w:rPr>
        <w:t>、食堂餐饮油烟、运输车辆汽车尾气、柴油发电机废气。</w:t>
      </w:r>
    </w:p>
    <w:p>
      <w:pPr>
        <w:ind w:firstLine="482"/>
        <w:rPr>
          <w:rFonts w:hint="default" w:ascii="Times New Roman" w:hAnsi="Times New Roman" w:eastAsia="宋体" w:cs="Times New Roman"/>
          <w:b/>
          <w:color w:val="auto"/>
          <w:sz w:val="24"/>
          <w:szCs w:val="24"/>
          <w:highlight w:val="none"/>
          <w:lang w:val="zh-CN"/>
        </w:rPr>
      </w:pPr>
      <w:r>
        <w:rPr>
          <w:rFonts w:hint="default" w:ascii="Times New Roman" w:hAnsi="Times New Roman" w:eastAsia="宋体" w:cs="Times New Roman"/>
          <w:b/>
          <w:color w:val="auto"/>
          <w:sz w:val="24"/>
          <w:szCs w:val="24"/>
          <w:highlight w:val="none"/>
          <w:lang w:val="zh-CN"/>
        </w:rPr>
        <w:t>3、噪声</w:t>
      </w:r>
    </w:p>
    <w:p>
      <w:pPr>
        <w:ind w:firstLine="48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运营期噪声包括设备噪声（水泵、风机、柴油发电机等设备）和</w:t>
      </w:r>
      <w:r>
        <w:rPr>
          <w:rFonts w:hint="eastAsia" w:ascii="Times New Roman" w:hAnsi="Times New Roman" w:eastAsia="宋体" w:cs="Times New Roman"/>
          <w:color w:val="auto"/>
          <w:sz w:val="24"/>
          <w:szCs w:val="24"/>
          <w:highlight w:val="none"/>
          <w:lang w:val="zh-CN"/>
        </w:rPr>
        <w:t>牛</w:t>
      </w:r>
      <w:r>
        <w:rPr>
          <w:rFonts w:hint="default" w:ascii="Times New Roman" w:hAnsi="Times New Roman" w:eastAsia="宋体" w:cs="Times New Roman"/>
          <w:color w:val="auto"/>
          <w:sz w:val="24"/>
          <w:szCs w:val="24"/>
          <w:highlight w:val="none"/>
          <w:lang w:val="zh-CN"/>
        </w:rPr>
        <w:t>叫声。</w:t>
      </w:r>
    </w:p>
    <w:p>
      <w:pPr>
        <w:ind w:firstLine="482"/>
        <w:rPr>
          <w:rFonts w:hint="default" w:ascii="Times New Roman" w:hAnsi="Times New Roman" w:eastAsia="宋体" w:cs="Times New Roman"/>
          <w:b/>
          <w:color w:val="auto"/>
          <w:sz w:val="24"/>
          <w:szCs w:val="24"/>
          <w:highlight w:val="none"/>
          <w:lang w:val="zh-CN"/>
        </w:rPr>
      </w:pPr>
      <w:r>
        <w:rPr>
          <w:rFonts w:hint="default" w:ascii="Times New Roman" w:hAnsi="Times New Roman" w:eastAsia="宋体" w:cs="Times New Roman"/>
          <w:b/>
          <w:color w:val="auto"/>
          <w:sz w:val="24"/>
          <w:szCs w:val="24"/>
          <w:highlight w:val="none"/>
          <w:lang w:val="zh-CN"/>
        </w:rPr>
        <w:t>4、固体废弃物</w:t>
      </w:r>
    </w:p>
    <w:p>
      <w:pPr>
        <w:ind w:firstLine="48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运营期固废包括员工生活垃圾及养殖过程中产生的固废，其中养殖固废包括一般固废（固液分离产生的干粪、污水处理站污泥、病死</w:t>
      </w:r>
      <w:r>
        <w:rPr>
          <w:rFonts w:hint="eastAsia" w:ascii="Times New Roman" w:hAnsi="Times New Roman" w:eastAsia="宋体" w:cs="Times New Roman"/>
          <w:color w:val="auto"/>
          <w:sz w:val="24"/>
          <w:szCs w:val="24"/>
          <w:highlight w:val="none"/>
          <w:lang w:val="zh-CN"/>
        </w:rPr>
        <w:t>牛</w:t>
      </w:r>
      <w:r>
        <w:rPr>
          <w:rFonts w:hint="default" w:ascii="Times New Roman" w:hAnsi="Times New Roman" w:eastAsia="宋体" w:cs="Times New Roman"/>
          <w:color w:val="auto"/>
          <w:sz w:val="24"/>
          <w:szCs w:val="24"/>
          <w:highlight w:val="none"/>
          <w:lang w:val="zh-CN"/>
        </w:rPr>
        <w:t>）和危险废物（养殖过程中产生的废兽药试剂及包装物等医疗垃圾）。</w:t>
      </w:r>
    </w:p>
    <w:p>
      <w:pPr>
        <w:ind w:firstLine="480"/>
        <w:rPr>
          <w:rFonts w:hint="default" w:ascii="Times New Roman" w:hAnsi="Times New Roman" w:eastAsia="宋体" w:cs="Times New Roman"/>
          <w:color w:val="auto"/>
          <w:position w:val="-96"/>
          <w:sz w:val="24"/>
          <w:szCs w:val="24"/>
          <w:highlight w:val="none"/>
        </w:rPr>
      </w:pPr>
      <w:r>
        <w:rPr>
          <w:rFonts w:hint="default" w:ascii="Times New Roman" w:hAnsi="Times New Roman" w:eastAsia="宋体" w:cs="Times New Roman"/>
          <w:color w:val="auto"/>
          <w:sz w:val="24"/>
          <w:szCs w:val="24"/>
          <w:highlight w:val="none"/>
          <w:lang w:val="zh-CN"/>
        </w:rPr>
        <w:t>运营期主要污染工序及污染物产生情况见图3.</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zh-CN"/>
        </w:rPr>
        <w:t>-</w:t>
      </w:r>
      <w:r>
        <w:rPr>
          <w:rFonts w:hint="eastAsia"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lang w:val="zh-CN"/>
        </w:rPr>
        <w:t>。</w:t>
      </w:r>
    </w:p>
    <w:p>
      <w:pPr>
        <w:pStyle w:val="2"/>
        <w:rPr>
          <w:rFonts w:ascii="宋体" w:hAnsi="宋体" w:eastAsia="宋体" w:cs="宋体"/>
          <w:color w:val="auto"/>
          <w:sz w:val="24"/>
          <w:szCs w:val="24"/>
          <w:highlight w:val="none"/>
        </w:rPr>
      </w:pPr>
    </w:p>
    <w:p>
      <w:pPr>
        <w:pStyle w:val="2"/>
        <w:numPr>
          <w:ilvl w:val="0"/>
          <w:numId w:val="0"/>
        </w:numPr>
        <w:spacing w:line="240" w:lineRule="auto"/>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object>
          <v:shape id="_x0000_i1030" o:spt="75" type="#_x0000_t75" style="height:434.8pt;width:419.6pt;" o:ole="t" filled="f" o:preferrelative="t" stroked="f" coordsize="21600,21600">
            <v:path/>
            <v:fill on="f" focussize="0,0"/>
            <v:stroke on="f"/>
            <v:imagedata r:id="rId33" o:title=""/>
            <o:lock v:ext="edit" aspectratio="f"/>
            <w10:wrap type="none"/>
            <w10:anchorlock/>
          </v:shape>
          <o:OLEObject Type="Embed" ProgID="Visio.Drawing.11" ShapeID="_x0000_i1030" DrawAspect="Content" ObjectID="_1468075730" r:id="rId32">
            <o:LockedField>false</o:LockedField>
          </o:OLEObject>
        </w:object>
      </w:r>
      <w:r>
        <w:rPr>
          <w:rFonts w:hint="eastAsia" w:ascii="Times New Roman" w:hAnsi="Times New Roman" w:cs="Times New Roman"/>
          <w:b/>
          <w:bCs/>
          <w:color w:val="auto"/>
          <w:sz w:val="21"/>
          <w:szCs w:val="21"/>
          <w:highlight w:val="none"/>
          <w:lang w:val="en-US" w:eastAsia="zh-CN"/>
        </w:rPr>
        <w:t xml:space="preserve">图3.2-8 </w:t>
      </w:r>
      <w:r>
        <w:rPr>
          <w:rFonts w:hint="default" w:ascii="Times New Roman" w:hAnsi="Times New Roman" w:cs="Times New Roman" w:eastAsiaTheme="minorEastAsia"/>
          <w:b/>
          <w:bCs/>
          <w:color w:val="auto"/>
          <w:kern w:val="2"/>
          <w:sz w:val="21"/>
          <w:szCs w:val="21"/>
          <w:highlight w:val="none"/>
          <w:lang w:val="en-US" w:eastAsia="zh-CN" w:bidi="ar-SA"/>
        </w:rPr>
        <w:t>项目产污环节及处置措施图</w:t>
      </w:r>
    </w:p>
    <w:p>
      <w:pPr>
        <w:pStyle w:val="8"/>
        <w:spacing w:before="0" w:after="0" w:line="360" w:lineRule="auto"/>
        <w:ind w:left="0" w:firstLine="0"/>
        <w:rPr>
          <w:rFonts w:hint="default" w:cs="Times New Roman"/>
          <w:color w:val="auto"/>
          <w:highlight w:val="none"/>
          <w:lang w:eastAsia="zh-CN"/>
        </w:rPr>
      </w:pPr>
      <w:bookmarkStart w:id="184" w:name="_Toc1274"/>
      <w:r>
        <w:rPr>
          <w:rFonts w:hint="eastAsia" w:cs="Times New Roman"/>
          <w:color w:val="auto"/>
          <w:highlight w:val="none"/>
          <w:lang w:eastAsia="zh-CN"/>
        </w:rPr>
        <w:t>水平衡</w:t>
      </w:r>
      <w:bookmarkEnd w:id="184"/>
    </w:p>
    <w:p>
      <w:pPr>
        <w:widowControl/>
        <w:autoSpaceDE w:val="0"/>
        <w:autoSpaceDN w:val="0"/>
        <w:adjustRightInd w:val="0"/>
        <w:ind w:firstLine="525"/>
        <w:rPr>
          <w:rFonts w:hint="eastAsia"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color w:val="auto"/>
          <w:sz w:val="24"/>
          <w:szCs w:val="24"/>
          <w:highlight w:val="none"/>
        </w:rPr>
        <w:t>本项目营运期用水主要包括牛饮用水、</w:t>
      </w:r>
      <w:r>
        <w:rPr>
          <w:rFonts w:hint="eastAsia" w:ascii="Times New Roman" w:hAnsi="Times New Roman" w:cs="Times New Roman"/>
          <w:color w:val="auto"/>
          <w:sz w:val="24"/>
          <w:szCs w:val="24"/>
          <w:highlight w:val="none"/>
          <w:lang w:eastAsia="zh-CN"/>
        </w:rPr>
        <w:t>饲槽</w:t>
      </w:r>
      <w:r>
        <w:rPr>
          <w:rFonts w:hint="eastAsia" w:ascii="Times New Roman" w:hAnsi="Times New Roman" w:cs="Times New Roman"/>
          <w:color w:val="auto"/>
          <w:sz w:val="24"/>
          <w:szCs w:val="24"/>
          <w:highlight w:val="none"/>
        </w:rPr>
        <w:t>冲洗用水、办公生活用水、绿化用水、食堂用水等，设置1座2335.82m</w:t>
      </w:r>
      <w:r>
        <w:rPr>
          <w:rFonts w:hint="eastAsia" w:ascii="Times New Roman" w:hAnsi="Times New Roman" w:cs="Times New Roman"/>
          <w:color w:val="auto"/>
          <w:sz w:val="24"/>
          <w:szCs w:val="24"/>
          <w:highlight w:val="none"/>
          <w:vertAlign w:val="superscript"/>
        </w:rPr>
        <w:t>3</w:t>
      </w:r>
      <w:r>
        <w:rPr>
          <w:rFonts w:hint="eastAsia" w:ascii="Times New Roman" w:hAnsi="Times New Roman" w:cs="Times New Roman"/>
          <w:color w:val="auto"/>
          <w:sz w:val="24"/>
          <w:szCs w:val="24"/>
          <w:highlight w:val="none"/>
        </w:rPr>
        <w:t>的蓄水池，用于储存项目需要的新鲜水。本项目自建供水专管，</w:t>
      </w:r>
      <w:r>
        <w:rPr>
          <w:rFonts w:hint="eastAsia" w:ascii="Times New Roman" w:hAnsi="Times New Roman" w:cs="Times New Roman"/>
          <w:color w:val="auto"/>
          <w:sz w:val="24"/>
          <w:szCs w:val="24"/>
          <w:highlight w:val="none"/>
          <w:lang w:eastAsia="zh-CN"/>
        </w:rPr>
        <w:t>从自来水主管网接管专用。</w:t>
      </w:r>
    </w:p>
    <w:p>
      <w:pPr>
        <w:widowControl/>
        <w:autoSpaceDE w:val="0"/>
        <w:autoSpaceDN w:val="0"/>
        <w:adjustRightInd w:val="0"/>
        <w:ind w:firstLine="525"/>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根据《建筑给排水设计规范》（</w:t>
      </w:r>
      <w:r>
        <w:rPr>
          <w:rFonts w:ascii="Times New Roman" w:hAnsi="Times New Roman" w:cs="Times New Roman"/>
          <w:color w:val="auto"/>
          <w:sz w:val="24"/>
          <w:szCs w:val="24"/>
          <w:highlight w:val="none"/>
        </w:rPr>
        <w:t>GB50015-2009</w:t>
      </w:r>
      <w:r>
        <w:rPr>
          <w:rFonts w:hint="eastAsia" w:ascii="Times New Roman" w:hAnsi="Times New Roman" w:cs="Times New Roman"/>
          <w:color w:val="auto"/>
          <w:sz w:val="24"/>
          <w:szCs w:val="24"/>
          <w:highlight w:val="none"/>
        </w:rPr>
        <w:t>）的要求，并结合《用水定额》川府函〔2021〕8号以及《肉牛标准化规模养殖生产技术规范》及国内肉牛养殖技术相关资料，核算本项目用水情况如下：</w:t>
      </w:r>
    </w:p>
    <w:p>
      <w:pPr>
        <w:wordWrap w:val="0"/>
        <w:ind w:firstLine="480"/>
        <w:rPr>
          <w:rFonts w:hint="default"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1）牛饮用水</w:t>
      </w:r>
    </w:p>
    <w:p>
      <w:pPr>
        <w:wordWrap w:val="0"/>
        <w:ind w:firstLine="480"/>
        <w:rPr>
          <w:color w:val="auto"/>
          <w:sz w:val="24"/>
          <w:szCs w:val="24"/>
          <w:highlight w:val="none"/>
        </w:rPr>
      </w:pPr>
      <w:r>
        <w:rPr>
          <w:rFonts w:hint="default" w:ascii="Times New Roman" w:hAnsi="Times New Roman" w:cs="Times New Roman"/>
          <w:color w:val="auto"/>
          <w:sz w:val="24"/>
          <w:szCs w:val="24"/>
          <w:highlight w:val="none"/>
        </w:rPr>
        <w:t>本项目年存栏</w:t>
      </w:r>
      <w:r>
        <w:rPr>
          <w:rFonts w:hint="default" w:ascii="Times New Roman" w:hAnsi="Times New Roman" w:cs="Times New Roman"/>
          <w:color w:val="auto"/>
          <w:sz w:val="24"/>
          <w:szCs w:val="24"/>
          <w:highlight w:val="none"/>
          <w:lang w:eastAsia="zh-CN"/>
        </w:rPr>
        <w:t>肉牛</w:t>
      </w:r>
      <w:r>
        <w:rPr>
          <w:rFonts w:hint="default" w:ascii="Times New Roman" w:hAnsi="Times New Roman" w:cs="Times New Roman"/>
          <w:color w:val="auto"/>
          <w:sz w:val="24"/>
          <w:szCs w:val="24"/>
          <w:highlight w:val="none"/>
        </w:rPr>
        <w:t>规模为</w:t>
      </w:r>
      <w:r>
        <w:rPr>
          <w:rFonts w:hint="default" w:ascii="Times New Roman" w:hAnsi="Times New Roman" w:cs="Times New Roman"/>
          <w:color w:val="auto"/>
          <w:sz w:val="24"/>
          <w:szCs w:val="24"/>
          <w:highlight w:val="none"/>
          <w:lang w:val="en-US" w:eastAsia="zh-CN"/>
        </w:rPr>
        <w:t>12500</w:t>
      </w:r>
      <w:r>
        <w:rPr>
          <w:rFonts w:hint="default" w:ascii="Times New Roman" w:hAnsi="Times New Roman" w:cs="Times New Roman"/>
          <w:color w:val="auto"/>
          <w:sz w:val="24"/>
          <w:szCs w:val="24"/>
          <w:highlight w:val="none"/>
        </w:rPr>
        <w:t>头，根据《四川省用水定额》川府函〔2021〕8号，牛只消耗新鲜水</w:t>
      </w:r>
      <w:r>
        <w:rPr>
          <w:rFonts w:hint="default" w:ascii="Times New Roman" w:hAnsi="Times New Roman" w:cs="Times New Roman"/>
          <w:color w:val="auto"/>
          <w:sz w:val="24"/>
          <w:szCs w:val="24"/>
          <w:highlight w:val="none"/>
          <w:lang w:eastAsia="zh-CN"/>
        </w:rPr>
        <w:t>采用</w:t>
      </w:r>
      <w:r>
        <w:rPr>
          <w:rFonts w:hint="eastAsia" w:ascii="Times New Roman" w:hAnsi="Times New Roman" w:cs="Times New Roman"/>
          <w:color w:val="auto"/>
          <w:sz w:val="24"/>
          <w:szCs w:val="24"/>
          <w:highlight w:val="none"/>
          <w:lang w:eastAsia="zh-CN"/>
        </w:rPr>
        <w:t>先进</w:t>
      </w:r>
      <w:r>
        <w:rPr>
          <w:rFonts w:hint="default" w:ascii="Times New Roman" w:hAnsi="Times New Roman" w:cs="Times New Roman"/>
          <w:color w:val="auto"/>
          <w:sz w:val="24"/>
          <w:szCs w:val="24"/>
          <w:highlight w:val="none"/>
          <w:lang w:eastAsia="zh-CN"/>
        </w:rPr>
        <w:t>值</w:t>
      </w:r>
      <w:r>
        <w:rPr>
          <w:rFonts w:hint="eastAsia" w:ascii="Times New Roman" w:hAnsi="Times New Roman" w:cs="Times New Roman"/>
          <w:color w:val="auto"/>
          <w:sz w:val="24"/>
          <w:szCs w:val="24"/>
          <w:highlight w:val="none"/>
          <w:lang w:val="en-US" w:eastAsia="zh-CN"/>
        </w:rPr>
        <w:t>40</w:t>
      </w:r>
      <w:r>
        <w:rPr>
          <w:rFonts w:hint="default" w:ascii="Times New Roman" w:hAnsi="Times New Roman" w:cs="Times New Roman"/>
          <w:color w:val="auto"/>
          <w:sz w:val="24"/>
          <w:szCs w:val="24"/>
          <w:highlight w:val="none"/>
        </w:rPr>
        <w:t>L/头·d，则项目牛饮水消耗新鲜水总量约为</w:t>
      </w:r>
      <w:r>
        <w:rPr>
          <w:rFonts w:hint="eastAsia"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lang w:val="en-US" w:eastAsia="zh-CN"/>
        </w:rPr>
        <w:t>00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/d，</w:t>
      </w:r>
      <w:r>
        <w:rPr>
          <w:rFonts w:hint="eastAsia" w:ascii="Times New Roman" w:hAnsi="Times New Roman" w:cs="Times New Roman"/>
          <w:color w:val="auto"/>
          <w:sz w:val="24"/>
          <w:szCs w:val="24"/>
          <w:highlight w:val="none"/>
          <w:lang w:val="en-US" w:eastAsia="zh-CN"/>
        </w:rPr>
        <w:t>182500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/a。</w:t>
      </w:r>
    </w:p>
    <w:p>
      <w:pPr>
        <w:wordWrap w:val="0"/>
        <w:ind w:firstLine="480"/>
        <w:rPr>
          <w:rFonts w:hint="eastAsia"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eastAsia="zh-CN"/>
        </w:rPr>
        <w:t>饲</w:t>
      </w:r>
      <w:r>
        <w:rPr>
          <w:rFonts w:hint="eastAsia" w:ascii="Times New Roman" w:hAnsi="Times New Roman" w:eastAsia="宋体" w:cs="Times New Roman"/>
          <w:color w:val="auto"/>
          <w:sz w:val="24"/>
          <w:szCs w:val="24"/>
          <w:highlight w:val="none"/>
        </w:rPr>
        <w:t>槽</w:t>
      </w:r>
      <w:r>
        <w:rPr>
          <w:rFonts w:hint="eastAsia" w:ascii="Times New Roman" w:hAnsi="Times New Roman" w:cs="Times New Roman"/>
          <w:b w:val="0"/>
          <w:bCs w:val="0"/>
          <w:color w:val="auto"/>
          <w:sz w:val="24"/>
          <w:szCs w:val="24"/>
          <w:highlight w:val="none"/>
          <w:lang w:val="en-US" w:eastAsia="zh-CN"/>
        </w:rPr>
        <w:t>清洗</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通常情况下长时间不对</w:t>
      </w:r>
      <w:r>
        <w:rPr>
          <w:rFonts w:hint="eastAsia" w:ascii="Times New Roman" w:hAnsi="Times New Roman" w:eastAsia="宋体" w:cs="Times New Roman"/>
          <w:color w:val="auto"/>
          <w:sz w:val="24"/>
          <w:szCs w:val="24"/>
          <w:highlight w:val="none"/>
          <w:lang w:eastAsia="zh-CN"/>
        </w:rPr>
        <w:t>饲</w:t>
      </w:r>
      <w:r>
        <w:rPr>
          <w:rFonts w:hint="eastAsia" w:ascii="Times New Roman" w:hAnsi="Times New Roman" w:eastAsia="宋体" w:cs="Times New Roman"/>
          <w:color w:val="auto"/>
          <w:sz w:val="24"/>
          <w:szCs w:val="24"/>
          <w:highlight w:val="none"/>
        </w:rPr>
        <w:t>槽进行清理，会导致</w:t>
      </w:r>
      <w:r>
        <w:rPr>
          <w:rFonts w:hint="eastAsia" w:ascii="Times New Roman" w:hAnsi="Times New Roman" w:eastAsia="宋体" w:cs="Times New Roman"/>
          <w:color w:val="auto"/>
          <w:sz w:val="24"/>
          <w:szCs w:val="24"/>
          <w:highlight w:val="none"/>
          <w:lang w:eastAsia="zh-CN"/>
        </w:rPr>
        <w:t>饲</w:t>
      </w:r>
      <w:r>
        <w:rPr>
          <w:rFonts w:hint="eastAsia" w:ascii="Times New Roman" w:hAnsi="Times New Roman" w:eastAsia="宋体" w:cs="Times New Roman"/>
          <w:color w:val="auto"/>
          <w:sz w:val="24"/>
          <w:szCs w:val="24"/>
          <w:highlight w:val="none"/>
        </w:rPr>
        <w:t>槽内部细菌滋生，引发各种疾病，同时影响</w:t>
      </w:r>
      <w:r>
        <w:rPr>
          <w:rFonts w:hint="eastAsia" w:ascii="Times New Roman" w:hAnsi="Times New Roman" w:eastAsia="宋体" w:cs="Times New Roman"/>
          <w:color w:val="auto"/>
          <w:sz w:val="24"/>
          <w:szCs w:val="24"/>
          <w:highlight w:val="none"/>
          <w:lang w:eastAsia="zh-CN"/>
        </w:rPr>
        <w:t>肉牛</w:t>
      </w:r>
      <w:r>
        <w:rPr>
          <w:rFonts w:hint="eastAsia" w:ascii="Times New Roman" w:hAnsi="Times New Roman" w:eastAsia="宋体" w:cs="Times New Roman"/>
          <w:color w:val="auto"/>
          <w:sz w:val="24"/>
          <w:szCs w:val="24"/>
          <w:highlight w:val="none"/>
        </w:rPr>
        <w:t>的生长状况。因此本项目对</w:t>
      </w:r>
      <w:r>
        <w:rPr>
          <w:rFonts w:hint="eastAsia" w:ascii="Times New Roman" w:hAnsi="Times New Roman" w:eastAsia="宋体" w:cs="Times New Roman"/>
          <w:color w:val="auto"/>
          <w:sz w:val="24"/>
          <w:szCs w:val="24"/>
          <w:highlight w:val="none"/>
          <w:lang w:eastAsia="zh-CN"/>
        </w:rPr>
        <w:t>饲</w:t>
      </w:r>
      <w:r>
        <w:rPr>
          <w:rFonts w:hint="eastAsia" w:ascii="Times New Roman" w:hAnsi="Times New Roman" w:eastAsia="宋体" w:cs="Times New Roman"/>
          <w:color w:val="auto"/>
          <w:sz w:val="24"/>
          <w:szCs w:val="24"/>
          <w:highlight w:val="none"/>
        </w:rPr>
        <w:t>槽定时进行清洗。</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根据建设单位提供的资料显示：养殖场设备清洗频率与使用情况有关，用水量小，可按0.5m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/百头·d来核算。经核算，清洗用水量为</w:t>
      </w:r>
      <w:r>
        <w:rPr>
          <w:rFonts w:hint="eastAsia" w:ascii="Times New Roman" w:hAnsi="Times New Roman" w:eastAsia="宋体" w:cs="Times New Roman"/>
          <w:color w:val="auto"/>
          <w:sz w:val="24"/>
          <w:szCs w:val="24"/>
          <w:highlight w:val="none"/>
          <w:lang w:val="en-US" w:eastAsia="zh-CN"/>
        </w:rPr>
        <w:t>62.5</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val="en-US" w:eastAsia="zh-CN"/>
        </w:rPr>
        <w:t>22812.5</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/a，污水产生系数按0.8计，则本项目</w:t>
      </w:r>
      <w:r>
        <w:rPr>
          <w:rFonts w:hint="eastAsia" w:ascii="Times New Roman" w:hAnsi="Times New Roman" w:eastAsia="宋体" w:cs="Times New Roman"/>
          <w:color w:val="auto"/>
          <w:sz w:val="24"/>
          <w:szCs w:val="24"/>
          <w:highlight w:val="none"/>
          <w:lang w:eastAsia="zh-CN"/>
        </w:rPr>
        <w:t>饲</w:t>
      </w:r>
      <w:r>
        <w:rPr>
          <w:rFonts w:hint="eastAsia" w:ascii="Times New Roman" w:hAnsi="Times New Roman" w:eastAsia="宋体" w:cs="Times New Roman"/>
          <w:color w:val="auto"/>
          <w:sz w:val="24"/>
          <w:szCs w:val="24"/>
          <w:highlight w:val="none"/>
        </w:rPr>
        <w:t>槽废水产生量为</w:t>
      </w:r>
      <w:r>
        <w:rPr>
          <w:rFonts w:hint="eastAsia" w:ascii="Times New Roman" w:hAnsi="Times New Roman" w:eastAsia="宋体" w:cs="Times New Roman"/>
          <w:color w:val="auto"/>
          <w:sz w:val="24"/>
          <w:szCs w:val="24"/>
          <w:highlight w:val="none"/>
          <w:lang w:val="en-US" w:eastAsia="zh-CN"/>
        </w:rPr>
        <w:t>50</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val="en-US" w:eastAsia="zh-CN"/>
        </w:rPr>
        <w:t>18250</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/a）。</w:t>
      </w:r>
    </w:p>
    <w:p>
      <w:pPr>
        <w:wordWrap w:val="0"/>
        <w:ind w:firstLine="480"/>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3）牛舍</w:t>
      </w:r>
      <w:r>
        <w:rPr>
          <w:rFonts w:hint="default" w:ascii="Times New Roman" w:hAnsi="Times New Roman" w:cs="Times New Roman"/>
          <w:b w:val="0"/>
          <w:bCs w:val="0"/>
          <w:color w:val="auto"/>
          <w:sz w:val="24"/>
          <w:szCs w:val="24"/>
          <w:highlight w:val="none"/>
          <w:lang w:val="en-US" w:eastAsia="zh-CN"/>
        </w:rPr>
        <w:t>冲洗用水</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本项目利用高压水枪</w:t>
      </w:r>
      <w:r>
        <w:rPr>
          <w:rFonts w:hint="eastAsia" w:ascii="Times New Roman" w:hAnsi="Times New Roman" w:eastAsia="宋体" w:cs="Times New Roman"/>
          <w:color w:val="auto"/>
          <w:sz w:val="24"/>
          <w:szCs w:val="24"/>
          <w:highlight w:val="none"/>
          <w:lang w:eastAsia="zh-CN"/>
        </w:rPr>
        <w:t>定期对牛舍</w:t>
      </w:r>
      <w:r>
        <w:rPr>
          <w:rFonts w:hint="default" w:ascii="Times New Roman" w:hAnsi="Times New Roman" w:eastAsia="宋体" w:cs="Times New Roman"/>
          <w:color w:val="auto"/>
          <w:sz w:val="24"/>
          <w:szCs w:val="24"/>
          <w:highlight w:val="none"/>
        </w:rPr>
        <w:t>转进行冲洗、消毒；由于本项目拟采用干清粪工艺，实现了</w:t>
      </w:r>
      <w:r>
        <w:rPr>
          <w:rFonts w:hint="eastAsia" w:ascii="Times New Roman" w:hAnsi="Times New Roman" w:eastAsia="宋体" w:cs="Times New Roman"/>
          <w:color w:val="auto"/>
          <w:sz w:val="24"/>
          <w:szCs w:val="24"/>
          <w:highlight w:val="none"/>
          <w:lang w:eastAsia="zh-CN"/>
        </w:rPr>
        <w:t>牛</w:t>
      </w:r>
      <w:r>
        <w:rPr>
          <w:rFonts w:hint="default" w:ascii="Times New Roman" w:hAnsi="Times New Roman" w:eastAsia="宋体" w:cs="Times New Roman"/>
          <w:color w:val="auto"/>
          <w:sz w:val="24"/>
          <w:szCs w:val="24"/>
          <w:highlight w:val="none"/>
        </w:rPr>
        <w:t>舍粪尿日产日清，可避免每日清洗</w:t>
      </w:r>
      <w:r>
        <w:rPr>
          <w:rFonts w:hint="eastAsia" w:ascii="Times New Roman" w:hAnsi="Times New Roman" w:eastAsia="宋体" w:cs="Times New Roman"/>
          <w:color w:val="auto"/>
          <w:sz w:val="24"/>
          <w:szCs w:val="24"/>
          <w:highlight w:val="none"/>
          <w:lang w:eastAsia="zh-CN"/>
        </w:rPr>
        <w:t>牛</w:t>
      </w:r>
      <w:r>
        <w:rPr>
          <w:rFonts w:hint="default" w:ascii="Times New Roman" w:hAnsi="Times New Roman" w:eastAsia="宋体" w:cs="Times New Roman"/>
          <w:color w:val="auto"/>
          <w:sz w:val="24"/>
          <w:szCs w:val="24"/>
          <w:highlight w:val="none"/>
        </w:rPr>
        <w:t>舍，节约用水，并保持</w:t>
      </w:r>
      <w:r>
        <w:rPr>
          <w:rFonts w:hint="eastAsia" w:ascii="Times New Roman" w:hAnsi="Times New Roman" w:eastAsia="宋体" w:cs="Times New Roman"/>
          <w:color w:val="auto"/>
          <w:sz w:val="24"/>
          <w:szCs w:val="24"/>
          <w:highlight w:val="none"/>
          <w:lang w:eastAsia="zh-CN"/>
        </w:rPr>
        <w:t>牛舍</w:t>
      </w:r>
      <w:r>
        <w:rPr>
          <w:rFonts w:hint="default" w:ascii="Times New Roman" w:hAnsi="Times New Roman" w:eastAsia="宋体" w:cs="Times New Roman"/>
          <w:color w:val="auto"/>
          <w:sz w:val="24"/>
          <w:szCs w:val="24"/>
          <w:highlight w:val="none"/>
        </w:rPr>
        <w:t>清洁和干燥。</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冲洗圈舍包括</w:t>
      </w:r>
      <w:r>
        <w:rPr>
          <w:rFonts w:hint="eastAsia" w:ascii="Times New Roman" w:hAnsi="Times New Roman" w:eastAsia="宋体" w:cs="Times New Roman"/>
          <w:color w:val="auto"/>
          <w:sz w:val="24"/>
          <w:szCs w:val="24"/>
          <w:highlight w:val="none"/>
          <w:lang w:eastAsia="zh-CN"/>
        </w:rPr>
        <w:t>育肥舍和隔离舍</w:t>
      </w:r>
      <w:r>
        <w:rPr>
          <w:rFonts w:hint="default" w:ascii="Times New Roman" w:hAnsi="Times New Roman" w:eastAsia="宋体" w:cs="Times New Roman"/>
          <w:color w:val="auto"/>
          <w:sz w:val="24"/>
          <w:szCs w:val="24"/>
          <w:highlight w:val="none"/>
        </w:rPr>
        <w:t>，冲洗频率为每</w:t>
      </w:r>
      <w:r>
        <w:rPr>
          <w:rFonts w:hint="eastAsia" w:ascii="Times New Roman" w:hAnsi="Times New Roman" w:eastAsia="宋体" w:cs="Times New Roman"/>
          <w:color w:val="auto"/>
          <w:sz w:val="24"/>
          <w:szCs w:val="24"/>
          <w:highlight w:val="none"/>
          <w:lang w:eastAsia="zh-CN"/>
        </w:rPr>
        <w:t>半月</w:t>
      </w:r>
      <w:r>
        <w:rPr>
          <w:rFonts w:hint="default" w:ascii="Times New Roman" w:hAnsi="Times New Roman" w:eastAsia="宋体" w:cs="Times New Roman"/>
          <w:color w:val="auto"/>
          <w:sz w:val="24"/>
          <w:szCs w:val="24"/>
          <w:highlight w:val="none"/>
        </w:rPr>
        <w:t>一次</w:t>
      </w:r>
      <w:r>
        <w:rPr>
          <w:rFonts w:hint="eastAsia" w:ascii="Times New Roman" w:hAnsi="Times New Roman" w:eastAsia="宋体" w:cs="Times New Roman"/>
          <w:color w:val="auto"/>
          <w:sz w:val="24"/>
          <w:szCs w:val="24"/>
          <w:highlight w:val="none"/>
          <w:lang w:eastAsia="zh-CN"/>
        </w:rPr>
        <w:t>（本次取值</w:t>
      </w:r>
      <w:r>
        <w:rPr>
          <w:rFonts w:hint="eastAsia" w:ascii="Times New Roman" w:hAnsi="Times New Roman" w:eastAsia="宋体" w:cs="Times New Roman"/>
          <w:color w:val="auto"/>
          <w:sz w:val="24"/>
          <w:szCs w:val="24"/>
          <w:highlight w:val="none"/>
          <w:lang w:val="en-US" w:eastAsia="zh-CN"/>
        </w:rPr>
        <w:t>次24）</w:t>
      </w:r>
      <w:r>
        <w:rPr>
          <w:rFonts w:hint="default" w:ascii="Times New Roman" w:hAnsi="Times New Roman" w:eastAsia="宋体" w:cs="Times New Roman"/>
          <w:color w:val="auto"/>
          <w:sz w:val="24"/>
          <w:szCs w:val="24"/>
          <w:highlight w:val="none"/>
        </w:rPr>
        <w:t>。冲洗用水量按照</w:t>
      </w:r>
      <w:r>
        <w:rPr>
          <w:rFonts w:hint="eastAsia"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L/m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次计，</w:t>
      </w:r>
      <w:r>
        <w:rPr>
          <w:rFonts w:hint="eastAsia" w:ascii="Times New Roman" w:hAnsi="Times New Roman" w:eastAsia="宋体" w:cs="Times New Roman"/>
          <w:color w:val="auto"/>
          <w:sz w:val="24"/>
          <w:szCs w:val="24"/>
          <w:highlight w:val="none"/>
          <w:lang w:eastAsia="zh-CN"/>
        </w:rPr>
        <w:t>牛舍</w:t>
      </w:r>
      <w:r>
        <w:rPr>
          <w:rFonts w:hint="default" w:ascii="Times New Roman" w:hAnsi="Times New Roman" w:eastAsia="宋体" w:cs="Times New Roman"/>
          <w:color w:val="auto"/>
          <w:sz w:val="24"/>
          <w:szCs w:val="24"/>
          <w:highlight w:val="none"/>
        </w:rPr>
        <w:t>冲洗用水量为</w:t>
      </w:r>
      <w:r>
        <w:rPr>
          <w:rFonts w:hint="eastAsia" w:ascii="Times New Roman" w:hAnsi="Times New Roman" w:eastAsia="宋体" w:cs="Times New Roman"/>
          <w:color w:val="auto"/>
          <w:sz w:val="24"/>
          <w:szCs w:val="24"/>
          <w:highlight w:val="none"/>
          <w:lang w:val="en-US" w:eastAsia="zh-CN"/>
        </w:rPr>
        <w:t>967.52</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次（</w:t>
      </w:r>
      <w:r>
        <w:rPr>
          <w:rFonts w:hint="eastAsia" w:ascii="Times New Roman" w:hAnsi="Times New Roman" w:eastAsia="宋体" w:cs="Times New Roman"/>
          <w:color w:val="auto"/>
          <w:sz w:val="24"/>
          <w:szCs w:val="24"/>
          <w:highlight w:val="none"/>
          <w:lang w:val="en-US" w:eastAsia="zh-CN"/>
        </w:rPr>
        <w:t>23220.48</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/a</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pPr>
        <w:pStyle w:val="2504"/>
        <w:numPr>
          <w:ilvl w:val="0"/>
          <w:numId w:val="25"/>
        </w:numPr>
        <w:spacing w:before="120"/>
        <w:ind w:left="0" w:leftChars="0" w:firstLine="403" w:firstLineChars="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 xml:space="preserve">   项目牛舍冲洗用水量情况表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742"/>
        <w:gridCol w:w="1239"/>
        <w:gridCol w:w="832"/>
        <w:gridCol w:w="1782"/>
        <w:gridCol w:w="1354"/>
        <w:gridCol w:w="1354"/>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1049" w:type="pct"/>
            <w:noWrap w:val="0"/>
            <w:vAlign w:val="center"/>
          </w:tcPr>
          <w:p>
            <w:pPr>
              <w:pStyle w:val="167"/>
              <w:keepNext w:val="0"/>
              <w:keepLines w:val="0"/>
              <w:suppressLineNumbers w:val="0"/>
              <w:kinsoku w:val="0"/>
              <w:overflowPunct w:val="0"/>
              <w:spacing w:before="0" w:beforeAutospacing="0" w:after="0" w:afterAutospacing="0" w:line="241" w:lineRule="exact"/>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类型</w:t>
            </w:r>
          </w:p>
        </w:tc>
        <w:tc>
          <w:tcPr>
            <w:tcW w:w="746"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用水系数（L/</w:t>
            </w:r>
            <w:r>
              <w:rPr>
                <w:rFonts w:hint="default" w:ascii="Times New Roman" w:hAnsi="Times New Roman" w:eastAsia="宋体" w:cs="Times New Roman"/>
                <w:b/>
                <w:color w:val="auto"/>
                <w:sz w:val="21"/>
                <w:szCs w:val="21"/>
                <w:highlight w:val="none"/>
                <w:lang w:val="en-US" w:eastAsia="zh-CN"/>
              </w:rPr>
              <w:t>m</w:t>
            </w:r>
            <w:r>
              <w:rPr>
                <w:rFonts w:hint="default" w:ascii="Times New Roman" w:hAnsi="Times New Roman" w:eastAsia="宋体" w:cs="Times New Roman"/>
                <w:b/>
                <w:color w:val="auto"/>
                <w:sz w:val="21"/>
                <w:szCs w:val="21"/>
                <w:highlight w:val="none"/>
                <w:vertAlign w:val="superscript"/>
                <w:lang w:val="en-US" w:eastAsia="zh-CN"/>
              </w:rPr>
              <w:t>2</w:t>
            </w:r>
            <w:r>
              <w:rPr>
                <w:rFonts w:hint="default" w:ascii="Times New Roman" w:hAnsi="Times New Roman" w:eastAsia="宋体" w:cs="Times New Roman"/>
                <w:b/>
                <w:color w:val="auto"/>
                <w:sz w:val="21"/>
                <w:szCs w:val="21"/>
                <w:highlight w:val="none"/>
              </w:rPr>
              <w:t>）</w:t>
            </w:r>
          </w:p>
        </w:tc>
        <w:tc>
          <w:tcPr>
            <w:tcW w:w="501" w:type="pct"/>
            <w:noWrap w:val="0"/>
            <w:vAlign w:val="center"/>
          </w:tcPr>
          <w:p>
            <w:pPr>
              <w:pStyle w:val="167"/>
              <w:keepNext w:val="0"/>
              <w:keepLines w:val="0"/>
              <w:suppressLineNumbers w:val="0"/>
              <w:kinsoku w:val="0"/>
              <w:overflowPunct w:val="0"/>
              <w:spacing w:before="0" w:beforeAutospacing="0" w:after="0" w:afterAutospacing="0" w:line="241" w:lineRule="exact"/>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周期</w:t>
            </w:r>
          </w:p>
        </w:tc>
        <w:tc>
          <w:tcPr>
            <w:tcW w:w="1073" w:type="pct"/>
            <w:noWrap w:val="0"/>
            <w:vAlign w:val="center"/>
          </w:tcPr>
          <w:p>
            <w:pPr>
              <w:pStyle w:val="167"/>
              <w:keepNext w:val="0"/>
              <w:keepLines w:val="0"/>
              <w:suppressLineNumbers w:val="0"/>
              <w:kinsoku w:val="0"/>
              <w:overflowPunct w:val="0"/>
              <w:spacing w:before="0" w:beforeAutospacing="0" w:after="0" w:afterAutospacing="0" w:line="241" w:lineRule="exact"/>
              <w:ind w:left="0" w:right="1"/>
              <w:jc w:val="center"/>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面积（m</w:t>
            </w:r>
            <w:r>
              <w:rPr>
                <w:rFonts w:hint="default" w:ascii="Times New Roman" w:hAnsi="Times New Roman" w:eastAsia="宋体" w:cs="Times New Roman"/>
                <w:b/>
                <w:color w:val="auto"/>
                <w:sz w:val="21"/>
                <w:szCs w:val="21"/>
                <w:highlight w:val="none"/>
                <w:vertAlign w:val="superscript"/>
                <w:lang w:val="en-US" w:eastAsia="zh-CN"/>
              </w:rPr>
              <w:t>2</w:t>
            </w:r>
            <w:r>
              <w:rPr>
                <w:rFonts w:hint="default" w:ascii="Times New Roman" w:hAnsi="Times New Roman" w:eastAsia="宋体" w:cs="Times New Roman"/>
                <w:b/>
                <w:color w:val="auto"/>
                <w:sz w:val="21"/>
                <w:szCs w:val="21"/>
                <w:highlight w:val="none"/>
                <w:lang w:val="en-US" w:eastAsia="zh-CN"/>
              </w:rPr>
              <w:t>）</w:t>
            </w:r>
          </w:p>
        </w:tc>
        <w:tc>
          <w:tcPr>
            <w:tcW w:w="815"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用水量（m</w:t>
            </w:r>
            <w:r>
              <w:rPr>
                <w:rFonts w:hint="default" w:ascii="Times New Roman" w:hAnsi="Times New Roman" w:eastAsia="宋体" w:cs="Times New Roman"/>
                <w:b/>
                <w:color w:val="auto"/>
                <w:sz w:val="21"/>
                <w:szCs w:val="21"/>
                <w:highlight w:val="none"/>
                <w:vertAlign w:val="superscript"/>
                <w:lang w:val="en-US" w:eastAsia="zh-CN"/>
              </w:rPr>
              <w:t>3</w:t>
            </w:r>
            <w:r>
              <w:rPr>
                <w:rFonts w:hint="default" w:ascii="Times New Roman" w:hAnsi="Times New Roman" w:eastAsia="宋体" w:cs="Times New Roman"/>
                <w:b/>
                <w:color w:val="auto"/>
                <w:sz w:val="21"/>
                <w:szCs w:val="21"/>
                <w:highlight w:val="none"/>
              </w:rPr>
              <w:t>/a）</w:t>
            </w:r>
          </w:p>
        </w:tc>
        <w:tc>
          <w:tcPr>
            <w:tcW w:w="815"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排水量（</w:t>
            </w:r>
            <w:r>
              <w:rPr>
                <w:rFonts w:hint="default" w:ascii="Times New Roman" w:hAnsi="Times New Roman" w:eastAsia="宋体" w:cs="Times New Roman"/>
                <w:b/>
                <w:color w:val="auto"/>
                <w:sz w:val="21"/>
                <w:szCs w:val="21"/>
                <w:highlight w:val="none"/>
              </w:rPr>
              <w:t>（m</w:t>
            </w:r>
            <w:r>
              <w:rPr>
                <w:rFonts w:hint="default" w:ascii="Times New Roman" w:hAnsi="Times New Roman" w:eastAsia="宋体" w:cs="Times New Roman"/>
                <w:b/>
                <w:color w:val="auto"/>
                <w:sz w:val="21"/>
                <w:szCs w:val="21"/>
                <w:highlight w:val="none"/>
                <w:vertAlign w:val="superscript"/>
                <w:lang w:val="en-US" w:eastAsia="zh-CN"/>
              </w:rPr>
              <w:t>3</w:t>
            </w:r>
            <w:r>
              <w:rPr>
                <w:rFonts w:hint="default" w:ascii="Times New Roman" w:hAnsi="Times New Roman" w:eastAsia="宋体" w:cs="Times New Roman"/>
                <w:b/>
                <w:color w:val="auto"/>
                <w:sz w:val="21"/>
                <w:szCs w:val="21"/>
                <w:highlight w:val="none"/>
              </w:rPr>
              <w:t>/a）</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1049" w:type="pct"/>
            <w:noWrap w:val="0"/>
            <w:vAlign w:val="center"/>
          </w:tcPr>
          <w:p>
            <w:pPr>
              <w:pStyle w:val="167"/>
              <w:keepNext w:val="0"/>
              <w:keepLines w:val="0"/>
              <w:suppressLineNumbers w:val="0"/>
              <w:kinsoku w:val="0"/>
              <w:overflowPunct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育肥舍</w:t>
            </w:r>
          </w:p>
        </w:tc>
        <w:tc>
          <w:tcPr>
            <w:tcW w:w="746"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w:t>
            </w:r>
          </w:p>
        </w:tc>
        <w:tc>
          <w:tcPr>
            <w:tcW w:w="501"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24</w:t>
            </w:r>
          </w:p>
        </w:tc>
        <w:tc>
          <w:tcPr>
            <w:tcW w:w="1073"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108915</w:t>
            </w:r>
          </w:p>
        </w:tc>
        <w:tc>
          <w:tcPr>
            <w:tcW w:w="815"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21084.48</w:t>
            </w:r>
          </w:p>
        </w:tc>
        <w:tc>
          <w:tcPr>
            <w:tcW w:w="1354" w:type="dxa"/>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18976.032</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1049" w:type="pct"/>
            <w:noWrap w:val="0"/>
            <w:vAlign w:val="center"/>
          </w:tcPr>
          <w:p>
            <w:pPr>
              <w:pStyle w:val="167"/>
              <w:keepNext w:val="0"/>
              <w:keepLines w:val="0"/>
              <w:suppressLineNumbers w:val="0"/>
              <w:kinsoku w:val="0"/>
              <w:overflowPunct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隔离舍</w:t>
            </w:r>
          </w:p>
        </w:tc>
        <w:tc>
          <w:tcPr>
            <w:tcW w:w="746" w:type="pct"/>
            <w:noWrap w:val="0"/>
            <w:vAlign w:val="center"/>
          </w:tcPr>
          <w:p>
            <w:pPr>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8</w:t>
            </w:r>
          </w:p>
        </w:tc>
        <w:tc>
          <w:tcPr>
            <w:tcW w:w="501"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24</w:t>
            </w:r>
          </w:p>
        </w:tc>
        <w:tc>
          <w:tcPr>
            <w:tcW w:w="1073"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11125</w:t>
            </w:r>
          </w:p>
        </w:tc>
        <w:tc>
          <w:tcPr>
            <w:tcW w:w="815"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2136</w:t>
            </w:r>
          </w:p>
        </w:tc>
        <w:tc>
          <w:tcPr>
            <w:tcW w:w="1354" w:type="dxa"/>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1922.4</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2296" w:type="pct"/>
            <w:gridSpan w:val="3"/>
            <w:noWrap w:val="0"/>
            <w:vAlign w:val="center"/>
          </w:tcPr>
          <w:p>
            <w:pPr>
              <w:pStyle w:val="167"/>
              <w:keepNext w:val="0"/>
              <w:keepLines w:val="0"/>
              <w:suppressLineNumbers w:val="0"/>
              <w:kinsoku w:val="0"/>
              <w:overflowPunct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合计</w:t>
            </w:r>
          </w:p>
        </w:tc>
        <w:tc>
          <w:tcPr>
            <w:tcW w:w="1073"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354" w:type="dxa"/>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23220.48</w:t>
            </w:r>
          </w:p>
        </w:tc>
        <w:tc>
          <w:tcPr>
            <w:tcW w:w="1354" w:type="dxa"/>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20898.432</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369" w:type="pct"/>
            <w:gridSpan w:val="4"/>
            <w:noWrap w:val="0"/>
            <w:vAlign w:val="center"/>
          </w:tcPr>
          <w:p>
            <w:pPr>
              <w:pStyle w:val="167"/>
              <w:keepNext w:val="0"/>
              <w:keepLines w:val="0"/>
              <w:suppressLineNumbers w:val="0"/>
              <w:kinsoku w:val="0"/>
              <w:overflowPunct w:val="0"/>
              <w:spacing w:before="0" w:beforeAutospacing="0" w:after="0" w:afterAutospacing="0" w:line="241" w:lineRule="exact"/>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折算为每天用量</w:t>
            </w:r>
          </w:p>
        </w:tc>
        <w:tc>
          <w:tcPr>
            <w:tcW w:w="815"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63.62</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rPr>
              <w:t>/d</w:t>
            </w:r>
          </w:p>
        </w:tc>
        <w:tc>
          <w:tcPr>
            <w:tcW w:w="815"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57.26</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rPr>
              <w:t>/d</w:t>
            </w:r>
          </w:p>
        </w:tc>
      </w:tr>
    </w:tbl>
    <w:p>
      <w:pPr>
        <w:ind w:firstLine="480" w:firstLineChars="200"/>
        <w:rPr>
          <w:rFonts w:hint="default"/>
          <w:color w:val="auto"/>
          <w:highlight w:val="none"/>
        </w:rPr>
      </w:pPr>
      <w:r>
        <w:rPr>
          <w:rFonts w:hint="default" w:ascii="Times New Roman" w:hAnsi="Times New Roman" w:eastAsia="宋体" w:cs="Times New Roman"/>
          <w:color w:val="auto"/>
          <w:sz w:val="24"/>
          <w:szCs w:val="24"/>
          <w:highlight w:val="none"/>
        </w:rPr>
        <w:t>因此，本项目</w:t>
      </w:r>
      <w:r>
        <w:rPr>
          <w:rFonts w:hint="eastAsia" w:ascii="Times New Roman" w:hAnsi="Times New Roman" w:eastAsia="宋体" w:cs="Times New Roman"/>
          <w:color w:val="auto"/>
          <w:sz w:val="24"/>
          <w:szCs w:val="24"/>
          <w:highlight w:val="none"/>
          <w:lang w:eastAsia="zh-CN"/>
        </w:rPr>
        <w:t>牛舍</w:t>
      </w:r>
      <w:r>
        <w:rPr>
          <w:rFonts w:hint="default" w:ascii="Times New Roman" w:hAnsi="Times New Roman" w:eastAsia="宋体" w:cs="Times New Roman"/>
          <w:color w:val="auto"/>
          <w:sz w:val="24"/>
          <w:szCs w:val="24"/>
          <w:highlight w:val="none"/>
        </w:rPr>
        <w:t>冲洗用水量为</w:t>
      </w:r>
      <w:r>
        <w:rPr>
          <w:rFonts w:hint="eastAsia" w:ascii="Times New Roman" w:hAnsi="Times New Roman" w:eastAsia="宋体" w:cs="Times New Roman"/>
          <w:color w:val="auto"/>
          <w:sz w:val="24"/>
          <w:szCs w:val="24"/>
          <w:highlight w:val="none"/>
          <w:lang w:val="en-US" w:eastAsia="zh-CN"/>
        </w:rPr>
        <w:t>63.62</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val="en-US" w:eastAsia="zh-CN"/>
        </w:rPr>
        <w:t>23220.48</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/a），排污系数按0.9计，</w:t>
      </w:r>
      <w:r>
        <w:rPr>
          <w:rFonts w:hint="eastAsia" w:ascii="Times New Roman" w:hAnsi="Times New Roman" w:eastAsia="宋体" w:cs="Times New Roman"/>
          <w:color w:val="auto"/>
          <w:sz w:val="24"/>
          <w:szCs w:val="24"/>
          <w:highlight w:val="none"/>
          <w:lang w:eastAsia="zh-CN"/>
        </w:rPr>
        <w:t>牛舍</w:t>
      </w:r>
      <w:r>
        <w:rPr>
          <w:rFonts w:hint="default" w:ascii="Times New Roman" w:hAnsi="Times New Roman" w:eastAsia="宋体" w:cs="Times New Roman"/>
          <w:color w:val="auto"/>
          <w:sz w:val="24"/>
          <w:szCs w:val="24"/>
          <w:highlight w:val="none"/>
        </w:rPr>
        <w:t>冲洗废水量为</w:t>
      </w:r>
      <w:r>
        <w:rPr>
          <w:rFonts w:hint="eastAsia" w:ascii="Times New Roman" w:hAnsi="Times New Roman" w:eastAsia="宋体" w:cs="Times New Roman"/>
          <w:color w:val="auto"/>
          <w:sz w:val="24"/>
          <w:szCs w:val="24"/>
          <w:highlight w:val="none"/>
          <w:lang w:val="en-US" w:eastAsia="zh-CN"/>
        </w:rPr>
        <w:t>57.26</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val="en-US" w:eastAsia="zh-CN"/>
        </w:rPr>
        <w:t>20898.432</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w:t>
      </w:r>
      <w:r>
        <w:rPr>
          <w:rFonts w:hint="eastAsia" w:ascii="Times New Roman" w:hAnsi="Times New Roman" w:eastAsia="宋体" w:cs="Times New Roman"/>
          <w:color w:val="auto"/>
          <w:sz w:val="24"/>
          <w:szCs w:val="24"/>
          <w:highlight w:val="none"/>
          <w:lang w:eastAsia="zh-CN"/>
        </w:rPr>
        <w:t>牛舍冲洗用水全部采用污水处理站处理后的尾水，不使用新鲜水。</w:t>
      </w:r>
    </w:p>
    <w:p>
      <w:pPr>
        <w:wordWrap w:val="0"/>
        <w:ind w:firstLine="480"/>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4）</w:t>
      </w:r>
      <w:r>
        <w:rPr>
          <w:rFonts w:hint="default" w:ascii="Times New Roman" w:hAnsi="Times New Roman" w:cs="Times New Roman"/>
          <w:b w:val="0"/>
          <w:bCs w:val="0"/>
          <w:color w:val="auto"/>
          <w:sz w:val="24"/>
          <w:szCs w:val="24"/>
          <w:highlight w:val="none"/>
          <w:lang w:val="en-US" w:eastAsia="zh-CN"/>
        </w:rPr>
        <w:t>夏季</w:t>
      </w:r>
      <w:r>
        <w:rPr>
          <w:rFonts w:hint="eastAsia" w:ascii="Times New Roman" w:hAnsi="Times New Roman" w:cs="Times New Roman"/>
          <w:b w:val="0"/>
          <w:bCs w:val="0"/>
          <w:color w:val="auto"/>
          <w:sz w:val="24"/>
          <w:szCs w:val="24"/>
          <w:highlight w:val="none"/>
          <w:lang w:val="en-US" w:eastAsia="zh-CN"/>
        </w:rPr>
        <w:t>水帘</w:t>
      </w:r>
      <w:r>
        <w:rPr>
          <w:rFonts w:hint="default" w:ascii="Times New Roman" w:hAnsi="Times New Roman" w:cs="Times New Roman"/>
          <w:b w:val="0"/>
          <w:bCs w:val="0"/>
          <w:color w:val="auto"/>
          <w:sz w:val="24"/>
          <w:szCs w:val="24"/>
          <w:highlight w:val="none"/>
          <w:lang w:val="en-US" w:eastAsia="zh-CN"/>
        </w:rPr>
        <w:t>用水</w:t>
      </w:r>
    </w:p>
    <w:p>
      <w:pPr>
        <w:pStyle w:val="24"/>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夏天温度高时，为防止</w:t>
      </w:r>
      <w:r>
        <w:rPr>
          <w:rFonts w:hint="eastAsia" w:cs="Times New Roman"/>
          <w:color w:val="auto"/>
          <w:sz w:val="24"/>
          <w:szCs w:val="24"/>
          <w:highlight w:val="none"/>
          <w:lang w:eastAsia="zh-CN"/>
        </w:rPr>
        <w:t>牛</w:t>
      </w:r>
      <w:r>
        <w:rPr>
          <w:rFonts w:hint="default" w:ascii="Times New Roman" w:hAnsi="Times New Roman" w:eastAsia="宋体" w:cs="Times New Roman"/>
          <w:color w:val="auto"/>
          <w:sz w:val="24"/>
          <w:szCs w:val="24"/>
          <w:highlight w:val="none"/>
        </w:rPr>
        <w:t>中暑，需要对</w:t>
      </w:r>
      <w:r>
        <w:rPr>
          <w:rFonts w:hint="eastAsia" w:cs="Times New Roman"/>
          <w:color w:val="auto"/>
          <w:sz w:val="24"/>
          <w:szCs w:val="24"/>
          <w:highlight w:val="none"/>
          <w:lang w:eastAsia="zh-CN"/>
        </w:rPr>
        <w:t>牛</w:t>
      </w:r>
      <w:r>
        <w:rPr>
          <w:rFonts w:hint="default" w:ascii="Times New Roman" w:hAnsi="Times New Roman" w:eastAsia="宋体" w:cs="Times New Roman"/>
          <w:color w:val="auto"/>
          <w:sz w:val="24"/>
          <w:szCs w:val="24"/>
          <w:highlight w:val="none"/>
        </w:rPr>
        <w:t>舍进行降温，降温系统使用“负压风机+水帘”系统，安装水帘机（共</w:t>
      </w:r>
      <w:r>
        <w:rPr>
          <w:rFonts w:hint="eastAsia" w:ascii="Times New Roman" w:hAnsi="Times New Roman" w:cs="Times New Roman"/>
          <w:color w:val="auto"/>
          <w:sz w:val="24"/>
          <w:szCs w:val="24"/>
          <w:highlight w:val="none"/>
          <w:lang w:val="en-US" w:eastAsia="zh-CN"/>
        </w:rPr>
        <w:t>5</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套），每套循环水规模为3m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/h，降温期按3个月估算，运行时间约6h/d，水帘系统用水循环使用，水循环利用约95%，则</w:t>
      </w:r>
      <w:r>
        <w:rPr>
          <w:rFonts w:hint="eastAsia" w:cs="Times New Roman"/>
          <w:color w:val="auto"/>
          <w:sz w:val="24"/>
          <w:szCs w:val="24"/>
          <w:highlight w:val="none"/>
          <w:lang w:eastAsia="zh-CN"/>
        </w:rPr>
        <w:t>养殖</w:t>
      </w:r>
      <w:r>
        <w:rPr>
          <w:rFonts w:hint="default" w:ascii="Times New Roman" w:hAnsi="Times New Roman" w:eastAsia="宋体" w:cs="Times New Roman"/>
          <w:color w:val="auto"/>
          <w:sz w:val="24"/>
          <w:szCs w:val="24"/>
          <w:highlight w:val="none"/>
        </w:rPr>
        <w:t>场</w:t>
      </w:r>
      <w:r>
        <w:rPr>
          <w:rFonts w:hint="eastAsia" w:ascii="Times New Roman" w:hAnsi="Times New Roman" w:cs="Times New Roman"/>
          <w:color w:val="auto"/>
          <w:sz w:val="24"/>
          <w:szCs w:val="24"/>
          <w:highlight w:val="none"/>
          <w:lang w:eastAsia="zh-CN"/>
        </w:rPr>
        <w:t>水帘</w:t>
      </w:r>
      <w:r>
        <w:rPr>
          <w:rFonts w:hint="default" w:ascii="Times New Roman" w:hAnsi="Times New Roman" w:eastAsia="宋体" w:cs="Times New Roman"/>
          <w:color w:val="auto"/>
          <w:sz w:val="24"/>
          <w:szCs w:val="24"/>
          <w:highlight w:val="none"/>
        </w:rPr>
        <w:t>降温系统新鲜水补充量约</w:t>
      </w:r>
      <w:r>
        <w:rPr>
          <w:rFonts w:hint="eastAsia" w:cs="Times New Roman"/>
          <w:color w:val="auto"/>
          <w:sz w:val="24"/>
          <w:szCs w:val="24"/>
          <w:highlight w:val="none"/>
          <w:lang w:val="en-US" w:eastAsia="zh-CN"/>
        </w:rPr>
        <w:t>45</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cs="Times New Roman"/>
          <w:color w:val="auto"/>
          <w:sz w:val="24"/>
          <w:szCs w:val="24"/>
          <w:highlight w:val="none"/>
          <w:lang w:val="en-US" w:eastAsia="zh-CN"/>
        </w:rPr>
        <w:t>4050</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/a），该部分用水全部蒸发损耗，无废水产生。</w:t>
      </w:r>
    </w:p>
    <w:p>
      <w:pPr>
        <w:wordWrap w:val="0"/>
        <w:ind w:firstLine="480"/>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5）</w:t>
      </w:r>
      <w:r>
        <w:rPr>
          <w:rFonts w:hint="default" w:ascii="Times New Roman" w:hAnsi="Times New Roman" w:cs="Times New Roman"/>
          <w:b w:val="0"/>
          <w:bCs w:val="0"/>
          <w:color w:val="auto"/>
          <w:sz w:val="24"/>
          <w:szCs w:val="24"/>
          <w:highlight w:val="none"/>
          <w:lang w:val="en-US" w:eastAsia="zh-CN"/>
        </w:rPr>
        <w:t>职工生活用水</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①办公及生活用水</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本项目建成后，场区内设置有职工食堂和倒班宿舍，劳动定员</w:t>
      </w:r>
      <w:r>
        <w:rPr>
          <w:rFonts w:hint="eastAsia" w:ascii="Times New Roman" w:hAnsi="Times New Roman" w:eastAsia="宋体" w:cs="Times New Roman"/>
          <w:color w:val="auto"/>
          <w:sz w:val="24"/>
          <w:szCs w:val="24"/>
          <w:highlight w:val="none"/>
          <w:lang w:val="en-US" w:eastAsia="zh-CN"/>
        </w:rPr>
        <w:t>80</w:t>
      </w:r>
      <w:r>
        <w:rPr>
          <w:rFonts w:hint="default" w:ascii="Times New Roman" w:hAnsi="Times New Roman" w:eastAsia="宋体" w:cs="Times New Roman"/>
          <w:color w:val="auto"/>
          <w:sz w:val="24"/>
          <w:szCs w:val="24"/>
          <w:highlight w:val="none"/>
        </w:rPr>
        <w:t>人。根据根据《四川省用水定额》川府函〔2021〕8号，并结合项目实际情况，职工日常办公及生活用水量按100L/人·d计，则办公及生活用水量为</w:t>
      </w:r>
      <w:r>
        <w:rPr>
          <w:rFonts w:hint="eastAsia"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val="en-US" w:eastAsia="zh-CN"/>
        </w:rPr>
        <w:t>2920</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/a），污水产生系数按80%计，则本项目办公及生活污水产生量为</w:t>
      </w:r>
      <w:r>
        <w:rPr>
          <w:rFonts w:hint="eastAsia" w:ascii="Times New Roman" w:hAnsi="Times New Roman" w:eastAsia="宋体" w:cs="Times New Roman"/>
          <w:color w:val="auto"/>
          <w:sz w:val="24"/>
          <w:szCs w:val="24"/>
          <w:highlight w:val="none"/>
          <w:lang w:val="en-US" w:eastAsia="zh-CN"/>
        </w:rPr>
        <w:t>6.4</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val="en-US" w:eastAsia="zh-CN"/>
        </w:rPr>
        <w:t>2336</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②食堂用水</w:t>
      </w:r>
    </w:p>
    <w:p>
      <w:pPr>
        <w:pStyle w:val="24"/>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项目设有职工食堂，每天供应三餐。根据《四川省用水定额》川府函〔2021〕8号及《建筑给水排水设计规范》（GB50015-2010），职工食堂用水定额按每人每餐25L计算，则每人每天用水量为0.075m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/人·d，项目食堂就餐人数</w:t>
      </w:r>
      <w:r>
        <w:rPr>
          <w:rFonts w:hint="eastAsia" w:cs="Times New Roman"/>
          <w:color w:val="auto"/>
          <w:sz w:val="24"/>
          <w:szCs w:val="24"/>
          <w:highlight w:val="none"/>
          <w:lang w:val="en-US" w:eastAsia="zh-CN"/>
        </w:rPr>
        <w:t>80</w:t>
      </w:r>
      <w:r>
        <w:rPr>
          <w:rFonts w:hint="default" w:ascii="Times New Roman" w:hAnsi="Times New Roman" w:eastAsia="宋体" w:cs="Times New Roman"/>
          <w:color w:val="auto"/>
          <w:sz w:val="24"/>
          <w:szCs w:val="24"/>
          <w:highlight w:val="none"/>
        </w:rPr>
        <w:t>人，则项目食堂用水量为</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cs="Times New Roman"/>
          <w:color w:val="auto"/>
          <w:sz w:val="24"/>
          <w:szCs w:val="24"/>
          <w:highlight w:val="none"/>
          <w:lang w:val="en-US" w:eastAsia="zh-CN"/>
        </w:rPr>
        <w:t>2190</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/a），污水产生系数按80%计，则本项目食堂废水产生量为</w:t>
      </w:r>
      <w:r>
        <w:rPr>
          <w:rFonts w:hint="eastAsia" w:cs="Times New Roman"/>
          <w:color w:val="auto"/>
          <w:sz w:val="24"/>
          <w:szCs w:val="24"/>
          <w:highlight w:val="none"/>
          <w:lang w:val="en-US" w:eastAsia="zh-CN"/>
        </w:rPr>
        <w:t>4.8</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cs="Times New Roman"/>
          <w:color w:val="auto"/>
          <w:sz w:val="24"/>
          <w:szCs w:val="24"/>
          <w:highlight w:val="none"/>
          <w:lang w:val="en-US" w:eastAsia="zh-CN"/>
        </w:rPr>
        <w:t>1752</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w:t>
      </w:r>
    </w:p>
    <w:p>
      <w:pPr>
        <w:wordWrap w:val="0"/>
        <w:ind w:firstLine="480"/>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6）消毒用水</w:t>
      </w:r>
      <w:r>
        <w:rPr>
          <w:rFonts w:hint="default" w:ascii="Times New Roman" w:hAnsi="Times New Roman" w:cs="Times New Roman"/>
          <w:b w:val="0"/>
          <w:bCs w:val="0"/>
          <w:color w:val="auto"/>
          <w:sz w:val="24"/>
          <w:szCs w:val="24"/>
          <w:highlight w:val="none"/>
          <w:lang w:val="en-US" w:eastAsia="zh-CN"/>
        </w:rPr>
        <w:t>职工生活用水</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本项目场区消毒用水主要包括牛舍、地面、饲喂工具等消毒，生产区道路消毒、运输车辆的消毒以及进出工作人员的消毒。</w:t>
      </w:r>
      <w:r>
        <w:rPr>
          <w:rFonts w:hint="eastAsia" w:ascii="Times New Roman" w:hAnsi="Times New Roman" w:eastAsia="宋体" w:cs="Times New Roman"/>
          <w:color w:val="auto"/>
          <w:sz w:val="24"/>
          <w:szCs w:val="24"/>
          <w:highlight w:val="none"/>
          <w:lang w:eastAsia="zh-CN"/>
        </w:rPr>
        <w:t>消毒液需用水进行一定配比，</w:t>
      </w:r>
      <w:r>
        <w:rPr>
          <w:rFonts w:hint="default" w:ascii="Times New Roman" w:hAnsi="Times New Roman" w:eastAsia="宋体" w:cs="Times New Roman"/>
          <w:color w:val="auto"/>
          <w:sz w:val="24"/>
          <w:szCs w:val="24"/>
          <w:highlight w:val="none"/>
        </w:rPr>
        <w:t>根据类比数据，平均每次消毒</w:t>
      </w:r>
      <w:r>
        <w:rPr>
          <w:rFonts w:hint="eastAsia" w:ascii="Times New Roman" w:hAnsi="Times New Roman" w:eastAsia="宋体" w:cs="Times New Roman"/>
          <w:color w:val="auto"/>
          <w:sz w:val="24"/>
          <w:szCs w:val="24"/>
          <w:highlight w:val="none"/>
          <w:lang w:eastAsia="zh-CN"/>
        </w:rPr>
        <w:t>配比</w:t>
      </w:r>
      <w:r>
        <w:rPr>
          <w:rFonts w:hint="default" w:ascii="Times New Roman" w:hAnsi="Times New Roman" w:eastAsia="宋体" w:cs="Times New Roman"/>
          <w:color w:val="auto"/>
          <w:sz w:val="24"/>
          <w:szCs w:val="24"/>
          <w:highlight w:val="none"/>
        </w:rPr>
        <w:t>用水量为0.</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/d，则全年消毒用水量为</w:t>
      </w:r>
      <w:r>
        <w:rPr>
          <w:rFonts w:hint="eastAsia" w:ascii="Times New Roman" w:hAnsi="Times New Roman" w:eastAsia="宋体" w:cs="Times New Roman"/>
          <w:color w:val="auto"/>
          <w:sz w:val="24"/>
          <w:szCs w:val="24"/>
          <w:highlight w:val="none"/>
          <w:lang w:val="en-US" w:eastAsia="zh-CN"/>
        </w:rPr>
        <w:t>182.5</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/a，该部分消毒用水全部损耗蒸发。</w:t>
      </w:r>
    </w:p>
    <w:p>
      <w:pPr>
        <w:wordWrap w:val="0"/>
        <w:ind w:firstLine="480"/>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7）绿化</w:t>
      </w:r>
      <w:r>
        <w:rPr>
          <w:rFonts w:hint="default" w:ascii="Times New Roman" w:hAnsi="Times New Roman" w:cs="Times New Roman"/>
          <w:b w:val="0"/>
          <w:bCs w:val="0"/>
          <w:color w:val="auto"/>
          <w:sz w:val="24"/>
          <w:szCs w:val="24"/>
          <w:highlight w:val="none"/>
          <w:lang w:val="en-US" w:eastAsia="zh-CN"/>
        </w:rPr>
        <w:t>用水</w:t>
      </w:r>
    </w:p>
    <w:p>
      <w:pPr>
        <w:pStyle w:val="24"/>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本项目厂区绿化面积约</w:t>
      </w:r>
      <w:r>
        <w:rPr>
          <w:rFonts w:hint="eastAsia" w:cs="Times New Roman"/>
          <w:color w:val="auto"/>
          <w:sz w:val="24"/>
          <w:szCs w:val="24"/>
          <w:highlight w:val="none"/>
          <w:lang w:val="en-US" w:eastAsia="zh-CN"/>
        </w:rPr>
        <w:t>50120.65</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，用水量按1.</w:t>
      </w:r>
      <w:r>
        <w:rPr>
          <w:rFonts w:hint="eastAsia"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rPr>
        <w:t>L/m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·次计，按每年绿化用水次数为</w:t>
      </w:r>
      <w:r>
        <w:rPr>
          <w:rFonts w:hint="eastAsia" w:cs="Times New Roman"/>
          <w:color w:val="auto"/>
          <w:sz w:val="24"/>
          <w:szCs w:val="24"/>
          <w:highlight w:val="none"/>
          <w:lang w:val="en-US" w:eastAsia="zh-CN"/>
        </w:rPr>
        <w:t>52</w:t>
      </w:r>
      <w:r>
        <w:rPr>
          <w:rFonts w:hint="default" w:ascii="Times New Roman" w:hAnsi="Times New Roman" w:eastAsia="宋体" w:cs="Times New Roman"/>
          <w:color w:val="auto"/>
          <w:sz w:val="24"/>
          <w:szCs w:val="24"/>
          <w:highlight w:val="none"/>
        </w:rPr>
        <w:t>次计，则绿化用水为</w:t>
      </w:r>
      <w:r>
        <w:rPr>
          <w:rFonts w:hint="eastAsia" w:cs="Times New Roman"/>
          <w:color w:val="auto"/>
          <w:sz w:val="24"/>
          <w:szCs w:val="24"/>
          <w:highlight w:val="none"/>
          <w:lang w:val="en-US" w:eastAsia="zh-CN"/>
        </w:rPr>
        <w:t>52.121</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/次，</w:t>
      </w:r>
      <w:r>
        <w:rPr>
          <w:rFonts w:hint="eastAsia" w:cs="Times New Roman"/>
          <w:color w:val="auto"/>
          <w:sz w:val="24"/>
          <w:szCs w:val="24"/>
          <w:highlight w:val="none"/>
          <w:lang w:val="en-US" w:eastAsia="zh-CN"/>
        </w:rPr>
        <w:t>2606.274</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/a；该部分用水使用污水处理设施储存池尾水，不计入用水量；经绿化吸收和自然蒸发，无废水产生。</w:t>
      </w:r>
    </w:p>
    <w:p>
      <w:pPr>
        <w:pStyle w:val="24"/>
        <w:spacing w:line="440" w:lineRule="exact"/>
        <w:ind w:firstLine="480"/>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8</w:t>
      </w:r>
      <w:r>
        <w:rPr>
          <w:rFonts w:hint="eastAsia" w:ascii="Times New Roman" w:hAnsi="Times New Roman" w:eastAsia="宋体" w:cs="Times New Roman"/>
          <w:color w:val="auto"/>
          <w:sz w:val="24"/>
          <w:szCs w:val="24"/>
          <w:highlight w:val="none"/>
          <w:lang w:val="en-US" w:eastAsia="zh-CN"/>
        </w:rPr>
        <w:t>）牛尿液</w:t>
      </w:r>
    </w:p>
    <w:p>
      <w:pPr>
        <w:pStyle w:val="24"/>
        <w:spacing w:line="440" w:lineRule="exact"/>
        <w:ind w:firstLine="48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本项目年存栏</w:t>
      </w:r>
      <w:r>
        <w:rPr>
          <w:rFonts w:hint="default" w:ascii="Times New Roman" w:hAnsi="Times New Roman" w:eastAsia="宋体" w:cs="Times New Roman"/>
          <w:color w:val="auto"/>
          <w:sz w:val="24"/>
          <w:szCs w:val="24"/>
          <w:highlight w:val="none"/>
          <w:lang w:eastAsia="zh-CN"/>
        </w:rPr>
        <w:t>肉牛</w:t>
      </w:r>
      <w:r>
        <w:rPr>
          <w:rFonts w:hint="default" w:ascii="Times New Roman" w:hAnsi="Times New Roman" w:eastAsia="宋体" w:cs="Times New Roman"/>
          <w:color w:val="auto"/>
          <w:sz w:val="24"/>
          <w:szCs w:val="24"/>
          <w:highlight w:val="none"/>
        </w:rPr>
        <w:t>规模为</w:t>
      </w:r>
      <w:r>
        <w:rPr>
          <w:rFonts w:hint="default" w:ascii="Times New Roman" w:hAnsi="Times New Roman" w:eastAsia="宋体" w:cs="Times New Roman"/>
          <w:color w:val="auto"/>
          <w:sz w:val="24"/>
          <w:szCs w:val="24"/>
          <w:highlight w:val="none"/>
          <w:lang w:val="en-US" w:eastAsia="zh-CN"/>
        </w:rPr>
        <w:t>12500</w:t>
      </w:r>
      <w:r>
        <w:rPr>
          <w:rFonts w:hint="default" w:ascii="Times New Roman" w:hAnsi="Times New Roman" w:eastAsia="宋体" w:cs="Times New Roman"/>
          <w:color w:val="auto"/>
          <w:sz w:val="24"/>
          <w:szCs w:val="24"/>
          <w:highlight w:val="none"/>
        </w:rPr>
        <w:t>头，根据《畜禽养殖业污染治理工程技术规范》（HJ497－2009）及国内肉牛养殖用排水量统计资料，存栏牛单头夏季日均排尿量为</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0kg/头•d计</w:t>
      </w:r>
      <w:r>
        <w:rPr>
          <w:rFonts w:hint="default" w:ascii="Times New Roman" w:hAnsi="Times New Roman" w:eastAsia="宋体" w:cs="Times New Roman"/>
          <w:color w:val="auto"/>
          <w:sz w:val="24"/>
          <w:szCs w:val="24"/>
          <w:highlight w:val="none"/>
          <w:lang w:eastAsia="zh-CN"/>
        </w:rPr>
        <w:t>，则</w:t>
      </w:r>
      <w:r>
        <w:rPr>
          <w:rFonts w:hint="default" w:ascii="Times New Roman" w:hAnsi="Times New Roman" w:eastAsia="宋体" w:cs="Times New Roman"/>
          <w:color w:val="auto"/>
          <w:highlight w:val="none"/>
          <w:lang w:eastAsia="zh-CN"/>
        </w:rPr>
        <w:t>牛尿产生量为</w:t>
      </w:r>
      <w:r>
        <w:rPr>
          <w:rFonts w:hint="default" w:ascii="Times New Roman" w:hAnsi="Times New Roman" w:eastAsia="宋体" w:cs="Times New Roman"/>
          <w:color w:val="auto"/>
          <w:highlight w:val="none"/>
          <w:lang w:val="en-US" w:eastAsia="zh-CN"/>
        </w:rPr>
        <w:t>45625m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/a</w:t>
      </w:r>
      <w:r>
        <w:rPr>
          <w:rFonts w:hint="default" w:ascii="Times New Roman" w:hAnsi="Times New Roman" w:eastAsia="宋体" w:cs="Times New Roman"/>
          <w:color w:val="auto"/>
          <w:highlight w:val="none"/>
        </w:rPr>
        <w:t>。</w:t>
      </w:r>
    </w:p>
    <w:p>
      <w:pPr>
        <w:pStyle w:val="2504"/>
        <w:numPr>
          <w:ilvl w:val="0"/>
          <w:numId w:val="25"/>
        </w:numPr>
        <w:spacing w:before="120"/>
        <w:ind w:left="0" w:leftChars="0" w:firstLine="403" w:firstLineChars="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项目</w:t>
      </w:r>
      <w:r>
        <w:rPr>
          <w:rFonts w:hint="eastAsia" w:ascii="Times New Roman" w:hAnsi="Times New Roman" w:eastAsia="宋体" w:cs="Times New Roman"/>
          <w:color w:val="auto"/>
          <w:sz w:val="21"/>
          <w:szCs w:val="21"/>
          <w:highlight w:val="none"/>
          <w:lang w:eastAsia="zh-CN"/>
        </w:rPr>
        <w:t>牛</w:t>
      </w:r>
      <w:r>
        <w:rPr>
          <w:rFonts w:hint="default" w:ascii="Times New Roman" w:hAnsi="Times New Roman" w:eastAsia="宋体" w:cs="Times New Roman"/>
          <w:color w:val="auto"/>
          <w:sz w:val="21"/>
          <w:szCs w:val="21"/>
          <w:highlight w:val="none"/>
        </w:rPr>
        <w:t>排尿量情况表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400"/>
        <w:gridCol w:w="1882"/>
        <w:gridCol w:w="1267"/>
        <w:gridCol w:w="2136"/>
        <w:gridCol w:w="1618"/>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843" w:type="pct"/>
            <w:noWrap w:val="0"/>
            <w:vAlign w:val="center"/>
          </w:tcPr>
          <w:p>
            <w:pPr>
              <w:pStyle w:val="167"/>
              <w:keepNext w:val="0"/>
              <w:keepLines w:val="0"/>
              <w:suppressLineNumbers w:val="0"/>
              <w:kinsoku w:val="0"/>
              <w:overflowPunct w:val="0"/>
              <w:spacing w:before="0" w:beforeAutospacing="0" w:after="0" w:afterAutospacing="0" w:line="241" w:lineRule="exact"/>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类型</w:t>
            </w:r>
          </w:p>
        </w:tc>
        <w:tc>
          <w:tcPr>
            <w:tcW w:w="1133"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排尿系数（L/d）</w:t>
            </w:r>
          </w:p>
        </w:tc>
        <w:tc>
          <w:tcPr>
            <w:tcW w:w="763" w:type="pct"/>
            <w:noWrap w:val="0"/>
            <w:vAlign w:val="center"/>
          </w:tcPr>
          <w:p>
            <w:pPr>
              <w:pStyle w:val="167"/>
              <w:keepNext w:val="0"/>
              <w:keepLines w:val="0"/>
              <w:suppressLineNumbers w:val="0"/>
              <w:kinsoku w:val="0"/>
              <w:overflowPunct w:val="0"/>
              <w:spacing w:before="0" w:beforeAutospacing="0" w:after="0" w:afterAutospacing="0" w:line="241" w:lineRule="exact"/>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周期</w:t>
            </w:r>
          </w:p>
        </w:tc>
        <w:tc>
          <w:tcPr>
            <w:tcW w:w="1285" w:type="pct"/>
            <w:noWrap w:val="0"/>
            <w:vAlign w:val="center"/>
          </w:tcPr>
          <w:p>
            <w:pPr>
              <w:pStyle w:val="167"/>
              <w:keepNext w:val="0"/>
              <w:keepLines w:val="0"/>
              <w:suppressLineNumbers w:val="0"/>
              <w:kinsoku w:val="0"/>
              <w:overflowPunct w:val="0"/>
              <w:spacing w:before="0" w:beforeAutospacing="0" w:after="0" w:afterAutospacing="0" w:line="241" w:lineRule="exact"/>
              <w:ind w:left="0" w:right="1"/>
              <w:jc w:val="center"/>
              <w:rPr>
                <w:rFonts w:hint="default" w:ascii="Times New Roman" w:hAnsi="Times New Roman" w:eastAsia="宋体" w:cs="Times New Roman"/>
                <w:b/>
                <w:color w:val="auto"/>
                <w:sz w:val="21"/>
                <w:szCs w:val="21"/>
                <w:highlight w:val="none"/>
              </w:rPr>
            </w:pPr>
            <w:r>
              <w:rPr>
                <w:rFonts w:hint="eastAsia" w:ascii="Times New Roman" w:hAnsi="Times New Roman" w:cs="Times New Roman"/>
                <w:b/>
                <w:color w:val="auto"/>
                <w:sz w:val="21"/>
                <w:szCs w:val="21"/>
                <w:highlight w:val="none"/>
                <w:lang w:eastAsia="zh-CN"/>
              </w:rPr>
              <w:t>肉牛</w:t>
            </w:r>
            <w:r>
              <w:rPr>
                <w:rFonts w:hint="default" w:ascii="Times New Roman" w:hAnsi="Times New Roman" w:eastAsia="宋体" w:cs="Times New Roman"/>
                <w:b/>
                <w:color w:val="auto"/>
                <w:sz w:val="21"/>
                <w:szCs w:val="21"/>
                <w:highlight w:val="none"/>
              </w:rPr>
              <w:t>数量（常年存栏）</w:t>
            </w:r>
          </w:p>
        </w:tc>
        <w:tc>
          <w:tcPr>
            <w:tcW w:w="974"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排尿量（m</w:t>
            </w:r>
            <w:r>
              <w:rPr>
                <w:rFonts w:hint="default" w:ascii="Times New Roman" w:hAnsi="Times New Roman" w:eastAsia="宋体" w:cs="Times New Roman"/>
                <w:b/>
                <w:color w:val="auto"/>
                <w:position w:val="7"/>
                <w:sz w:val="21"/>
                <w:szCs w:val="21"/>
                <w:highlight w:val="none"/>
              </w:rPr>
              <w:t>3</w:t>
            </w:r>
            <w:r>
              <w:rPr>
                <w:rFonts w:hint="default" w:ascii="Times New Roman" w:hAnsi="Times New Roman" w:eastAsia="宋体" w:cs="Times New Roman"/>
                <w:b/>
                <w:color w:val="auto"/>
                <w:sz w:val="21"/>
                <w:szCs w:val="21"/>
                <w:highlight w:val="none"/>
              </w:rPr>
              <w:t>/a）</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843" w:type="pct"/>
            <w:noWrap w:val="0"/>
            <w:vAlign w:val="center"/>
          </w:tcPr>
          <w:p>
            <w:pPr>
              <w:pStyle w:val="167"/>
              <w:keepNext w:val="0"/>
              <w:keepLines w:val="0"/>
              <w:suppressLineNumbers w:val="0"/>
              <w:kinsoku w:val="0"/>
              <w:overflowPunct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肉牛</w:t>
            </w:r>
          </w:p>
        </w:tc>
        <w:tc>
          <w:tcPr>
            <w:tcW w:w="1133"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w:t>
            </w:r>
          </w:p>
        </w:tc>
        <w:tc>
          <w:tcPr>
            <w:tcW w:w="763"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365d</w:t>
            </w:r>
          </w:p>
        </w:tc>
        <w:tc>
          <w:tcPr>
            <w:tcW w:w="1285"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12500</w:t>
            </w:r>
          </w:p>
        </w:tc>
        <w:tc>
          <w:tcPr>
            <w:tcW w:w="97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color w:val="auto"/>
                <w:kern w:val="0"/>
                <w:sz w:val="21"/>
                <w:szCs w:val="21"/>
                <w:highlight w:val="none"/>
                <w:u w:val="none"/>
                <w:lang w:val="en-US" w:eastAsia="zh-CN" w:bidi="ar"/>
              </w:rPr>
              <w:t>45625</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4025" w:type="pct"/>
            <w:gridSpan w:val="4"/>
            <w:noWrap w:val="0"/>
            <w:vAlign w:val="center"/>
          </w:tcPr>
          <w:p>
            <w:pPr>
              <w:pStyle w:val="167"/>
              <w:keepNext w:val="0"/>
              <w:keepLines w:val="0"/>
              <w:suppressLineNumbers w:val="0"/>
              <w:kinsoku w:val="0"/>
              <w:overflowPunct w:val="0"/>
              <w:spacing w:before="0" w:beforeAutospacing="0" w:after="0" w:afterAutospacing="0" w:line="241" w:lineRule="exact"/>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折算为每天用量</w:t>
            </w:r>
          </w:p>
        </w:tc>
        <w:tc>
          <w:tcPr>
            <w:tcW w:w="974"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125</w:t>
            </w:r>
            <w:r>
              <w:rPr>
                <w:rFonts w:hint="default" w:ascii="Times New Roman" w:hAnsi="Times New Roman" w:eastAsia="宋体" w:cs="Times New Roman"/>
                <w:color w:val="auto"/>
                <w:sz w:val="21"/>
                <w:szCs w:val="21"/>
                <w:highlight w:val="none"/>
              </w:rPr>
              <w:t>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rPr>
              <w:t>/d</w:t>
            </w:r>
          </w:p>
        </w:tc>
      </w:tr>
    </w:tbl>
    <w:p>
      <w:pPr>
        <w:pStyle w:val="24"/>
        <w:spacing w:line="440" w:lineRule="exact"/>
        <w:ind w:firstLine="480"/>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9）牛</w:t>
      </w:r>
      <w:r>
        <w:rPr>
          <w:rFonts w:hint="default" w:ascii="Times New Roman" w:hAnsi="Times New Roman" w:eastAsia="宋体" w:cs="Times New Roman"/>
          <w:color w:val="auto"/>
          <w:sz w:val="24"/>
          <w:szCs w:val="24"/>
          <w:highlight w:val="none"/>
          <w:lang w:val="en-US" w:eastAsia="zh-CN"/>
        </w:rPr>
        <w:t>粪脱水机的脱水量</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w:t>
      </w:r>
      <w:r>
        <w:rPr>
          <w:rFonts w:hint="default" w:ascii="Times New Roman" w:hAnsi="Times New Roman" w:eastAsia="宋体" w:cs="Times New Roman"/>
          <w:color w:val="auto"/>
          <w:sz w:val="24"/>
          <w:szCs w:val="24"/>
          <w:highlight w:val="none"/>
          <w:lang w:eastAsia="zh-CN"/>
        </w:rPr>
        <w:t>排污许可证申请与核发技术规范</w:t>
      </w:r>
      <w:r>
        <w:rPr>
          <w:rFonts w:hint="default" w:ascii="Times New Roman" w:hAnsi="Times New Roman" w:eastAsia="宋体" w:cs="Times New Roman"/>
          <w:color w:val="auto"/>
          <w:sz w:val="24"/>
          <w:szCs w:val="24"/>
          <w:highlight w:val="none"/>
          <w:lang w:val="en-US" w:eastAsia="zh-CN"/>
        </w:rPr>
        <w:t xml:space="preserve"> 畜禽养殖行业</w:t>
      </w:r>
      <w:r>
        <w:rPr>
          <w:rFonts w:hint="default" w:ascii="Times New Roman" w:hAnsi="Times New Roman" w:eastAsia="宋体" w:cs="Times New Roman"/>
          <w:color w:val="auto"/>
          <w:sz w:val="24"/>
          <w:szCs w:val="24"/>
          <w:highlight w:val="none"/>
        </w:rPr>
        <w:t>》（HJ</w:t>
      </w:r>
      <w:r>
        <w:rPr>
          <w:rFonts w:hint="default" w:ascii="Times New Roman" w:hAnsi="Times New Roman" w:eastAsia="宋体" w:cs="Times New Roman"/>
          <w:color w:val="auto"/>
          <w:sz w:val="24"/>
          <w:szCs w:val="24"/>
          <w:highlight w:val="none"/>
          <w:lang w:val="en-US" w:eastAsia="zh-CN"/>
        </w:rPr>
        <w:t>1029</w:t>
      </w:r>
      <w:r>
        <w:rPr>
          <w:rFonts w:hint="default" w:ascii="Times New Roman" w:hAnsi="Times New Roman" w:eastAsia="宋体" w:cs="Times New Roman"/>
          <w:color w:val="auto"/>
          <w:sz w:val="24"/>
          <w:szCs w:val="24"/>
          <w:highlight w:val="none"/>
        </w:rPr>
        <w:t>－20</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9）</w:t>
      </w:r>
      <w:r>
        <w:rPr>
          <w:rFonts w:hint="default" w:ascii="Times New Roman" w:hAnsi="Times New Roman" w:eastAsia="宋体" w:cs="Times New Roman"/>
          <w:color w:val="auto"/>
          <w:sz w:val="24"/>
          <w:szCs w:val="24"/>
          <w:highlight w:val="none"/>
          <w:lang w:eastAsia="zh-CN"/>
        </w:rPr>
        <w:t>表</w:t>
      </w:r>
      <w:r>
        <w:rPr>
          <w:rFonts w:hint="default" w:ascii="Times New Roman" w:hAnsi="Times New Roman" w:eastAsia="宋体" w:cs="Times New Roman"/>
          <w:color w:val="auto"/>
          <w:sz w:val="24"/>
          <w:szCs w:val="24"/>
          <w:highlight w:val="none"/>
          <w:lang w:val="en-US" w:eastAsia="zh-CN"/>
        </w:rPr>
        <w:t>9 各类畜禽污染物产生量，肉牛粪便产生量为10.88</w:t>
      </w:r>
      <w:r>
        <w:rPr>
          <w:rFonts w:hint="default" w:ascii="Times New Roman" w:hAnsi="Times New Roman" w:eastAsia="宋体" w:cs="Times New Roman"/>
          <w:color w:val="auto"/>
          <w:sz w:val="24"/>
          <w:szCs w:val="24"/>
          <w:highlight w:val="none"/>
        </w:rPr>
        <w:t>kg/d•头计</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则本项目</w:t>
      </w:r>
      <w:r>
        <w:rPr>
          <w:rFonts w:hint="default" w:ascii="Times New Roman" w:hAnsi="Times New Roman" w:eastAsia="宋体" w:cs="Times New Roman"/>
          <w:color w:val="auto"/>
          <w:sz w:val="24"/>
          <w:szCs w:val="24"/>
          <w:highlight w:val="none"/>
          <w:lang w:eastAsia="zh-CN"/>
        </w:rPr>
        <w:t>牛粪便产生量</w:t>
      </w:r>
      <w:r>
        <w:rPr>
          <w:rFonts w:hint="default" w:ascii="Times New Roman" w:hAnsi="Times New Roman" w:eastAsia="宋体" w:cs="Times New Roman"/>
          <w:color w:val="auto"/>
          <w:sz w:val="24"/>
          <w:szCs w:val="24"/>
          <w:highlight w:val="none"/>
        </w:rPr>
        <w:t>为</w:t>
      </w:r>
      <w:r>
        <w:rPr>
          <w:rFonts w:hint="eastAsia" w:ascii="Times New Roman" w:hAnsi="Times New Roman" w:eastAsia="宋体" w:cs="Times New Roman"/>
          <w:color w:val="auto"/>
          <w:sz w:val="24"/>
          <w:szCs w:val="24"/>
          <w:highlight w:val="none"/>
          <w:lang w:val="en-US" w:eastAsia="zh-CN"/>
        </w:rPr>
        <w:t>49640</w:t>
      </w:r>
      <w:r>
        <w:rPr>
          <w:rFonts w:hint="default" w:ascii="Times New Roman" w:hAnsi="Times New Roman" w:eastAsia="宋体" w:cs="Times New Roman"/>
          <w:color w:val="auto"/>
          <w:sz w:val="24"/>
          <w:szCs w:val="24"/>
          <w:highlight w:val="none"/>
        </w:rPr>
        <w:t>t/a。</w:t>
      </w:r>
    </w:p>
    <w:p>
      <w:pPr>
        <w:ind w:firstLine="480"/>
        <w:rPr>
          <w:rFonts w:hint="eastAsia" w:ascii="Times New Roman" w:hAnsi="Times New Roman"/>
          <w:color w:val="auto"/>
          <w:highlight w:val="none"/>
        </w:rPr>
      </w:pPr>
      <w:r>
        <w:rPr>
          <w:rFonts w:hint="default" w:ascii="Times New Roman" w:hAnsi="Times New Roman" w:eastAsia="宋体" w:cs="Times New Roman"/>
          <w:color w:val="auto"/>
          <w:sz w:val="24"/>
          <w:szCs w:val="24"/>
          <w:highlight w:val="none"/>
        </w:rPr>
        <w:t>根据类比</w:t>
      </w:r>
      <w:r>
        <w:rPr>
          <w:rFonts w:hint="eastAsia" w:ascii="Times New Roman" w:hAnsi="Times New Roman" w:eastAsia="宋体" w:cs="Times New Roman"/>
          <w:color w:val="auto"/>
          <w:sz w:val="24"/>
          <w:szCs w:val="24"/>
          <w:highlight w:val="none"/>
          <w:lang w:eastAsia="zh-CN"/>
        </w:rPr>
        <w:t>数据</w:t>
      </w:r>
      <w:r>
        <w:rPr>
          <w:rFonts w:hint="default" w:ascii="Times New Roman" w:hAnsi="Times New Roman" w:eastAsia="宋体" w:cs="Times New Roman"/>
          <w:color w:val="auto"/>
          <w:sz w:val="24"/>
          <w:szCs w:val="24"/>
          <w:highlight w:val="none"/>
        </w:rPr>
        <w:t>，新鲜粪便的含水量约为83.8%，本项目牛粪脱水后粪便含水量为70%（行业经验系数）</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则</w:t>
      </w:r>
      <w:r>
        <w:rPr>
          <w:rFonts w:hint="eastAsia" w:ascii="Times New Roman" w:hAnsi="Times New Roman" w:eastAsia="宋体" w:cs="Times New Roman"/>
          <w:color w:val="auto"/>
          <w:sz w:val="24"/>
          <w:szCs w:val="24"/>
          <w:highlight w:val="none"/>
          <w:lang w:eastAsia="zh-CN"/>
        </w:rPr>
        <w:t>牛</w:t>
      </w:r>
      <w:r>
        <w:rPr>
          <w:rFonts w:hint="default" w:ascii="Times New Roman" w:hAnsi="Times New Roman" w:eastAsia="宋体" w:cs="Times New Roman"/>
          <w:color w:val="auto"/>
          <w:sz w:val="24"/>
          <w:szCs w:val="24"/>
          <w:highlight w:val="none"/>
        </w:rPr>
        <w:t>粪脱水机的脱水量为</w:t>
      </w:r>
      <w:r>
        <w:rPr>
          <w:rFonts w:hint="eastAsia" w:ascii="Times New Roman" w:hAnsi="Times New Roman" w:eastAsia="宋体" w:cs="Times New Roman"/>
          <w:color w:val="auto"/>
          <w:sz w:val="24"/>
          <w:szCs w:val="24"/>
          <w:highlight w:val="none"/>
          <w:lang w:val="en-US" w:eastAsia="zh-CN"/>
        </w:rPr>
        <w:t>62.56m</w:t>
      </w:r>
      <w:r>
        <w:rPr>
          <w:rFonts w:hint="eastAsia"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/d</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22834.4m</w:t>
      </w:r>
      <w:r>
        <w:rPr>
          <w:rFonts w:hint="eastAsia"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/a）。</w:t>
      </w:r>
    </w:p>
    <w:p>
      <w:pPr>
        <w:pStyle w:val="24"/>
        <w:wordWrap w:val="0"/>
        <w:ind w:firstLine="480"/>
        <w:rPr>
          <w:rFonts w:ascii="Times New Roman" w:hAnsi="Times New Roman"/>
          <w:color w:val="auto"/>
          <w:highlight w:val="none"/>
        </w:rPr>
      </w:pPr>
      <w:r>
        <w:rPr>
          <w:rFonts w:ascii="Times New Roman" w:hAnsi="Times New Roman"/>
          <w:color w:val="auto"/>
          <w:highlight w:val="none"/>
        </w:rPr>
        <w:t>本项目运营期用水量预测及分配情况见下表。</w:t>
      </w:r>
    </w:p>
    <w:p>
      <w:pPr>
        <w:pStyle w:val="2504"/>
        <w:numPr>
          <w:ilvl w:val="0"/>
          <w:numId w:val="25"/>
        </w:numPr>
        <w:spacing w:before="120"/>
        <w:ind w:left="0" w:leftChars="0" w:firstLine="403" w:firstLineChars="0"/>
        <w:rPr>
          <w:color w:val="auto"/>
          <w:highlight w:val="none"/>
        </w:rPr>
      </w:pPr>
      <w:r>
        <w:rPr>
          <w:rFonts w:hint="eastAsia" w:ascii="Times New Roman" w:hAnsi="Times New Roman" w:cs="Times New Roman"/>
          <w:color w:val="auto"/>
          <w:highlight w:val="none"/>
          <w:lang w:val="en-US" w:eastAsia="zh-CN"/>
        </w:rPr>
        <w:t xml:space="preserve">  </w:t>
      </w:r>
      <w:r>
        <w:rPr>
          <w:color w:val="auto"/>
          <w:highlight w:val="none"/>
        </w:rPr>
        <w:t>项目用水量预测及分配情况表</w:t>
      </w:r>
    </w:p>
    <w:tbl>
      <w:tblPr>
        <w:tblStyle w:val="91"/>
        <w:tblW w:w="4995" w:type="pct"/>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21"/>
        <w:gridCol w:w="890"/>
        <w:gridCol w:w="759"/>
        <w:gridCol w:w="1219"/>
        <w:gridCol w:w="1029"/>
        <w:gridCol w:w="922"/>
        <w:gridCol w:w="1431"/>
        <w:gridCol w:w="1427"/>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序号</w:t>
            </w:r>
          </w:p>
        </w:tc>
        <w:tc>
          <w:tcPr>
            <w:tcW w:w="1027" w:type="pct"/>
            <w:gridSpan w:val="2"/>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用水项目</w:t>
            </w:r>
          </w:p>
        </w:tc>
        <w:tc>
          <w:tcPr>
            <w:tcW w:w="75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用水标准</w:t>
            </w:r>
          </w:p>
        </w:tc>
        <w:tc>
          <w:tcPr>
            <w:tcW w:w="503"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用水规模</w:t>
            </w:r>
          </w:p>
        </w:tc>
        <w:tc>
          <w:tcPr>
            <w:tcW w:w="57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排污系数</w:t>
            </w:r>
          </w:p>
        </w:tc>
        <w:tc>
          <w:tcPr>
            <w:tcW w:w="879" w:type="pct"/>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用水量（m</w:t>
            </w:r>
            <w:r>
              <w:rPr>
                <w:rFonts w:hint="default" w:ascii="Times New Roman" w:hAnsi="Times New Roman" w:cs="Times New Roman"/>
                <w:b/>
                <w:color w:val="auto"/>
                <w:sz w:val="21"/>
                <w:szCs w:val="21"/>
                <w:highlight w:val="none"/>
                <w:vertAlign w:val="superscript"/>
              </w:rPr>
              <w:t>3</w:t>
            </w:r>
            <w:r>
              <w:rPr>
                <w:rFonts w:hint="default" w:ascii="Times New Roman" w:hAnsi="Times New Roman" w:cs="Times New Roman"/>
                <w:b/>
                <w:color w:val="auto"/>
                <w:sz w:val="21"/>
                <w:szCs w:val="21"/>
                <w:highlight w:val="none"/>
              </w:rPr>
              <w:t>/d）</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废水量（m</w:t>
            </w:r>
            <w:r>
              <w:rPr>
                <w:rFonts w:hint="default" w:ascii="Times New Roman" w:hAnsi="Times New Roman" w:cs="Times New Roman"/>
                <w:b/>
                <w:color w:val="auto"/>
                <w:sz w:val="21"/>
                <w:szCs w:val="21"/>
                <w:highlight w:val="none"/>
                <w:vertAlign w:val="superscript"/>
              </w:rPr>
              <w:t>3</w:t>
            </w:r>
            <w:r>
              <w:rPr>
                <w:rFonts w:hint="default" w:ascii="Times New Roman" w:hAnsi="Times New Roman" w:cs="Times New Roman"/>
                <w:b/>
                <w:color w:val="auto"/>
                <w:sz w:val="21"/>
                <w:szCs w:val="21"/>
                <w:highlight w:val="none"/>
              </w:rPr>
              <w:t>/d）</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1027" w:type="pct"/>
            <w:gridSpan w:val="2"/>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eastAsia="zh-CN"/>
              </w:rPr>
              <w:t>牛</w:t>
            </w:r>
            <w:r>
              <w:rPr>
                <w:rFonts w:hint="default" w:ascii="Times New Roman" w:hAnsi="Times New Roman" w:cs="Times New Roman"/>
                <w:color w:val="auto"/>
                <w:sz w:val="21"/>
                <w:szCs w:val="21"/>
                <w:highlight w:val="none"/>
              </w:rPr>
              <w:t>饮用水</w:t>
            </w:r>
          </w:p>
        </w:tc>
        <w:tc>
          <w:tcPr>
            <w:tcW w:w="75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40</w:t>
            </w:r>
            <w:r>
              <w:rPr>
                <w:rFonts w:hint="default" w:ascii="Times New Roman" w:hAnsi="Times New Roman" w:cs="Times New Roman"/>
                <w:color w:val="auto"/>
                <w:sz w:val="21"/>
                <w:szCs w:val="21"/>
                <w:highlight w:val="none"/>
              </w:rPr>
              <w:t>L/头·d</w:t>
            </w:r>
          </w:p>
        </w:tc>
        <w:tc>
          <w:tcPr>
            <w:tcW w:w="503"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12500</w:t>
            </w:r>
            <w:r>
              <w:rPr>
                <w:rFonts w:hint="default" w:ascii="Times New Roman" w:hAnsi="Times New Roman" w:cs="Times New Roman"/>
                <w:color w:val="auto"/>
                <w:sz w:val="21"/>
                <w:szCs w:val="21"/>
                <w:highlight w:val="none"/>
              </w:rPr>
              <w:t>头</w:t>
            </w:r>
          </w:p>
        </w:tc>
        <w:tc>
          <w:tcPr>
            <w:tcW w:w="57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879" w:type="pct"/>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500</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125（</w:t>
            </w:r>
            <w:r>
              <w:rPr>
                <w:rFonts w:hint="eastAsia" w:ascii="Times New Roman" w:hAnsi="Times New Roman" w:cs="Times New Roman"/>
                <w:color w:val="auto"/>
                <w:sz w:val="21"/>
                <w:szCs w:val="21"/>
                <w:highlight w:val="none"/>
                <w:lang w:eastAsia="zh-CN"/>
              </w:rPr>
              <w:t>牛</w:t>
            </w:r>
            <w:r>
              <w:rPr>
                <w:rFonts w:hint="default" w:ascii="Times New Roman" w:hAnsi="Times New Roman" w:cs="Times New Roman"/>
                <w:color w:val="auto"/>
                <w:sz w:val="21"/>
                <w:szCs w:val="21"/>
                <w:highlight w:val="none"/>
              </w:rPr>
              <w:t>尿）</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2</w:t>
            </w:r>
          </w:p>
        </w:tc>
        <w:tc>
          <w:tcPr>
            <w:tcW w:w="1027" w:type="pct"/>
            <w:gridSpan w:val="2"/>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eastAsia" w:ascii="Times New Roman" w:hAnsi="Times New Roman" w:cs="Times New Roman"/>
                <w:color w:val="auto"/>
                <w:sz w:val="21"/>
                <w:szCs w:val="21"/>
                <w:highlight w:val="none"/>
                <w:lang w:eastAsia="zh-CN"/>
              </w:rPr>
              <w:t>牛</w:t>
            </w:r>
            <w:r>
              <w:rPr>
                <w:rFonts w:hint="default" w:ascii="Times New Roman" w:hAnsi="Times New Roman" w:cs="Times New Roman"/>
                <w:color w:val="auto"/>
                <w:sz w:val="21"/>
                <w:szCs w:val="21"/>
                <w:highlight w:val="none"/>
              </w:rPr>
              <w:t>粪脱水机的脱水量</w:t>
            </w:r>
          </w:p>
        </w:tc>
        <w:tc>
          <w:tcPr>
            <w:tcW w:w="75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cs="Times New Roman"/>
                <w:color w:val="auto"/>
                <w:sz w:val="21"/>
                <w:szCs w:val="21"/>
                <w:highlight w:val="none"/>
              </w:rPr>
              <w:t>/</w:t>
            </w:r>
          </w:p>
        </w:tc>
        <w:tc>
          <w:tcPr>
            <w:tcW w:w="503"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cs="Times New Roman"/>
                <w:color w:val="auto"/>
                <w:sz w:val="21"/>
                <w:szCs w:val="21"/>
                <w:highlight w:val="none"/>
              </w:rPr>
              <w:t>/</w:t>
            </w:r>
          </w:p>
        </w:tc>
        <w:tc>
          <w:tcPr>
            <w:tcW w:w="57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cs="Times New Roman"/>
                <w:color w:val="auto"/>
                <w:sz w:val="21"/>
                <w:szCs w:val="21"/>
                <w:highlight w:val="none"/>
              </w:rPr>
              <w:t>/</w:t>
            </w:r>
          </w:p>
        </w:tc>
        <w:tc>
          <w:tcPr>
            <w:tcW w:w="879" w:type="pct"/>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cs="Times New Roman"/>
                <w:color w:val="auto"/>
                <w:sz w:val="21"/>
                <w:szCs w:val="21"/>
                <w:highlight w:val="none"/>
              </w:rPr>
              <w:t>/</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1"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62.56</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w:t>
            </w:r>
          </w:p>
        </w:tc>
        <w:tc>
          <w:tcPr>
            <w:tcW w:w="1027" w:type="pct"/>
            <w:gridSpan w:val="2"/>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饲槽清洗</w:t>
            </w:r>
          </w:p>
        </w:tc>
        <w:tc>
          <w:tcPr>
            <w:tcW w:w="75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0.5m</w:t>
            </w:r>
            <w:r>
              <w:rPr>
                <w:rFonts w:hint="eastAsia" w:ascii="Times New Roman" w:hAnsi="Times New Roman" w:eastAsia="宋体" w:cs="Times New Roman"/>
                <w:color w:val="auto"/>
                <w:sz w:val="21"/>
                <w:szCs w:val="21"/>
                <w:highlight w:val="none"/>
                <w:vertAlign w:val="superscript"/>
              </w:rPr>
              <w:t>3</w:t>
            </w:r>
            <w:r>
              <w:rPr>
                <w:rFonts w:hint="eastAsia" w:ascii="Times New Roman" w:hAnsi="Times New Roman" w:eastAsia="宋体" w:cs="Times New Roman"/>
                <w:color w:val="auto"/>
                <w:sz w:val="21"/>
                <w:szCs w:val="21"/>
                <w:highlight w:val="none"/>
              </w:rPr>
              <w:t>/百头·d</w:t>
            </w:r>
          </w:p>
        </w:tc>
        <w:tc>
          <w:tcPr>
            <w:tcW w:w="503"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12500</w:t>
            </w:r>
          </w:p>
        </w:tc>
        <w:tc>
          <w:tcPr>
            <w:tcW w:w="57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0.8</w:t>
            </w:r>
          </w:p>
        </w:tc>
        <w:tc>
          <w:tcPr>
            <w:tcW w:w="879" w:type="pct"/>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62.5</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4</w:t>
            </w:r>
          </w:p>
        </w:tc>
        <w:tc>
          <w:tcPr>
            <w:tcW w:w="1027" w:type="pct"/>
            <w:gridSpan w:val="2"/>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消毒用水</w:t>
            </w:r>
          </w:p>
        </w:tc>
        <w:tc>
          <w:tcPr>
            <w:tcW w:w="75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4"/>
                <w:szCs w:val="24"/>
                <w:highlight w:val="none"/>
              </w:rPr>
              <w:t>0.</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p>
        </w:tc>
        <w:tc>
          <w:tcPr>
            <w:tcW w:w="503"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365d</w:t>
            </w:r>
          </w:p>
        </w:tc>
        <w:tc>
          <w:tcPr>
            <w:tcW w:w="57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全部损耗</w:t>
            </w:r>
          </w:p>
        </w:tc>
        <w:tc>
          <w:tcPr>
            <w:tcW w:w="879" w:type="pct"/>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0.5</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5</w:t>
            </w:r>
          </w:p>
        </w:tc>
        <w:tc>
          <w:tcPr>
            <w:tcW w:w="553" w:type="pct"/>
            <w:vMerge w:val="restart"/>
            <w:tcBorders>
              <w:left w:val="single" w:color="auto" w:sz="4" w:space="0"/>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职工生活用水</w:t>
            </w:r>
          </w:p>
        </w:tc>
        <w:tc>
          <w:tcPr>
            <w:tcW w:w="474" w:type="pct"/>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办公及生活</w:t>
            </w:r>
          </w:p>
        </w:tc>
        <w:tc>
          <w:tcPr>
            <w:tcW w:w="75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100L/人·d</w:t>
            </w:r>
          </w:p>
        </w:tc>
        <w:tc>
          <w:tcPr>
            <w:tcW w:w="503"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80</w:t>
            </w:r>
          </w:p>
        </w:tc>
        <w:tc>
          <w:tcPr>
            <w:tcW w:w="57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w:t>
            </w:r>
          </w:p>
        </w:tc>
        <w:tc>
          <w:tcPr>
            <w:tcW w:w="879" w:type="pct"/>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8</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6.4</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6</w:t>
            </w:r>
          </w:p>
        </w:tc>
        <w:tc>
          <w:tcPr>
            <w:tcW w:w="553" w:type="pct"/>
            <w:vMerge w:val="continue"/>
            <w:tcBorders>
              <w:left w:val="single" w:color="auto" w:sz="4" w:space="0"/>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474" w:type="pct"/>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食堂</w:t>
            </w:r>
          </w:p>
        </w:tc>
        <w:tc>
          <w:tcPr>
            <w:tcW w:w="75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25L/人·次</w:t>
            </w:r>
          </w:p>
        </w:tc>
        <w:tc>
          <w:tcPr>
            <w:tcW w:w="503"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80</w:t>
            </w:r>
          </w:p>
        </w:tc>
        <w:tc>
          <w:tcPr>
            <w:tcW w:w="57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w:t>
            </w:r>
          </w:p>
        </w:tc>
        <w:tc>
          <w:tcPr>
            <w:tcW w:w="879" w:type="pct"/>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6</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4.8</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w:t>
            </w:r>
          </w:p>
        </w:tc>
        <w:tc>
          <w:tcPr>
            <w:tcW w:w="1027" w:type="pct"/>
            <w:gridSpan w:val="2"/>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夏季湿帘用水</w:t>
            </w:r>
          </w:p>
        </w:tc>
        <w:tc>
          <w:tcPr>
            <w:tcW w:w="75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503"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57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全部损耗</w:t>
            </w:r>
          </w:p>
        </w:tc>
        <w:tc>
          <w:tcPr>
            <w:tcW w:w="879" w:type="pct"/>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45</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244" w:type="pct"/>
            <w:gridSpan w:val="6"/>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合计</w:t>
            </w:r>
          </w:p>
        </w:tc>
        <w:tc>
          <w:tcPr>
            <w:tcW w:w="1431"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2"/>
                <w:sz w:val="21"/>
                <w:szCs w:val="21"/>
                <w:highlight w:val="none"/>
                <w:u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622</w:t>
            </w:r>
          </w:p>
        </w:tc>
        <w:tc>
          <w:tcPr>
            <w:tcW w:w="1427"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248.76</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8</w:t>
            </w:r>
          </w:p>
        </w:tc>
        <w:tc>
          <w:tcPr>
            <w:tcW w:w="1027" w:type="pct"/>
            <w:gridSpan w:val="2"/>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绿化</w:t>
            </w:r>
            <w:r>
              <w:rPr>
                <w:rFonts w:hint="eastAsia" w:ascii="Times New Roman" w:hAnsi="Times New Roman" w:cs="Times New Roman"/>
                <w:color w:val="auto"/>
                <w:sz w:val="21"/>
                <w:szCs w:val="21"/>
                <w:highlight w:val="none"/>
                <w:lang w:eastAsia="zh-CN"/>
              </w:rPr>
              <w:t>林地</w:t>
            </w:r>
            <w:r>
              <w:rPr>
                <w:rFonts w:hint="default" w:ascii="Times New Roman" w:hAnsi="Times New Roman" w:cs="Times New Roman"/>
                <w:color w:val="auto"/>
                <w:sz w:val="21"/>
                <w:szCs w:val="21"/>
                <w:highlight w:val="none"/>
              </w:rPr>
              <w:t>用水</w:t>
            </w:r>
          </w:p>
        </w:tc>
        <w:tc>
          <w:tcPr>
            <w:tcW w:w="75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L/m</w:t>
            </w:r>
            <w:r>
              <w:rPr>
                <w:rFonts w:hint="default" w:ascii="Times New Roman" w:hAnsi="Times New Roman" w:cs="Times New Roman"/>
                <w:color w:val="auto"/>
                <w:sz w:val="21"/>
                <w:szCs w:val="21"/>
                <w:highlight w:val="none"/>
                <w:vertAlign w:val="superscript"/>
              </w:rPr>
              <w:t>2</w:t>
            </w:r>
            <w:r>
              <w:rPr>
                <w:rFonts w:hint="default" w:ascii="Times New Roman" w:hAnsi="Times New Roman" w:cs="Times New Roman"/>
                <w:color w:val="auto"/>
                <w:sz w:val="21"/>
                <w:szCs w:val="21"/>
                <w:highlight w:val="none"/>
              </w:rPr>
              <w:t>·次</w:t>
            </w:r>
          </w:p>
        </w:tc>
        <w:tc>
          <w:tcPr>
            <w:tcW w:w="503"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50120.65</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2</w:t>
            </w:r>
          </w:p>
        </w:tc>
        <w:tc>
          <w:tcPr>
            <w:tcW w:w="57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全部损耗</w:t>
            </w:r>
          </w:p>
        </w:tc>
        <w:tc>
          <w:tcPr>
            <w:tcW w:w="879" w:type="pct"/>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52.121</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/次</w:t>
            </w:r>
            <w:r>
              <w:rPr>
                <w:rFonts w:hint="default" w:ascii="Times New Roman" w:hAnsi="Times New Roman" w:cs="Times New Roman"/>
                <w:color w:val="auto"/>
                <w:sz w:val="21"/>
                <w:szCs w:val="21"/>
                <w:highlight w:val="none"/>
              </w:rPr>
              <w:t>（用储存池尾水，不计入总用水量）</w:t>
            </w:r>
          </w:p>
        </w:tc>
        <w:tc>
          <w:tcPr>
            <w:tcW w:w="876" w:type="pct"/>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1" w:type="pct"/>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w:t>
            </w:r>
          </w:p>
        </w:tc>
        <w:tc>
          <w:tcPr>
            <w:tcW w:w="1649" w:type="dxa"/>
            <w:gridSpan w:val="2"/>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eastAsia="zh-CN"/>
              </w:rPr>
              <w:t>牛</w:t>
            </w:r>
            <w:r>
              <w:rPr>
                <w:rFonts w:hint="default" w:ascii="Times New Roman" w:hAnsi="Times New Roman" w:cs="Times New Roman"/>
                <w:color w:val="auto"/>
                <w:sz w:val="21"/>
                <w:szCs w:val="21"/>
                <w:highlight w:val="none"/>
              </w:rPr>
              <w:t>舍冲洗</w:t>
            </w:r>
          </w:p>
        </w:tc>
        <w:tc>
          <w:tcPr>
            <w:tcW w:w="1219" w:type="dxa"/>
            <w:noWrap w:val="0"/>
            <w:vAlign w:val="center"/>
          </w:tcPr>
          <w:p>
            <w:pPr>
              <w:pStyle w:val="167"/>
              <w:keepNext w:val="0"/>
              <w:keepLines w:val="0"/>
              <w:suppressLineNumbers w:val="0"/>
              <w:kinsoku w:val="0"/>
              <w:overflowPunct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8</w:t>
            </w:r>
            <w:r>
              <w:rPr>
                <w:rFonts w:hint="default" w:ascii="Times New Roman" w:hAnsi="Times New Roman" w:cs="Times New Roman"/>
                <w:color w:val="auto"/>
                <w:sz w:val="21"/>
                <w:szCs w:val="21"/>
                <w:highlight w:val="none"/>
              </w:rPr>
              <w:t>L/m</w:t>
            </w:r>
            <w:r>
              <w:rPr>
                <w:rFonts w:hint="default" w:ascii="Times New Roman" w:hAnsi="Times New Roman" w:cs="Times New Roman"/>
                <w:color w:val="auto"/>
                <w:sz w:val="21"/>
                <w:szCs w:val="21"/>
                <w:highlight w:val="none"/>
                <w:vertAlign w:val="superscript"/>
              </w:rPr>
              <w:t>2</w:t>
            </w:r>
            <w:r>
              <w:rPr>
                <w:rFonts w:hint="default" w:ascii="Times New Roman" w:hAnsi="Times New Roman" w:cs="Times New Roman"/>
                <w:color w:val="auto"/>
                <w:sz w:val="21"/>
                <w:szCs w:val="21"/>
                <w:highlight w:val="none"/>
              </w:rPr>
              <w:t>·次计</w:t>
            </w:r>
          </w:p>
        </w:tc>
        <w:tc>
          <w:tcPr>
            <w:tcW w:w="1029" w:type="dxa"/>
            <w:noWrap w:val="0"/>
            <w:vAlign w:val="center"/>
          </w:tcPr>
          <w:p>
            <w:pPr>
              <w:pStyle w:val="167"/>
              <w:keepNext w:val="0"/>
              <w:keepLines w:val="0"/>
              <w:suppressLineNumbers w:val="0"/>
              <w:kinsoku w:val="0"/>
              <w:overflowPunct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w:t>
            </w:r>
          </w:p>
        </w:tc>
        <w:tc>
          <w:tcPr>
            <w:tcW w:w="922" w:type="dxa"/>
            <w:tcBorders>
              <w:righ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0.9</w:t>
            </w:r>
          </w:p>
        </w:tc>
        <w:tc>
          <w:tcPr>
            <w:tcW w:w="1431" w:type="dxa"/>
            <w:tcBorders>
              <w:left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63.62</w:t>
            </w:r>
            <w:r>
              <w:rPr>
                <w:rFonts w:hint="default" w:ascii="Times New Roman" w:hAnsi="Times New Roman" w:cs="Times New Roman"/>
                <w:color w:val="auto"/>
                <w:sz w:val="21"/>
                <w:szCs w:val="21"/>
                <w:highlight w:val="none"/>
              </w:rPr>
              <w:t>（用储存池尾水，不计入总用水量）</w:t>
            </w:r>
          </w:p>
        </w:tc>
        <w:tc>
          <w:tcPr>
            <w:tcW w:w="1427" w:type="dxa"/>
            <w:noWrap w:val="0"/>
            <w:vAlign w:val="center"/>
          </w:tcPr>
          <w:p>
            <w:pPr>
              <w:pStyle w:val="167"/>
              <w:keepNext w:val="0"/>
              <w:keepLines w:val="0"/>
              <w:suppressLineNumbers w:val="0"/>
              <w:kinsoku w:val="0"/>
              <w:overflowPunct w:val="0"/>
              <w:spacing w:before="0" w:beforeAutospacing="0" w:after="0" w:afterAutospacing="0"/>
              <w:ind w:left="0" w:leftChars="0" w:right="1" w:rightChars="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57.26</w:t>
            </w:r>
            <w:r>
              <w:rPr>
                <w:rFonts w:hint="default" w:ascii="Times New Roman" w:hAnsi="Times New Roman" w:cs="Times New Roman"/>
                <w:color w:val="auto"/>
                <w:sz w:val="21"/>
                <w:szCs w:val="21"/>
                <w:highlight w:val="none"/>
              </w:rPr>
              <w:t>（用储存池尾水，不计入总用水量）</w:t>
            </w:r>
          </w:p>
        </w:tc>
      </w:tr>
    </w:tbl>
    <w:p>
      <w:pPr>
        <w:pStyle w:val="24"/>
        <w:wordWrap w:val="0"/>
        <w:spacing w:line="440" w:lineRule="exact"/>
        <w:ind w:firstLine="480"/>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根据上述分析，本项目运营过程中新鲜水总用水量为</w:t>
      </w:r>
      <w:r>
        <w:rPr>
          <w:rFonts w:hint="eastAsia" w:cs="Times New Roman"/>
          <w:color w:val="auto"/>
          <w:sz w:val="24"/>
          <w:szCs w:val="24"/>
          <w:highlight w:val="none"/>
          <w:lang w:val="en-US" w:eastAsia="zh-CN"/>
        </w:rPr>
        <w:t>622</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cs="Times New Roman"/>
          <w:color w:val="auto"/>
          <w:sz w:val="24"/>
          <w:szCs w:val="24"/>
          <w:highlight w:val="none"/>
          <w:lang w:val="en-US" w:eastAsia="zh-CN"/>
        </w:rPr>
        <w:t>227030</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lang w:eastAsia="zh-CN"/>
        </w:rPr>
        <w:t>排水量为</w:t>
      </w:r>
      <w:r>
        <w:rPr>
          <w:rFonts w:hint="eastAsia" w:cs="Times New Roman"/>
          <w:color w:val="auto"/>
          <w:sz w:val="24"/>
          <w:szCs w:val="24"/>
          <w:highlight w:val="none"/>
          <w:lang w:val="en-US" w:eastAsia="zh-CN"/>
        </w:rPr>
        <w:t>248.76</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cs="Times New Roman"/>
          <w:color w:val="auto"/>
          <w:sz w:val="24"/>
          <w:szCs w:val="24"/>
          <w:highlight w:val="none"/>
          <w:lang w:val="en-US" w:eastAsia="zh-CN"/>
        </w:rPr>
        <w:t>90797.4</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w:t>
      </w:r>
      <w:r>
        <w:rPr>
          <w:rFonts w:hint="eastAsia" w:cs="Times New Roman"/>
          <w:color w:val="auto"/>
          <w:sz w:val="24"/>
          <w:szCs w:val="24"/>
          <w:highlight w:val="none"/>
          <w:lang w:eastAsia="zh-CN"/>
        </w:rPr>
        <w:t>。</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本项目产生的废水经拟建的“</w:t>
      </w:r>
      <w:r>
        <w:rPr>
          <w:rFonts w:hint="default" w:ascii="Times New Roman" w:hAnsi="Times New Roman" w:eastAsia="宋体" w:cs="Times New Roman"/>
          <w:color w:val="auto"/>
          <w:sz w:val="24"/>
          <w:szCs w:val="24"/>
          <w:highlight w:val="none"/>
          <w:lang w:eastAsia="zh-CN"/>
        </w:rPr>
        <w:t>固液分离+UASB厌氧+絮凝沉淀+两级A/O系统+混凝絮凝沉淀+消毒</w:t>
      </w:r>
      <w:r>
        <w:rPr>
          <w:rFonts w:hint="default" w:ascii="Times New Roman" w:hAnsi="Times New Roman" w:eastAsia="宋体" w:cs="Times New Roman"/>
          <w:color w:val="auto"/>
          <w:sz w:val="24"/>
          <w:szCs w:val="24"/>
          <w:highlight w:val="none"/>
        </w:rPr>
        <w:t>”污水处理设施处理达《农田灌溉水质标准》（</w:t>
      </w:r>
      <w:r>
        <w:rPr>
          <w:rFonts w:hint="eastAsia" w:ascii="Times New Roman" w:hAnsi="Times New Roman" w:eastAsia="宋体" w:cs="Times New Roman"/>
          <w:color w:val="auto"/>
          <w:sz w:val="24"/>
          <w:szCs w:val="24"/>
          <w:highlight w:val="none"/>
          <w:lang w:eastAsia="zh-CN"/>
        </w:rPr>
        <w:t>GB5084-2021</w:t>
      </w:r>
      <w:r>
        <w:rPr>
          <w:rFonts w:hint="default" w:ascii="Times New Roman" w:hAnsi="Times New Roman" w:eastAsia="宋体" w:cs="Times New Roman"/>
          <w:color w:val="auto"/>
          <w:sz w:val="24"/>
          <w:szCs w:val="24"/>
          <w:highlight w:val="none"/>
        </w:rPr>
        <w:t>）中</w:t>
      </w:r>
      <w:r>
        <w:rPr>
          <w:rFonts w:hint="eastAsia" w:ascii="Times New Roman" w:hAnsi="Times New Roman" w:eastAsia="宋体" w:cs="Times New Roman"/>
          <w:color w:val="auto"/>
          <w:sz w:val="24"/>
          <w:szCs w:val="24"/>
          <w:highlight w:val="none"/>
          <w:lang w:eastAsia="zh-CN"/>
        </w:rPr>
        <w:t>蔬菜</w:t>
      </w:r>
      <w:r>
        <w:rPr>
          <w:rFonts w:hint="default" w:ascii="Times New Roman" w:hAnsi="Times New Roman" w:eastAsia="宋体" w:cs="Times New Roman"/>
          <w:color w:val="auto"/>
          <w:sz w:val="24"/>
          <w:szCs w:val="24"/>
          <w:highlight w:val="none"/>
        </w:rPr>
        <w:t>标准后暂存于储存池内，用于</w:t>
      </w:r>
      <w:r>
        <w:rPr>
          <w:rFonts w:hint="eastAsia" w:ascii="Times New Roman" w:hAnsi="Times New Roman" w:eastAsia="宋体" w:cs="Times New Roman"/>
          <w:color w:val="auto"/>
          <w:sz w:val="24"/>
          <w:szCs w:val="24"/>
          <w:highlight w:val="none"/>
          <w:lang w:eastAsia="zh-CN"/>
        </w:rPr>
        <w:t>周边林地</w:t>
      </w:r>
      <w:r>
        <w:rPr>
          <w:rFonts w:hint="default" w:ascii="Times New Roman" w:hAnsi="Times New Roman" w:eastAsia="宋体" w:cs="Times New Roman"/>
          <w:color w:val="auto"/>
          <w:sz w:val="24"/>
          <w:szCs w:val="24"/>
          <w:highlight w:val="none"/>
        </w:rPr>
        <w:t>灌溉</w:t>
      </w:r>
      <w:r>
        <w:rPr>
          <w:rFonts w:hint="eastAsia" w:ascii="Times New Roman" w:hAnsi="Times New Roman" w:eastAsia="宋体" w:cs="Times New Roman"/>
          <w:color w:val="auto"/>
          <w:sz w:val="24"/>
          <w:szCs w:val="24"/>
          <w:highlight w:val="none"/>
          <w:lang w:eastAsia="zh-CN"/>
        </w:rPr>
        <w:t>及农田灌溉</w:t>
      </w:r>
      <w:r>
        <w:rPr>
          <w:rFonts w:hint="default" w:ascii="Times New Roman" w:hAnsi="Times New Roman" w:eastAsia="宋体" w:cs="Times New Roman"/>
          <w:color w:val="auto"/>
          <w:sz w:val="24"/>
          <w:szCs w:val="24"/>
          <w:highlight w:val="none"/>
        </w:rPr>
        <w:t>，不外排。</w:t>
      </w:r>
    </w:p>
    <w:p>
      <w:pPr>
        <w:jc w:val="center"/>
        <w:rPr>
          <w:color w:val="auto"/>
          <w:highlight w:val="none"/>
        </w:rPr>
      </w:pPr>
      <w:r>
        <w:rPr>
          <w:color w:val="auto"/>
          <w:highlight w:val="none"/>
        </w:rPr>
        <w:object>
          <v:shape id="_x0000_i1031" o:spt="75" type="#_x0000_t75" style="height:348pt;width:348pt;" o:ole="t" filled="f" o:preferrelative="t" stroked="f" coordsize="21600,21600">
            <v:path/>
            <v:fill on="f" focussize="0,0"/>
            <v:stroke on="f"/>
            <v:imagedata r:id="rId35" o:title=""/>
            <o:lock v:ext="edit" aspectratio="f"/>
            <w10:wrap type="none"/>
            <w10:anchorlock/>
          </v:shape>
          <o:OLEObject Type="Embed" ProgID="Visio.Drawing.11" ShapeID="_x0000_i1031" DrawAspect="Content" ObjectID="_1468075731" r:id="rId34">
            <o:LockedField>false</o:LockedField>
          </o:OLEObject>
        </w:object>
      </w:r>
    </w:p>
    <w:p>
      <w:pPr>
        <w:pStyle w:val="2504"/>
        <w:numPr>
          <w:ilvl w:val="0"/>
          <w:numId w:val="26"/>
        </w:numPr>
        <w:spacing w:before="120" w:line="360" w:lineRule="auto"/>
        <w:ind w:left="0" w:leftChars="0" w:firstLine="403" w:firstLineChars="0"/>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lang w:val="en-US" w:eastAsia="zh-CN"/>
        </w:rPr>
        <w:t xml:space="preserve">   </w:t>
      </w:r>
      <w:r>
        <w:rPr>
          <w:rFonts w:hint="eastAsia" w:ascii="Times New Roman" w:hAnsi="Times New Roman" w:eastAsia="宋体" w:cs="Times New Roman"/>
          <w:b/>
          <w:color w:val="auto"/>
          <w:szCs w:val="20"/>
          <w:highlight w:val="none"/>
        </w:rPr>
        <w:t>项目水平衡图（</w:t>
      </w:r>
      <w:r>
        <w:rPr>
          <w:rFonts w:ascii="Times New Roman" w:hAnsi="Times New Roman" w:eastAsia="宋体" w:cs="Times New Roman"/>
          <w:b/>
          <w:color w:val="auto"/>
          <w:szCs w:val="20"/>
          <w:highlight w:val="none"/>
        </w:rPr>
        <w:t>m</w:t>
      </w:r>
      <w:r>
        <w:rPr>
          <w:rFonts w:ascii="Times New Roman" w:hAnsi="Times New Roman" w:eastAsia="宋体" w:cs="Times New Roman"/>
          <w:b/>
          <w:color w:val="auto"/>
          <w:szCs w:val="20"/>
          <w:highlight w:val="none"/>
          <w:vertAlign w:val="superscript"/>
        </w:rPr>
        <w:t>3</w:t>
      </w:r>
      <w:r>
        <w:rPr>
          <w:rFonts w:ascii="Times New Roman" w:hAnsi="Times New Roman" w:eastAsia="宋体" w:cs="Times New Roman"/>
          <w:b/>
          <w:color w:val="auto"/>
          <w:szCs w:val="20"/>
          <w:highlight w:val="none"/>
        </w:rPr>
        <w:t>/d</w:t>
      </w:r>
      <w:r>
        <w:rPr>
          <w:rFonts w:hint="eastAsia" w:ascii="Times New Roman" w:hAnsi="Times New Roman" w:eastAsia="宋体" w:cs="Times New Roman"/>
          <w:b/>
          <w:color w:val="auto"/>
          <w:szCs w:val="20"/>
          <w:highlight w:val="none"/>
        </w:rPr>
        <w:t>）</w:t>
      </w:r>
    </w:p>
    <w:p>
      <w:pPr>
        <w:widowControl/>
        <w:spacing w:line="240" w:lineRule="auto"/>
        <w:jc w:val="left"/>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br w:type="page"/>
      </w:r>
    </w:p>
    <w:p>
      <w:pPr>
        <w:pStyle w:val="8"/>
        <w:spacing w:before="0" w:after="0" w:line="360" w:lineRule="auto"/>
        <w:ind w:left="0" w:firstLine="0"/>
        <w:rPr>
          <w:rFonts w:hint="default" w:cs="Times New Roman"/>
          <w:color w:val="auto"/>
          <w:highlight w:val="none"/>
          <w:lang w:eastAsia="zh-CN"/>
        </w:rPr>
      </w:pPr>
      <w:bookmarkStart w:id="185" w:name="_Toc23127"/>
      <w:r>
        <w:rPr>
          <w:rFonts w:hint="eastAsia" w:cs="Times New Roman"/>
          <w:color w:val="auto"/>
          <w:highlight w:val="none"/>
          <w:lang w:eastAsia="zh-CN"/>
        </w:rPr>
        <w:t>运营期污染物产生及治理措施</w:t>
      </w:r>
      <w:bookmarkEnd w:id="185"/>
    </w:p>
    <w:p>
      <w:pPr>
        <w:pStyle w:val="9"/>
        <w:bidi w:val="0"/>
        <w:rPr>
          <w:rFonts w:hint="default" w:ascii="Times New Roman" w:hAnsi="Times New Roman" w:eastAsia="宋体" w:cs="Times New Roman"/>
          <w:color w:val="auto"/>
          <w:sz w:val="24"/>
          <w:szCs w:val="24"/>
          <w:highlight w:val="none"/>
        </w:rPr>
      </w:pPr>
      <w:r>
        <w:rPr>
          <w:rFonts w:hint="eastAsia" w:eastAsia="宋体" w:cs="Times New Roman"/>
          <w:color w:val="auto"/>
          <w:sz w:val="24"/>
          <w:szCs w:val="24"/>
          <w:highlight w:val="none"/>
          <w:lang w:eastAsia="zh-CN"/>
        </w:rPr>
        <w:t>运营期废气产生、治理及排放</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本项目运营期产生的大气污染物主要包括恶臭气体（牛舍、污水处理站、干粪棚及</w:t>
      </w:r>
      <w:r>
        <w:rPr>
          <w:rFonts w:hint="eastAsia" w:ascii="Times New Roman" w:hAnsi="Times New Roman" w:eastAsia="宋体" w:cs="Times New Roman"/>
          <w:color w:val="auto"/>
          <w:kern w:val="2"/>
          <w:sz w:val="24"/>
          <w:szCs w:val="24"/>
          <w:highlight w:val="none"/>
          <w:lang w:val="en-US" w:eastAsia="zh-CN" w:bidi="ar-SA"/>
        </w:rPr>
        <w:t>运输环节恶臭</w:t>
      </w:r>
      <w:r>
        <w:rPr>
          <w:rFonts w:hint="eastAsia" w:ascii="Times New Roman" w:hAnsi="Times New Roman" w:eastAsia="宋体" w:cs="Times New Roman"/>
          <w:color w:val="auto"/>
          <w:kern w:val="2"/>
          <w:sz w:val="24"/>
          <w:szCs w:val="24"/>
          <w:highlight w:val="none"/>
          <w:lang w:val="en-US" w:eastAsia="zh-CN" w:bidi="ar-SA"/>
        </w:rPr>
        <w:t>）、沼气、食堂油烟废气、病死牛处理车间废气、柴油发电机废气等。</w:t>
      </w:r>
    </w:p>
    <w:p>
      <w:pPr>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1、恶臭气体</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项目营运期恶臭产生的主要场所为牛舍、污水处理站、干粪棚</w:t>
      </w:r>
      <w:r>
        <w:rPr>
          <w:rFonts w:hint="eastAsia" w:ascii="Times New Roman" w:hAnsi="Times New Roman" w:eastAsia="宋体" w:cs="Times New Roman"/>
          <w:color w:val="auto"/>
          <w:sz w:val="24"/>
          <w:szCs w:val="24"/>
          <w:highlight w:val="none"/>
          <w:lang w:eastAsia="zh-CN"/>
        </w:rPr>
        <w:t>、运输环节恶臭</w:t>
      </w:r>
      <w:r>
        <w:rPr>
          <w:rFonts w:hint="default" w:ascii="Times New Roman" w:hAnsi="Times New Roman" w:eastAsia="宋体" w:cs="Times New Roman"/>
          <w:color w:val="auto"/>
          <w:sz w:val="24"/>
          <w:szCs w:val="24"/>
          <w:highlight w:val="none"/>
        </w:rPr>
        <w:t>。恶臭主要产生类型如下：</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①动物本身：包括牛皮脂腺和汗腺的分泌物、体外激素、黏附在体表的污物、呼出气中的CO</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（含量比大气约高100倍）等都会散发出难闻的气味等。</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饲料：饲料中纤维分解时产生的甲烷、饲料在牛只消化道内经过各种消化酶、肠道细菌的作用，会产生硫化氢等使粪有臭味的气体；同时，饲料本身为各种粮食、蛋白以及其他添加成分本身具有一定的气味而使得合成饲料颗粒产生一定的异味，在饲喂过程中在圈舍内散发。</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粪尿的臭味：牛舍中刚排泄出的粪尿中有氨、硫化氢、胺等有害气体，进而产生甲硫醇、多胺、脂肪酸、吲哚等，在高温季节尤为明显；此外，粪尿在牛舍旁的储存池内停留，形成厌氧发酵，产生大量的有害气体，如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S等恶臭室内空气环境。另外，臭气产生的多少还与粪便的水分含量和粪便堆积的厚度有关，粪便堆积的越厚，就会使臭气产生量越大，尤其是在场地排水不畅通时更是如此。</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④污水处理站：项目污水处理系统包括调节池、固液分离设施、厌氧系统等，在经过固液分离、厌氧发酵等过程使恶臭增加。</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⑤干粪棚：项目内设置干粪棚1个，在粪便收集、堆放过程中会散发出恶臭气体。</w:t>
      </w:r>
    </w:p>
    <w:p>
      <w:pPr>
        <w:ind w:firstLine="48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⑥运输环节恶臭：本项目的粪便在转运过程中会散发恶臭气体。</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项目营运期散发的恶臭气体中含有氨、硫化氢等恶臭物质，污染牛舍和项目区域周边大气环境。</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本次评价参考《恶臭污染物排放标准》（GB14554-93）、《工业企业设计卫生标准》（TJ36-79）、《环境影响评价技术导则大气环境》（HJ2.2-2018）等，考虑评价的代表性和可操作性，选取NH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S作为预测和评价因子。牛舍、污水处理站、干粪棚产生的NH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S排放强度受到许多因素的影响，包括生产工艺、气温、湿度、牛群种类、室内排风情况以及粪便的堆积时间等。</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（1）</w:t>
      </w:r>
      <w:r>
        <w:rPr>
          <w:rFonts w:hint="eastAsia" w:ascii="Times New Roman" w:hAnsi="Times New Roman" w:eastAsia="宋体" w:cs="Times New Roman"/>
          <w:b/>
          <w:bCs/>
          <w:color w:val="auto"/>
          <w:sz w:val="24"/>
          <w:szCs w:val="24"/>
          <w:highlight w:val="none"/>
          <w:lang w:eastAsia="zh-CN"/>
        </w:rPr>
        <w:t>牛</w:t>
      </w:r>
      <w:r>
        <w:rPr>
          <w:rFonts w:hint="default" w:ascii="Times New Roman" w:hAnsi="Times New Roman" w:eastAsia="宋体" w:cs="Times New Roman"/>
          <w:b/>
          <w:bCs/>
          <w:color w:val="auto"/>
          <w:sz w:val="24"/>
          <w:szCs w:val="24"/>
          <w:highlight w:val="none"/>
        </w:rPr>
        <w:t>舍恶臭</w:t>
      </w:r>
    </w:p>
    <w:p>
      <w:pPr>
        <w:ind w:firstLine="48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1）产生情况</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牛舍臭气物质浓度和季节、畜舍结构、饲养密度、清粪工艺类型和清扫水平密切相关。根据《畜禽养殖业产污系数与排污系数-氨氮》中规模化畜禽养殖场</w:t>
      </w:r>
      <w:r>
        <w:rPr>
          <w:rFonts w:hint="eastAsia" w:ascii="Times New Roman" w:hAnsi="Times New Roman" w:eastAsia="宋体" w:cs="Times New Roman"/>
          <w:color w:val="auto"/>
          <w:sz w:val="24"/>
          <w:szCs w:val="24"/>
          <w:highlight w:val="none"/>
          <w:lang w:eastAsia="zh-CN"/>
        </w:rPr>
        <w:t>西南</w:t>
      </w:r>
      <w:r>
        <w:rPr>
          <w:rFonts w:hint="default" w:ascii="Times New Roman" w:hAnsi="Times New Roman" w:eastAsia="宋体" w:cs="Times New Roman"/>
          <w:color w:val="auto"/>
          <w:sz w:val="24"/>
          <w:szCs w:val="24"/>
          <w:highlight w:val="none"/>
        </w:rPr>
        <w:t>地区</w:t>
      </w:r>
      <w:r>
        <w:rPr>
          <w:rFonts w:hint="eastAsia" w:ascii="Times New Roman" w:hAnsi="Times New Roman" w:eastAsia="宋体" w:cs="Times New Roman"/>
          <w:color w:val="auto"/>
          <w:sz w:val="24"/>
          <w:szCs w:val="24"/>
          <w:highlight w:val="none"/>
          <w:lang w:eastAsia="zh-CN"/>
        </w:rPr>
        <w:t>肉</w:t>
      </w:r>
      <w:r>
        <w:rPr>
          <w:rFonts w:hint="default" w:ascii="Times New Roman" w:hAnsi="Times New Roman" w:eastAsia="宋体" w:cs="Times New Roman"/>
          <w:color w:val="auto"/>
          <w:sz w:val="24"/>
          <w:szCs w:val="24"/>
          <w:highlight w:val="none"/>
        </w:rPr>
        <w:t>牛养殖污染物TN的排污系数为</w:t>
      </w:r>
      <w:r>
        <w:rPr>
          <w:rFonts w:hint="eastAsia" w:ascii="Times New Roman" w:hAnsi="Times New Roman" w:eastAsia="宋体" w:cs="Times New Roman"/>
          <w:color w:val="auto"/>
          <w:sz w:val="24"/>
          <w:szCs w:val="24"/>
          <w:highlight w:val="none"/>
          <w:lang w:val="en-US" w:eastAsia="zh-CN"/>
        </w:rPr>
        <w:t>2.28</w:t>
      </w:r>
      <w:r>
        <w:rPr>
          <w:rFonts w:hint="default" w:ascii="Times New Roman" w:hAnsi="Times New Roman" w:eastAsia="宋体" w:cs="Times New Roman"/>
          <w:color w:val="auto"/>
          <w:sz w:val="24"/>
          <w:szCs w:val="24"/>
          <w:highlight w:val="none"/>
        </w:rPr>
        <w:t>g/头-天，本项目日常存栏</w:t>
      </w:r>
      <w:r>
        <w:rPr>
          <w:rFonts w:hint="eastAsia" w:ascii="Times New Roman" w:hAnsi="Times New Roman" w:eastAsia="宋体" w:cs="Times New Roman"/>
          <w:color w:val="auto"/>
          <w:sz w:val="24"/>
          <w:szCs w:val="24"/>
          <w:highlight w:val="none"/>
          <w:lang w:val="en-US" w:eastAsia="zh-CN"/>
        </w:rPr>
        <w:t>12500</w:t>
      </w:r>
      <w:r>
        <w:rPr>
          <w:rFonts w:hint="default" w:ascii="Times New Roman" w:hAnsi="Times New Roman" w:eastAsia="宋体" w:cs="Times New Roman"/>
          <w:color w:val="auto"/>
          <w:sz w:val="24"/>
          <w:szCs w:val="24"/>
          <w:highlight w:val="none"/>
        </w:rPr>
        <w:t>头</w:t>
      </w:r>
      <w:r>
        <w:rPr>
          <w:rFonts w:hint="eastAsia" w:ascii="Times New Roman" w:hAnsi="Times New Roman" w:eastAsia="宋体" w:cs="Times New Roman"/>
          <w:color w:val="auto"/>
          <w:sz w:val="24"/>
          <w:szCs w:val="24"/>
          <w:highlight w:val="none"/>
          <w:lang w:eastAsia="zh-CN"/>
        </w:rPr>
        <w:t>肉牛</w:t>
      </w:r>
      <w:r>
        <w:rPr>
          <w:rFonts w:hint="default" w:ascii="Times New Roman" w:hAnsi="Times New Roman" w:eastAsia="宋体" w:cs="Times New Roman"/>
          <w:color w:val="auto"/>
          <w:sz w:val="24"/>
          <w:szCs w:val="24"/>
          <w:highlight w:val="none"/>
        </w:rPr>
        <w:t>，则项目牛舍TN产生量为</w:t>
      </w:r>
      <w:r>
        <w:rPr>
          <w:rFonts w:hint="eastAsia" w:ascii="Times New Roman" w:hAnsi="Times New Roman" w:eastAsia="宋体" w:cs="Times New Roman"/>
          <w:color w:val="auto"/>
          <w:sz w:val="24"/>
          <w:szCs w:val="24"/>
          <w:highlight w:val="none"/>
          <w:lang w:val="en-US" w:eastAsia="zh-CN"/>
        </w:rPr>
        <w:t>28.5</w:t>
      </w:r>
      <w:r>
        <w:rPr>
          <w:rFonts w:hint="default" w:ascii="Times New Roman" w:hAnsi="Times New Roman" w:eastAsia="宋体" w:cs="Times New Roman"/>
          <w:color w:val="auto"/>
          <w:sz w:val="24"/>
          <w:szCs w:val="24"/>
          <w:highlight w:val="none"/>
        </w:rPr>
        <w:t>kg/d，氮挥发量约占总量的10％，其中氨态氮占氮挥发总量的25％，则本项目NH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总产生量为</w:t>
      </w:r>
      <w:r>
        <w:rPr>
          <w:rFonts w:hint="eastAsia" w:ascii="Times New Roman" w:hAnsi="Times New Roman" w:eastAsia="宋体" w:cs="Times New Roman"/>
          <w:color w:val="auto"/>
          <w:sz w:val="24"/>
          <w:szCs w:val="24"/>
          <w:highlight w:val="none"/>
          <w:lang w:val="en-US" w:eastAsia="zh-CN"/>
        </w:rPr>
        <w:t>0.7125</w:t>
      </w:r>
      <w:r>
        <w:rPr>
          <w:rFonts w:hint="default" w:ascii="Times New Roman" w:hAnsi="Times New Roman" w:eastAsia="宋体" w:cs="Times New Roman"/>
          <w:color w:val="auto"/>
          <w:sz w:val="24"/>
          <w:szCs w:val="24"/>
          <w:highlight w:val="none"/>
        </w:rPr>
        <w:t>kg/d（即</w:t>
      </w:r>
      <w:r>
        <w:rPr>
          <w:rFonts w:hint="eastAsia" w:ascii="Times New Roman" w:hAnsi="Times New Roman" w:eastAsia="宋体" w:cs="Times New Roman"/>
          <w:color w:val="auto"/>
          <w:sz w:val="24"/>
          <w:szCs w:val="24"/>
          <w:highlight w:val="none"/>
          <w:lang w:val="en-US" w:eastAsia="zh-CN"/>
        </w:rPr>
        <w:t>0.03</w:t>
      </w:r>
      <w:r>
        <w:rPr>
          <w:rFonts w:hint="default" w:ascii="Times New Roman" w:hAnsi="Times New Roman" w:eastAsia="宋体" w:cs="Times New Roman"/>
          <w:color w:val="auto"/>
          <w:sz w:val="24"/>
          <w:szCs w:val="24"/>
          <w:highlight w:val="none"/>
        </w:rPr>
        <w:t>kg/h）。氨态氮转化为氨气释放主要集中在一次发酵阶段完成，即主要在新鲜粪便产生后的15d内转化。由于牛舍内的牛粪便日产日清，氨气的释放量按转化1d计，根据相关资料显示，牛粪便中氨气释放速率呈对数函数形式递减，第1天释放量为总量的60%，其余14天释放量为总量的40%。本项目牛舍内粪便采取干清粪工艺，日产日清，氨气释放速率按转化1天计，释放总氨气量的60%，则牛舍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产生量为</w:t>
      </w:r>
      <w:r>
        <w:rPr>
          <w:rFonts w:hint="eastAsia" w:ascii="Times New Roman" w:hAnsi="Times New Roman" w:eastAsia="宋体" w:cs="Times New Roman"/>
          <w:color w:val="auto"/>
          <w:sz w:val="24"/>
          <w:szCs w:val="24"/>
          <w:highlight w:val="none"/>
          <w:lang w:val="en-US" w:eastAsia="zh-CN"/>
        </w:rPr>
        <w:t>0.4275</w:t>
      </w:r>
      <w:r>
        <w:rPr>
          <w:rFonts w:hint="default" w:ascii="Times New Roman" w:hAnsi="Times New Roman" w:eastAsia="宋体" w:cs="Times New Roman"/>
          <w:color w:val="auto"/>
          <w:sz w:val="24"/>
          <w:szCs w:val="24"/>
          <w:highlight w:val="none"/>
        </w:rPr>
        <w:t>kg/d，产生速率为</w:t>
      </w:r>
      <w:r>
        <w:rPr>
          <w:rFonts w:hint="eastAsia" w:ascii="Times New Roman" w:hAnsi="Times New Roman" w:eastAsia="宋体" w:cs="Times New Roman"/>
          <w:color w:val="auto"/>
          <w:sz w:val="24"/>
          <w:szCs w:val="24"/>
          <w:highlight w:val="none"/>
          <w:lang w:val="en-US" w:eastAsia="zh-CN"/>
        </w:rPr>
        <w:t>0.018</w:t>
      </w:r>
      <w:r>
        <w:rPr>
          <w:rFonts w:hint="default" w:ascii="Times New Roman" w:hAnsi="Times New Roman" w:eastAsia="宋体" w:cs="Times New Roman"/>
          <w:color w:val="auto"/>
          <w:sz w:val="24"/>
          <w:szCs w:val="24"/>
          <w:highlight w:val="none"/>
        </w:rPr>
        <w:t>kg/h。</w:t>
      </w:r>
    </w:p>
    <w:p>
      <w:pPr>
        <w:ind w:firstLine="48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硫化氢产生量引用《牛粪便尿中含氮量、NH</w:t>
      </w:r>
      <w:r>
        <w:rPr>
          <w:rFonts w:hint="default" w:ascii="Times New Roman" w:hAnsi="Times New Roman" w:eastAsia="宋体" w:cs="Times New Roman"/>
          <w:color w:val="auto"/>
          <w:kern w:val="2"/>
          <w:sz w:val="24"/>
          <w:szCs w:val="24"/>
          <w:highlight w:val="none"/>
          <w:vertAlign w:val="sub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和H</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S散发量的比较》文章中，肉牛粪便中硫化氢散发量为0.002mg/g，本次评价H</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S产生量以0.002mg/g计，本项目粪便产生量为</w:t>
      </w:r>
      <w:r>
        <w:rPr>
          <w:rFonts w:hint="eastAsia" w:ascii="Times New Roman" w:hAnsi="Times New Roman" w:eastAsia="宋体" w:cs="Times New Roman"/>
          <w:color w:val="auto"/>
          <w:kern w:val="2"/>
          <w:sz w:val="24"/>
          <w:szCs w:val="24"/>
          <w:highlight w:val="none"/>
          <w:lang w:val="en-US" w:eastAsia="zh-CN" w:bidi="ar-SA"/>
        </w:rPr>
        <w:t>136</w:t>
      </w:r>
      <w:r>
        <w:rPr>
          <w:rFonts w:hint="default" w:ascii="Times New Roman" w:hAnsi="Times New Roman" w:eastAsia="宋体" w:cs="Times New Roman"/>
          <w:color w:val="auto"/>
          <w:kern w:val="2"/>
          <w:sz w:val="24"/>
          <w:szCs w:val="24"/>
          <w:highlight w:val="none"/>
          <w:lang w:val="en-US" w:eastAsia="zh-CN" w:bidi="ar-SA"/>
        </w:rPr>
        <w:t>t/d，则本项目H</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S总产生量为0.2</w:t>
      </w:r>
      <w:r>
        <w:rPr>
          <w:rFonts w:hint="eastAsia" w:ascii="Times New Roman" w:hAnsi="Times New Roman" w:eastAsia="宋体" w:cs="Times New Roman"/>
          <w:color w:val="auto"/>
          <w:kern w:val="2"/>
          <w:sz w:val="24"/>
          <w:szCs w:val="24"/>
          <w:highlight w:val="none"/>
          <w:lang w:val="en-US" w:eastAsia="zh-CN" w:bidi="ar-SA"/>
        </w:rPr>
        <w:t>72</w:t>
      </w:r>
      <w:r>
        <w:rPr>
          <w:rFonts w:hint="default" w:ascii="Times New Roman" w:hAnsi="Times New Roman" w:eastAsia="宋体" w:cs="Times New Roman"/>
          <w:color w:val="auto"/>
          <w:kern w:val="2"/>
          <w:sz w:val="24"/>
          <w:szCs w:val="24"/>
          <w:highlight w:val="none"/>
          <w:lang w:val="en-US" w:eastAsia="zh-CN" w:bidi="ar-SA"/>
        </w:rPr>
        <w:t>kg/d（即0.0</w:t>
      </w:r>
      <w:r>
        <w:rPr>
          <w:rFonts w:hint="eastAsia" w:ascii="Times New Roman" w:hAnsi="Times New Roman" w:eastAsia="宋体" w:cs="Times New Roman"/>
          <w:color w:val="auto"/>
          <w:kern w:val="2"/>
          <w:sz w:val="24"/>
          <w:szCs w:val="24"/>
          <w:highlight w:val="none"/>
          <w:lang w:val="en-US" w:eastAsia="zh-CN" w:bidi="ar-SA"/>
        </w:rPr>
        <w:t>113</w:t>
      </w:r>
      <w:r>
        <w:rPr>
          <w:rFonts w:hint="default" w:ascii="Times New Roman" w:hAnsi="Times New Roman" w:eastAsia="宋体" w:cs="Times New Roman"/>
          <w:color w:val="auto"/>
          <w:kern w:val="2"/>
          <w:sz w:val="24"/>
          <w:szCs w:val="24"/>
          <w:highlight w:val="none"/>
          <w:lang w:val="en-US" w:eastAsia="zh-CN" w:bidi="ar-SA"/>
        </w:rPr>
        <w:t>kg/h）。第1天释放量为总量的60%，其余14天释放量为总量的40%。则牛舍H</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S产生量为</w:t>
      </w:r>
      <w:r>
        <w:rPr>
          <w:rFonts w:hint="eastAsia" w:ascii="Times New Roman" w:hAnsi="Times New Roman" w:eastAsia="宋体" w:cs="Times New Roman"/>
          <w:color w:val="auto"/>
          <w:kern w:val="2"/>
          <w:sz w:val="24"/>
          <w:szCs w:val="24"/>
          <w:highlight w:val="none"/>
          <w:lang w:val="en-US" w:eastAsia="zh-CN" w:bidi="ar-SA"/>
        </w:rPr>
        <w:t>0.1632</w:t>
      </w:r>
      <w:r>
        <w:rPr>
          <w:rFonts w:hint="default" w:ascii="Times New Roman" w:hAnsi="Times New Roman" w:eastAsia="宋体" w:cs="Times New Roman"/>
          <w:color w:val="auto"/>
          <w:kern w:val="2"/>
          <w:sz w:val="24"/>
          <w:szCs w:val="24"/>
          <w:highlight w:val="none"/>
          <w:lang w:val="en-US" w:eastAsia="zh-CN" w:bidi="ar-SA"/>
        </w:rPr>
        <w:t>kg/d（0.00</w:t>
      </w:r>
      <w:r>
        <w:rPr>
          <w:rFonts w:hint="eastAsia" w:ascii="Times New Roman" w:hAnsi="Times New Roman" w:eastAsia="宋体" w:cs="Times New Roman"/>
          <w:color w:val="auto"/>
          <w:kern w:val="2"/>
          <w:sz w:val="24"/>
          <w:szCs w:val="24"/>
          <w:highlight w:val="none"/>
          <w:lang w:val="en-US" w:eastAsia="zh-CN" w:bidi="ar-SA"/>
        </w:rPr>
        <w:t>68</w:t>
      </w:r>
      <w:r>
        <w:rPr>
          <w:rFonts w:hint="default" w:ascii="Times New Roman" w:hAnsi="Times New Roman" w:eastAsia="宋体" w:cs="Times New Roman"/>
          <w:color w:val="auto"/>
          <w:kern w:val="2"/>
          <w:sz w:val="24"/>
          <w:szCs w:val="24"/>
          <w:highlight w:val="none"/>
          <w:lang w:val="en-US" w:eastAsia="zh-CN" w:bidi="ar-SA"/>
        </w:rPr>
        <w:t>kg/h）。</w:t>
      </w:r>
    </w:p>
    <w:p>
      <w:pPr>
        <w:ind w:firstLine="480"/>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2）治理措施</w:t>
      </w:r>
    </w:p>
    <w:p>
      <w:pPr>
        <w:ind w:firstLine="48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①科学设计日粮，提高饲料利用率，合理使用饲料添加剂。项目采用全混日粮饲喂（TMR）新工艺喂养，饲料营养均衡，提高饲料的消化率，</w:t>
      </w:r>
      <w:r>
        <w:rPr>
          <w:rFonts w:hint="eastAsia" w:ascii="Times New Roman" w:hAnsi="Times New Roman" w:eastAsia="宋体" w:cs="Times New Roman"/>
          <w:color w:val="auto"/>
          <w:kern w:val="2"/>
          <w:sz w:val="24"/>
          <w:szCs w:val="24"/>
          <w:highlight w:val="none"/>
          <w:lang w:val="en-US" w:eastAsia="zh-CN" w:bidi="ar-SA"/>
        </w:rPr>
        <w:t>肉</w:t>
      </w:r>
      <w:r>
        <w:rPr>
          <w:rFonts w:hint="default" w:ascii="Times New Roman" w:hAnsi="Times New Roman" w:eastAsia="宋体" w:cs="Times New Roman"/>
          <w:color w:val="auto"/>
          <w:kern w:val="2"/>
          <w:sz w:val="24"/>
          <w:szCs w:val="24"/>
          <w:highlight w:val="none"/>
          <w:lang w:val="en-US" w:eastAsia="zh-CN" w:bidi="ar-SA"/>
        </w:rPr>
        <w:t>牛采食饲料后，饲料在消化道消化过程中，因微生物腐败分解而产生臭气；同时，没有消化吸收部分在体外被微生物降解，也产生恶臭。产生的粪污越多，臭气就越多。提高日粮的消化率，减少干物质（特别是蛋白质）排出量，既减少肠道臭气的产生，又可减少粪便排出后臭气的产生，这是减少恶臭污染物来源的有效措施。试验证明，日粮消化率由85%提高至90%，粪便干物质排出量就减少三分之一；日粮蛋白质减少 2%，粪便排泄量就降低 20%。项目拟在日粮中添加活性碳、沙皂素等除臭剂，并调控饲粮（添加合成的氨基酸、增加饲料中非淀粉多糖含量等），以上措施可从源头降低恶臭排污量，有效降低牛舍内气味。</w:t>
      </w:r>
    </w:p>
    <w:p>
      <w:pPr>
        <w:ind w:firstLine="48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②加强圈舍管理。项目采用干清粪工艺，及时清除粪便，每日刮除粪便 2 次，做到粪污日产日清，保持牛舍环境卫生，粪便的清除是非常有效的污染物减排措施，一般认为刮板能减少80%。</w:t>
      </w:r>
    </w:p>
    <w:p>
      <w:pPr>
        <w:ind w:firstLine="48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③对牛舍周边定期喷洒生物除臭剂进行除臭，以减少恶臭污染物的排放量，恶臭气体的产生可以得到有效控制。</w:t>
      </w:r>
    </w:p>
    <w:p>
      <w:pPr>
        <w:ind w:firstLine="48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④加强牛舍消毒措施，配备消毒设备，定期喷洒消毒液，牛舍安装排气扇，加强牛舍空气流通，降低臭气浓度。</w:t>
      </w:r>
    </w:p>
    <w:p>
      <w:pPr>
        <w:ind w:firstLine="48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⑤合理种植绿化隔离带。种植夹竹桃、冬青、速生杨等除臭绿化带，通过光合作用吸收部分二氧化碳，并吸收部分空气中的有毒有害气体，达到净化空气的目的。绿化植物具有一定吸收恶臭气体的能力，减轻恶臭异味的作用。此外，场内还应尽可能多种花草。各季的花卉香味可以降低或减轻恶臭味在空气中的浓度，达到防护的目的。据调查，有害气体经过绿化地区后，至少有 25%被吸收，恶臭可减少50%。在养殖场内及其周围种植高大树木及林带，还能净化、澄清大气中的粉尘（35%~67%）；与此同时，也减少了空气中的微生物，细菌总数可减少 22%~79%，甚至某些树木的花、叶能分泌杀菌物质，可杀死细菌、真菌等。</w:t>
      </w:r>
    </w:p>
    <w:p>
      <w:pPr>
        <w:ind w:firstLine="48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在采取合理设计牛舍、清除粪便、调整饲料、牛舍定期喷洒生物除臭剂等措施后，按保守估计，本次评价对牛舍恶臭产生减少量以</w:t>
      </w:r>
      <w:r>
        <w:rPr>
          <w:rFonts w:hint="eastAsia" w:ascii="Times New Roman" w:hAnsi="Times New Roman" w:eastAsia="宋体" w:cs="Times New Roman"/>
          <w:color w:val="auto"/>
          <w:kern w:val="2"/>
          <w:sz w:val="24"/>
          <w:szCs w:val="24"/>
          <w:highlight w:val="none"/>
          <w:lang w:val="en-US" w:eastAsia="zh-CN" w:bidi="ar-SA"/>
        </w:rPr>
        <w:t>80</w:t>
      </w:r>
      <w:r>
        <w:rPr>
          <w:rFonts w:hint="default" w:ascii="Times New Roman" w:hAnsi="Times New Roman" w:eastAsia="宋体" w:cs="Times New Roman"/>
          <w:color w:val="auto"/>
          <w:kern w:val="2"/>
          <w:sz w:val="24"/>
          <w:szCs w:val="24"/>
          <w:highlight w:val="none"/>
          <w:lang w:val="en-US" w:eastAsia="zh-CN" w:bidi="ar-SA"/>
        </w:rPr>
        <w:t>%计</w:t>
      </w:r>
      <w:r>
        <w:rPr>
          <w:rFonts w:hint="eastAsia" w:ascii="Times New Roman" w:hAnsi="Times New Roman" w:eastAsia="宋体" w:cs="Times New Roman"/>
          <w:color w:val="auto"/>
          <w:kern w:val="2"/>
          <w:sz w:val="24"/>
          <w:szCs w:val="24"/>
          <w:highlight w:val="none"/>
          <w:lang w:val="en-US" w:eastAsia="zh-CN" w:bidi="ar-SA"/>
        </w:rPr>
        <w:t>，则</w:t>
      </w:r>
      <w:r>
        <w:rPr>
          <w:rFonts w:hint="default" w:ascii="Times New Roman" w:hAnsi="Times New Roman" w:eastAsia="宋体" w:cs="Times New Roman"/>
          <w:color w:val="auto"/>
          <w:kern w:val="2"/>
          <w:sz w:val="24"/>
          <w:szCs w:val="24"/>
          <w:highlight w:val="none"/>
          <w:lang w:val="en-US" w:eastAsia="zh-CN" w:bidi="ar-SA"/>
        </w:rPr>
        <w:t>牛舍恶臭污染物NH</w:t>
      </w:r>
      <w:r>
        <w:rPr>
          <w:rFonts w:hint="default" w:ascii="Times New Roman" w:hAnsi="Times New Roman" w:eastAsia="宋体" w:cs="Times New Roman"/>
          <w:color w:val="auto"/>
          <w:kern w:val="2"/>
          <w:sz w:val="24"/>
          <w:szCs w:val="24"/>
          <w:highlight w:val="none"/>
          <w:vertAlign w:val="sub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排放速率为</w:t>
      </w:r>
      <w:r>
        <w:rPr>
          <w:rFonts w:hint="eastAsia" w:ascii="Times New Roman" w:hAnsi="Times New Roman" w:eastAsia="宋体" w:cs="Times New Roman"/>
          <w:color w:val="auto"/>
          <w:kern w:val="2"/>
          <w:sz w:val="24"/>
          <w:szCs w:val="24"/>
          <w:highlight w:val="none"/>
          <w:lang w:val="en-US" w:eastAsia="zh-CN" w:bidi="ar-SA"/>
        </w:rPr>
        <w:t>0.0036</w:t>
      </w:r>
      <w:r>
        <w:rPr>
          <w:rFonts w:hint="default" w:ascii="Times New Roman" w:hAnsi="Times New Roman" w:eastAsia="宋体" w:cs="Times New Roman"/>
          <w:color w:val="auto"/>
          <w:kern w:val="2"/>
          <w:sz w:val="24"/>
          <w:szCs w:val="24"/>
          <w:highlight w:val="none"/>
          <w:lang w:val="en-US" w:eastAsia="zh-CN" w:bidi="ar-SA"/>
        </w:rPr>
        <w:t>kg/h，排放量为</w:t>
      </w:r>
      <w:r>
        <w:rPr>
          <w:rFonts w:hint="eastAsia" w:ascii="Times New Roman" w:hAnsi="Times New Roman" w:eastAsia="宋体" w:cs="Times New Roman"/>
          <w:color w:val="auto"/>
          <w:kern w:val="2"/>
          <w:sz w:val="24"/>
          <w:szCs w:val="24"/>
          <w:highlight w:val="none"/>
          <w:lang w:val="en-US" w:eastAsia="zh-CN" w:bidi="ar-SA"/>
        </w:rPr>
        <w:t>0.0312</w:t>
      </w:r>
      <w:r>
        <w:rPr>
          <w:rFonts w:hint="default" w:ascii="Times New Roman" w:hAnsi="Times New Roman" w:eastAsia="宋体" w:cs="Times New Roman"/>
          <w:color w:val="auto"/>
          <w:kern w:val="2"/>
          <w:sz w:val="24"/>
          <w:szCs w:val="24"/>
          <w:highlight w:val="none"/>
          <w:lang w:val="en-US" w:eastAsia="zh-CN" w:bidi="ar-SA"/>
        </w:rPr>
        <w:t>t/a；H</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S排放速率为</w:t>
      </w:r>
      <w:r>
        <w:rPr>
          <w:rFonts w:hint="eastAsia" w:ascii="Times New Roman" w:hAnsi="Times New Roman" w:eastAsia="宋体" w:cs="Times New Roman"/>
          <w:color w:val="auto"/>
          <w:kern w:val="2"/>
          <w:sz w:val="24"/>
          <w:szCs w:val="24"/>
          <w:highlight w:val="none"/>
          <w:lang w:val="en-US" w:eastAsia="zh-CN" w:bidi="ar-SA"/>
        </w:rPr>
        <w:t>0.0014</w:t>
      </w:r>
      <w:r>
        <w:rPr>
          <w:rFonts w:hint="default" w:ascii="Times New Roman" w:hAnsi="Times New Roman" w:eastAsia="宋体" w:cs="Times New Roman"/>
          <w:color w:val="auto"/>
          <w:kern w:val="2"/>
          <w:sz w:val="24"/>
          <w:szCs w:val="24"/>
          <w:highlight w:val="none"/>
          <w:lang w:val="en-US" w:eastAsia="zh-CN" w:bidi="ar-SA"/>
        </w:rPr>
        <w:t>kg/h，排放量为</w:t>
      </w:r>
      <w:r>
        <w:rPr>
          <w:rFonts w:hint="eastAsia" w:ascii="Times New Roman" w:hAnsi="Times New Roman" w:eastAsia="宋体" w:cs="Times New Roman"/>
          <w:color w:val="auto"/>
          <w:kern w:val="2"/>
          <w:sz w:val="24"/>
          <w:szCs w:val="24"/>
          <w:highlight w:val="none"/>
          <w:lang w:val="en-US" w:eastAsia="zh-CN" w:bidi="ar-SA"/>
        </w:rPr>
        <w:t>0.0119</w:t>
      </w:r>
      <w:r>
        <w:rPr>
          <w:rFonts w:hint="default" w:ascii="Times New Roman" w:hAnsi="Times New Roman" w:eastAsia="宋体" w:cs="Times New Roman"/>
          <w:color w:val="auto"/>
          <w:kern w:val="2"/>
          <w:sz w:val="24"/>
          <w:szCs w:val="24"/>
          <w:highlight w:val="none"/>
          <w:lang w:val="en-US" w:eastAsia="zh-CN" w:bidi="ar-SA"/>
        </w:rPr>
        <w:t>t/a。</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w:t>
      </w:r>
      <w:r>
        <w:rPr>
          <w:rFonts w:hint="eastAsia" w:ascii="Times New Roman" w:hAnsi="Times New Roman" w:eastAsia="宋体" w:cs="Times New Roman"/>
          <w:color w:val="auto"/>
          <w:sz w:val="24"/>
          <w:szCs w:val="24"/>
          <w:highlight w:val="none"/>
          <w:lang w:eastAsia="zh-CN"/>
        </w:rPr>
        <w:t>牛舍</w:t>
      </w:r>
      <w:r>
        <w:rPr>
          <w:rFonts w:hint="default" w:ascii="Times New Roman" w:hAnsi="Times New Roman" w:eastAsia="宋体" w:cs="Times New Roman"/>
          <w:color w:val="auto"/>
          <w:sz w:val="24"/>
          <w:szCs w:val="24"/>
          <w:highlight w:val="none"/>
        </w:rPr>
        <w:t>恶臭的产生</w:t>
      </w:r>
      <w:r>
        <w:rPr>
          <w:rFonts w:hint="eastAsia" w:ascii="Times New Roman" w:hAnsi="Times New Roman" w:eastAsia="宋体" w:cs="Times New Roman"/>
          <w:color w:val="auto"/>
          <w:sz w:val="24"/>
          <w:szCs w:val="24"/>
          <w:highlight w:val="none"/>
          <w:lang w:eastAsia="zh-CN"/>
        </w:rPr>
        <w:t>及排放</w:t>
      </w:r>
      <w:r>
        <w:rPr>
          <w:rFonts w:hint="default" w:ascii="Times New Roman" w:hAnsi="Times New Roman" w:eastAsia="宋体" w:cs="Times New Roman"/>
          <w:color w:val="auto"/>
          <w:sz w:val="24"/>
          <w:szCs w:val="24"/>
          <w:highlight w:val="none"/>
        </w:rPr>
        <w:t>情况见</w:t>
      </w:r>
      <w:r>
        <w:rPr>
          <w:rFonts w:hint="eastAsia" w:ascii="Times New Roman" w:hAnsi="Times New Roman" w:eastAsia="宋体" w:cs="Times New Roman"/>
          <w:color w:val="auto"/>
          <w:sz w:val="24"/>
          <w:szCs w:val="24"/>
          <w:highlight w:val="none"/>
          <w:lang w:eastAsia="zh-CN"/>
        </w:rPr>
        <w:t>下</w:t>
      </w:r>
      <w:r>
        <w:rPr>
          <w:rFonts w:hint="default" w:ascii="Times New Roman" w:hAnsi="Times New Roman" w:eastAsia="宋体" w:cs="Times New Roman"/>
          <w:color w:val="auto"/>
          <w:sz w:val="24"/>
          <w:szCs w:val="24"/>
          <w:highlight w:val="none"/>
        </w:rPr>
        <w:t>表：</w:t>
      </w:r>
    </w:p>
    <w:p>
      <w:pPr>
        <w:pStyle w:val="2504"/>
        <w:numPr>
          <w:ilvl w:val="0"/>
          <w:numId w:val="25"/>
        </w:numPr>
        <w:spacing w:before="120"/>
        <w:ind w:left="0" w:leftChars="0" w:firstLine="403" w:firstLineChars="0"/>
        <w:rPr>
          <w:rFonts w:hint="default" w:ascii="Times New Roman" w:hAnsi="Times New Roman" w:eastAsia="宋体" w:cs="Times New Roman"/>
          <w:b/>
          <w:bCs/>
          <w:color w:val="auto"/>
          <w:sz w:val="21"/>
          <w:szCs w:val="21"/>
          <w:highlight w:val="none"/>
        </w:rPr>
      </w:pPr>
      <w:r>
        <w:rPr>
          <w:rFonts w:hint="default" w:ascii="Times New Roman" w:hAnsi="Times New Roman" w:cs="Times New Roman"/>
          <w:color w:val="auto"/>
          <w:highlight w:val="none"/>
        </w:rPr>
        <w:t xml:space="preserve">  </w:t>
      </w:r>
      <w:r>
        <w:rPr>
          <w:rFonts w:hint="default" w:ascii="Times New Roman" w:hAnsi="Times New Roman" w:eastAsia="宋体" w:cs="Times New Roman"/>
          <w:color w:val="auto"/>
          <w:sz w:val="21"/>
          <w:szCs w:val="21"/>
          <w:highlight w:val="none"/>
        </w:rPr>
        <w:t xml:space="preserve">   </w:t>
      </w:r>
      <w:r>
        <w:rPr>
          <w:rFonts w:hint="default" w:ascii="Times New Roman" w:hAnsi="Times New Roman" w:eastAsia="宋体" w:cs="Times New Roman"/>
          <w:b/>
          <w:bCs/>
          <w:color w:val="auto"/>
          <w:sz w:val="21"/>
          <w:szCs w:val="21"/>
          <w:highlight w:val="none"/>
        </w:rPr>
        <w:t>项目牛舍恶臭大气污染物排放情况</w:t>
      </w:r>
    </w:p>
    <w:tbl>
      <w:tblPr>
        <w:tblStyle w:val="91"/>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57" w:type="dxa"/>
          <w:bottom w:w="0" w:type="dxa"/>
          <w:right w:w="57" w:type="dxa"/>
        </w:tblCellMar>
      </w:tblPr>
      <w:tblGrid>
        <w:gridCol w:w="338"/>
        <w:gridCol w:w="340"/>
        <w:gridCol w:w="521"/>
        <w:gridCol w:w="744"/>
        <w:gridCol w:w="998"/>
        <w:gridCol w:w="1713"/>
        <w:gridCol w:w="760"/>
        <w:gridCol w:w="754"/>
        <w:gridCol w:w="845"/>
        <w:gridCol w:w="808"/>
        <w:gridCol w:w="59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57" w:type="dxa"/>
            <w:bottom w:w="0" w:type="dxa"/>
            <w:right w:w="57" w:type="dxa"/>
          </w:tblCellMar>
        </w:tblPrEx>
        <w:trPr>
          <w:trHeight w:val="454" w:hRule="atLeast"/>
          <w:jc w:val="center"/>
        </w:trPr>
        <w:tc>
          <w:tcPr>
            <w:tcW w:w="403" w:type="pct"/>
            <w:gridSpan w:val="2"/>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r>
              <w:rPr>
                <w:rFonts w:hint="default"/>
                <w:b/>
                <w:bCs/>
                <w:color w:val="auto"/>
                <w:szCs w:val="21"/>
                <w:highlight w:val="none"/>
              </w:rPr>
              <w:t>排放源</w:t>
            </w:r>
          </w:p>
        </w:tc>
        <w:tc>
          <w:tcPr>
            <w:tcW w:w="309"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r>
              <w:rPr>
                <w:rFonts w:hint="default"/>
                <w:b/>
                <w:bCs/>
                <w:color w:val="auto"/>
                <w:szCs w:val="21"/>
                <w:highlight w:val="none"/>
              </w:rPr>
              <w:t>污染物</w:t>
            </w:r>
          </w:p>
        </w:tc>
        <w:tc>
          <w:tcPr>
            <w:tcW w:w="441"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r>
              <w:rPr>
                <w:rFonts w:hint="default"/>
                <w:b/>
                <w:bCs/>
                <w:color w:val="auto"/>
                <w:szCs w:val="21"/>
                <w:highlight w:val="none"/>
              </w:rPr>
              <w:t>产生量</w:t>
            </w:r>
            <w:r>
              <w:rPr>
                <w:rFonts w:hint="default"/>
                <w:b/>
                <w:color w:val="auto"/>
                <w:szCs w:val="21"/>
                <w:highlight w:val="none"/>
              </w:rPr>
              <w:t>(t/a)</w:t>
            </w:r>
          </w:p>
        </w:tc>
        <w:tc>
          <w:tcPr>
            <w:tcW w:w="592"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r>
              <w:rPr>
                <w:rFonts w:hint="default"/>
                <w:b/>
                <w:bCs/>
                <w:color w:val="auto"/>
                <w:szCs w:val="21"/>
                <w:highlight w:val="none"/>
              </w:rPr>
              <w:t>产生速率（kg/h）</w:t>
            </w:r>
          </w:p>
        </w:tc>
        <w:tc>
          <w:tcPr>
            <w:tcW w:w="1016"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r>
              <w:rPr>
                <w:rFonts w:hint="default"/>
                <w:b/>
                <w:bCs/>
                <w:color w:val="auto"/>
                <w:szCs w:val="21"/>
                <w:highlight w:val="none"/>
              </w:rPr>
              <w:t>防治措施</w:t>
            </w:r>
          </w:p>
        </w:tc>
        <w:tc>
          <w:tcPr>
            <w:tcW w:w="451"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r>
              <w:rPr>
                <w:rFonts w:hint="default"/>
                <w:b/>
                <w:bCs/>
                <w:color w:val="auto"/>
                <w:szCs w:val="21"/>
                <w:highlight w:val="none"/>
              </w:rPr>
              <w:t>排放量</w:t>
            </w:r>
          </w:p>
          <w:p>
            <w:pPr>
              <w:pStyle w:val="2177"/>
              <w:keepNext w:val="0"/>
              <w:keepLines w:val="0"/>
              <w:widowControl/>
              <w:suppressLineNumbers w:val="0"/>
              <w:snapToGrid w:val="0"/>
              <w:spacing w:before="0" w:beforeAutospacing="0" w:after="0" w:afterAutospacing="0" w:line="360" w:lineRule="exact"/>
              <w:ind w:left="0" w:right="0"/>
              <w:rPr>
                <w:rFonts w:hint="default"/>
                <w:b/>
                <w:color w:val="auto"/>
                <w:szCs w:val="21"/>
                <w:highlight w:val="none"/>
              </w:rPr>
            </w:pPr>
            <w:r>
              <w:rPr>
                <w:rFonts w:hint="default"/>
                <w:b/>
                <w:color w:val="auto"/>
                <w:szCs w:val="21"/>
                <w:highlight w:val="none"/>
              </w:rPr>
              <w:t>(t/a)</w:t>
            </w:r>
          </w:p>
        </w:tc>
        <w:tc>
          <w:tcPr>
            <w:tcW w:w="447"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r>
              <w:rPr>
                <w:rFonts w:hint="default"/>
                <w:b/>
                <w:bCs/>
                <w:color w:val="auto"/>
                <w:szCs w:val="21"/>
                <w:highlight w:val="none"/>
              </w:rPr>
              <w:t>排放速率(kg/h)</w:t>
            </w:r>
          </w:p>
        </w:tc>
        <w:tc>
          <w:tcPr>
            <w:tcW w:w="980" w:type="pct"/>
            <w:gridSpan w:val="2"/>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r>
              <w:rPr>
                <w:rFonts w:hint="default"/>
                <w:b/>
                <w:bCs/>
                <w:color w:val="auto"/>
                <w:szCs w:val="21"/>
                <w:highlight w:val="none"/>
              </w:rPr>
              <w:t>排放源参数</w:t>
            </w:r>
          </w:p>
        </w:tc>
        <w:tc>
          <w:tcPr>
            <w:tcW w:w="355"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r>
              <w:rPr>
                <w:rFonts w:hint="default"/>
                <w:b/>
                <w:color w:val="auto"/>
                <w:szCs w:val="21"/>
                <w:highlight w:val="none"/>
              </w:rPr>
              <w:t>年排放小时数</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57" w:type="dxa"/>
            <w:bottom w:w="0" w:type="dxa"/>
            <w:right w:w="57" w:type="dxa"/>
          </w:tblCellMar>
        </w:tblPrEx>
        <w:trPr>
          <w:trHeight w:val="454" w:hRule="atLeast"/>
          <w:jc w:val="center"/>
        </w:trPr>
        <w:tc>
          <w:tcPr>
            <w:tcW w:w="403" w:type="pct"/>
            <w:gridSpan w:val="2"/>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p>
        </w:tc>
        <w:tc>
          <w:tcPr>
            <w:tcW w:w="309"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p>
        </w:tc>
        <w:tc>
          <w:tcPr>
            <w:tcW w:w="441"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p>
        </w:tc>
        <w:tc>
          <w:tcPr>
            <w:tcW w:w="592"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p>
        </w:tc>
        <w:tc>
          <w:tcPr>
            <w:tcW w:w="1016"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p>
        </w:tc>
        <w:tc>
          <w:tcPr>
            <w:tcW w:w="451"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p>
        </w:tc>
        <w:tc>
          <w:tcPr>
            <w:tcW w:w="447"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p>
        </w:tc>
        <w:tc>
          <w:tcPr>
            <w:tcW w:w="501"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r>
              <w:rPr>
                <w:rFonts w:hint="eastAsia"/>
                <w:b/>
                <w:bCs/>
                <w:color w:val="auto"/>
                <w:szCs w:val="21"/>
                <w:highlight w:val="none"/>
                <w:lang w:eastAsia="zh-CN"/>
              </w:rPr>
              <w:t>排放面积</w:t>
            </w:r>
            <w:r>
              <w:rPr>
                <w:rFonts w:hint="default"/>
                <w:b/>
                <w:bCs/>
                <w:color w:val="auto"/>
                <w:szCs w:val="21"/>
                <w:highlight w:val="none"/>
              </w:rPr>
              <w:t>（m</w:t>
            </w:r>
            <w:r>
              <w:rPr>
                <w:rFonts w:hint="eastAsia"/>
                <w:b/>
                <w:bCs/>
                <w:color w:val="auto"/>
                <w:szCs w:val="21"/>
                <w:highlight w:val="none"/>
                <w:vertAlign w:val="superscript"/>
                <w:lang w:val="en-US" w:eastAsia="zh-CN"/>
              </w:rPr>
              <w:t>2</w:t>
            </w:r>
            <w:r>
              <w:rPr>
                <w:rFonts w:hint="default"/>
                <w:b/>
                <w:bCs/>
                <w:color w:val="auto"/>
                <w:szCs w:val="21"/>
                <w:highlight w:val="none"/>
              </w:rPr>
              <w:t>）</w:t>
            </w:r>
          </w:p>
        </w:tc>
        <w:tc>
          <w:tcPr>
            <w:tcW w:w="479"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r>
              <w:rPr>
                <w:rFonts w:hint="default"/>
                <w:b/>
                <w:bCs/>
                <w:color w:val="auto"/>
                <w:szCs w:val="21"/>
                <w:highlight w:val="none"/>
              </w:rPr>
              <w:t>初始排放高度（m）</w:t>
            </w:r>
          </w:p>
        </w:tc>
        <w:tc>
          <w:tcPr>
            <w:tcW w:w="355"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
                <w:bCs/>
                <w:color w:val="auto"/>
                <w:szCs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57" w:type="dxa"/>
            <w:bottom w:w="0" w:type="dxa"/>
            <w:right w:w="57" w:type="dxa"/>
          </w:tblCellMar>
        </w:tblPrEx>
        <w:trPr>
          <w:trHeight w:val="454" w:hRule="atLeast"/>
          <w:jc w:val="center"/>
        </w:trPr>
        <w:tc>
          <w:tcPr>
            <w:tcW w:w="201"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r>
              <w:rPr>
                <w:rFonts w:hint="default"/>
                <w:color w:val="auto"/>
                <w:szCs w:val="21"/>
                <w:highlight w:val="none"/>
              </w:rPr>
              <w:t>面源</w:t>
            </w:r>
          </w:p>
        </w:tc>
        <w:tc>
          <w:tcPr>
            <w:tcW w:w="201"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r>
              <w:rPr>
                <w:rFonts w:hint="default"/>
                <w:bCs/>
                <w:color w:val="auto"/>
                <w:szCs w:val="21"/>
                <w:highlight w:val="none"/>
              </w:rPr>
              <w:t>牛舍</w:t>
            </w:r>
          </w:p>
        </w:tc>
        <w:tc>
          <w:tcPr>
            <w:tcW w:w="309"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r>
              <w:rPr>
                <w:rFonts w:hint="default"/>
                <w:bCs/>
                <w:color w:val="auto"/>
                <w:szCs w:val="21"/>
                <w:highlight w:val="none"/>
              </w:rPr>
              <w:t>NH</w:t>
            </w:r>
            <w:r>
              <w:rPr>
                <w:rFonts w:hint="default"/>
                <w:bCs/>
                <w:color w:val="auto"/>
                <w:szCs w:val="21"/>
                <w:highlight w:val="none"/>
                <w:vertAlign w:val="subscript"/>
              </w:rPr>
              <w:t>3</w:t>
            </w:r>
          </w:p>
        </w:tc>
        <w:tc>
          <w:tcPr>
            <w:tcW w:w="441"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eastAsia="宋体"/>
                <w:color w:val="auto"/>
                <w:szCs w:val="21"/>
                <w:highlight w:val="none"/>
                <w:lang w:val="en-US" w:eastAsia="zh-CN"/>
              </w:rPr>
            </w:pPr>
            <w:r>
              <w:rPr>
                <w:rFonts w:hint="eastAsia"/>
                <w:color w:val="auto"/>
                <w:szCs w:val="21"/>
                <w:highlight w:val="none"/>
                <w:lang w:val="en-US" w:eastAsia="zh-CN"/>
              </w:rPr>
              <w:t>0.1560</w:t>
            </w:r>
          </w:p>
        </w:tc>
        <w:tc>
          <w:tcPr>
            <w:tcW w:w="592"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eastAsia="宋体"/>
                <w:color w:val="auto"/>
                <w:szCs w:val="21"/>
                <w:highlight w:val="none"/>
                <w:lang w:val="en-US" w:eastAsia="zh-CN"/>
              </w:rPr>
            </w:pPr>
            <w:r>
              <w:rPr>
                <w:rFonts w:hint="eastAsia"/>
                <w:color w:val="auto"/>
                <w:szCs w:val="21"/>
                <w:highlight w:val="none"/>
                <w:lang w:val="en-US" w:eastAsia="zh-CN"/>
              </w:rPr>
              <w:t>0.018</w:t>
            </w:r>
          </w:p>
        </w:tc>
        <w:tc>
          <w:tcPr>
            <w:tcW w:w="1016"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eastAsia"/>
                <w:color w:val="auto"/>
                <w:szCs w:val="21"/>
                <w:highlight w:val="none"/>
                <w:lang w:val="en-US" w:eastAsia="zh-CN"/>
              </w:rPr>
            </w:pPr>
            <w:r>
              <w:rPr>
                <w:rFonts w:hint="eastAsia"/>
                <w:color w:val="auto"/>
                <w:szCs w:val="21"/>
                <w:highlight w:val="none"/>
                <w:lang w:val="en-US" w:eastAsia="zh-CN"/>
              </w:rPr>
              <w:t>①科学设计日粮，提高饲料利用率，合理使用饲料添加剂；②加强圈舍管理，采用干清粪工艺；③对牛舍定期喷洒除臭剂；④加强牛舍消毒措施；⑤合理种植绿化隔离带。</w:t>
            </w:r>
          </w:p>
        </w:tc>
        <w:tc>
          <w:tcPr>
            <w:tcW w:w="451" w:type="pct"/>
            <w:tcBorders>
              <w:tl2br w:val="nil"/>
              <w:tr2bl w:val="nil"/>
            </w:tcBorders>
            <w:noWrap w:val="0"/>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eastAsia="宋体"/>
                <w:color w:val="auto"/>
                <w:highlight w:val="none"/>
                <w:lang w:val="en-US" w:eastAsia="zh-CN" w:bidi="ar"/>
              </w:rPr>
            </w:pPr>
            <w:r>
              <w:rPr>
                <w:rFonts w:hint="eastAsia" w:ascii="Times New Roman" w:hAnsi="Times New Roman" w:eastAsia="宋体"/>
                <w:color w:val="auto"/>
                <w:highlight w:val="none"/>
                <w:lang w:val="en-US" w:eastAsia="zh-CN" w:bidi="ar"/>
              </w:rPr>
              <w:t>0.0312</w:t>
            </w:r>
          </w:p>
        </w:tc>
        <w:tc>
          <w:tcPr>
            <w:tcW w:w="447"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eastAsia="宋体"/>
                <w:color w:val="auto"/>
                <w:szCs w:val="21"/>
                <w:highlight w:val="none"/>
                <w:lang w:val="en-US" w:eastAsia="zh-CN"/>
              </w:rPr>
            </w:pPr>
            <w:r>
              <w:rPr>
                <w:rFonts w:hint="eastAsia"/>
                <w:color w:val="auto"/>
                <w:szCs w:val="21"/>
                <w:highlight w:val="none"/>
                <w:lang w:val="en-US" w:eastAsia="zh-CN"/>
              </w:rPr>
              <w:t>0.0036</w:t>
            </w:r>
          </w:p>
        </w:tc>
        <w:tc>
          <w:tcPr>
            <w:tcW w:w="501" w:type="pct"/>
            <w:vMerge w:val="restart"/>
            <w:tcBorders>
              <w:tl2br w:val="nil"/>
              <w:tr2bl w:val="nil"/>
            </w:tcBorders>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Theme="minorEastAsia"/>
                <w:color w:val="auto"/>
                <w:highlight w:val="none"/>
                <w:lang w:val="en-US" w:eastAsia="zh-CN"/>
              </w:rPr>
            </w:pPr>
            <w:r>
              <w:rPr>
                <w:rFonts w:hint="eastAsia" w:ascii="Times New Roman" w:hAnsi="Times New Roman"/>
                <w:color w:val="auto"/>
                <w:highlight w:val="none"/>
                <w:lang w:val="en-US" w:eastAsia="zh-CN"/>
              </w:rPr>
              <w:t>115815</w:t>
            </w:r>
          </w:p>
        </w:tc>
        <w:tc>
          <w:tcPr>
            <w:tcW w:w="479"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r>
              <w:rPr>
                <w:rFonts w:hint="default"/>
                <w:color w:val="auto"/>
                <w:szCs w:val="21"/>
                <w:highlight w:val="none"/>
              </w:rPr>
              <w:t>10</w:t>
            </w:r>
          </w:p>
        </w:tc>
        <w:tc>
          <w:tcPr>
            <w:tcW w:w="355" w:type="pct"/>
            <w:vMerge w:val="restar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r>
              <w:rPr>
                <w:rFonts w:hint="default"/>
                <w:color w:val="auto"/>
                <w:szCs w:val="21"/>
                <w:highlight w:val="none"/>
              </w:rPr>
              <w:t>8760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57" w:type="dxa"/>
            <w:bottom w:w="0" w:type="dxa"/>
            <w:right w:w="57" w:type="dxa"/>
          </w:tblCellMar>
        </w:tblPrEx>
        <w:trPr>
          <w:trHeight w:val="454" w:hRule="atLeast"/>
          <w:jc w:val="center"/>
        </w:trPr>
        <w:tc>
          <w:tcPr>
            <w:tcW w:w="201"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p>
        </w:tc>
        <w:tc>
          <w:tcPr>
            <w:tcW w:w="201"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Cs/>
                <w:color w:val="auto"/>
                <w:szCs w:val="21"/>
                <w:highlight w:val="none"/>
              </w:rPr>
            </w:pPr>
          </w:p>
        </w:tc>
        <w:tc>
          <w:tcPr>
            <w:tcW w:w="309"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r>
              <w:rPr>
                <w:rFonts w:hint="default"/>
                <w:bCs/>
                <w:color w:val="auto"/>
                <w:szCs w:val="21"/>
                <w:highlight w:val="none"/>
              </w:rPr>
              <w:t>H</w:t>
            </w:r>
            <w:r>
              <w:rPr>
                <w:rFonts w:hint="default"/>
                <w:bCs/>
                <w:color w:val="auto"/>
                <w:szCs w:val="21"/>
                <w:highlight w:val="none"/>
                <w:vertAlign w:val="subscript"/>
              </w:rPr>
              <w:t>2</w:t>
            </w:r>
            <w:r>
              <w:rPr>
                <w:rFonts w:hint="default"/>
                <w:bCs/>
                <w:color w:val="auto"/>
                <w:szCs w:val="21"/>
                <w:highlight w:val="none"/>
              </w:rPr>
              <w:t>S</w:t>
            </w:r>
          </w:p>
        </w:tc>
        <w:tc>
          <w:tcPr>
            <w:tcW w:w="441"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eastAsia="宋体"/>
                <w:color w:val="auto"/>
                <w:szCs w:val="21"/>
                <w:highlight w:val="none"/>
                <w:lang w:val="en-US" w:eastAsia="zh-CN"/>
              </w:rPr>
            </w:pPr>
            <w:r>
              <w:rPr>
                <w:rFonts w:hint="eastAsia"/>
                <w:color w:val="auto"/>
                <w:szCs w:val="21"/>
                <w:highlight w:val="none"/>
                <w:lang w:val="en-US" w:eastAsia="zh-CN"/>
              </w:rPr>
              <w:t>0.0596</w:t>
            </w:r>
          </w:p>
        </w:tc>
        <w:tc>
          <w:tcPr>
            <w:tcW w:w="592"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eastAsia="宋体"/>
                <w:color w:val="auto"/>
                <w:szCs w:val="21"/>
                <w:highlight w:val="none"/>
                <w:lang w:val="en-US" w:eastAsia="zh-CN"/>
              </w:rPr>
            </w:pPr>
            <w:r>
              <w:rPr>
                <w:rFonts w:hint="eastAsia"/>
                <w:color w:val="auto"/>
                <w:szCs w:val="21"/>
                <w:highlight w:val="none"/>
                <w:lang w:val="en-US" w:eastAsia="zh-CN"/>
              </w:rPr>
              <w:t>0.0068</w:t>
            </w:r>
          </w:p>
        </w:tc>
        <w:tc>
          <w:tcPr>
            <w:tcW w:w="1016"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eastAsia"/>
                <w:color w:val="auto"/>
                <w:szCs w:val="21"/>
                <w:highlight w:val="none"/>
                <w:lang w:val="en-US" w:eastAsia="zh-CN"/>
              </w:rPr>
            </w:pPr>
          </w:p>
        </w:tc>
        <w:tc>
          <w:tcPr>
            <w:tcW w:w="451" w:type="pct"/>
            <w:tcBorders>
              <w:tl2br w:val="nil"/>
              <w:tr2bl w:val="nil"/>
            </w:tcBorders>
            <w:noWrap w:val="0"/>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eastAsia="宋体"/>
                <w:color w:val="auto"/>
                <w:highlight w:val="none"/>
                <w:lang w:val="en-US" w:eastAsia="zh-CN" w:bidi="ar"/>
              </w:rPr>
            </w:pPr>
            <w:r>
              <w:rPr>
                <w:rFonts w:hint="eastAsia" w:ascii="Times New Roman" w:hAnsi="Times New Roman" w:eastAsia="宋体"/>
                <w:color w:val="auto"/>
                <w:highlight w:val="none"/>
                <w:lang w:val="en-US" w:eastAsia="zh-CN" w:bidi="ar"/>
              </w:rPr>
              <w:t>0.0119</w:t>
            </w:r>
          </w:p>
        </w:tc>
        <w:tc>
          <w:tcPr>
            <w:tcW w:w="447"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eastAsia="宋体"/>
                <w:color w:val="auto"/>
                <w:szCs w:val="21"/>
                <w:highlight w:val="none"/>
                <w:lang w:val="en-US" w:eastAsia="zh-CN"/>
              </w:rPr>
            </w:pPr>
            <w:r>
              <w:rPr>
                <w:rFonts w:hint="eastAsia"/>
                <w:color w:val="auto"/>
                <w:szCs w:val="21"/>
                <w:highlight w:val="none"/>
                <w:lang w:val="en-US" w:eastAsia="zh-CN"/>
              </w:rPr>
              <w:t>0.0014</w:t>
            </w:r>
          </w:p>
        </w:tc>
        <w:tc>
          <w:tcPr>
            <w:tcW w:w="501"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p>
        </w:tc>
        <w:tc>
          <w:tcPr>
            <w:tcW w:w="479"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p>
        </w:tc>
        <w:tc>
          <w:tcPr>
            <w:tcW w:w="355"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57" w:type="dxa"/>
            <w:bottom w:w="0" w:type="dxa"/>
            <w:right w:w="57" w:type="dxa"/>
          </w:tblCellMar>
        </w:tblPrEx>
        <w:trPr>
          <w:trHeight w:val="454" w:hRule="atLeast"/>
          <w:jc w:val="center"/>
        </w:trPr>
        <w:tc>
          <w:tcPr>
            <w:tcW w:w="201"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p>
        </w:tc>
        <w:tc>
          <w:tcPr>
            <w:tcW w:w="201"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Cs/>
                <w:color w:val="auto"/>
                <w:szCs w:val="21"/>
                <w:highlight w:val="none"/>
              </w:rPr>
            </w:pPr>
          </w:p>
        </w:tc>
        <w:tc>
          <w:tcPr>
            <w:tcW w:w="309"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bCs/>
                <w:color w:val="auto"/>
                <w:szCs w:val="21"/>
                <w:highlight w:val="none"/>
              </w:rPr>
            </w:pPr>
            <w:r>
              <w:rPr>
                <w:rFonts w:hint="default"/>
                <w:bCs/>
                <w:color w:val="auto"/>
                <w:szCs w:val="21"/>
                <w:highlight w:val="none"/>
              </w:rPr>
              <w:t>臭气浓度</w:t>
            </w:r>
          </w:p>
        </w:tc>
        <w:tc>
          <w:tcPr>
            <w:tcW w:w="441"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r>
              <w:rPr>
                <w:rFonts w:hint="default"/>
                <w:color w:val="auto"/>
                <w:szCs w:val="21"/>
                <w:highlight w:val="none"/>
              </w:rPr>
              <w:t>60（无量纲）</w:t>
            </w:r>
          </w:p>
        </w:tc>
        <w:tc>
          <w:tcPr>
            <w:tcW w:w="592"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r>
              <w:rPr>
                <w:rFonts w:hint="default"/>
                <w:color w:val="auto"/>
                <w:szCs w:val="21"/>
                <w:highlight w:val="none"/>
              </w:rPr>
              <w:t>——</w:t>
            </w:r>
          </w:p>
        </w:tc>
        <w:tc>
          <w:tcPr>
            <w:tcW w:w="1016"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p>
        </w:tc>
        <w:tc>
          <w:tcPr>
            <w:tcW w:w="451" w:type="pct"/>
            <w:tcBorders>
              <w:tl2br w:val="nil"/>
              <w:tr2bl w:val="nil"/>
            </w:tcBorders>
            <w:noWrap w:val="0"/>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olor w:val="auto"/>
                <w:highlight w:val="none"/>
                <w:lang w:bidi="ar"/>
              </w:rPr>
            </w:pPr>
            <w:r>
              <w:rPr>
                <w:rFonts w:hint="default" w:ascii="Times New Roman" w:hAnsi="Times New Roman"/>
                <w:color w:val="auto"/>
                <w:highlight w:val="none"/>
                <w:lang w:bidi="ar"/>
              </w:rPr>
              <w:t>＜20</w:t>
            </w:r>
            <w:r>
              <w:rPr>
                <w:rFonts w:hint="default" w:ascii="Times New Roman" w:hAnsi="Times New Roman"/>
                <w:color w:val="auto"/>
                <w:highlight w:val="none"/>
              </w:rPr>
              <w:t>（无量纲）</w:t>
            </w:r>
          </w:p>
        </w:tc>
        <w:tc>
          <w:tcPr>
            <w:tcW w:w="447"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r>
              <w:rPr>
                <w:rFonts w:hint="default"/>
                <w:color w:val="auto"/>
                <w:szCs w:val="21"/>
                <w:highlight w:val="none"/>
              </w:rPr>
              <w:t>——</w:t>
            </w:r>
          </w:p>
        </w:tc>
        <w:tc>
          <w:tcPr>
            <w:tcW w:w="501"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p>
        </w:tc>
        <w:tc>
          <w:tcPr>
            <w:tcW w:w="479"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p>
        </w:tc>
        <w:tc>
          <w:tcPr>
            <w:tcW w:w="355" w:type="pct"/>
            <w:vMerge w:val="continue"/>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color w:val="auto"/>
                <w:szCs w:val="21"/>
                <w:highlight w:val="none"/>
              </w:rPr>
            </w:pP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default"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lang w:eastAsia="zh-CN"/>
        </w:rPr>
        <w:t>（</w:t>
      </w:r>
      <w:r>
        <w:rPr>
          <w:rFonts w:hint="eastAsia" w:ascii="Times New Roman" w:hAnsi="Times New Roman" w:eastAsia="宋体" w:cs="Times New Roman"/>
          <w:b/>
          <w:bCs/>
          <w:color w:val="auto"/>
          <w:sz w:val="24"/>
          <w:szCs w:val="24"/>
          <w:highlight w:val="none"/>
          <w:lang w:val="en-US" w:eastAsia="zh-CN"/>
        </w:rPr>
        <w:t>2）</w:t>
      </w:r>
      <w:r>
        <w:rPr>
          <w:rFonts w:hint="eastAsia" w:ascii="Times New Roman" w:hAnsi="Times New Roman" w:eastAsia="宋体" w:cs="Times New Roman"/>
          <w:b/>
          <w:bCs/>
          <w:color w:val="auto"/>
          <w:sz w:val="24"/>
          <w:szCs w:val="24"/>
          <w:highlight w:val="none"/>
          <w:lang w:eastAsia="zh-CN"/>
        </w:rPr>
        <w:t>干粪棚</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1）产生情况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本项目采用干清粪工艺收集牛粪后暂存于干粪棚，并及时运输至</w:t>
      </w:r>
      <w:r>
        <w:rPr>
          <w:rFonts w:hint="eastAsia" w:ascii="Times New Roman" w:hAnsi="Times New Roman" w:eastAsia="宋体" w:cs="Times New Roman"/>
          <w:color w:val="auto"/>
          <w:kern w:val="2"/>
          <w:sz w:val="24"/>
          <w:szCs w:val="24"/>
          <w:highlight w:val="none"/>
          <w:lang w:val="en-US" w:eastAsia="zh-CN" w:bidi="ar-SA"/>
        </w:rPr>
        <w:t>南江县万事康生物科技有限公司</w:t>
      </w:r>
      <w:r>
        <w:rPr>
          <w:rFonts w:hint="default" w:ascii="Times New Roman" w:hAnsi="Times New Roman" w:eastAsia="宋体" w:cs="Times New Roman"/>
          <w:color w:val="auto"/>
          <w:kern w:val="2"/>
          <w:sz w:val="24"/>
          <w:szCs w:val="24"/>
          <w:highlight w:val="none"/>
          <w:lang w:val="en-US" w:eastAsia="zh-CN" w:bidi="ar-SA"/>
        </w:rPr>
        <w:t>进行生产有机肥，项目粪便不在厂区堆肥，牛粪在厂区在暂存时间一般不超过1d。根据《牛粪发酵过程中的碳、氮、磷转化研究》（单德鑫，东北农业大学博士论文，2006）资料，经干湿分离后粪渣的产生量共为</w:t>
      </w:r>
      <w:r>
        <w:rPr>
          <w:rFonts w:hint="eastAsia" w:ascii="Times New Roman" w:hAnsi="Times New Roman" w:eastAsia="宋体" w:cs="Times New Roman"/>
          <w:color w:val="auto"/>
          <w:kern w:val="2"/>
          <w:sz w:val="24"/>
          <w:szCs w:val="24"/>
          <w:highlight w:val="none"/>
          <w:lang w:val="en-US" w:eastAsia="zh-CN" w:bidi="ar-SA"/>
        </w:rPr>
        <w:t>73.44</w:t>
      </w:r>
      <w:r>
        <w:rPr>
          <w:rFonts w:hint="default" w:ascii="Times New Roman" w:hAnsi="Times New Roman" w:eastAsia="宋体" w:cs="Times New Roman"/>
          <w:color w:val="auto"/>
          <w:kern w:val="2"/>
          <w:sz w:val="24"/>
          <w:szCs w:val="24"/>
          <w:highlight w:val="none"/>
          <w:lang w:val="en-US" w:eastAsia="zh-CN" w:bidi="ar-SA"/>
        </w:rPr>
        <w:t>t/d(</w:t>
      </w:r>
      <w:r>
        <w:rPr>
          <w:rFonts w:hint="eastAsia" w:ascii="Times New Roman" w:hAnsi="Times New Roman" w:eastAsia="宋体" w:cs="Times New Roman"/>
          <w:color w:val="auto"/>
          <w:kern w:val="2"/>
          <w:sz w:val="24"/>
          <w:szCs w:val="24"/>
          <w:highlight w:val="none"/>
          <w:lang w:val="en-US" w:eastAsia="zh-CN" w:bidi="ar-SA"/>
        </w:rPr>
        <w:t>26805.6</w:t>
      </w:r>
      <w:r>
        <w:rPr>
          <w:rFonts w:hint="default" w:ascii="Times New Roman" w:hAnsi="Times New Roman" w:eastAsia="宋体" w:cs="Times New Roman"/>
          <w:color w:val="auto"/>
          <w:kern w:val="2"/>
          <w:sz w:val="24"/>
          <w:szCs w:val="24"/>
          <w:highlight w:val="none"/>
          <w:lang w:val="en-US" w:eastAsia="zh-CN" w:bidi="ar-SA"/>
        </w:rPr>
        <w:t>t/a)，</w:t>
      </w:r>
      <w:r>
        <w:rPr>
          <w:rFonts w:hint="eastAsia" w:ascii="Times New Roman" w:hAnsi="Times New Roman" w:eastAsia="宋体" w:cs="Times New Roman"/>
          <w:color w:val="auto"/>
          <w:kern w:val="2"/>
          <w:sz w:val="24"/>
          <w:szCs w:val="24"/>
          <w:highlight w:val="none"/>
          <w:lang w:val="en-US" w:eastAsia="zh-CN" w:bidi="ar-SA"/>
        </w:rPr>
        <w:t>参考</w:t>
      </w:r>
      <w:r>
        <w:rPr>
          <w:rFonts w:hint="default" w:ascii="Times New Roman" w:hAnsi="Times New Roman" w:eastAsia="宋体" w:cs="Times New Roman"/>
          <w:color w:val="auto"/>
          <w:kern w:val="2"/>
          <w:sz w:val="24"/>
          <w:szCs w:val="24"/>
          <w:highlight w:val="none"/>
          <w:lang w:val="en-US" w:eastAsia="zh-CN" w:bidi="ar-SA"/>
        </w:rPr>
        <w:t>《中国猪和奶牛粪尿氨挥发的评价研究》可知，堆放过程中每1000t粪产生NH</w:t>
      </w:r>
      <w:r>
        <w:rPr>
          <w:rFonts w:hint="default" w:ascii="Times New Roman" w:hAnsi="Times New Roman" w:eastAsia="宋体" w:cs="Times New Roman"/>
          <w:color w:val="auto"/>
          <w:kern w:val="2"/>
          <w:sz w:val="24"/>
          <w:szCs w:val="24"/>
          <w:highlight w:val="none"/>
          <w:vertAlign w:val="sub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按0.5kg计，产生H</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S按0.1kg计，因此堆粪场NH</w:t>
      </w:r>
      <w:r>
        <w:rPr>
          <w:rFonts w:hint="default" w:ascii="Times New Roman" w:hAnsi="Times New Roman" w:eastAsia="宋体" w:cs="Times New Roman"/>
          <w:color w:val="auto"/>
          <w:kern w:val="2"/>
          <w:sz w:val="24"/>
          <w:szCs w:val="24"/>
          <w:highlight w:val="none"/>
          <w:vertAlign w:val="sub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产生量为</w:t>
      </w:r>
      <w:r>
        <w:rPr>
          <w:rFonts w:hint="eastAsia" w:ascii="Times New Roman" w:hAnsi="Times New Roman" w:eastAsia="宋体" w:cs="Times New Roman"/>
          <w:color w:val="auto"/>
          <w:kern w:val="2"/>
          <w:sz w:val="24"/>
          <w:szCs w:val="24"/>
          <w:highlight w:val="none"/>
          <w:lang w:val="en-US" w:eastAsia="zh-CN" w:bidi="ar-SA"/>
        </w:rPr>
        <w:t>0.0134</w:t>
      </w:r>
      <w:r>
        <w:rPr>
          <w:rFonts w:hint="default" w:ascii="Times New Roman" w:hAnsi="Times New Roman" w:eastAsia="宋体" w:cs="Times New Roman"/>
          <w:color w:val="auto"/>
          <w:kern w:val="2"/>
          <w:sz w:val="24"/>
          <w:szCs w:val="24"/>
          <w:highlight w:val="none"/>
          <w:lang w:val="en-US" w:eastAsia="zh-CN" w:bidi="ar-SA"/>
        </w:rPr>
        <w:t>t/a，H</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S产生量为0.00</w:t>
      </w:r>
      <w:r>
        <w:rPr>
          <w:rFonts w:hint="eastAsia" w:ascii="Times New Roman" w:hAnsi="Times New Roman" w:eastAsia="宋体" w:cs="Times New Roman"/>
          <w:color w:val="auto"/>
          <w:kern w:val="2"/>
          <w:sz w:val="24"/>
          <w:szCs w:val="24"/>
          <w:highlight w:val="none"/>
          <w:lang w:val="en-US" w:eastAsia="zh-CN" w:bidi="ar-SA"/>
        </w:rPr>
        <w:t>27</w:t>
      </w:r>
      <w:r>
        <w:rPr>
          <w:rFonts w:hint="default" w:ascii="Times New Roman" w:hAnsi="Times New Roman" w:eastAsia="宋体" w:cs="Times New Roman"/>
          <w:color w:val="auto"/>
          <w:kern w:val="2"/>
          <w:sz w:val="24"/>
          <w:szCs w:val="24"/>
          <w:highlight w:val="none"/>
          <w:lang w:val="en-US" w:eastAsia="zh-CN" w:bidi="ar-SA"/>
        </w:rPr>
        <w:t>t/a。</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2）防治措施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根据《排污许可证申请与核发技术规范畜禽养殖行业》（HJ1029-2019）表 7，养殖场粪便堆存产生的恶臭无组织排放控制要求包括：（1）定期喷洒除臭剂；（2）及时清运固体粪污；（3）采用厌氧或好氧堆肥方式；（4）集中收集气体经处理（生物过滤法、生物洗涤法、吸收法）后由排气筒排放。</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①干粪棚全部封闭，采用负压抽风的方式（设计风量</w:t>
      </w:r>
      <w:r>
        <w:rPr>
          <w:rFonts w:hint="eastAsia" w:ascii="Times New Roman" w:hAnsi="Times New Roman" w:eastAsia="宋体" w:cs="Times New Roman"/>
          <w:color w:val="auto"/>
          <w:kern w:val="2"/>
          <w:sz w:val="24"/>
          <w:szCs w:val="24"/>
          <w:highlight w:val="none"/>
          <w:lang w:val="en-US" w:eastAsia="zh-CN" w:bidi="ar-SA"/>
        </w:rPr>
        <w:t>5</w:t>
      </w:r>
      <w:r>
        <w:rPr>
          <w:rFonts w:hint="default" w:ascii="Times New Roman" w:hAnsi="Times New Roman" w:eastAsia="宋体" w:cs="Times New Roman"/>
          <w:color w:val="auto"/>
          <w:kern w:val="2"/>
          <w:sz w:val="24"/>
          <w:szCs w:val="24"/>
          <w:highlight w:val="none"/>
          <w:lang w:val="en-US" w:eastAsia="zh-CN" w:bidi="ar-SA"/>
        </w:rPr>
        <w:t>000m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/h），将恶臭气体收集后通过抽风机抽至生物滤池系统处理后通过15m高的排气筒</w:t>
      </w:r>
      <w:r>
        <w:rPr>
          <w:rFonts w:hint="eastAsia" w:ascii="Times New Roman" w:hAnsi="Times New Roman" w:eastAsia="宋体" w:cs="Times New Roman"/>
          <w:color w:val="auto"/>
          <w:kern w:val="2"/>
          <w:sz w:val="24"/>
          <w:szCs w:val="24"/>
          <w:highlight w:val="none"/>
          <w:lang w:val="en-US" w:eastAsia="zh-CN" w:bidi="ar-SA"/>
        </w:rPr>
        <w:t>（DA001)</w:t>
      </w:r>
      <w:r>
        <w:rPr>
          <w:rFonts w:hint="default" w:ascii="Times New Roman" w:hAnsi="Times New Roman" w:eastAsia="宋体" w:cs="Times New Roman"/>
          <w:color w:val="auto"/>
          <w:kern w:val="2"/>
          <w:sz w:val="24"/>
          <w:szCs w:val="24"/>
          <w:highlight w:val="none"/>
          <w:lang w:val="en-US" w:eastAsia="zh-CN" w:bidi="ar-SA"/>
        </w:rPr>
        <w:t>排放。综合考虑恶臭气体收集率90%，生物滤池对H</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S、NH</w:t>
      </w:r>
      <w:r>
        <w:rPr>
          <w:rFonts w:hint="default" w:ascii="Times New Roman" w:hAnsi="Times New Roman" w:eastAsia="宋体" w:cs="Times New Roman"/>
          <w:color w:val="auto"/>
          <w:kern w:val="2"/>
          <w:sz w:val="24"/>
          <w:szCs w:val="24"/>
          <w:highlight w:val="none"/>
          <w:vertAlign w:val="sub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等恶臭气体的去除率为90%。</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②产生的干粪及时清理，日产日清，保持干粪棚的清洁和干燥，注意棚内防潮。</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③加强干粪棚消毒措施，需配备地面消毒设备。</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④喷洒除臭剂。每天多次喷洒除臭剂，以减少恶臭的产生。根据《微生物除臭剂研究进展》（赵晓锋，隋文志，现代化农业2011年第6期）文献研究，经国家环境分析测试中心和陕西环境监测中心测试，万洁芬生物除臭剂对NH</w:t>
      </w:r>
      <w:r>
        <w:rPr>
          <w:rFonts w:hint="default" w:ascii="Times New Roman" w:hAnsi="Times New Roman" w:eastAsia="宋体" w:cs="Times New Roman"/>
          <w:color w:val="auto"/>
          <w:kern w:val="2"/>
          <w:sz w:val="24"/>
          <w:szCs w:val="24"/>
          <w:highlight w:val="none"/>
          <w:vertAlign w:val="sub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和H</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S的去除效率分别为92.6%和89%。</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⑤加强干粪棚周边的绿化措施，选择抗污能力强，净化空气好的植物，利用绿色植物吸收恶臭等物质，减轻臭气的影响。</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经过上述综合措施处理后，预计</w:t>
      </w:r>
      <w:r>
        <w:rPr>
          <w:rFonts w:hint="eastAsia" w:ascii="Times New Roman" w:hAnsi="Times New Roman" w:eastAsia="宋体" w:cs="Times New Roman"/>
          <w:color w:val="auto"/>
          <w:kern w:val="2"/>
          <w:sz w:val="24"/>
          <w:szCs w:val="24"/>
          <w:highlight w:val="none"/>
          <w:lang w:val="en-US" w:eastAsia="zh-CN" w:bidi="ar-SA"/>
        </w:rPr>
        <w:t>肉</w:t>
      </w:r>
      <w:r>
        <w:rPr>
          <w:rFonts w:hint="default" w:ascii="Times New Roman" w:hAnsi="Times New Roman" w:eastAsia="宋体" w:cs="Times New Roman"/>
          <w:color w:val="auto"/>
          <w:kern w:val="2"/>
          <w:sz w:val="24"/>
          <w:szCs w:val="24"/>
          <w:highlight w:val="none"/>
          <w:lang w:val="en-US" w:eastAsia="zh-CN" w:bidi="ar-SA"/>
        </w:rPr>
        <w:t>牛粪污恶臭污染物去除率可达到95%以上，则本项目牛粪污中NH</w:t>
      </w:r>
      <w:r>
        <w:rPr>
          <w:rFonts w:hint="default" w:ascii="Times New Roman" w:hAnsi="Times New Roman" w:eastAsia="宋体" w:cs="Times New Roman"/>
          <w:color w:val="auto"/>
          <w:kern w:val="2"/>
          <w:sz w:val="24"/>
          <w:szCs w:val="24"/>
          <w:highlight w:val="none"/>
          <w:vertAlign w:val="sub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和H</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S产生量及排放量见下表，则项目干粪棚具体产排污情况见下表：</w:t>
      </w:r>
    </w:p>
    <w:p>
      <w:pPr>
        <w:pStyle w:val="2504"/>
        <w:numPr>
          <w:ilvl w:val="0"/>
          <w:numId w:val="25"/>
        </w:numPr>
        <w:spacing w:before="120" w:line="360" w:lineRule="auto"/>
        <w:ind w:left="0" w:leftChars="0" w:firstLine="403"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r>
        <w:rPr>
          <w:rFonts w:hint="eastAsia" w:ascii="Times New Roman" w:hAnsi="Times New Roman" w:cs="Times New Roman"/>
          <w:color w:val="auto"/>
          <w:highlight w:val="none"/>
          <w:lang w:eastAsia="zh-CN"/>
        </w:rPr>
        <w:t>项目干粪棚恶臭产生及排放情况</w:t>
      </w:r>
      <w:r>
        <w:rPr>
          <w:rFonts w:hint="default" w:ascii="Times New Roman" w:hAnsi="Times New Roman" w:cs="Times New Roman"/>
          <w:color w:val="auto"/>
          <w:highlight w:val="none"/>
        </w:rPr>
        <w:t>一览表</w:t>
      </w:r>
    </w:p>
    <w:tbl>
      <w:tblPr>
        <w:tblStyle w:val="91"/>
        <w:tblW w:w="0" w:type="auto"/>
        <w:jc w:val="center"/>
        <w:tblLayout w:type="autofit"/>
        <w:tblCellMar>
          <w:top w:w="0" w:type="dxa"/>
          <w:left w:w="0" w:type="dxa"/>
          <w:bottom w:w="0" w:type="dxa"/>
          <w:right w:w="0" w:type="dxa"/>
        </w:tblCellMar>
      </w:tblPr>
      <w:tblGrid>
        <w:gridCol w:w="396"/>
        <w:gridCol w:w="528"/>
        <w:gridCol w:w="1009"/>
        <w:gridCol w:w="711"/>
        <w:gridCol w:w="1970"/>
        <w:gridCol w:w="553"/>
        <w:gridCol w:w="1013"/>
        <w:gridCol w:w="803"/>
        <w:gridCol w:w="698"/>
        <w:gridCol w:w="625"/>
      </w:tblGrid>
      <w:tr>
        <w:tblPrEx>
          <w:tblCellMar>
            <w:top w:w="0" w:type="dxa"/>
            <w:left w:w="0" w:type="dxa"/>
            <w:bottom w:w="0" w:type="dxa"/>
            <w:right w:w="0" w:type="dxa"/>
          </w:tblCellMar>
        </w:tblPrEx>
        <w:trPr>
          <w:jc w:val="center"/>
        </w:trPr>
        <w:tc>
          <w:tcPr>
            <w:tcW w:w="0" w:type="auto"/>
            <w:tcBorders>
              <w:top w:val="single" w:color="auto" w:sz="12" w:space="0"/>
              <w:left w:val="nil"/>
              <w:bottom w:val="single" w:color="000000" w:sz="4" w:space="0"/>
              <w:right w:val="single" w:color="000000" w:sz="4" w:space="0"/>
            </w:tcBorders>
            <w:noWrap w:val="0"/>
            <w:vAlign w:val="center"/>
          </w:tcPr>
          <w:p>
            <w:pPr>
              <w:pStyle w:val="167"/>
              <w:keepNext w:val="0"/>
              <w:keepLines w:val="0"/>
              <w:suppressLineNumbers w:val="0"/>
              <w:kinsoku w:val="0"/>
              <w:overflowPunct w:val="0"/>
              <w:spacing w:before="109"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rPr>
              <w:t>污染源位置</w:t>
            </w:r>
          </w:p>
        </w:tc>
        <w:tc>
          <w:tcPr>
            <w:tcW w:w="0" w:type="auto"/>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109"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rPr>
              <w:t>污染物名称</w:t>
            </w:r>
          </w:p>
        </w:tc>
        <w:tc>
          <w:tcPr>
            <w:tcW w:w="0" w:type="auto"/>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产生速率（</w:t>
            </w:r>
            <w:r>
              <w:rPr>
                <w:rFonts w:hint="default" w:ascii="Times New Roman" w:hAnsi="Times New Roman" w:eastAsia="宋体" w:cs="Times New Roman"/>
                <w:b/>
                <w:bCs/>
                <w:color w:val="auto"/>
                <w:sz w:val="21"/>
                <w:szCs w:val="21"/>
                <w:highlight w:val="none"/>
                <w:lang w:val="en-US" w:eastAsia="zh-CN"/>
              </w:rPr>
              <w:t>kg/h</w:t>
            </w:r>
            <w:r>
              <w:rPr>
                <w:rFonts w:hint="default" w:ascii="Times New Roman" w:hAnsi="Times New Roman" w:cs="Times New Roman"/>
                <w:b/>
                <w:bCs/>
                <w:color w:val="auto"/>
                <w:sz w:val="21"/>
                <w:szCs w:val="21"/>
                <w:highlight w:val="none"/>
                <w:lang w:val="en-US" w:eastAsia="zh-CN"/>
              </w:rPr>
              <w:t>）</w:t>
            </w:r>
          </w:p>
        </w:tc>
        <w:tc>
          <w:tcPr>
            <w:tcW w:w="0" w:type="auto"/>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rPr>
              <w:t>年产生量</w:t>
            </w:r>
          </w:p>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rPr>
              <w:t>（t/a）</w:t>
            </w:r>
          </w:p>
        </w:tc>
        <w:tc>
          <w:tcPr>
            <w:tcW w:w="0" w:type="auto"/>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109" w:beforeAutospacing="0" w:after="0" w:afterAutospacing="0" w:line="360" w:lineRule="auto"/>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cs="Times New Roman"/>
                <w:b/>
                <w:color w:val="auto"/>
                <w:sz w:val="21"/>
                <w:szCs w:val="21"/>
                <w:highlight w:val="none"/>
                <w:lang w:eastAsia="zh-CN"/>
              </w:rPr>
              <w:t>防治措施</w:t>
            </w:r>
          </w:p>
        </w:tc>
        <w:tc>
          <w:tcPr>
            <w:tcW w:w="0" w:type="auto"/>
            <w:tcBorders>
              <w:top w:val="single" w:color="auto" w:sz="12" w:space="0"/>
              <w:left w:val="single" w:color="000000" w:sz="4" w:space="0"/>
              <w:bottom w:val="single" w:color="000000" w:sz="4" w:space="0"/>
              <w:right w:val="nil"/>
            </w:tcBorders>
            <w:noWrap w:val="0"/>
            <w:vAlign w:val="center"/>
          </w:tcPr>
          <w:p>
            <w:pPr>
              <w:pStyle w:val="167"/>
              <w:keepNext w:val="0"/>
              <w:keepLines w:val="0"/>
              <w:suppressLineNumbers w:val="0"/>
              <w:kinsoku w:val="0"/>
              <w:overflowPunct w:val="0"/>
              <w:spacing w:before="109" w:beforeAutospacing="0" w:after="0" w:afterAutospacing="0" w:line="360" w:lineRule="auto"/>
              <w:ind w:left="0" w:leftChars="0" w:right="0" w:right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去除效率</w:t>
            </w:r>
          </w:p>
        </w:tc>
        <w:tc>
          <w:tcPr>
            <w:tcW w:w="0" w:type="auto"/>
            <w:tcBorders>
              <w:top w:val="single" w:color="auto" w:sz="12" w:space="0"/>
              <w:left w:val="single" w:color="000000" w:sz="4" w:space="0"/>
              <w:bottom w:val="single" w:color="000000" w:sz="4" w:space="0"/>
              <w:right w:val="nil"/>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排放浓度</w:t>
            </w:r>
          </w:p>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（mg/m</w:t>
            </w:r>
            <w:r>
              <w:rPr>
                <w:rFonts w:hint="default" w:ascii="Times New Roman" w:hAnsi="Times New Roman" w:cs="Times New Roman"/>
                <w:b/>
                <w:bCs/>
                <w:color w:val="auto"/>
                <w:sz w:val="21"/>
                <w:szCs w:val="21"/>
                <w:highlight w:val="none"/>
                <w:vertAlign w:val="superscript"/>
                <w:lang w:eastAsia="zh-CN"/>
              </w:rPr>
              <w:t>3</w:t>
            </w:r>
            <w:r>
              <w:rPr>
                <w:rFonts w:hint="default" w:ascii="Times New Roman" w:hAnsi="Times New Roman" w:cs="Times New Roman"/>
                <w:b/>
                <w:bCs/>
                <w:color w:val="auto"/>
                <w:sz w:val="21"/>
                <w:szCs w:val="21"/>
                <w:highlight w:val="none"/>
                <w:lang w:eastAsia="zh-CN"/>
              </w:rPr>
              <w:t>）</w:t>
            </w:r>
          </w:p>
        </w:tc>
        <w:tc>
          <w:tcPr>
            <w:tcW w:w="698" w:type="dxa"/>
            <w:tcBorders>
              <w:top w:val="single" w:color="auto" w:sz="12" w:space="0"/>
              <w:left w:val="single" w:color="000000" w:sz="4" w:space="0"/>
              <w:bottom w:val="single" w:color="000000" w:sz="4" w:space="0"/>
              <w:right w:val="single" w:color="000000" w:sz="8" w:space="0"/>
            </w:tcBorders>
            <w:noWrap w:val="0"/>
            <w:vAlign w:val="center"/>
          </w:tcPr>
          <w:p>
            <w:pPr>
              <w:pStyle w:val="167"/>
              <w:keepNext w:val="0"/>
              <w:keepLines w:val="0"/>
              <w:suppressLineNumbers w:val="0"/>
              <w:kinsoku w:val="0"/>
              <w:overflowPunct w:val="0"/>
              <w:spacing w:before="0" w:beforeAutospacing="0" w:after="0" w:afterAutospacing="0" w:line="360" w:lineRule="auto"/>
              <w:ind w:left="0" w:leftChars="0" w:right="0" w:rightChars="0"/>
              <w:jc w:val="center"/>
              <w:rPr>
                <w:rFonts w:hint="default" w:ascii="Times New Roman" w:hAnsi="Times New Roman"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rPr>
              <w:t>排放</w:t>
            </w:r>
            <w:r>
              <w:rPr>
                <w:rFonts w:hint="default" w:ascii="Times New Roman" w:hAnsi="Times New Roman" w:eastAsia="宋体" w:cs="Times New Roman"/>
                <w:b/>
                <w:bCs/>
                <w:color w:val="auto"/>
                <w:sz w:val="21"/>
                <w:szCs w:val="21"/>
                <w:highlight w:val="none"/>
                <w:lang w:eastAsia="zh-CN"/>
              </w:rPr>
              <w:t>速率</w:t>
            </w:r>
            <w:r>
              <w:rPr>
                <w:rFonts w:hint="default" w:ascii="Times New Roman" w:hAnsi="Times New Roman" w:eastAsia="宋体" w:cs="Times New Roman"/>
                <w:b/>
                <w:bCs/>
                <w:color w:val="auto"/>
                <w:sz w:val="21"/>
                <w:szCs w:val="21"/>
                <w:highlight w:val="none"/>
                <w:lang w:val="en-US" w:eastAsia="zh-CN"/>
              </w:rPr>
              <w:t>kg/h</w:t>
            </w:r>
          </w:p>
        </w:tc>
        <w:tc>
          <w:tcPr>
            <w:tcW w:w="670" w:type="dxa"/>
            <w:tcBorders>
              <w:top w:val="single" w:color="auto" w:sz="12" w:space="0"/>
              <w:left w:val="single" w:color="000000" w:sz="8" w:space="0"/>
              <w:bottom w:val="single" w:color="000000" w:sz="4" w:space="0"/>
              <w:right w:val="nil"/>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rPr>
              <w:t>年排放量</w:t>
            </w:r>
          </w:p>
          <w:p>
            <w:pPr>
              <w:pStyle w:val="167"/>
              <w:keepNext w:val="0"/>
              <w:keepLines w:val="0"/>
              <w:suppressLineNumbers w:val="0"/>
              <w:kinsoku w:val="0"/>
              <w:overflowPunct w:val="0"/>
              <w:spacing w:before="0" w:beforeAutospacing="0" w:after="0" w:afterAutospacing="0" w:line="360" w:lineRule="auto"/>
              <w:ind w:left="0" w:leftChars="0" w:right="0" w:right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（t/a）</w:t>
            </w:r>
          </w:p>
        </w:tc>
        <w:tc>
          <w:tcPr>
            <w:tcW w:w="0" w:type="auto"/>
            <w:tcBorders>
              <w:top w:val="single" w:color="auto" w:sz="12" w:space="0"/>
              <w:left w:val="single" w:color="000000" w:sz="4" w:space="0"/>
              <w:bottom w:val="single" w:color="000000" w:sz="4" w:space="0"/>
              <w:right w:val="nil"/>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eastAsia" w:ascii="Times New Roman" w:hAnsi="Times New Roman" w:cs="Times New Roman"/>
                <w:b/>
                <w:bCs/>
                <w:color w:val="auto"/>
                <w:sz w:val="21"/>
                <w:szCs w:val="21"/>
                <w:highlight w:val="none"/>
                <w:lang w:eastAsia="zh-CN"/>
              </w:rPr>
              <w:t>排放方式</w:t>
            </w:r>
          </w:p>
        </w:tc>
      </w:tr>
      <w:tr>
        <w:tblPrEx>
          <w:tblCellMar>
            <w:top w:w="0" w:type="dxa"/>
            <w:left w:w="0" w:type="dxa"/>
            <w:bottom w:w="0" w:type="dxa"/>
            <w:right w:w="0" w:type="dxa"/>
          </w:tblCellMar>
        </w:tblPrEx>
        <w:trPr>
          <w:jc w:val="center"/>
        </w:trPr>
        <w:tc>
          <w:tcPr>
            <w:tcW w:w="409" w:type="dxa"/>
            <w:vMerge w:val="restart"/>
            <w:tcBorders>
              <w:top w:val="single" w:color="000000" w:sz="4" w:space="0"/>
              <w:left w:val="nil"/>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干粪棚</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44" w:beforeAutospacing="0" w:after="0" w:afterAutospacing="0" w:line="360" w:lineRule="auto"/>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position w:val="2"/>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0.0134</w:t>
            </w:r>
          </w:p>
        </w:tc>
        <w:tc>
          <w:tcPr>
            <w:tcW w:w="2036" w:type="dxa"/>
            <w:vMerge w:val="restart"/>
            <w:tcBorders>
              <w:top w:val="single" w:color="000000" w:sz="4" w:space="0"/>
              <w:left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车间密闭，并喷洒除臭剂，负压收集后的废气经生物滤池处理后经15m高排气筒</w:t>
            </w:r>
            <w:r>
              <w:rPr>
                <w:rFonts w:hint="eastAsia" w:ascii="Times New Roman" w:hAnsi="Times New Roman" w:cs="Times New Roman"/>
                <w:color w:val="auto"/>
                <w:sz w:val="21"/>
                <w:szCs w:val="21"/>
                <w:highlight w:val="none"/>
                <w:lang w:val="en-US" w:eastAsia="zh-CN"/>
              </w:rPr>
              <w:t>（DA001）排放</w:t>
            </w:r>
          </w:p>
        </w:tc>
        <w:tc>
          <w:tcPr>
            <w:tcW w:w="0" w:type="auto"/>
            <w:vMerge w:val="restart"/>
            <w:tcBorders>
              <w:top w:val="single" w:color="000000" w:sz="4" w:space="0"/>
              <w:left w:val="single" w:color="000000" w:sz="4" w:space="0"/>
              <w:right w:val="nil"/>
            </w:tcBorders>
            <w:noWrap w:val="0"/>
            <w:vAlign w:val="center"/>
          </w:tcPr>
          <w:p>
            <w:pPr>
              <w:pStyle w:val="167"/>
              <w:keepNext w:val="0"/>
              <w:keepLines w:val="0"/>
              <w:suppressLineNumbers w:val="0"/>
              <w:kinsoku w:val="0"/>
              <w:overflowPunct w:val="0"/>
              <w:spacing w:before="0" w:beforeAutospacing="0" w:after="0" w:afterAutospacing="0" w:line="360" w:lineRule="auto"/>
              <w:ind w:left="0" w:leftChars="0" w:right="0"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90%</w:t>
            </w:r>
          </w:p>
        </w:tc>
        <w:tc>
          <w:tcPr>
            <w:tcW w:w="1013"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0.0275</w:t>
            </w:r>
          </w:p>
        </w:tc>
        <w:tc>
          <w:tcPr>
            <w:tcW w:w="698" w:type="dxa"/>
            <w:tcBorders>
              <w:top w:val="single" w:color="000000" w:sz="4" w:space="0"/>
              <w:left w:val="single" w:color="000000" w:sz="4" w:space="0"/>
              <w:bottom w:val="single" w:color="000000" w:sz="4" w:space="0"/>
              <w:right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0.0001</w:t>
            </w:r>
          </w:p>
        </w:tc>
        <w:tc>
          <w:tcPr>
            <w:tcW w:w="670" w:type="dxa"/>
            <w:tcBorders>
              <w:top w:val="single" w:color="000000" w:sz="4" w:space="0"/>
              <w:left w:val="single" w:color="000000" w:sz="8" w:space="0"/>
              <w:bottom w:val="single" w:color="000000" w:sz="4"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0.0012</w:t>
            </w:r>
          </w:p>
        </w:tc>
        <w:tc>
          <w:tcPr>
            <w:tcW w:w="654" w:type="dxa"/>
            <w:vMerge w:val="restart"/>
            <w:tcBorders>
              <w:top w:val="single" w:color="000000" w:sz="4" w:space="0"/>
              <w:left w:val="single" w:color="000000" w:sz="4"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有组织</w:t>
            </w:r>
          </w:p>
        </w:tc>
      </w:tr>
      <w:tr>
        <w:tblPrEx>
          <w:tblCellMar>
            <w:top w:w="0" w:type="dxa"/>
            <w:left w:w="0" w:type="dxa"/>
            <w:bottom w:w="0" w:type="dxa"/>
            <w:right w:w="0" w:type="dxa"/>
          </w:tblCellMar>
        </w:tblPrEx>
        <w:trPr>
          <w:jc w:val="center"/>
        </w:trPr>
        <w:tc>
          <w:tcPr>
            <w:tcW w:w="409" w:type="dxa"/>
            <w:vMerge w:val="continue"/>
            <w:tcBorders>
              <w:left w:val="nil"/>
              <w:right w:val="single" w:color="000000" w:sz="4" w:space="0"/>
            </w:tcBorders>
            <w:noWrap w:val="0"/>
            <w:vAlign w:val="center"/>
          </w:tcPr>
          <w:p>
            <w:pPr>
              <w:pStyle w:val="167"/>
              <w:keepNext w:val="0"/>
              <w:keepLines w:val="0"/>
              <w:suppressLineNumbers w:val="0"/>
              <w:kinsoku w:val="0"/>
              <w:overflowPunct w:val="0"/>
              <w:spacing w:before="48" w:beforeAutospacing="0" w:after="0" w:afterAutospacing="0" w:line="360" w:lineRule="auto"/>
              <w:ind w:left="380" w:right="0" w:firstLine="480"/>
              <w:jc w:val="center"/>
              <w:rPr>
                <w:rFonts w:hint="default" w:ascii="Times New Roman" w:hAnsi="Times New Roman" w:eastAsia="宋体" w:cs="Times New Roman"/>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45" w:beforeAutospacing="0" w:after="0" w:afterAutospacing="0" w:line="360" w:lineRule="auto"/>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position w:val="2"/>
                <w:sz w:val="21"/>
                <w:szCs w:val="21"/>
                <w:highlight w:val="none"/>
              </w:rPr>
              <w:t>H</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position w:val="2"/>
                <w:sz w:val="21"/>
                <w:szCs w:val="21"/>
                <w:highlight w:val="none"/>
              </w:rPr>
              <w:t>S</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0.0027</w:t>
            </w:r>
          </w:p>
        </w:tc>
        <w:tc>
          <w:tcPr>
            <w:tcW w:w="2036" w:type="dxa"/>
            <w:vMerge w:val="continue"/>
            <w:tcBorders>
              <w:left w:val="single" w:color="000000" w:sz="4" w:space="0"/>
              <w:right w:val="single" w:color="000000" w:sz="4" w:space="0"/>
            </w:tcBorders>
            <w:noWrap w:val="0"/>
            <w:vAlign w:val="center"/>
          </w:tcPr>
          <w:p>
            <w:pPr>
              <w:pStyle w:val="167"/>
              <w:keepNext w:val="0"/>
              <w:keepLines w:val="0"/>
              <w:suppressLineNumbers w:val="0"/>
              <w:kinsoku w:val="0"/>
              <w:overflowPunct w:val="0"/>
              <w:spacing w:before="48" w:beforeAutospacing="0" w:after="0" w:afterAutospacing="0" w:line="360" w:lineRule="auto"/>
              <w:ind w:left="345" w:right="0" w:firstLine="480"/>
              <w:jc w:val="center"/>
              <w:rPr>
                <w:rFonts w:hint="default" w:ascii="Times New Roman" w:hAnsi="Times New Roman" w:eastAsia="宋体" w:cs="Times New Roman"/>
                <w:color w:val="auto"/>
                <w:sz w:val="21"/>
                <w:szCs w:val="21"/>
                <w:highlight w:val="none"/>
              </w:rPr>
            </w:pPr>
          </w:p>
        </w:tc>
        <w:tc>
          <w:tcPr>
            <w:tcW w:w="0" w:type="auto"/>
            <w:vMerge w:val="continue"/>
            <w:tcBorders>
              <w:left w:val="single" w:color="000000" w:sz="4" w:space="0"/>
              <w:bottom w:val="single" w:color="000000" w:sz="8" w:space="0"/>
              <w:right w:val="nil"/>
            </w:tcBorders>
            <w:noWrap w:val="0"/>
            <w:vAlign w:val="center"/>
          </w:tcPr>
          <w:p>
            <w:pPr>
              <w:pStyle w:val="167"/>
              <w:keepNext w:val="0"/>
              <w:keepLines w:val="0"/>
              <w:suppressLineNumbers w:val="0"/>
              <w:kinsoku w:val="0"/>
              <w:overflowPunct w:val="0"/>
              <w:spacing w:before="48" w:beforeAutospacing="0" w:after="0" w:afterAutospacing="0" w:line="360" w:lineRule="auto"/>
              <w:ind w:left="345" w:right="0" w:firstLine="480"/>
              <w:jc w:val="center"/>
              <w:rPr>
                <w:rFonts w:hint="default" w:ascii="Times New Roman" w:hAnsi="Times New Roman" w:eastAsia="宋体" w:cs="Times New Roman"/>
                <w:color w:val="auto"/>
                <w:sz w:val="21"/>
                <w:szCs w:val="21"/>
                <w:highlight w:val="none"/>
              </w:rPr>
            </w:pPr>
          </w:p>
        </w:tc>
        <w:tc>
          <w:tcPr>
            <w:tcW w:w="1013"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0.0055</w:t>
            </w:r>
          </w:p>
        </w:tc>
        <w:tc>
          <w:tcPr>
            <w:tcW w:w="698" w:type="dxa"/>
            <w:tcBorders>
              <w:top w:val="single" w:color="000000" w:sz="4" w:space="0"/>
              <w:left w:val="single" w:color="000000" w:sz="4" w:space="0"/>
              <w:bottom w:val="single" w:color="000000" w:sz="4" w:space="0"/>
              <w:right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0.00003</w:t>
            </w:r>
          </w:p>
        </w:tc>
        <w:tc>
          <w:tcPr>
            <w:tcW w:w="670" w:type="dxa"/>
            <w:tcBorders>
              <w:top w:val="single" w:color="000000" w:sz="4" w:space="0"/>
              <w:left w:val="single" w:color="000000" w:sz="8" w:space="0"/>
              <w:bottom w:val="single" w:color="000000" w:sz="8"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0.0002</w:t>
            </w:r>
          </w:p>
        </w:tc>
        <w:tc>
          <w:tcPr>
            <w:tcW w:w="654" w:type="dxa"/>
            <w:vMerge w:val="continue"/>
            <w:tcBorders>
              <w:left w:val="single" w:color="000000" w:sz="4" w:space="0"/>
              <w:bottom w:val="single" w:color="000000" w:sz="8"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p>
        </w:tc>
      </w:tr>
      <w:tr>
        <w:tblPrEx>
          <w:tblCellMar>
            <w:top w:w="0" w:type="dxa"/>
            <w:left w:w="0" w:type="dxa"/>
            <w:bottom w:w="0" w:type="dxa"/>
            <w:right w:w="0" w:type="dxa"/>
          </w:tblCellMar>
        </w:tblPrEx>
        <w:trPr>
          <w:jc w:val="center"/>
        </w:trPr>
        <w:tc>
          <w:tcPr>
            <w:tcW w:w="409" w:type="dxa"/>
            <w:vMerge w:val="continue"/>
            <w:tcBorders>
              <w:left w:val="nil"/>
              <w:right w:val="single" w:color="000000" w:sz="4" w:space="0"/>
            </w:tcBorders>
            <w:noWrap w:val="0"/>
            <w:vAlign w:val="center"/>
          </w:tcPr>
          <w:p>
            <w:pPr>
              <w:pStyle w:val="167"/>
              <w:keepNext w:val="0"/>
              <w:keepLines w:val="0"/>
              <w:suppressLineNumbers w:val="0"/>
              <w:kinsoku w:val="0"/>
              <w:overflowPunct w:val="0"/>
              <w:spacing w:before="48" w:beforeAutospacing="0" w:after="0" w:afterAutospacing="0" w:line="360" w:lineRule="auto"/>
              <w:ind w:left="380" w:right="0" w:firstLine="480"/>
              <w:jc w:val="center"/>
              <w:rPr>
                <w:rFonts w:hint="default" w:ascii="Times New Roman" w:hAnsi="Times New Roman" w:eastAsia="宋体" w:cs="Times New Roman"/>
                <w:color w:val="auto"/>
                <w:sz w:val="21"/>
                <w:szCs w:val="21"/>
                <w:highlight w:val="none"/>
              </w:rPr>
            </w:pP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44" w:beforeAutospacing="0" w:after="0" w:afterAutospacing="0" w:line="360" w:lineRule="auto"/>
              <w:ind w:left="0" w:leftChars="0" w:right="0" w:rightChars="0"/>
              <w:jc w:val="center"/>
              <w:rPr>
                <w:rFonts w:hint="default" w:ascii="Times New Roman" w:hAnsi="Times New Roman" w:eastAsia="宋体" w:cs="Times New Roman"/>
                <w:color w:val="auto"/>
                <w:position w:val="2"/>
                <w:sz w:val="21"/>
                <w:szCs w:val="21"/>
                <w:highlight w:val="none"/>
              </w:rPr>
            </w:pPr>
            <w:r>
              <w:rPr>
                <w:rFonts w:hint="default" w:ascii="Times New Roman" w:hAnsi="Times New Roman" w:eastAsia="宋体" w:cs="Times New Roman"/>
                <w:color w:val="auto"/>
                <w:position w:val="2"/>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7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w:t>
            </w: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i w:val="0"/>
                <w:iCs w:val="0"/>
                <w:color w:val="auto"/>
                <w:kern w:val="0"/>
                <w:sz w:val="21"/>
                <w:szCs w:val="21"/>
                <w:highlight w:val="none"/>
                <w:u w:val="none"/>
                <w:lang w:val="en-US" w:eastAsia="zh-CN" w:bidi="ar"/>
              </w:rPr>
              <w:t>134</w:t>
            </w:r>
          </w:p>
        </w:tc>
        <w:tc>
          <w:tcPr>
            <w:tcW w:w="2036" w:type="dxa"/>
            <w:vMerge w:val="continue"/>
            <w:tcBorders>
              <w:left w:val="single" w:color="000000" w:sz="4" w:space="0"/>
              <w:right w:val="single" w:color="000000" w:sz="4" w:space="0"/>
            </w:tcBorders>
            <w:noWrap w:val="0"/>
            <w:vAlign w:val="center"/>
          </w:tcPr>
          <w:p>
            <w:pPr>
              <w:pStyle w:val="167"/>
              <w:keepNext w:val="0"/>
              <w:keepLines w:val="0"/>
              <w:suppressLineNumbers w:val="0"/>
              <w:kinsoku w:val="0"/>
              <w:overflowPunct w:val="0"/>
              <w:spacing w:before="48" w:beforeAutospacing="0" w:after="0" w:afterAutospacing="0" w:line="360" w:lineRule="auto"/>
              <w:ind w:left="345" w:right="0" w:firstLine="480"/>
              <w:jc w:val="center"/>
              <w:rPr>
                <w:rFonts w:hint="default" w:ascii="Times New Roman" w:hAnsi="Times New Roman" w:eastAsia="宋体" w:cs="Times New Roman"/>
                <w:color w:val="auto"/>
                <w:sz w:val="21"/>
                <w:szCs w:val="21"/>
                <w:highlight w:val="none"/>
              </w:rPr>
            </w:pPr>
          </w:p>
        </w:tc>
        <w:tc>
          <w:tcPr>
            <w:tcW w:w="553" w:type="dxa"/>
            <w:tcBorders>
              <w:top w:val="single" w:color="000000" w:sz="8" w:space="0"/>
              <w:left w:val="single" w:color="000000" w:sz="4" w:space="0"/>
              <w:bottom w:val="single" w:color="000000" w:sz="8" w:space="0"/>
              <w:right w:val="nil"/>
            </w:tcBorders>
            <w:noWrap w:val="0"/>
            <w:vAlign w:val="center"/>
          </w:tcPr>
          <w:p>
            <w:pPr>
              <w:pStyle w:val="167"/>
              <w:keepNext w:val="0"/>
              <w:keepLines w:val="0"/>
              <w:suppressLineNumbers w:val="0"/>
              <w:kinsoku w:val="0"/>
              <w:overflowPunct w:val="0"/>
              <w:spacing w:before="48" w:beforeAutospacing="0" w:after="0" w:afterAutospacing="0" w:line="360" w:lineRule="auto"/>
              <w:ind w:left="0" w:right="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92.6%</w:t>
            </w:r>
          </w:p>
        </w:tc>
        <w:tc>
          <w:tcPr>
            <w:tcW w:w="0" w:type="auto"/>
            <w:tcBorders>
              <w:top w:val="single" w:color="000000" w:sz="4" w:space="0"/>
              <w:left w:val="single" w:color="000000" w:sz="4" w:space="0"/>
              <w:bottom w:val="single" w:color="000000" w:sz="8"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698" w:type="dxa"/>
            <w:tcBorders>
              <w:top w:val="single" w:color="000000" w:sz="4" w:space="0"/>
              <w:left w:val="single" w:color="000000" w:sz="4" w:space="0"/>
              <w:bottom w:val="single" w:color="000000" w:sz="4" w:space="0"/>
              <w:right w:val="single" w:color="000000" w:sz="8" w:space="0"/>
            </w:tcBorders>
            <w:noWrap w:val="0"/>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0.00001 </w:t>
            </w:r>
          </w:p>
        </w:tc>
        <w:tc>
          <w:tcPr>
            <w:tcW w:w="670" w:type="dxa"/>
            <w:tcBorders>
              <w:top w:val="single" w:color="000000" w:sz="8" w:space="0"/>
              <w:left w:val="single" w:color="000000" w:sz="8" w:space="0"/>
              <w:bottom w:val="single" w:color="000000" w:sz="4" w:space="0"/>
              <w:right w:val="nil"/>
            </w:tcBorders>
            <w:noWrap w:val="0"/>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0.0001</w:t>
            </w:r>
          </w:p>
        </w:tc>
        <w:tc>
          <w:tcPr>
            <w:tcW w:w="654" w:type="dxa"/>
            <w:vMerge w:val="restart"/>
            <w:tcBorders>
              <w:top w:val="single" w:color="000000" w:sz="8" w:space="0"/>
              <w:left w:val="single" w:color="000000" w:sz="4"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无组织</w:t>
            </w:r>
          </w:p>
        </w:tc>
      </w:tr>
      <w:tr>
        <w:trPr>
          <w:jc w:val="center"/>
        </w:trPr>
        <w:tc>
          <w:tcPr>
            <w:tcW w:w="409" w:type="dxa"/>
            <w:vMerge w:val="continue"/>
            <w:tcBorders>
              <w:left w:val="nil"/>
              <w:bottom w:val="single" w:color="auto" w:sz="12" w:space="0"/>
              <w:right w:val="single" w:color="000000" w:sz="4" w:space="0"/>
            </w:tcBorders>
            <w:noWrap w:val="0"/>
            <w:vAlign w:val="center"/>
          </w:tcPr>
          <w:p>
            <w:pPr>
              <w:pStyle w:val="167"/>
              <w:keepNext w:val="0"/>
              <w:keepLines w:val="0"/>
              <w:suppressLineNumbers w:val="0"/>
              <w:kinsoku w:val="0"/>
              <w:overflowPunct w:val="0"/>
              <w:spacing w:before="48" w:beforeAutospacing="0" w:after="0" w:afterAutospacing="0" w:line="360" w:lineRule="auto"/>
              <w:ind w:left="380" w:right="0" w:firstLine="480"/>
              <w:jc w:val="center"/>
              <w:rPr>
                <w:rFonts w:hint="default" w:ascii="Times New Roman" w:hAnsi="Times New Roman" w:eastAsia="宋体" w:cs="Times New Roman"/>
                <w:color w:val="auto"/>
                <w:sz w:val="21"/>
                <w:szCs w:val="21"/>
                <w:highlight w:val="none"/>
              </w:rPr>
            </w:pPr>
          </w:p>
        </w:tc>
        <w:tc>
          <w:tcPr>
            <w:tcW w:w="539" w:type="dxa"/>
            <w:tcBorders>
              <w:top w:val="single" w:color="000000" w:sz="4" w:space="0"/>
              <w:left w:val="single" w:color="000000" w:sz="4" w:space="0"/>
              <w:bottom w:val="single" w:color="auto" w:sz="12" w:space="0"/>
              <w:right w:val="single" w:color="000000" w:sz="4" w:space="0"/>
            </w:tcBorders>
            <w:noWrap w:val="0"/>
            <w:vAlign w:val="center"/>
          </w:tcPr>
          <w:p>
            <w:pPr>
              <w:pStyle w:val="167"/>
              <w:keepNext w:val="0"/>
              <w:keepLines w:val="0"/>
              <w:suppressLineNumbers w:val="0"/>
              <w:kinsoku w:val="0"/>
              <w:overflowPunct w:val="0"/>
              <w:spacing w:before="45" w:beforeAutospacing="0" w:after="0" w:afterAutospacing="0" w:line="360" w:lineRule="auto"/>
              <w:ind w:left="0" w:leftChars="0" w:right="0" w:rightChars="0"/>
              <w:jc w:val="center"/>
              <w:rPr>
                <w:rFonts w:hint="default" w:ascii="Times New Roman" w:hAnsi="Times New Roman" w:eastAsia="宋体" w:cs="Times New Roman"/>
                <w:color w:val="auto"/>
                <w:position w:val="2"/>
                <w:sz w:val="21"/>
                <w:szCs w:val="21"/>
                <w:highlight w:val="none"/>
              </w:rPr>
            </w:pPr>
            <w:r>
              <w:rPr>
                <w:rFonts w:hint="default" w:ascii="Times New Roman" w:hAnsi="Times New Roman" w:eastAsia="宋体" w:cs="Times New Roman"/>
                <w:color w:val="auto"/>
                <w:position w:val="2"/>
                <w:sz w:val="21"/>
                <w:szCs w:val="21"/>
                <w:highlight w:val="none"/>
              </w:rPr>
              <w:t>H</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position w:val="2"/>
                <w:sz w:val="21"/>
                <w:szCs w:val="21"/>
                <w:highlight w:val="none"/>
              </w:rPr>
              <w:t>S</w:t>
            </w:r>
          </w:p>
        </w:tc>
        <w:tc>
          <w:tcPr>
            <w:tcW w:w="1022" w:type="dxa"/>
            <w:tcBorders>
              <w:top w:val="single" w:color="000000" w:sz="4" w:space="0"/>
              <w:left w:val="single" w:color="000000" w:sz="4" w:space="0"/>
              <w:bottom w:val="single" w:color="auto" w:sz="12"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w:t>
            </w: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712" w:type="dxa"/>
            <w:tcBorders>
              <w:top w:val="single" w:color="000000" w:sz="4" w:space="0"/>
              <w:left w:val="single" w:color="000000" w:sz="4" w:space="0"/>
              <w:bottom w:val="single" w:color="auto" w:sz="12"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i w:val="0"/>
                <w:iCs w:val="0"/>
                <w:color w:val="auto"/>
                <w:kern w:val="0"/>
                <w:sz w:val="21"/>
                <w:szCs w:val="21"/>
                <w:highlight w:val="none"/>
                <w:u w:val="none"/>
                <w:lang w:val="en-US" w:eastAsia="zh-CN" w:bidi="ar"/>
              </w:rPr>
              <w:t>27</w:t>
            </w:r>
          </w:p>
        </w:tc>
        <w:tc>
          <w:tcPr>
            <w:tcW w:w="2036" w:type="dxa"/>
            <w:vMerge w:val="continue"/>
            <w:tcBorders>
              <w:left w:val="single" w:color="000000" w:sz="4" w:space="0"/>
              <w:bottom w:val="single" w:color="auto" w:sz="12" w:space="0"/>
              <w:right w:val="single" w:color="000000" w:sz="4" w:space="0"/>
            </w:tcBorders>
            <w:noWrap w:val="0"/>
            <w:vAlign w:val="center"/>
          </w:tcPr>
          <w:p>
            <w:pPr>
              <w:pStyle w:val="167"/>
              <w:keepNext w:val="0"/>
              <w:keepLines w:val="0"/>
              <w:suppressLineNumbers w:val="0"/>
              <w:kinsoku w:val="0"/>
              <w:overflowPunct w:val="0"/>
              <w:spacing w:before="48" w:beforeAutospacing="0" w:after="0" w:afterAutospacing="0" w:line="360" w:lineRule="auto"/>
              <w:ind w:left="345" w:right="0" w:firstLine="480"/>
              <w:jc w:val="center"/>
              <w:rPr>
                <w:rFonts w:hint="default" w:ascii="Times New Roman" w:hAnsi="Times New Roman" w:eastAsia="宋体" w:cs="Times New Roman"/>
                <w:color w:val="auto"/>
                <w:sz w:val="21"/>
                <w:szCs w:val="21"/>
                <w:highlight w:val="none"/>
              </w:rPr>
            </w:pPr>
          </w:p>
        </w:tc>
        <w:tc>
          <w:tcPr>
            <w:tcW w:w="553" w:type="dxa"/>
            <w:tcBorders>
              <w:top w:val="single" w:color="000000" w:sz="8" w:space="0"/>
              <w:left w:val="single" w:color="000000" w:sz="4" w:space="0"/>
              <w:bottom w:val="single" w:color="auto" w:sz="12" w:space="0"/>
              <w:right w:val="nil"/>
            </w:tcBorders>
            <w:noWrap w:val="0"/>
            <w:vAlign w:val="center"/>
          </w:tcPr>
          <w:p>
            <w:pPr>
              <w:pStyle w:val="167"/>
              <w:keepNext w:val="0"/>
              <w:keepLines w:val="0"/>
              <w:suppressLineNumbers w:val="0"/>
              <w:kinsoku w:val="0"/>
              <w:overflowPunct w:val="0"/>
              <w:spacing w:before="48"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89%</w:t>
            </w:r>
          </w:p>
        </w:tc>
        <w:tc>
          <w:tcPr>
            <w:tcW w:w="0" w:type="auto"/>
            <w:tcBorders>
              <w:top w:val="single" w:color="000000" w:sz="8" w:space="0"/>
              <w:left w:val="single" w:color="000000" w:sz="4" w:space="0"/>
              <w:bottom w:val="single" w:color="auto" w:sz="12"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698" w:type="dxa"/>
            <w:tcBorders>
              <w:top w:val="single" w:color="000000" w:sz="4" w:space="0"/>
              <w:left w:val="single" w:color="000000" w:sz="4" w:space="0"/>
              <w:bottom w:val="single" w:color="auto" w:sz="12" w:space="0"/>
              <w:right w:val="single" w:color="000000" w:sz="8" w:space="0"/>
            </w:tcBorders>
            <w:noWrap w:val="0"/>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0.000003 </w:t>
            </w:r>
          </w:p>
        </w:tc>
        <w:tc>
          <w:tcPr>
            <w:tcW w:w="670" w:type="dxa"/>
            <w:tcBorders>
              <w:top w:val="single" w:color="000000" w:sz="4" w:space="0"/>
              <w:left w:val="single" w:color="000000" w:sz="8" w:space="0"/>
              <w:bottom w:val="single" w:color="auto" w:sz="12" w:space="0"/>
              <w:right w:val="nil"/>
            </w:tcBorders>
            <w:noWrap w:val="0"/>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0.00003 </w:t>
            </w:r>
          </w:p>
        </w:tc>
        <w:tc>
          <w:tcPr>
            <w:tcW w:w="654" w:type="dxa"/>
            <w:vMerge w:val="continue"/>
            <w:tcBorders>
              <w:left w:val="single" w:color="000000" w:sz="4" w:space="0"/>
              <w:bottom w:val="single" w:color="auto" w:sz="12"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（3）</w:t>
      </w:r>
      <w:r>
        <w:rPr>
          <w:rFonts w:hint="default" w:ascii="Times New Roman" w:hAnsi="Times New Roman" w:eastAsia="宋体" w:cs="Times New Roman"/>
          <w:b/>
          <w:bCs/>
          <w:color w:val="auto"/>
          <w:kern w:val="2"/>
          <w:sz w:val="24"/>
          <w:szCs w:val="24"/>
          <w:highlight w:val="none"/>
          <w:lang w:val="en-US" w:eastAsia="zh-CN" w:bidi="ar-SA"/>
        </w:rPr>
        <w:t>污水处理站恶臭</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1）产生情况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根据美国EPA的研究，污水处理厂每处理1gBOD5，可产生0.0031g的氨和0.00012g硫化氢。本项目采用“固液分离+UASB厌氧+絮凝沉淀+两级A/O系统+混凝絮凝沉淀+消毒”处理工艺处理，设计处理规模</w:t>
      </w:r>
      <w:r>
        <w:rPr>
          <w:rFonts w:hint="eastAsia" w:ascii="Times New Roman" w:hAnsi="Times New Roman" w:eastAsia="宋体" w:cs="Times New Roman"/>
          <w:color w:val="auto"/>
          <w:kern w:val="2"/>
          <w:sz w:val="24"/>
          <w:szCs w:val="24"/>
          <w:highlight w:val="none"/>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00m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/d，出水水质达到</w:t>
      </w:r>
      <w:r>
        <w:rPr>
          <w:rFonts w:hint="default" w:ascii="Times New Roman" w:hAnsi="Times New Roman" w:eastAsia="宋体" w:cs="Times New Roman"/>
          <w:color w:val="auto"/>
          <w:sz w:val="24"/>
          <w:szCs w:val="24"/>
          <w:highlight w:val="none"/>
        </w:rPr>
        <w:t>（GB5084-20</w:t>
      </w:r>
      <w:r>
        <w:rPr>
          <w:rFonts w:hint="eastAsia" w:ascii="Times New Roman" w:hAnsi="Times New Roman" w:eastAsia="宋体"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）中</w:t>
      </w:r>
      <w:r>
        <w:rPr>
          <w:rFonts w:hint="eastAsia" w:ascii="Times New Roman" w:hAnsi="Times New Roman" w:eastAsia="宋体" w:cs="Times New Roman"/>
          <w:color w:val="auto"/>
          <w:sz w:val="24"/>
          <w:szCs w:val="24"/>
          <w:highlight w:val="none"/>
          <w:lang w:eastAsia="zh-CN"/>
        </w:rPr>
        <w:t>表</w:t>
      </w:r>
      <w:r>
        <w:rPr>
          <w:rFonts w:hint="eastAsia" w:ascii="Times New Roman" w:hAnsi="Times New Roman" w:eastAsia="宋体" w:cs="Times New Roman"/>
          <w:color w:val="auto"/>
          <w:sz w:val="24"/>
          <w:szCs w:val="24"/>
          <w:highlight w:val="none"/>
          <w:lang w:val="en-US" w:eastAsia="zh-CN"/>
        </w:rPr>
        <w:t>1中</w:t>
      </w:r>
      <w:r>
        <w:rPr>
          <w:rFonts w:hint="default" w:ascii="Times New Roman" w:hAnsi="Times New Roman" w:eastAsia="宋体" w:cs="Times New Roman"/>
          <w:color w:val="auto"/>
          <w:sz w:val="24"/>
          <w:szCs w:val="24"/>
          <w:highlight w:val="none"/>
        </w:rPr>
        <w:t>旱</w:t>
      </w:r>
      <w:r>
        <w:rPr>
          <w:rFonts w:hint="eastAsia" w:ascii="Times New Roman" w:hAnsi="Times New Roman" w:eastAsia="宋体" w:cs="Times New Roman"/>
          <w:color w:val="auto"/>
          <w:sz w:val="24"/>
          <w:szCs w:val="24"/>
          <w:highlight w:val="none"/>
          <w:lang w:eastAsia="zh-CN"/>
        </w:rPr>
        <w:t>地作物</w:t>
      </w:r>
      <w:r>
        <w:rPr>
          <w:rFonts w:hint="default" w:ascii="Times New Roman" w:hAnsi="Times New Roman" w:eastAsia="宋体" w:cs="Times New Roman"/>
          <w:color w:val="auto"/>
          <w:sz w:val="24"/>
          <w:szCs w:val="24"/>
          <w:highlight w:val="none"/>
        </w:rPr>
        <w:t>标准</w:t>
      </w:r>
      <w:r>
        <w:rPr>
          <w:rFonts w:hint="default" w:ascii="Times New Roman" w:hAnsi="Times New Roman" w:eastAsia="宋体" w:cs="Times New Roman"/>
          <w:color w:val="auto"/>
          <w:kern w:val="2"/>
          <w:sz w:val="24"/>
          <w:szCs w:val="24"/>
          <w:highlight w:val="none"/>
          <w:lang w:val="en-US" w:eastAsia="zh-CN" w:bidi="ar-SA"/>
        </w:rPr>
        <w:t>和《畜禽养殖业污染物排放标准》 （GB18596-2001）表5中的水污染物排放标准后用作土地施肥，不外排。</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本项目污水处理设施去除BOD</w:t>
      </w:r>
      <w:r>
        <w:rPr>
          <w:rFonts w:hint="default" w:ascii="Times New Roman" w:hAnsi="Times New Roman" w:eastAsia="宋体" w:cs="Times New Roman"/>
          <w:color w:val="auto"/>
          <w:kern w:val="2"/>
          <w:sz w:val="24"/>
          <w:szCs w:val="24"/>
          <w:highlight w:val="none"/>
          <w:vertAlign w:val="subscript"/>
          <w:lang w:val="en-US" w:eastAsia="zh-CN" w:bidi="ar-SA"/>
        </w:rPr>
        <w:t>5</w:t>
      </w:r>
      <w:r>
        <w:rPr>
          <w:rFonts w:hint="default" w:ascii="Times New Roman" w:hAnsi="Times New Roman" w:eastAsia="宋体" w:cs="Times New Roman"/>
          <w:color w:val="auto"/>
          <w:kern w:val="2"/>
          <w:sz w:val="24"/>
          <w:szCs w:val="24"/>
          <w:highlight w:val="none"/>
          <w:lang w:val="en-US" w:eastAsia="zh-CN" w:bidi="ar-SA"/>
        </w:rPr>
        <w:t>量约</w:t>
      </w:r>
      <w:r>
        <w:rPr>
          <w:rFonts w:hint="eastAsia" w:ascii="Times New Roman" w:hAnsi="Times New Roman" w:eastAsia="宋体" w:cs="Times New Roman"/>
          <w:color w:val="auto"/>
          <w:kern w:val="2"/>
          <w:sz w:val="24"/>
          <w:szCs w:val="24"/>
          <w:highlight w:val="none"/>
          <w:lang w:val="en-US" w:eastAsia="zh-CN" w:bidi="ar-SA"/>
        </w:rPr>
        <w:t>14.59</w:t>
      </w:r>
      <w:r>
        <w:rPr>
          <w:rFonts w:hint="default" w:ascii="Times New Roman" w:hAnsi="Times New Roman" w:eastAsia="宋体" w:cs="Times New Roman"/>
          <w:color w:val="auto"/>
          <w:kern w:val="2"/>
          <w:sz w:val="24"/>
          <w:szCs w:val="24"/>
          <w:highlight w:val="none"/>
          <w:lang w:val="en-US" w:eastAsia="zh-CN" w:bidi="ar-SA"/>
        </w:rPr>
        <w:t>t/a，则氨产生量</w:t>
      </w:r>
      <w:r>
        <w:rPr>
          <w:rFonts w:hint="eastAsia" w:ascii="Times New Roman" w:hAnsi="Times New Roman" w:eastAsia="宋体" w:cs="Times New Roman"/>
          <w:color w:val="auto"/>
          <w:kern w:val="2"/>
          <w:sz w:val="24"/>
          <w:szCs w:val="24"/>
          <w:highlight w:val="none"/>
          <w:lang w:val="en-US" w:eastAsia="zh-CN" w:bidi="ar-SA"/>
        </w:rPr>
        <w:t>0.045</w:t>
      </w:r>
      <w:r>
        <w:rPr>
          <w:rFonts w:hint="default" w:ascii="Times New Roman" w:hAnsi="Times New Roman" w:eastAsia="宋体" w:cs="Times New Roman"/>
          <w:color w:val="auto"/>
          <w:kern w:val="2"/>
          <w:sz w:val="24"/>
          <w:szCs w:val="24"/>
          <w:highlight w:val="none"/>
          <w:lang w:val="en-US" w:eastAsia="zh-CN" w:bidi="ar-SA"/>
        </w:rPr>
        <w:t>t/a，硫化氢产生量为0.00</w:t>
      </w:r>
      <w:r>
        <w:rPr>
          <w:rFonts w:hint="eastAsia" w:ascii="Times New Roman" w:hAnsi="Times New Roman" w:eastAsia="宋体" w:cs="Times New Roman"/>
          <w:color w:val="auto"/>
          <w:kern w:val="2"/>
          <w:sz w:val="24"/>
          <w:szCs w:val="24"/>
          <w:highlight w:val="none"/>
          <w:lang w:val="en-US" w:eastAsia="zh-CN" w:bidi="ar-SA"/>
        </w:rPr>
        <w:t>18</w:t>
      </w:r>
      <w:r>
        <w:rPr>
          <w:rFonts w:hint="default" w:ascii="Times New Roman" w:hAnsi="Times New Roman" w:eastAsia="宋体" w:cs="Times New Roman"/>
          <w:color w:val="auto"/>
          <w:kern w:val="2"/>
          <w:sz w:val="24"/>
          <w:szCs w:val="24"/>
          <w:highlight w:val="none"/>
          <w:lang w:val="en-US" w:eastAsia="zh-CN" w:bidi="ar-SA"/>
        </w:rPr>
        <w:t>t/a。</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2）防治措施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①污水处理装置选取合适设备，并进行密闭，不能完全密闭的污水处理池，如集污池等，尽量利用污水处理站周边原有植被与养殖场其他区域进行隔离；确保安装的污水收集和处理系统正常运转。</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②污水处理系统设置于项目场地地势较低处，废水利用地势高差自流进入集污池，然后进入污水处理系统进行处理，减少废水在圈舍及集污池的停留时间，进而减少恶臭产生。</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③在产生臭气污染源处投放吸附剂（沸石、锯末、膨润土、蛭石），除臭剂等减少恶臭污染。定期进行杀虫灭蝇工作，防止蚊蝇孳生及其带来的疾病，维持污水处理站周边卫生环境。</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color w:val="auto"/>
          <w:highlight w:val="none"/>
          <w:lang w:val="en-US" w:eastAsia="zh-CN"/>
        </w:rPr>
      </w:pPr>
      <w:r>
        <w:rPr>
          <w:rFonts w:hint="default" w:ascii="Times New Roman" w:hAnsi="Times New Roman" w:eastAsia="宋体" w:cs="Times New Roman"/>
          <w:color w:val="auto"/>
          <w:kern w:val="2"/>
          <w:sz w:val="24"/>
          <w:szCs w:val="24"/>
          <w:highlight w:val="none"/>
          <w:lang w:val="en-US" w:eastAsia="zh-CN" w:bidi="ar-SA"/>
        </w:rPr>
        <w:t>④加强污水处理系统周边的绿化，既可美化环境，又可净化空气。绿色植物进行光合作用，能吸收二氧化碳，放出氧，同时植物可以吸收空气中的氨和微粒，减少空气中国氨的含量和微粒。常见绿化植物如下表所示：</w:t>
      </w:r>
    </w:p>
    <w:p>
      <w:pPr>
        <w:pStyle w:val="2504"/>
        <w:keepNext w:val="0"/>
        <w:keepLines w:val="0"/>
        <w:pageBreakBefore w:val="0"/>
        <w:widowControl w:val="0"/>
        <w:numPr>
          <w:ilvl w:val="0"/>
          <w:numId w:val="25"/>
        </w:numPr>
        <w:kinsoku/>
        <w:wordWrap/>
        <w:overflowPunct/>
        <w:topLinePunct w:val="0"/>
        <w:autoSpaceDE/>
        <w:autoSpaceDN/>
        <w:bidi w:val="0"/>
        <w:adjustRightInd/>
        <w:snapToGrid/>
        <w:spacing w:before="0" w:beforeLines="0" w:line="240" w:lineRule="auto"/>
        <w:ind w:left="0" w:leftChars="0" w:firstLine="403" w:firstLineChars="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eastAsia="zh-CN"/>
        </w:rPr>
        <w:t>项目污水处理站恶臭产生及排放情况一览表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Layout w:type="autofit"/>
        <w:tblCellMar>
          <w:top w:w="0" w:type="dxa"/>
          <w:left w:w="0" w:type="dxa"/>
          <w:bottom w:w="0" w:type="dxa"/>
          <w:right w:w="0" w:type="dxa"/>
        </w:tblCellMar>
      </w:tblPr>
      <w:tblGrid>
        <w:gridCol w:w="3142"/>
        <w:gridCol w:w="2538"/>
        <w:gridCol w:w="2623"/>
      </w:tblGrid>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1892"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种类</w:t>
            </w:r>
          </w:p>
        </w:tc>
        <w:tc>
          <w:tcPr>
            <w:tcW w:w="152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特性</w:t>
            </w:r>
          </w:p>
        </w:tc>
        <w:tc>
          <w:tcPr>
            <w:tcW w:w="157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保护环境功能</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1892"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刺槐</w:t>
            </w:r>
          </w:p>
        </w:tc>
        <w:tc>
          <w:tcPr>
            <w:tcW w:w="1528" w:type="pct"/>
            <w:noWrap w:val="0"/>
            <w:vAlign w:val="center"/>
          </w:tcPr>
          <w:p>
            <w:pPr>
              <w:pStyle w:val="167"/>
              <w:keepNext w:val="0"/>
              <w:keepLines w:val="0"/>
              <w:suppressLineNumbers w:val="0"/>
              <w:kinsoku w:val="0"/>
              <w:overflowPunct w:val="0"/>
              <w:spacing w:before="0" w:beforeAutospacing="0" w:after="0" w:afterAutospacing="0"/>
              <w:ind w:left="0" w:right="2"/>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耐寒、抗旱、怕水湿</w:t>
            </w:r>
          </w:p>
        </w:tc>
        <w:tc>
          <w:tcPr>
            <w:tcW w:w="157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抗污染、吸收有害气体</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1892"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泡桐</w:t>
            </w:r>
          </w:p>
        </w:tc>
        <w:tc>
          <w:tcPr>
            <w:tcW w:w="1528" w:type="pct"/>
            <w:noWrap w:val="0"/>
            <w:vAlign w:val="center"/>
          </w:tcPr>
          <w:p>
            <w:pPr>
              <w:pStyle w:val="167"/>
              <w:keepNext w:val="0"/>
              <w:keepLines w:val="0"/>
              <w:suppressLineNumbers w:val="0"/>
              <w:kinsoku w:val="0"/>
              <w:overflowPunct w:val="0"/>
              <w:spacing w:before="0" w:beforeAutospacing="0" w:after="0" w:afterAutospacing="0"/>
              <w:ind w:left="0" w:right="2"/>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耐旱、不耐水湿</w:t>
            </w:r>
          </w:p>
        </w:tc>
        <w:tc>
          <w:tcPr>
            <w:tcW w:w="157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抗污染、吸收有害气体、防尘</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PrEx>
        <w:tc>
          <w:tcPr>
            <w:tcW w:w="1892"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夹竹桃</w:t>
            </w:r>
          </w:p>
        </w:tc>
        <w:tc>
          <w:tcPr>
            <w:tcW w:w="152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喜光、喜温暖湿润气候，不耐寒、忌水渍</w:t>
            </w:r>
          </w:p>
        </w:tc>
        <w:tc>
          <w:tcPr>
            <w:tcW w:w="157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抗烟雾、抗灰尘、抗毒物和净化空气</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1892"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槐树</w:t>
            </w:r>
          </w:p>
        </w:tc>
        <w:tc>
          <w:tcPr>
            <w:tcW w:w="152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喜干冷气候</w:t>
            </w:r>
          </w:p>
        </w:tc>
        <w:tc>
          <w:tcPr>
            <w:tcW w:w="157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抗污染、吸收有害气体</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1892"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旱柳</w:t>
            </w:r>
          </w:p>
        </w:tc>
        <w:tc>
          <w:tcPr>
            <w:tcW w:w="152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耐旱、耐水湿 </w:t>
            </w:r>
          </w:p>
        </w:tc>
        <w:tc>
          <w:tcPr>
            <w:tcW w:w="157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吸收有害气体</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PrEx>
        <w:tc>
          <w:tcPr>
            <w:tcW w:w="1892"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垂柳</w:t>
            </w:r>
          </w:p>
        </w:tc>
        <w:tc>
          <w:tcPr>
            <w:tcW w:w="152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耐水湿</w:t>
            </w:r>
          </w:p>
        </w:tc>
        <w:tc>
          <w:tcPr>
            <w:tcW w:w="157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吸收有害气体</w:t>
            </w:r>
          </w:p>
        </w:tc>
      </w:tr>
    </w:tbl>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color w:val="auto"/>
          <w:highlight w:val="none"/>
          <w:lang w:val="en-US" w:eastAsia="zh-CN"/>
        </w:rPr>
      </w:pPr>
      <w:r>
        <w:rPr>
          <w:rFonts w:hint="default" w:ascii="Times New Roman" w:hAnsi="Times New Roman" w:eastAsia="宋体" w:cs="Times New Roman"/>
          <w:color w:val="auto"/>
          <w:kern w:val="2"/>
          <w:sz w:val="24"/>
          <w:szCs w:val="24"/>
          <w:highlight w:val="none"/>
          <w:lang w:val="en-US" w:eastAsia="zh-CN" w:bidi="ar-SA"/>
        </w:rPr>
        <w:t>对污水处理设施恶臭产生较大的部位：预处理阶段、污泥处理区封闭，通过“碱液喷淋+生物过滤法”处理达标后通过15m高排气筒</w:t>
      </w:r>
      <w:r>
        <w:rPr>
          <w:rFonts w:hint="eastAsia" w:ascii="Times New Roman" w:hAnsi="Times New Roman" w:eastAsia="宋体" w:cs="Times New Roman"/>
          <w:color w:val="auto"/>
          <w:kern w:val="2"/>
          <w:sz w:val="24"/>
          <w:szCs w:val="24"/>
          <w:highlight w:val="none"/>
          <w:lang w:val="en-US" w:eastAsia="zh-CN" w:bidi="ar-SA"/>
        </w:rPr>
        <w:t>（DA002）</w:t>
      </w:r>
      <w:r>
        <w:rPr>
          <w:rFonts w:hint="default" w:ascii="Times New Roman" w:hAnsi="Times New Roman" w:eastAsia="宋体" w:cs="Times New Roman"/>
          <w:color w:val="auto"/>
          <w:kern w:val="2"/>
          <w:sz w:val="24"/>
          <w:szCs w:val="24"/>
          <w:highlight w:val="none"/>
          <w:lang w:val="en-US" w:eastAsia="zh-CN" w:bidi="ar-SA"/>
        </w:rPr>
        <w:t>排放。收集效率95%，处理效率不低于90%。</w:t>
      </w:r>
      <w:r>
        <w:rPr>
          <w:rFonts w:hint="eastAsia" w:ascii="Times New Roman" w:hAnsi="Times New Roman" w:eastAsia="宋体" w:cs="Times New Roman"/>
          <w:color w:val="auto"/>
          <w:kern w:val="2"/>
          <w:sz w:val="24"/>
          <w:szCs w:val="24"/>
          <w:highlight w:val="none"/>
          <w:lang w:val="en-US" w:eastAsia="zh-CN" w:bidi="ar-SA"/>
        </w:rPr>
        <w:t>同时在</w:t>
      </w:r>
      <w:r>
        <w:rPr>
          <w:rFonts w:hint="default" w:ascii="Times New Roman" w:hAnsi="Times New Roman" w:eastAsia="宋体" w:cs="Times New Roman"/>
          <w:color w:val="auto"/>
          <w:kern w:val="2"/>
          <w:sz w:val="24"/>
          <w:szCs w:val="24"/>
          <w:highlight w:val="none"/>
          <w:lang w:val="en-US" w:eastAsia="zh-CN" w:bidi="ar-SA"/>
        </w:rPr>
        <w:t>在设施周边或固液分离区喷洒除臭剂</w:t>
      </w:r>
      <w:r>
        <w:rPr>
          <w:rFonts w:hint="eastAsia" w:ascii="Times New Roman" w:hAnsi="Times New Roman" w:eastAsia="宋体" w:cs="Times New Roman"/>
          <w:color w:val="auto"/>
          <w:kern w:val="2"/>
          <w:sz w:val="24"/>
          <w:szCs w:val="24"/>
          <w:highlight w:val="none"/>
          <w:lang w:val="en-US" w:eastAsia="zh-CN" w:bidi="ar-SA"/>
        </w:rPr>
        <w:t>。</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经上述处理措施后，本项目恶臭产、排放情况见</w:t>
      </w:r>
      <w:r>
        <w:rPr>
          <w:rFonts w:hint="eastAsia" w:ascii="Times New Roman" w:hAnsi="Times New Roman" w:eastAsia="宋体" w:cs="Times New Roman"/>
          <w:color w:val="auto"/>
          <w:sz w:val="24"/>
          <w:szCs w:val="24"/>
          <w:highlight w:val="none"/>
          <w:lang w:eastAsia="zh-CN"/>
        </w:rPr>
        <w:t>下</w:t>
      </w:r>
      <w:r>
        <w:rPr>
          <w:rFonts w:hint="default" w:ascii="Times New Roman" w:hAnsi="Times New Roman" w:eastAsia="宋体" w:cs="Times New Roman"/>
          <w:color w:val="auto"/>
          <w:sz w:val="24"/>
          <w:szCs w:val="24"/>
          <w:highlight w:val="none"/>
        </w:rPr>
        <w:t>表。</w:t>
      </w:r>
    </w:p>
    <w:p>
      <w:pPr>
        <w:pStyle w:val="2504"/>
        <w:keepNext w:val="0"/>
        <w:keepLines w:val="0"/>
        <w:pageBreakBefore w:val="0"/>
        <w:widowControl w:val="0"/>
        <w:numPr>
          <w:ilvl w:val="0"/>
          <w:numId w:val="25"/>
        </w:numPr>
        <w:kinsoku/>
        <w:wordWrap/>
        <w:overflowPunct/>
        <w:topLinePunct w:val="0"/>
        <w:autoSpaceDE/>
        <w:autoSpaceDN/>
        <w:bidi w:val="0"/>
        <w:adjustRightInd/>
        <w:snapToGrid/>
        <w:spacing w:before="0" w:beforeLines="0" w:line="360" w:lineRule="auto"/>
        <w:ind w:left="0" w:leftChars="0" w:firstLine="403" w:firstLineChars="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污水处理站恶臭气体产生量一览表</w:t>
      </w:r>
    </w:p>
    <w:tbl>
      <w:tblPr>
        <w:tblStyle w:val="91"/>
        <w:tblW w:w="4996" w:type="pct"/>
        <w:jc w:val="center"/>
        <w:tblLayout w:type="autofit"/>
        <w:tblCellMar>
          <w:top w:w="0" w:type="dxa"/>
          <w:left w:w="0" w:type="dxa"/>
          <w:bottom w:w="0" w:type="dxa"/>
          <w:right w:w="0" w:type="dxa"/>
        </w:tblCellMar>
      </w:tblPr>
      <w:tblGrid>
        <w:gridCol w:w="739"/>
        <w:gridCol w:w="686"/>
        <w:gridCol w:w="1000"/>
        <w:gridCol w:w="1000"/>
        <w:gridCol w:w="665"/>
        <w:gridCol w:w="545"/>
        <w:gridCol w:w="669"/>
        <w:gridCol w:w="1101"/>
        <w:gridCol w:w="1101"/>
        <w:gridCol w:w="793"/>
      </w:tblGrid>
      <w:tr>
        <w:tblPrEx>
          <w:tblCellMar>
            <w:top w:w="0" w:type="dxa"/>
            <w:left w:w="0" w:type="dxa"/>
            <w:bottom w:w="0" w:type="dxa"/>
            <w:right w:w="0" w:type="dxa"/>
          </w:tblCellMar>
        </w:tblPrEx>
        <w:trPr>
          <w:jc w:val="center"/>
        </w:trPr>
        <w:tc>
          <w:tcPr>
            <w:tcW w:w="488" w:type="pct"/>
            <w:tcBorders>
              <w:top w:val="single" w:color="auto" w:sz="12" w:space="0"/>
              <w:left w:val="nil"/>
              <w:bottom w:val="single" w:color="000000" w:sz="4" w:space="0"/>
              <w:right w:val="single" w:color="000000" w:sz="4" w:space="0"/>
            </w:tcBorders>
            <w:noWrap w:val="0"/>
            <w:vAlign w:val="center"/>
          </w:tcPr>
          <w:p>
            <w:pPr>
              <w:pStyle w:val="167"/>
              <w:keepNext w:val="0"/>
              <w:keepLines w:val="0"/>
              <w:suppressLineNumbers w:val="0"/>
              <w:kinsoku w:val="0"/>
              <w:overflowPunct w:val="0"/>
              <w:spacing w:before="109"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rPr>
              <w:t>污染源位置</w:t>
            </w:r>
          </w:p>
        </w:tc>
        <w:tc>
          <w:tcPr>
            <w:tcW w:w="456" w:type="pct"/>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109"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rPr>
              <w:t>污染物名称</w:t>
            </w:r>
          </w:p>
        </w:tc>
        <w:tc>
          <w:tcPr>
            <w:tcW w:w="645" w:type="pct"/>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109" w:beforeAutospacing="0" w:after="0" w:afterAutospacing="0" w:line="360" w:lineRule="auto"/>
              <w:ind w:left="0" w:right="0"/>
              <w:jc w:val="center"/>
              <w:rPr>
                <w:rFonts w:hint="eastAsia" w:ascii="Times New Roman" w:hAnsi="Times New Roman" w:eastAsia="宋体" w:cs="Times New Roman"/>
                <w:b/>
                <w:bCs/>
                <w:color w:val="auto"/>
                <w:sz w:val="21"/>
                <w:szCs w:val="21"/>
                <w:highlight w:val="none"/>
                <w:lang w:eastAsia="zh-CN"/>
              </w:rPr>
            </w:pPr>
            <w:r>
              <w:rPr>
                <w:rFonts w:hint="eastAsia" w:ascii="Times New Roman" w:hAnsi="Times New Roman" w:eastAsia="宋体" w:cs="Times New Roman"/>
                <w:b/>
                <w:bCs/>
                <w:color w:val="auto"/>
                <w:sz w:val="21"/>
                <w:szCs w:val="21"/>
                <w:highlight w:val="none"/>
                <w:lang w:eastAsia="zh-CN"/>
              </w:rPr>
              <w:t>排气量m3/h</w:t>
            </w:r>
          </w:p>
        </w:tc>
        <w:tc>
          <w:tcPr>
            <w:tcW w:w="645" w:type="pct"/>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b/>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eastAsia="zh-CN"/>
              </w:rPr>
              <w:t>产生</w:t>
            </w:r>
            <w:r>
              <w:rPr>
                <w:rFonts w:hint="default" w:ascii="Times New Roman" w:hAnsi="Times New Roman" w:eastAsia="宋体" w:cs="Times New Roman"/>
                <w:b/>
                <w:bCs/>
                <w:color w:val="auto"/>
                <w:sz w:val="21"/>
                <w:szCs w:val="21"/>
                <w:highlight w:val="none"/>
              </w:rPr>
              <w:t>强度</w:t>
            </w:r>
            <w:r>
              <w:rPr>
                <w:rFonts w:hint="eastAsia" w:ascii="Times New Roman" w:hAnsi="Times New Roman" w:eastAsia="宋体" w:cs="Times New Roman"/>
                <w:b/>
                <w:bCs/>
                <w:color w:val="auto"/>
                <w:sz w:val="21"/>
                <w:szCs w:val="21"/>
                <w:highlight w:val="none"/>
                <w:lang w:val="en-US" w:eastAsia="zh-CN"/>
              </w:rPr>
              <w:t>kg/h</w:t>
            </w:r>
          </w:p>
        </w:tc>
        <w:tc>
          <w:tcPr>
            <w:tcW w:w="416" w:type="pct"/>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rPr>
              <w:t>产生量</w:t>
            </w:r>
          </w:p>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rPr>
              <w:t>（t/a）</w:t>
            </w:r>
          </w:p>
        </w:tc>
        <w:tc>
          <w:tcPr>
            <w:tcW w:w="399" w:type="pct"/>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109" w:beforeAutospacing="0" w:after="0" w:afterAutospacing="0" w:line="360" w:lineRule="auto"/>
              <w:ind w:left="0" w:right="0"/>
              <w:jc w:val="center"/>
              <w:rPr>
                <w:rFonts w:hint="eastAsia" w:ascii="Times New Roman" w:hAnsi="Times New Roman" w:eastAsia="宋体" w:cs="Times New Roman"/>
                <w:b/>
                <w:color w:val="auto"/>
                <w:sz w:val="21"/>
                <w:szCs w:val="21"/>
                <w:highlight w:val="none"/>
                <w:lang w:eastAsia="zh-CN"/>
              </w:rPr>
            </w:pPr>
            <w:r>
              <w:rPr>
                <w:rFonts w:hint="eastAsia" w:ascii="Times New Roman" w:hAnsi="Times New Roman" w:cs="Times New Roman"/>
                <w:b/>
                <w:color w:val="auto"/>
                <w:sz w:val="21"/>
                <w:szCs w:val="21"/>
                <w:highlight w:val="none"/>
                <w:lang w:eastAsia="zh-CN"/>
              </w:rPr>
              <w:t>收集效率</w:t>
            </w:r>
          </w:p>
        </w:tc>
        <w:tc>
          <w:tcPr>
            <w:tcW w:w="446" w:type="pct"/>
            <w:tcBorders>
              <w:top w:val="single" w:color="auto" w:sz="12" w:space="0"/>
              <w:left w:val="single" w:color="000000" w:sz="4" w:space="0"/>
              <w:bottom w:val="single" w:color="000000" w:sz="4" w:space="0"/>
              <w:right w:val="nil"/>
            </w:tcBorders>
            <w:noWrap w:val="0"/>
            <w:vAlign w:val="center"/>
          </w:tcPr>
          <w:p>
            <w:pPr>
              <w:pStyle w:val="167"/>
              <w:keepNext w:val="0"/>
              <w:keepLines w:val="0"/>
              <w:suppressLineNumbers w:val="0"/>
              <w:kinsoku w:val="0"/>
              <w:overflowPunct w:val="0"/>
              <w:spacing w:before="109" w:beforeAutospacing="0" w:after="0" w:afterAutospacing="0" w:line="360" w:lineRule="auto"/>
              <w:ind w:left="0" w:leftChars="0" w:right="0" w:right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去除效率</w:t>
            </w:r>
          </w:p>
        </w:tc>
        <w:tc>
          <w:tcPr>
            <w:tcW w:w="610" w:type="pct"/>
            <w:tcBorders>
              <w:top w:val="single" w:color="auto" w:sz="12" w:space="0"/>
              <w:left w:val="single" w:color="000000" w:sz="4" w:space="0"/>
              <w:bottom w:val="single" w:color="000000" w:sz="4" w:space="0"/>
              <w:right w:val="nil"/>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eastAsia" w:ascii="Times New Roman" w:hAnsi="Times New Roman" w:cs="Times New Roman"/>
                <w:b/>
                <w:bCs/>
                <w:color w:val="auto"/>
                <w:sz w:val="21"/>
                <w:szCs w:val="21"/>
                <w:highlight w:val="none"/>
                <w:lang w:eastAsia="zh-CN"/>
              </w:rPr>
            </w:pPr>
            <w:r>
              <w:rPr>
                <w:rFonts w:hint="eastAsia" w:ascii="Times New Roman" w:hAnsi="Times New Roman" w:cs="Times New Roman"/>
                <w:b/>
                <w:bCs/>
                <w:color w:val="auto"/>
                <w:sz w:val="21"/>
                <w:szCs w:val="21"/>
                <w:highlight w:val="none"/>
                <w:lang w:eastAsia="zh-CN"/>
              </w:rPr>
              <w:t>排放浓度</w:t>
            </w:r>
          </w:p>
          <w:p>
            <w:pPr>
              <w:pStyle w:val="167"/>
              <w:keepNext w:val="0"/>
              <w:keepLines w:val="0"/>
              <w:suppressLineNumbers w:val="0"/>
              <w:kinsoku w:val="0"/>
              <w:overflowPunct w:val="0"/>
              <w:spacing w:before="0" w:beforeAutospacing="0" w:after="0" w:afterAutospacing="0" w:line="360" w:lineRule="auto"/>
              <w:ind w:left="0" w:right="0"/>
              <w:jc w:val="center"/>
              <w:rPr>
                <w:rFonts w:hint="eastAsia" w:ascii="Times New Roman" w:hAnsi="Times New Roman" w:cs="Times New Roman"/>
                <w:b/>
                <w:bCs/>
                <w:color w:val="auto"/>
                <w:sz w:val="21"/>
                <w:szCs w:val="21"/>
                <w:highlight w:val="none"/>
                <w:lang w:eastAsia="zh-CN"/>
              </w:rPr>
            </w:pPr>
            <w:r>
              <w:rPr>
                <w:rFonts w:hint="eastAsia" w:ascii="Times New Roman" w:hAnsi="Times New Roman" w:cs="Times New Roman"/>
                <w:b/>
                <w:bCs/>
                <w:color w:val="auto"/>
                <w:sz w:val="21"/>
                <w:szCs w:val="21"/>
                <w:highlight w:val="none"/>
                <w:lang w:eastAsia="zh-CN"/>
              </w:rPr>
              <w:t>（mg/m</w:t>
            </w:r>
            <w:r>
              <w:rPr>
                <w:rFonts w:hint="eastAsia" w:ascii="Times New Roman" w:hAnsi="Times New Roman" w:cs="Times New Roman"/>
                <w:b/>
                <w:bCs/>
                <w:color w:val="auto"/>
                <w:sz w:val="21"/>
                <w:szCs w:val="21"/>
                <w:highlight w:val="none"/>
                <w:vertAlign w:val="superscript"/>
                <w:lang w:eastAsia="zh-CN"/>
              </w:rPr>
              <w:t>3</w:t>
            </w:r>
            <w:r>
              <w:rPr>
                <w:rFonts w:hint="eastAsia" w:ascii="Times New Roman" w:hAnsi="Times New Roman" w:cs="Times New Roman"/>
                <w:b/>
                <w:bCs/>
                <w:color w:val="auto"/>
                <w:sz w:val="21"/>
                <w:szCs w:val="21"/>
                <w:highlight w:val="none"/>
                <w:lang w:eastAsia="zh-CN"/>
              </w:rPr>
              <w:t>）</w:t>
            </w:r>
          </w:p>
        </w:tc>
        <w:tc>
          <w:tcPr>
            <w:tcW w:w="445" w:type="pct"/>
            <w:tcBorders>
              <w:top w:val="single" w:color="auto" w:sz="12" w:space="0"/>
              <w:left w:val="single" w:color="000000" w:sz="4" w:space="0"/>
              <w:bottom w:val="single" w:color="000000" w:sz="4" w:space="0"/>
              <w:right w:val="nil"/>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eastAsia" w:ascii="Times New Roman" w:hAnsi="Times New Roman"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rPr>
              <w:t>排放</w:t>
            </w:r>
            <w:r>
              <w:rPr>
                <w:rFonts w:hint="eastAsia" w:ascii="Times New Roman" w:hAnsi="Times New Roman" w:eastAsia="宋体" w:cs="Times New Roman"/>
                <w:b/>
                <w:bCs/>
                <w:color w:val="auto"/>
                <w:sz w:val="21"/>
                <w:szCs w:val="21"/>
                <w:highlight w:val="none"/>
                <w:lang w:eastAsia="zh-CN"/>
              </w:rPr>
              <w:t>速率</w:t>
            </w:r>
            <w:r>
              <w:rPr>
                <w:rFonts w:hint="eastAsia" w:ascii="Times New Roman" w:hAnsi="Times New Roman" w:eastAsia="宋体" w:cs="Times New Roman"/>
                <w:b/>
                <w:bCs/>
                <w:color w:val="auto"/>
                <w:sz w:val="21"/>
                <w:szCs w:val="21"/>
                <w:highlight w:val="none"/>
                <w:lang w:val="en-US" w:eastAsia="zh-CN"/>
              </w:rPr>
              <w:t>kg/h</w:t>
            </w:r>
          </w:p>
        </w:tc>
        <w:tc>
          <w:tcPr>
            <w:tcW w:w="445" w:type="pct"/>
            <w:tcBorders>
              <w:top w:val="single" w:color="auto" w:sz="12" w:space="0"/>
              <w:left w:val="single" w:color="000000" w:sz="4" w:space="0"/>
              <w:bottom w:val="single" w:color="000000" w:sz="4" w:space="0"/>
              <w:right w:val="nil"/>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rPr>
              <w:t>年排放量</w:t>
            </w:r>
          </w:p>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rPr>
              <w:t>（t/a）</w:t>
            </w:r>
          </w:p>
        </w:tc>
      </w:tr>
      <w:tr>
        <w:tblPrEx>
          <w:tblCellMar>
            <w:top w:w="0" w:type="dxa"/>
            <w:left w:w="0" w:type="dxa"/>
            <w:bottom w:w="0" w:type="dxa"/>
            <w:right w:w="0" w:type="dxa"/>
          </w:tblCellMar>
        </w:tblPrEx>
        <w:trPr>
          <w:jc w:val="center"/>
        </w:trPr>
        <w:tc>
          <w:tcPr>
            <w:tcW w:w="488" w:type="pct"/>
            <w:vMerge w:val="restart"/>
            <w:tcBorders>
              <w:top w:val="single" w:color="000000" w:sz="4" w:space="0"/>
              <w:left w:val="nil"/>
              <w:bottom w:val="single" w:color="000000" w:sz="10"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污水处理站</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44" w:beforeAutospacing="0" w:after="0" w:afterAutospacing="0" w:line="360" w:lineRule="auto"/>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position w:val="2"/>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645" w:type="pct"/>
            <w:vMerge w:val="restart"/>
            <w:tcBorders>
              <w:top w:val="single" w:color="000000" w:sz="4" w:space="0"/>
              <w:left w:val="single" w:color="000000" w:sz="4" w:space="0"/>
              <w:right w:val="single" w:color="000000" w:sz="4" w:space="0"/>
            </w:tcBorders>
            <w:noWrap w:val="0"/>
            <w:vAlign w:val="center"/>
          </w:tcPr>
          <w:p>
            <w:pPr>
              <w:pStyle w:val="167"/>
              <w:keepNext w:val="0"/>
              <w:keepLines w:val="0"/>
              <w:suppressLineNumbers w:val="0"/>
              <w:kinsoku w:val="0"/>
              <w:overflowPunct w:val="0"/>
              <w:spacing w:before="44" w:beforeAutospacing="0" w:after="0" w:afterAutospacing="0" w:line="360" w:lineRule="auto"/>
              <w:ind w:left="0" w:right="0"/>
              <w:jc w:val="center"/>
              <w:rPr>
                <w:rFonts w:hint="default" w:ascii="Times New Roman" w:hAnsi="Times New Roman" w:eastAsia="宋体" w:cs="Times New Roman"/>
                <w:color w:val="auto"/>
                <w:position w:val="2"/>
                <w:sz w:val="21"/>
                <w:szCs w:val="21"/>
                <w:highlight w:val="none"/>
                <w:lang w:val="en-US" w:eastAsia="zh-CN"/>
              </w:rPr>
            </w:pPr>
            <w:r>
              <w:rPr>
                <w:rFonts w:hint="default" w:ascii="Times New Roman" w:hAnsi="Times New Roman" w:eastAsia="宋体" w:cs="Times New Roman"/>
                <w:color w:val="auto"/>
                <w:position w:val="2"/>
                <w:sz w:val="21"/>
                <w:szCs w:val="21"/>
                <w:highlight w:val="none"/>
                <w:lang w:val="en-US" w:eastAsia="zh-CN"/>
              </w:rPr>
              <w:t>5000</w:t>
            </w: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0.0051</w:t>
            </w:r>
          </w:p>
        </w:tc>
        <w:tc>
          <w:tcPr>
            <w:tcW w:w="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0.045</w:t>
            </w:r>
          </w:p>
        </w:tc>
        <w:tc>
          <w:tcPr>
            <w:tcW w:w="399" w:type="pct"/>
            <w:vMerge w:val="restart"/>
            <w:tcBorders>
              <w:top w:val="single" w:color="000000" w:sz="4" w:space="0"/>
              <w:left w:val="single" w:color="000000" w:sz="4" w:space="0"/>
              <w:bottom w:val="single" w:color="000000" w:sz="10"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95%</w:t>
            </w:r>
          </w:p>
        </w:tc>
        <w:tc>
          <w:tcPr>
            <w:tcW w:w="446" w:type="pct"/>
            <w:vMerge w:val="restart"/>
            <w:tcBorders>
              <w:top w:val="single" w:color="000000" w:sz="4" w:space="0"/>
              <w:left w:val="single" w:color="000000" w:sz="4" w:space="0"/>
              <w:right w:val="nil"/>
            </w:tcBorders>
            <w:noWrap w:val="0"/>
            <w:vAlign w:val="center"/>
          </w:tcPr>
          <w:p>
            <w:pPr>
              <w:pStyle w:val="167"/>
              <w:keepNext w:val="0"/>
              <w:keepLines w:val="0"/>
              <w:suppressLineNumbers w:val="0"/>
              <w:kinsoku w:val="0"/>
              <w:overflowPunct w:val="0"/>
              <w:spacing w:before="0" w:beforeAutospacing="0" w:after="0" w:afterAutospacing="0" w:line="360" w:lineRule="auto"/>
              <w:ind w:left="0" w:leftChars="0" w:right="0"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90%</w:t>
            </w:r>
          </w:p>
        </w:tc>
        <w:tc>
          <w:tcPr>
            <w:tcW w:w="1013"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1.28425E-07</w:t>
            </w:r>
          </w:p>
        </w:tc>
        <w:tc>
          <w:tcPr>
            <w:tcW w:w="739"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2.56849E-05</w:t>
            </w:r>
          </w:p>
        </w:tc>
        <w:tc>
          <w:tcPr>
            <w:tcW w:w="739"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0.000225</w:t>
            </w:r>
          </w:p>
        </w:tc>
      </w:tr>
      <w:tr>
        <w:tblPrEx>
          <w:tblCellMar>
            <w:top w:w="0" w:type="dxa"/>
            <w:left w:w="0" w:type="dxa"/>
            <w:bottom w:w="0" w:type="dxa"/>
            <w:right w:w="0" w:type="dxa"/>
          </w:tblCellMar>
        </w:tblPrEx>
        <w:trPr>
          <w:jc w:val="center"/>
        </w:trPr>
        <w:tc>
          <w:tcPr>
            <w:tcW w:w="488" w:type="pct"/>
            <w:vMerge w:val="continue"/>
            <w:tcBorders>
              <w:top w:val="single" w:color="000000" w:sz="4" w:space="0"/>
              <w:left w:val="nil"/>
              <w:bottom w:val="single" w:color="auto" w:sz="12" w:space="0"/>
              <w:right w:val="single" w:color="000000" w:sz="4" w:space="0"/>
            </w:tcBorders>
            <w:noWrap w:val="0"/>
            <w:vAlign w:val="center"/>
          </w:tcPr>
          <w:p>
            <w:pPr>
              <w:pStyle w:val="167"/>
              <w:keepNext w:val="0"/>
              <w:keepLines w:val="0"/>
              <w:suppressLineNumbers w:val="0"/>
              <w:kinsoku w:val="0"/>
              <w:overflowPunct w:val="0"/>
              <w:spacing w:before="48" w:beforeAutospacing="0" w:after="0" w:afterAutospacing="0" w:line="360" w:lineRule="auto"/>
              <w:ind w:left="380" w:right="0" w:firstLine="480"/>
              <w:jc w:val="center"/>
              <w:rPr>
                <w:rFonts w:hint="default" w:ascii="Times New Roman" w:hAnsi="Times New Roman" w:eastAsia="宋体" w:cs="Times New Roman"/>
                <w:color w:val="auto"/>
                <w:sz w:val="21"/>
                <w:szCs w:val="21"/>
                <w:highlight w:val="none"/>
              </w:rPr>
            </w:pPr>
          </w:p>
        </w:tc>
        <w:tc>
          <w:tcPr>
            <w:tcW w:w="456" w:type="pct"/>
            <w:tcBorders>
              <w:top w:val="single" w:color="000000" w:sz="4" w:space="0"/>
              <w:left w:val="single" w:color="000000" w:sz="4" w:space="0"/>
              <w:bottom w:val="single" w:color="auto" w:sz="12" w:space="0"/>
              <w:right w:val="single" w:color="000000" w:sz="4" w:space="0"/>
            </w:tcBorders>
            <w:noWrap w:val="0"/>
            <w:vAlign w:val="center"/>
          </w:tcPr>
          <w:p>
            <w:pPr>
              <w:pStyle w:val="167"/>
              <w:keepNext w:val="0"/>
              <w:keepLines w:val="0"/>
              <w:suppressLineNumbers w:val="0"/>
              <w:kinsoku w:val="0"/>
              <w:overflowPunct w:val="0"/>
              <w:spacing w:before="45" w:beforeAutospacing="0" w:after="0" w:afterAutospacing="0" w:line="360" w:lineRule="auto"/>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position w:val="2"/>
                <w:sz w:val="21"/>
                <w:szCs w:val="21"/>
                <w:highlight w:val="none"/>
              </w:rPr>
              <w:t>H</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position w:val="2"/>
                <w:sz w:val="21"/>
                <w:szCs w:val="21"/>
                <w:highlight w:val="none"/>
              </w:rPr>
              <w:t>S</w:t>
            </w:r>
          </w:p>
        </w:tc>
        <w:tc>
          <w:tcPr>
            <w:tcW w:w="645" w:type="pct"/>
            <w:vMerge w:val="continue"/>
            <w:tcBorders>
              <w:left w:val="single" w:color="000000" w:sz="4" w:space="0"/>
              <w:bottom w:val="single" w:color="auto" w:sz="12" w:space="0"/>
              <w:right w:val="single" w:color="000000" w:sz="4" w:space="0"/>
            </w:tcBorders>
            <w:noWrap w:val="0"/>
            <w:vAlign w:val="center"/>
          </w:tcPr>
          <w:p>
            <w:pPr>
              <w:pStyle w:val="167"/>
              <w:keepNext w:val="0"/>
              <w:keepLines w:val="0"/>
              <w:suppressLineNumbers w:val="0"/>
              <w:kinsoku w:val="0"/>
              <w:overflowPunct w:val="0"/>
              <w:spacing w:before="45" w:beforeAutospacing="0" w:after="0" w:afterAutospacing="0" w:line="360" w:lineRule="auto"/>
              <w:ind w:left="0" w:right="0"/>
              <w:jc w:val="center"/>
              <w:rPr>
                <w:rFonts w:hint="default" w:ascii="Times New Roman" w:hAnsi="Times New Roman" w:eastAsia="宋体" w:cs="Times New Roman"/>
                <w:color w:val="auto"/>
                <w:position w:val="2"/>
                <w:sz w:val="21"/>
                <w:szCs w:val="21"/>
                <w:highlight w:val="none"/>
              </w:rPr>
            </w:pPr>
          </w:p>
        </w:tc>
        <w:tc>
          <w:tcPr>
            <w:tcW w:w="1072" w:type="dxa"/>
            <w:tcBorders>
              <w:top w:val="single" w:color="000000" w:sz="4" w:space="0"/>
              <w:left w:val="single" w:color="000000" w:sz="4" w:space="0"/>
              <w:bottom w:val="single" w:color="auto" w:sz="12"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0.0002</w:t>
            </w:r>
          </w:p>
        </w:tc>
        <w:tc>
          <w:tcPr>
            <w:tcW w:w="691" w:type="dxa"/>
            <w:tcBorders>
              <w:top w:val="single" w:color="000000" w:sz="4" w:space="0"/>
              <w:left w:val="single" w:color="000000" w:sz="4" w:space="0"/>
              <w:bottom w:val="single" w:color="auto" w:sz="12"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0.0018</w:t>
            </w:r>
          </w:p>
        </w:tc>
        <w:tc>
          <w:tcPr>
            <w:tcW w:w="399" w:type="pct"/>
            <w:vMerge w:val="continue"/>
            <w:tcBorders>
              <w:top w:val="single" w:color="000000" w:sz="4" w:space="0"/>
              <w:left w:val="single" w:color="000000" w:sz="4" w:space="0"/>
              <w:bottom w:val="single" w:color="auto" w:sz="12" w:space="0"/>
              <w:right w:val="single" w:color="000000" w:sz="4" w:space="0"/>
            </w:tcBorders>
            <w:noWrap w:val="0"/>
            <w:vAlign w:val="center"/>
          </w:tcPr>
          <w:p>
            <w:pPr>
              <w:pStyle w:val="167"/>
              <w:keepNext w:val="0"/>
              <w:keepLines w:val="0"/>
              <w:suppressLineNumbers w:val="0"/>
              <w:kinsoku w:val="0"/>
              <w:overflowPunct w:val="0"/>
              <w:spacing w:before="48" w:beforeAutospacing="0" w:after="0" w:afterAutospacing="0" w:line="360" w:lineRule="auto"/>
              <w:ind w:left="345" w:right="0" w:firstLine="480"/>
              <w:jc w:val="center"/>
              <w:rPr>
                <w:rFonts w:hint="default" w:ascii="Times New Roman" w:hAnsi="Times New Roman" w:eastAsia="宋体" w:cs="Times New Roman"/>
                <w:color w:val="auto"/>
                <w:sz w:val="21"/>
                <w:szCs w:val="21"/>
                <w:highlight w:val="none"/>
              </w:rPr>
            </w:pPr>
          </w:p>
        </w:tc>
        <w:tc>
          <w:tcPr>
            <w:tcW w:w="446" w:type="pct"/>
            <w:vMerge w:val="continue"/>
            <w:tcBorders>
              <w:left w:val="single" w:color="000000" w:sz="4" w:space="0"/>
              <w:bottom w:val="single" w:color="auto" w:sz="12" w:space="0"/>
              <w:right w:val="nil"/>
            </w:tcBorders>
            <w:noWrap w:val="0"/>
            <w:vAlign w:val="center"/>
          </w:tcPr>
          <w:p>
            <w:pPr>
              <w:pStyle w:val="167"/>
              <w:keepNext w:val="0"/>
              <w:keepLines w:val="0"/>
              <w:suppressLineNumbers w:val="0"/>
              <w:kinsoku w:val="0"/>
              <w:overflowPunct w:val="0"/>
              <w:spacing w:before="48" w:beforeAutospacing="0" w:after="0" w:afterAutospacing="0" w:line="360" w:lineRule="auto"/>
              <w:ind w:left="345" w:right="0" w:firstLine="480"/>
              <w:jc w:val="center"/>
              <w:rPr>
                <w:rFonts w:hint="default" w:ascii="Times New Roman" w:hAnsi="Times New Roman" w:eastAsia="宋体" w:cs="Times New Roman"/>
                <w:color w:val="auto"/>
                <w:sz w:val="21"/>
                <w:szCs w:val="21"/>
                <w:highlight w:val="none"/>
              </w:rPr>
            </w:pPr>
          </w:p>
        </w:tc>
        <w:tc>
          <w:tcPr>
            <w:tcW w:w="1013" w:type="dxa"/>
            <w:tcBorders>
              <w:top w:val="single" w:color="000000" w:sz="4" w:space="0"/>
              <w:left w:val="single" w:color="000000" w:sz="4" w:space="0"/>
              <w:bottom w:val="single" w:color="auto" w:sz="12"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5.13699E-09</w:t>
            </w:r>
          </w:p>
        </w:tc>
        <w:tc>
          <w:tcPr>
            <w:tcW w:w="739" w:type="dxa"/>
            <w:tcBorders>
              <w:top w:val="single" w:color="000000" w:sz="4" w:space="0"/>
              <w:left w:val="single" w:color="000000" w:sz="4" w:space="0"/>
              <w:bottom w:val="single" w:color="auto" w:sz="12"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1.02740E-06</w:t>
            </w:r>
          </w:p>
        </w:tc>
        <w:tc>
          <w:tcPr>
            <w:tcW w:w="739" w:type="dxa"/>
            <w:tcBorders>
              <w:top w:val="single" w:color="000000" w:sz="4" w:space="0"/>
              <w:left w:val="single" w:color="000000" w:sz="4" w:space="0"/>
              <w:bottom w:val="single" w:color="auto" w:sz="12" w:space="0"/>
              <w:right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0.000009</w:t>
            </w: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（4）</w:t>
      </w:r>
      <w:r>
        <w:rPr>
          <w:rFonts w:hint="default" w:ascii="Times New Roman" w:hAnsi="Times New Roman" w:eastAsia="宋体" w:cs="Times New Roman"/>
          <w:b/>
          <w:bCs/>
          <w:color w:val="auto"/>
          <w:kern w:val="2"/>
          <w:sz w:val="24"/>
          <w:szCs w:val="24"/>
          <w:highlight w:val="none"/>
          <w:lang w:val="en-US" w:eastAsia="zh-CN" w:bidi="ar-SA"/>
        </w:rPr>
        <w:t>病死</w:t>
      </w:r>
      <w:r>
        <w:rPr>
          <w:rFonts w:hint="eastAsia" w:ascii="Times New Roman" w:hAnsi="Times New Roman" w:eastAsia="宋体" w:cs="Times New Roman"/>
          <w:b/>
          <w:bCs/>
          <w:color w:val="auto"/>
          <w:kern w:val="2"/>
          <w:sz w:val="24"/>
          <w:szCs w:val="24"/>
          <w:highlight w:val="none"/>
          <w:lang w:val="en-US" w:eastAsia="zh-CN" w:bidi="ar-SA"/>
        </w:rPr>
        <w:t>牛</w:t>
      </w:r>
      <w:r>
        <w:rPr>
          <w:rFonts w:hint="default" w:ascii="Times New Roman" w:hAnsi="Times New Roman" w:eastAsia="宋体" w:cs="Times New Roman"/>
          <w:b/>
          <w:bCs/>
          <w:color w:val="auto"/>
          <w:kern w:val="2"/>
          <w:sz w:val="24"/>
          <w:szCs w:val="24"/>
          <w:highlight w:val="none"/>
          <w:lang w:val="en-US" w:eastAsia="zh-CN" w:bidi="ar-SA"/>
        </w:rPr>
        <w:t>处理车间废气</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本项目无害化降解处理机处理病死</w:t>
      </w:r>
      <w:r>
        <w:rPr>
          <w:rFonts w:hint="eastAsia" w:ascii="Times New Roman" w:hAnsi="Times New Roman" w:eastAsia="宋体" w:cs="Times New Roman"/>
          <w:color w:val="auto"/>
          <w:kern w:val="2"/>
          <w:sz w:val="24"/>
          <w:szCs w:val="24"/>
          <w:highlight w:val="none"/>
          <w:lang w:val="en-US" w:eastAsia="zh-CN" w:bidi="ar-SA"/>
        </w:rPr>
        <w:t>牛</w:t>
      </w:r>
      <w:r>
        <w:rPr>
          <w:rFonts w:hint="default" w:ascii="Times New Roman" w:hAnsi="Times New Roman" w:eastAsia="宋体" w:cs="Times New Roman"/>
          <w:color w:val="auto"/>
          <w:kern w:val="2"/>
          <w:sz w:val="24"/>
          <w:szCs w:val="24"/>
          <w:highlight w:val="none"/>
          <w:lang w:val="en-US" w:eastAsia="zh-CN" w:bidi="ar-SA"/>
        </w:rPr>
        <w:t>时，该处理机会产生废气（主要为恶臭</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气体），该废气经自带净化装置处理后外排</w:t>
      </w:r>
      <w:r>
        <w:rPr>
          <w:rFonts w:hint="eastAsia" w:ascii="Times New Roman" w:hAnsi="Times New Roman" w:eastAsia="宋体" w:cs="Times New Roman"/>
          <w:color w:val="auto"/>
          <w:kern w:val="2"/>
          <w:sz w:val="24"/>
          <w:szCs w:val="24"/>
          <w:highlight w:val="none"/>
          <w:lang w:val="en-US" w:eastAsia="zh-CN" w:bidi="ar-SA"/>
        </w:rPr>
        <w:t>（无组织，排气筒高度为8m）</w:t>
      </w:r>
      <w:r>
        <w:rPr>
          <w:rFonts w:hint="default" w:ascii="Times New Roman" w:hAnsi="Times New Roman" w:eastAsia="宋体" w:cs="Times New Roman"/>
          <w:color w:val="auto"/>
          <w:kern w:val="2"/>
          <w:sz w:val="24"/>
          <w:szCs w:val="24"/>
          <w:highlight w:val="none"/>
          <w:lang w:val="en-US" w:eastAsia="zh-CN" w:bidi="ar-SA"/>
        </w:rPr>
        <w:t>，同时无害化降解处理机几乎密闭环境下，完成破碎、加热、搅拌、发酵和烘干工序。根据中国广州分析测试中心对该专利产品废气排放口及其下风向5m监测报告数据可知，该专利产品无组织排放的废气在下风向5m就能够达标排放。</w:t>
      </w:r>
      <w:r>
        <w:rPr>
          <w:color w:val="auto"/>
          <w:highlight w:val="none"/>
        </w:rPr>
        <w:t>本项目</w:t>
      </w:r>
      <w:r>
        <w:rPr>
          <w:rFonts w:hint="eastAsia"/>
          <w:color w:val="auto"/>
          <w:highlight w:val="none"/>
          <w:lang w:eastAsia="zh-CN"/>
        </w:rPr>
        <w:t>单次</w:t>
      </w:r>
      <w:r>
        <w:rPr>
          <w:color w:val="auto"/>
          <w:highlight w:val="none"/>
        </w:rPr>
        <w:t>处理规模小，且属间歇性排，其恶臭排放量较小，本次评价不做定量分析。</w:t>
      </w:r>
    </w:p>
    <w:p>
      <w:pPr>
        <w:pStyle w:val="2504"/>
        <w:numPr>
          <w:ilvl w:val="0"/>
          <w:numId w:val="25"/>
        </w:numPr>
        <w:spacing w:before="120" w:line="360" w:lineRule="auto"/>
        <w:ind w:left="0" w:leftChars="0" w:firstLine="403" w:firstLineChars="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无害化降解处理机废气监测结果 单位：mg/m³</w:t>
      </w:r>
    </w:p>
    <w:tbl>
      <w:tblPr>
        <w:tblStyle w:val="9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
        <w:gridCol w:w="1961"/>
        <w:gridCol w:w="628"/>
        <w:gridCol w:w="740"/>
        <w:gridCol w:w="612"/>
        <w:gridCol w:w="529"/>
        <w:gridCol w:w="584"/>
        <w:gridCol w:w="689"/>
        <w:gridCol w:w="584"/>
        <w:gridCol w:w="680"/>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Merge w:val="restart"/>
            <w:tcBorders>
              <w:top w:val="single" w:color="auto" w:sz="12" w:space="0"/>
              <w:left w:val="nil"/>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编号</w:t>
            </w:r>
          </w:p>
        </w:tc>
        <w:tc>
          <w:tcPr>
            <w:tcW w:w="1155" w:type="pct"/>
            <w:vMerge w:val="restart"/>
            <w:tcBorders>
              <w:top w:val="single" w:color="auto" w:sz="12"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采样位置</w:t>
            </w:r>
          </w:p>
        </w:tc>
        <w:tc>
          <w:tcPr>
            <w:tcW w:w="3463" w:type="pct"/>
            <w:gridSpan w:val="9"/>
            <w:tcBorders>
              <w:top w:val="single" w:color="auto" w:sz="12" w:space="0"/>
              <w:left w:val="single" w:color="auto" w:sz="8" w:space="0"/>
              <w:bottom w:val="single" w:color="auto" w:sz="8" w:space="0"/>
              <w:right w:val="nil"/>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rPr>
              <w:t>监测项目及结果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Merge w:val="continue"/>
            <w:tcBorders>
              <w:top w:val="single" w:color="auto" w:sz="8" w:space="0"/>
              <w:left w:val="nil"/>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1155" w:type="pct"/>
            <w:vMerge w:val="continue"/>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rPr>
            </w:pPr>
          </w:p>
        </w:tc>
        <w:tc>
          <w:tcPr>
            <w:tcW w:w="374"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bCs/>
                <w:color w:val="auto"/>
                <w:sz w:val="21"/>
                <w:szCs w:val="21"/>
                <w:highlight w:val="none"/>
                <w:lang w:val="en-US" w:eastAsia="zh-CN"/>
              </w:rPr>
            </w:pP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氨</w:t>
            </w:r>
          </w:p>
        </w:tc>
        <w:tc>
          <w:tcPr>
            <w:tcW w:w="440"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硫化氢</w:t>
            </w:r>
          </w:p>
        </w:tc>
        <w:tc>
          <w:tcPr>
            <w:tcW w:w="365"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二硫化碳</w:t>
            </w:r>
          </w:p>
        </w:tc>
        <w:tc>
          <w:tcPr>
            <w:tcW w:w="316"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苯乙烯</w:t>
            </w:r>
          </w:p>
        </w:tc>
        <w:tc>
          <w:tcPr>
            <w:tcW w:w="343"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三甲胺</w:t>
            </w:r>
          </w:p>
        </w:tc>
        <w:tc>
          <w:tcPr>
            <w:tcW w:w="378"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甲硫醇</w:t>
            </w:r>
          </w:p>
        </w:tc>
        <w:tc>
          <w:tcPr>
            <w:tcW w:w="316"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甲硫醚</w:t>
            </w:r>
          </w:p>
        </w:tc>
        <w:tc>
          <w:tcPr>
            <w:tcW w:w="410"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二甲二硫</w:t>
            </w:r>
          </w:p>
        </w:tc>
        <w:tc>
          <w:tcPr>
            <w:tcW w:w="517" w:type="pct"/>
            <w:tcBorders>
              <w:top w:val="single" w:color="auto" w:sz="8" w:space="0"/>
              <w:left w:val="single" w:color="auto" w:sz="8" w:space="0"/>
              <w:bottom w:val="single" w:color="auto" w:sz="8" w:space="0"/>
              <w:right w:val="nil"/>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臭气浓度（无量 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tcBorders>
              <w:top w:val="single" w:color="auto" w:sz="8" w:space="0"/>
              <w:left w:val="nil"/>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w:t>
            </w:r>
          </w:p>
        </w:tc>
        <w:tc>
          <w:tcPr>
            <w:tcW w:w="1155"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rPr>
              <w:t>益康生无害化降解处理机废气排放口</w:t>
            </w:r>
          </w:p>
        </w:tc>
        <w:tc>
          <w:tcPr>
            <w:tcW w:w="374"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0.13</w:t>
            </w:r>
          </w:p>
        </w:tc>
        <w:tc>
          <w:tcPr>
            <w:tcW w:w="440"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0.004</w:t>
            </w:r>
          </w:p>
        </w:tc>
        <w:tc>
          <w:tcPr>
            <w:tcW w:w="365"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0.13</w:t>
            </w:r>
          </w:p>
        </w:tc>
        <w:tc>
          <w:tcPr>
            <w:tcW w:w="316"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ND</w:t>
            </w:r>
          </w:p>
        </w:tc>
        <w:tc>
          <w:tcPr>
            <w:tcW w:w="343"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ND</w:t>
            </w:r>
          </w:p>
        </w:tc>
        <w:tc>
          <w:tcPr>
            <w:tcW w:w="378"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ND</w:t>
            </w:r>
          </w:p>
        </w:tc>
        <w:tc>
          <w:tcPr>
            <w:tcW w:w="316"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ND</w:t>
            </w:r>
          </w:p>
        </w:tc>
        <w:tc>
          <w:tcPr>
            <w:tcW w:w="410"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ND</w:t>
            </w:r>
          </w:p>
        </w:tc>
        <w:tc>
          <w:tcPr>
            <w:tcW w:w="517" w:type="pct"/>
            <w:tcBorders>
              <w:top w:val="single" w:color="auto" w:sz="8" w:space="0"/>
              <w:left w:val="single" w:color="auto" w:sz="8" w:space="0"/>
              <w:bottom w:val="single" w:color="auto" w:sz="8" w:space="0"/>
              <w:right w:val="nil"/>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tcBorders>
              <w:top w:val="single" w:color="auto" w:sz="8" w:space="0"/>
              <w:left w:val="nil"/>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w:t>
            </w:r>
          </w:p>
        </w:tc>
        <w:tc>
          <w:tcPr>
            <w:tcW w:w="1155"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rPr>
              <w:t>益康生无害化降解处理机废气排放口下风向5米处A点</w:t>
            </w:r>
          </w:p>
        </w:tc>
        <w:tc>
          <w:tcPr>
            <w:tcW w:w="374"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0.13</w:t>
            </w:r>
          </w:p>
        </w:tc>
        <w:tc>
          <w:tcPr>
            <w:tcW w:w="440"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ND</w:t>
            </w:r>
          </w:p>
        </w:tc>
        <w:tc>
          <w:tcPr>
            <w:tcW w:w="365"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0.09</w:t>
            </w:r>
          </w:p>
        </w:tc>
        <w:tc>
          <w:tcPr>
            <w:tcW w:w="316"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ND</w:t>
            </w:r>
          </w:p>
        </w:tc>
        <w:tc>
          <w:tcPr>
            <w:tcW w:w="343"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ND</w:t>
            </w:r>
          </w:p>
        </w:tc>
        <w:tc>
          <w:tcPr>
            <w:tcW w:w="378"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ND</w:t>
            </w:r>
          </w:p>
        </w:tc>
        <w:tc>
          <w:tcPr>
            <w:tcW w:w="316"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ND</w:t>
            </w:r>
          </w:p>
        </w:tc>
        <w:tc>
          <w:tcPr>
            <w:tcW w:w="410"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ND</w:t>
            </w:r>
          </w:p>
        </w:tc>
        <w:tc>
          <w:tcPr>
            <w:tcW w:w="517" w:type="pct"/>
            <w:tcBorders>
              <w:top w:val="single" w:color="auto" w:sz="8" w:space="0"/>
              <w:left w:val="single" w:color="auto" w:sz="8" w:space="0"/>
              <w:bottom w:val="single" w:color="auto" w:sz="8" w:space="0"/>
              <w:right w:val="nil"/>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pct"/>
            <w:gridSpan w:val="2"/>
            <w:tcBorders>
              <w:top w:val="single" w:color="auto" w:sz="8" w:space="0"/>
              <w:left w:val="nil"/>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rPr>
              <w:t>《畜禽养殖业污染物排放标准》（GB18596-2001）</w:t>
            </w:r>
          </w:p>
        </w:tc>
        <w:tc>
          <w:tcPr>
            <w:tcW w:w="374"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w:t>
            </w:r>
          </w:p>
        </w:tc>
        <w:tc>
          <w:tcPr>
            <w:tcW w:w="440"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w:t>
            </w:r>
          </w:p>
        </w:tc>
        <w:tc>
          <w:tcPr>
            <w:tcW w:w="365"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w:t>
            </w:r>
          </w:p>
        </w:tc>
        <w:tc>
          <w:tcPr>
            <w:tcW w:w="316"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w:t>
            </w:r>
          </w:p>
        </w:tc>
        <w:tc>
          <w:tcPr>
            <w:tcW w:w="343"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w:t>
            </w:r>
          </w:p>
        </w:tc>
        <w:tc>
          <w:tcPr>
            <w:tcW w:w="378"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w:t>
            </w:r>
          </w:p>
        </w:tc>
        <w:tc>
          <w:tcPr>
            <w:tcW w:w="316"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w:t>
            </w:r>
          </w:p>
        </w:tc>
        <w:tc>
          <w:tcPr>
            <w:tcW w:w="410" w:type="pct"/>
            <w:tcBorders>
              <w:top w:val="single" w:color="auto" w:sz="8" w:space="0"/>
              <w:left w:val="single" w:color="auto" w:sz="8" w:space="0"/>
              <w:bottom w:val="single" w:color="auto" w:sz="8"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w:t>
            </w:r>
          </w:p>
        </w:tc>
        <w:tc>
          <w:tcPr>
            <w:tcW w:w="517" w:type="pct"/>
            <w:tcBorders>
              <w:top w:val="single" w:color="auto" w:sz="8" w:space="0"/>
              <w:left w:val="single" w:color="auto" w:sz="8" w:space="0"/>
              <w:bottom w:val="single" w:color="auto" w:sz="8" w:space="0"/>
              <w:right w:val="nil"/>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pct"/>
            <w:gridSpan w:val="2"/>
            <w:tcBorders>
              <w:top w:val="single" w:color="auto" w:sz="8" w:space="0"/>
              <w:left w:val="nil"/>
              <w:bottom w:val="single" w:color="auto" w:sz="12"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rPr>
              <w:t>《恶臭污染物排放标准》（GB14554-93）</w:t>
            </w:r>
          </w:p>
        </w:tc>
        <w:tc>
          <w:tcPr>
            <w:tcW w:w="374" w:type="pct"/>
            <w:tcBorders>
              <w:top w:val="single" w:color="auto" w:sz="8" w:space="0"/>
              <w:left w:val="single" w:color="auto" w:sz="8" w:space="0"/>
              <w:bottom w:val="single" w:color="auto" w:sz="12"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1.5</w:t>
            </w:r>
          </w:p>
        </w:tc>
        <w:tc>
          <w:tcPr>
            <w:tcW w:w="440" w:type="pct"/>
            <w:tcBorders>
              <w:top w:val="single" w:color="auto" w:sz="8" w:space="0"/>
              <w:left w:val="single" w:color="auto" w:sz="8" w:space="0"/>
              <w:bottom w:val="single" w:color="auto" w:sz="12"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0.06</w:t>
            </w:r>
          </w:p>
        </w:tc>
        <w:tc>
          <w:tcPr>
            <w:tcW w:w="365" w:type="pct"/>
            <w:tcBorders>
              <w:top w:val="single" w:color="auto" w:sz="8" w:space="0"/>
              <w:left w:val="single" w:color="auto" w:sz="8" w:space="0"/>
              <w:bottom w:val="single" w:color="auto" w:sz="12"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3.0</w:t>
            </w:r>
          </w:p>
        </w:tc>
        <w:tc>
          <w:tcPr>
            <w:tcW w:w="316" w:type="pct"/>
            <w:tcBorders>
              <w:top w:val="single" w:color="auto" w:sz="8" w:space="0"/>
              <w:left w:val="single" w:color="auto" w:sz="8" w:space="0"/>
              <w:bottom w:val="single" w:color="auto" w:sz="12"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5.0</w:t>
            </w:r>
          </w:p>
        </w:tc>
        <w:tc>
          <w:tcPr>
            <w:tcW w:w="343" w:type="pct"/>
            <w:tcBorders>
              <w:top w:val="single" w:color="auto" w:sz="8" w:space="0"/>
              <w:left w:val="single" w:color="auto" w:sz="8" w:space="0"/>
              <w:bottom w:val="single" w:color="auto" w:sz="12"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0.08</w:t>
            </w:r>
          </w:p>
        </w:tc>
        <w:tc>
          <w:tcPr>
            <w:tcW w:w="378" w:type="pct"/>
            <w:tcBorders>
              <w:top w:val="single" w:color="auto" w:sz="8" w:space="0"/>
              <w:left w:val="single" w:color="auto" w:sz="8" w:space="0"/>
              <w:bottom w:val="single" w:color="auto" w:sz="12"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0.007</w:t>
            </w:r>
          </w:p>
        </w:tc>
        <w:tc>
          <w:tcPr>
            <w:tcW w:w="316" w:type="pct"/>
            <w:tcBorders>
              <w:top w:val="single" w:color="auto" w:sz="8" w:space="0"/>
              <w:left w:val="single" w:color="auto" w:sz="8" w:space="0"/>
              <w:bottom w:val="single" w:color="auto" w:sz="12"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0.07</w:t>
            </w:r>
          </w:p>
        </w:tc>
        <w:tc>
          <w:tcPr>
            <w:tcW w:w="410" w:type="pct"/>
            <w:tcBorders>
              <w:top w:val="single" w:color="auto" w:sz="8" w:space="0"/>
              <w:left w:val="single" w:color="auto" w:sz="8" w:space="0"/>
              <w:bottom w:val="single" w:color="auto" w:sz="12" w:space="0"/>
              <w:right w:val="single" w:color="auto" w:sz="8"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0.06</w:t>
            </w:r>
          </w:p>
        </w:tc>
        <w:tc>
          <w:tcPr>
            <w:tcW w:w="517" w:type="pct"/>
            <w:tcBorders>
              <w:top w:val="single" w:color="auto" w:sz="8" w:space="0"/>
              <w:left w:val="single" w:color="auto" w:sz="8" w:space="0"/>
              <w:bottom w:val="single" w:color="auto" w:sz="12" w:space="0"/>
              <w:right w:val="nil"/>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w:t>
            </w:r>
          </w:p>
        </w:tc>
      </w:tr>
    </w:tbl>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241" w:firstLineChars="100"/>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w:t>
      </w:r>
      <w:r>
        <w:rPr>
          <w:rFonts w:hint="eastAsia" w:ascii="Times New Roman" w:hAnsi="Times New Roman" w:eastAsia="宋体" w:cs="Times New Roman"/>
          <w:b/>
          <w:bCs/>
          <w:color w:val="auto"/>
          <w:kern w:val="2"/>
          <w:sz w:val="24"/>
          <w:szCs w:val="24"/>
          <w:highlight w:val="none"/>
          <w:lang w:val="en-US" w:eastAsia="zh-CN" w:bidi="ar-SA"/>
        </w:rPr>
        <w:t>5</w:t>
      </w:r>
      <w:r>
        <w:rPr>
          <w:rFonts w:hint="default" w:ascii="Times New Roman" w:hAnsi="Times New Roman" w:eastAsia="宋体" w:cs="Times New Roman"/>
          <w:b/>
          <w:bCs/>
          <w:color w:val="auto"/>
          <w:kern w:val="2"/>
          <w:sz w:val="24"/>
          <w:szCs w:val="24"/>
          <w:highlight w:val="none"/>
          <w:lang w:val="en-US" w:eastAsia="zh-CN" w:bidi="ar-SA"/>
        </w:rPr>
        <w:t>）运输恶臭及尾气</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1）产生情况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根据类比调查，</w:t>
      </w:r>
      <w:r>
        <w:rPr>
          <w:rFonts w:hint="eastAsia" w:ascii="Times New Roman" w:hAnsi="Times New Roman" w:eastAsia="宋体" w:cs="Times New Roman"/>
          <w:b w:val="0"/>
          <w:bCs w:val="0"/>
          <w:color w:val="auto"/>
          <w:kern w:val="2"/>
          <w:sz w:val="24"/>
          <w:szCs w:val="24"/>
          <w:highlight w:val="none"/>
          <w:lang w:val="en-US" w:eastAsia="zh-CN" w:bidi="ar-SA"/>
        </w:rPr>
        <w:t>肉牛</w:t>
      </w:r>
      <w:r>
        <w:rPr>
          <w:rFonts w:hint="default" w:ascii="Times New Roman" w:hAnsi="Times New Roman" w:eastAsia="宋体" w:cs="Times New Roman"/>
          <w:b w:val="0"/>
          <w:bCs w:val="0"/>
          <w:color w:val="auto"/>
          <w:kern w:val="2"/>
          <w:sz w:val="24"/>
          <w:szCs w:val="24"/>
          <w:highlight w:val="none"/>
          <w:lang w:val="en-US" w:eastAsia="zh-CN" w:bidi="ar-SA"/>
        </w:rPr>
        <w:t>外运过程中，</w:t>
      </w:r>
      <w:r>
        <w:rPr>
          <w:rFonts w:hint="eastAsia" w:ascii="Times New Roman" w:hAnsi="Times New Roman" w:eastAsia="宋体" w:cs="Times New Roman"/>
          <w:b w:val="0"/>
          <w:bCs w:val="0"/>
          <w:color w:val="auto"/>
          <w:kern w:val="2"/>
          <w:sz w:val="24"/>
          <w:szCs w:val="24"/>
          <w:highlight w:val="none"/>
          <w:lang w:val="en-US" w:eastAsia="zh-CN" w:bidi="ar-SA"/>
        </w:rPr>
        <w:t>牛</w:t>
      </w:r>
      <w:r>
        <w:rPr>
          <w:rFonts w:hint="default" w:ascii="Times New Roman" w:hAnsi="Times New Roman" w:eastAsia="宋体" w:cs="Times New Roman"/>
          <w:b w:val="0"/>
          <w:bCs w:val="0"/>
          <w:color w:val="auto"/>
          <w:kern w:val="2"/>
          <w:sz w:val="24"/>
          <w:szCs w:val="24"/>
          <w:highlight w:val="none"/>
          <w:lang w:val="en-US" w:eastAsia="zh-CN" w:bidi="ar-SA"/>
        </w:rPr>
        <w:t>粪便、尿液等会散发出恶臭，会对公路沿线的环境产生短暂的恶臭污染，待运输车辆远离后影响可消除。车辆运输产生的汽车尾气主要成分为：CO、HC和NOx，经过扩散对沿线敏感点影响较小。</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both"/>
        <w:textAlignment w:val="auto"/>
        <w:rPr>
          <w:color w:val="auto"/>
          <w:highlight w:val="none"/>
        </w:rPr>
      </w:pPr>
      <w:r>
        <w:rPr>
          <w:rFonts w:hint="eastAsia" w:ascii="Times New Roman" w:hAnsi="Times New Roman" w:eastAsia="宋体" w:cs="Times New Roman"/>
          <w:b/>
          <w:bCs/>
          <w:color w:val="auto"/>
          <w:kern w:val="2"/>
          <w:sz w:val="24"/>
          <w:szCs w:val="24"/>
          <w:highlight w:val="none"/>
          <w:lang w:val="en-US" w:eastAsia="zh-CN" w:bidi="ar-SA"/>
        </w:rPr>
        <w:t>2）治理措施</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①粪便在运输过程中必须采用专用罐车，防止沿途泄漏；</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②加盖运输，防止恶臭气体的逸散，以及粉尘污染、病菌传播；</w:t>
      </w:r>
    </w:p>
    <w:p>
      <w:pPr>
        <w:spacing w:line="360" w:lineRule="auto"/>
        <w:ind w:firstLine="480" w:firstLineChars="200"/>
        <w:rPr>
          <w:rFonts w:hint="default"/>
          <w:color w:val="auto"/>
          <w:highlight w:val="none"/>
          <w:lang w:val="en-US" w:eastAsia="zh-CN"/>
        </w:rPr>
      </w:pPr>
      <w:r>
        <w:rPr>
          <w:rFonts w:hint="eastAsia" w:ascii="Times New Roman" w:hAnsi="Times New Roman" w:eastAsia="宋体" w:cs="Times New Roman"/>
          <w:color w:val="auto"/>
          <w:sz w:val="24"/>
          <w:szCs w:val="24"/>
          <w:highlight w:val="none"/>
          <w:lang w:val="zh-CN"/>
        </w:rPr>
        <w:t>③装载不可过高，安全运输。</w:t>
      </w:r>
    </w:p>
    <w:p>
      <w:pPr>
        <w:spacing w:line="360" w:lineRule="auto"/>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2、沼气</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（1）沼气产生量</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根据建设单位提供资料，项目厌氧池在运行过程中将会产生沼气，沼气经收集、</w:t>
      </w:r>
      <w:r>
        <w:rPr>
          <w:rFonts w:hint="eastAsia" w:ascii="Times New Roman" w:hAnsi="Times New Roman" w:eastAsia="宋体" w:cs="Times New Roman"/>
          <w:color w:val="auto"/>
          <w:sz w:val="24"/>
          <w:szCs w:val="24"/>
          <w:highlight w:val="none"/>
        </w:rPr>
        <w:t>脱水</w:t>
      </w:r>
      <w:r>
        <w:rPr>
          <w:rFonts w:ascii="Times New Roman" w:hAnsi="Times New Roman" w:eastAsia="宋体" w:cs="Times New Roman"/>
          <w:color w:val="auto"/>
          <w:sz w:val="24"/>
          <w:szCs w:val="24"/>
          <w:highlight w:val="none"/>
        </w:rPr>
        <w:t>脱硫、输送入</w:t>
      </w:r>
      <w:r>
        <w:rPr>
          <w:rFonts w:hint="eastAsia" w:ascii="Times New Roman" w:hAnsi="Times New Roman" w:eastAsia="宋体" w:cs="Times New Roman"/>
          <w:color w:val="auto"/>
          <w:sz w:val="24"/>
          <w:szCs w:val="24"/>
          <w:highlight w:val="none"/>
        </w:rPr>
        <w:t>双膜储气袋</w:t>
      </w:r>
      <w:r>
        <w:rPr>
          <w:rFonts w:ascii="Times New Roman" w:hAnsi="Times New Roman" w:eastAsia="宋体" w:cs="Times New Roman"/>
          <w:color w:val="auto"/>
          <w:sz w:val="24"/>
          <w:szCs w:val="24"/>
          <w:highlight w:val="none"/>
        </w:rPr>
        <w:t>。沼气是有机物质在一定的温度、湿度、酸度条件下，隔绝空气（厌氧环境），经微生物作用（发酵）而产生的可燃性气体，其主要成分为CH</w:t>
      </w:r>
      <w:r>
        <w:rPr>
          <w:rFonts w:ascii="Times New Roman" w:hAnsi="Times New Roman" w:eastAsia="宋体" w:cs="Times New Roman"/>
          <w:color w:val="auto"/>
          <w:sz w:val="24"/>
          <w:szCs w:val="24"/>
          <w:highlight w:val="none"/>
          <w:vertAlign w:val="subscript"/>
        </w:rPr>
        <w:t>4</w:t>
      </w:r>
      <w:r>
        <w:rPr>
          <w:rFonts w:ascii="Times New Roman" w:hAnsi="Times New Roman" w:eastAsia="宋体" w:cs="Times New Roman"/>
          <w:color w:val="auto"/>
          <w:sz w:val="24"/>
          <w:szCs w:val="24"/>
          <w:highlight w:val="none"/>
        </w:rPr>
        <w:t>，即甲烷占50%~80%，同时含20%~40%的CO</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，1%~5%的N</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，0.2%~3%的H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S、O</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和H</w:t>
      </w:r>
      <w:r>
        <w:rPr>
          <w:rFonts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等</w:t>
      </w:r>
      <w:r>
        <w:rPr>
          <w:rFonts w:ascii="Times New Roman" w:hAnsi="Times New Roman" w:eastAsia="宋体" w:cs="Times New Roman"/>
          <w:color w:val="auto"/>
          <w:sz w:val="24"/>
          <w:szCs w:val="24"/>
          <w:highlight w:val="none"/>
        </w:rPr>
        <w:t>。燃烧后生成CO</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O、SO</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。沼气成分详见</w:t>
      </w:r>
      <w:r>
        <w:rPr>
          <w:rFonts w:hint="eastAsia" w:ascii="Times New Roman" w:hAnsi="Times New Roman" w:eastAsia="宋体" w:cs="Times New Roman"/>
          <w:color w:val="auto"/>
          <w:sz w:val="24"/>
          <w:szCs w:val="24"/>
          <w:highlight w:val="none"/>
          <w:lang w:eastAsia="zh-CN"/>
        </w:rPr>
        <w:t>下</w:t>
      </w:r>
      <w:r>
        <w:rPr>
          <w:rFonts w:ascii="Times New Roman" w:hAnsi="Times New Roman" w:eastAsia="宋体" w:cs="Times New Roman"/>
          <w:color w:val="auto"/>
          <w:sz w:val="24"/>
          <w:szCs w:val="24"/>
          <w:highlight w:val="none"/>
        </w:rPr>
        <w:t>表。</w:t>
      </w:r>
    </w:p>
    <w:p>
      <w:pPr>
        <w:pStyle w:val="2504"/>
        <w:numPr>
          <w:ilvl w:val="0"/>
          <w:numId w:val="25"/>
        </w:numPr>
        <w:spacing w:before="120"/>
        <w:ind w:left="0" w:leftChars="0" w:firstLine="403"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沼气成分一览表</w:t>
      </w:r>
    </w:p>
    <w:tbl>
      <w:tblPr>
        <w:tblStyle w:val="91"/>
        <w:tblW w:w="4998" w:type="pct"/>
        <w:jc w:val="center"/>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Layout w:type="autofit"/>
        <w:tblCellMar>
          <w:top w:w="0" w:type="dxa"/>
          <w:left w:w="0" w:type="dxa"/>
          <w:bottom w:w="0" w:type="dxa"/>
          <w:right w:w="0" w:type="dxa"/>
        </w:tblCellMar>
      </w:tblPr>
      <w:tblGrid>
        <w:gridCol w:w="2130"/>
        <w:gridCol w:w="1220"/>
        <w:gridCol w:w="1220"/>
        <w:gridCol w:w="683"/>
        <w:gridCol w:w="683"/>
        <w:gridCol w:w="852"/>
        <w:gridCol w:w="1515"/>
      </w:tblGrid>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561" w:hRule="exact"/>
          <w:jc w:val="center"/>
        </w:trPr>
        <w:tc>
          <w:tcPr>
            <w:tcW w:w="1282"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5"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成分</w:t>
            </w:r>
          </w:p>
        </w:tc>
        <w:tc>
          <w:tcPr>
            <w:tcW w:w="73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CH</w:t>
            </w:r>
            <w:r>
              <w:rPr>
                <w:rFonts w:hint="default" w:ascii="Times New Roman" w:hAnsi="Times New Roman" w:eastAsia="宋体" w:cs="Times New Roman"/>
                <w:b/>
                <w:color w:val="auto"/>
                <w:kern w:val="0"/>
                <w:sz w:val="21"/>
                <w:szCs w:val="21"/>
                <w:highlight w:val="none"/>
                <w:vertAlign w:val="subscript"/>
                <w:lang w:val="en-US" w:eastAsia="zh-CN" w:bidi="ar-SA"/>
              </w:rPr>
              <w:t>4</w:t>
            </w:r>
          </w:p>
        </w:tc>
        <w:tc>
          <w:tcPr>
            <w:tcW w:w="73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CO</w:t>
            </w:r>
            <w:r>
              <w:rPr>
                <w:rFonts w:hint="default" w:ascii="Times New Roman" w:hAnsi="Times New Roman" w:eastAsia="宋体" w:cs="Times New Roman"/>
                <w:b/>
                <w:color w:val="auto"/>
                <w:kern w:val="0"/>
                <w:sz w:val="21"/>
                <w:szCs w:val="21"/>
                <w:highlight w:val="none"/>
                <w:vertAlign w:val="subscript"/>
                <w:lang w:val="en-US" w:eastAsia="zh-CN" w:bidi="ar-SA"/>
              </w:rPr>
              <w:t>2</w:t>
            </w:r>
          </w:p>
        </w:tc>
        <w:tc>
          <w:tcPr>
            <w:tcW w:w="41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N</w:t>
            </w:r>
            <w:r>
              <w:rPr>
                <w:rFonts w:hint="default" w:ascii="Times New Roman" w:hAnsi="Times New Roman" w:eastAsia="宋体" w:cs="Times New Roman"/>
                <w:b/>
                <w:color w:val="auto"/>
                <w:kern w:val="0"/>
                <w:sz w:val="21"/>
                <w:szCs w:val="21"/>
                <w:highlight w:val="none"/>
                <w:vertAlign w:val="subscript"/>
                <w:lang w:val="en-US" w:eastAsia="zh-CN" w:bidi="ar-SA"/>
              </w:rPr>
              <w:t>2</w:t>
            </w:r>
          </w:p>
        </w:tc>
        <w:tc>
          <w:tcPr>
            <w:tcW w:w="41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H</w:t>
            </w:r>
            <w:r>
              <w:rPr>
                <w:rFonts w:hint="default" w:ascii="Times New Roman" w:hAnsi="Times New Roman" w:eastAsia="宋体" w:cs="Times New Roman"/>
                <w:b/>
                <w:color w:val="auto"/>
                <w:kern w:val="0"/>
                <w:sz w:val="21"/>
                <w:szCs w:val="21"/>
                <w:highlight w:val="none"/>
                <w:vertAlign w:val="subscript"/>
                <w:lang w:val="en-US" w:eastAsia="zh-CN" w:bidi="ar-SA"/>
              </w:rPr>
              <w:t>2</w:t>
            </w:r>
          </w:p>
        </w:tc>
        <w:tc>
          <w:tcPr>
            <w:tcW w:w="513"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O</w:t>
            </w:r>
            <w:r>
              <w:rPr>
                <w:rFonts w:hint="default" w:ascii="Times New Roman" w:hAnsi="Times New Roman" w:eastAsia="宋体" w:cs="Times New Roman"/>
                <w:b/>
                <w:color w:val="auto"/>
                <w:kern w:val="0"/>
                <w:sz w:val="21"/>
                <w:szCs w:val="21"/>
                <w:highlight w:val="none"/>
                <w:vertAlign w:val="subscript"/>
                <w:lang w:val="en-US" w:eastAsia="zh-CN" w:bidi="ar-SA"/>
              </w:rPr>
              <w:t>2</w:t>
            </w:r>
          </w:p>
        </w:tc>
        <w:tc>
          <w:tcPr>
            <w:tcW w:w="912"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6"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H</w:t>
            </w:r>
            <w:r>
              <w:rPr>
                <w:rFonts w:hint="default" w:ascii="Times New Roman" w:hAnsi="Times New Roman" w:eastAsia="宋体" w:cs="Times New Roman"/>
                <w:b/>
                <w:color w:val="auto"/>
                <w:kern w:val="0"/>
                <w:sz w:val="21"/>
                <w:szCs w:val="21"/>
                <w:highlight w:val="none"/>
                <w:vertAlign w:val="subscript"/>
                <w:lang w:val="en-US" w:eastAsia="zh-CN" w:bidi="ar-SA"/>
              </w:rPr>
              <w:t>2</w:t>
            </w:r>
            <w:r>
              <w:rPr>
                <w:rFonts w:hint="default" w:ascii="Times New Roman" w:hAnsi="Times New Roman" w:eastAsia="宋体" w:cs="Times New Roman"/>
                <w:b/>
                <w:color w:val="auto"/>
                <w:kern w:val="0"/>
                <w:position w:val="2"/>
                <w:sz w:val="21"/>
                <w:szCs w:val="21"/>
                <w:highlight w:val="none"/>
                <w:lang w:val="en-US" w:eastAsia="zh-CN" w:bidi="ar-SA"/>
              </w:rPr>
              <w:t>S</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561" w:hRule="exact"/>
          <w:jc w:val="center"/>
        </w:trPr>
        <w:tc>
          <w:tcPr>
            <w:tcW w:w="1282"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含量（体积分数）</w:t>
            </w:r>
          </w:p>
        </w:tc>
        <w:tc>
          <w:tcPr>
            <w:tcW w:w="73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50%~80%</w:t>
            </w:r>
          </w:p>
        </w:tc>
        <w:tc>
          <w:tcPr>
            <w:tcW w:w="73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20%~40%</w:t>
            </w:r>
          </w:p>
        </w:tc>
        <w:tc>
          <w:tcPr>
            <w:tcW w:w="41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&lt;5%</w:t>
            </w:r>
          </w:p>
        </w:tc>
        <w:tc>
          <w:tcPr>
            <w:tcW w:w="41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&lt;1%</w:t>
            </w:r>
          </w:p>
        </w:tc>
        <w:tc>
          <w:tcPr>
            <w:tcW w:w="513"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&lt;0.4%</w:t>
            </w:r>
          </w:p>
        </w:tc>
        <w:tc>
          <w:tcPr>
            <w:tcW w:w="912"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0.05%~0.1%</w:t>
            </w:r>
          </w:p>
        </w:tc>
      </w:tr>
    </w:tbl>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根据《规模化畜禽养殖场沼气工程设计规范》（NY/T1222-2006）可知，理论上每削减1kgCOD可产生0.35m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沼气，一般情况下，养殖废水经厌氧发酵处理工序COD去除率为8</w:t>
      </w:r>
      <w:r>
        <w:rPr>
          <w:rFonts w:hint="eastAsia" w:ascii="Times New Roman" w:hAnsi="Times New Roman" w:eastAsia="宋体" w:cs="Times New Roman"/>
          <w:b w:val="0"/>
          <w:bCs w:val="0"/>
          <w:color w:val="auto"/>
          <w:kern w:val="2"/>
          <w:sz w:val="24"/>
          <w:szCs w:val="24"/>
          <w:highlight w:val="none"/>
          <w:lang w:val="en-US" w:eastAsia="zh-CN" w:bidi="ar-SA"/>
        </w:rPr>
        <w:t>0</w:t>
      </w:r>
      <w:r>
        <w:rPr>
          <w:rFonts w:hint="default" w:ascii="Times New Roman" w:hAnsi="Times New Roman" w:eastAsia="宋体" w:cs="Times New Roman"/>
          <w:b w:val="0"/>
          <w:bCs w:val="0"/>
          <w:color w:val="auto"/>
          <w:kern w:val="2"/>
          <w:sz w:val="24"/>
          <w:szCs w:val="24"/>
          <w:highlight w:val="none"/>
          <w:lang w:val="en-US" w:eastAsia="zh-CN" w:bidi="ar-SA"/>
        </w:rPr>
        <w:t>%，根据废水章节分析可知，项目废水中COD含量为</w:t>
      </w:r>
      <w:r>
        <w:rPr>
          <w:rFonts w:hint="eastAsia" w:ascii="Times New Roman" w:hAnsi="Times New Roman" w:eastAsia="宋体" w:cs="Times New Roman"/>
          <w:b w:val="0"/>
          <w:bCs w:val="0"/>
          <w:color w:val="auto"/>
          <w:kern w:val="2"/>
          <w:sz w:val="24"/>
          <w:szCs w:val="24"/>
          <w:highlight w:val="none"/>
          <w:lang w:val="en-US" w:eastAsia="zh-CN" w:bidi="ar-SA"/>
        </w:rPr>
        <w:t>78.34</w:t>
      </w:r>
      <w:r>
        <w:rPr>
          <w:rFonts w:hint="default" w:ascii="Times New Roman" w:hAnsi="Times New Roman" w:eastAsia="宋体" w:cs="Times New Roman"/>
          <w:b w:val="0"/>
          <w:bCs w:val="0"/>
          <w:color w:val="auto"/>
          <w:kern w:val="2"/>
          <w:sz w:val="24"/>
          <w:szCs w:val="24"/>
          <w:highlight w:val="none"/>
          <w:lang w:val="en-US" w:eastAsia="zh-CN" w:bidi="ar-SA"/>
        </w:rPr>
        <w:t>t/a，则沼气池去除的COD为</w:t>
      </w:r>
      <w:r>
        <w:rPr>
          <w:rFonts w:hint="eastAsia" w:ascii="Times New Roman" w:hAnsi="Times New Roman" w:eastAsia="宋体" w:cs="Times New Roman"/>
          <w:b w:val="0"/>
          <w:bCs w:val="0"/>
          <w:color w:val="auto"/>
          <w:kern w:val="2"/>
          <w:sz w:val="24"/>
          <w:szCs w:val="24"/>
          <w:highlight w:val="none"/>
          <w:lang w:val="en-US" w:eastAsia="zh-CN" w:bidi="ar-SA"/>
        </w:rPr>
        <w:t>60.18</w:t>
      </w:r>
      <w:r>
        <w:rPr>
          <w:rFonts w:hint="default" w:ascii="Times New Roman" w:hAnsi="Times New Roman" w:eastAsia="宋体" w:cs="Times New Roman"/>
          <w:b w:val="0"/>
          <w:bCs w:val="0"/>
          <w:color w:val="auto"/>
          <w:kern w:val="2"/>
          <w:sz w:val="24"/>
          <w:szCs w:val="24"/>
          <w:highlight w:val="none"/>
          <w:lang w:val="en-US" w:eastAsia="zh-CN" w:bidi="ar-SA"/>
        </w:rPr>
        <w:t>t/a，甲烷产生量为</w:t>
      </w:r>
      <w:r>
        <w:rPr>
          <w:rFonts w:hint="eastAsia" w:ascii="Times New Roman" w:hAnsi="Times New Roman" w:eastAsia="宋体" w:cs="Times New Roman"/>
          <w:b w:val="0"/>
          <w:bCs w:val="0"/>
          <w:color w:val="auto"/>
          <w:kern w:val="2"/>
          <w:sz w:val="24"/>
          <w:szCs w:val="24"/>
          <w:highlight w:val="none"/>
          <w:lang w:val="en-US" w:eastAsia="zh-CN" w:bidi="ar-SA"/>
        </w:rPr>
        <w:t>57.71</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/d（</w:t>
      </w:r>
      <w:r>
        <w:rPr>
          <w:rFonts w:hint="eastAsia" w:ascii="Times New Roman" w:hAnsi="Times New Roman" w:eastAsia="宋体" w:cs="Times New Roman"/>
          <w:b w:val="0"/>
          <w:bCs w:val="0"/>
          <w:color w:val="auto"/>
          <w:kern w:val="2"/>
          <w:sz w:val="24"/>
          <w:szCs w:val="24"/>
          <w:highlight w:val="none"/>
          <w:lang w:val="en-US" w:eastAsia="zh-CN" w:bidi="ar-SA"/>
        </w:rPr>
        <w:t>21063</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/a）。</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根据建设单位提供的资料，本项目设置了双膜储气袋</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150</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，用于储存沼气。沼气2</w:t>
      </w:r>
      <w:r>
        <w:rPr>
          <w:rFonts w:ascii="Times New Roman" w:hAnsi="Times New Roman" w:eastAsia="宋体" w:cs="Times New Roman"/>
          <w:color w:val="auto"/>
          <w:sz w:val="24"/>
          <w:szCs w:val="24"/>
          <w:highlight w:val="none"/>
        </w:rPr>
        <w:t>0℃</w:t>
      </w:r>
      <w:r>
        <w:rPr>
          <w:rFonts w:hint="eastAsia" w:ascii="Times New Roman" w:hAnsi="Times New Roman" w:eastAsia="宋体" w:cs="Times New Roman"/>
          <w:color w:val="auto"/>
          <w:sz w:val="24"/>
          <w:szCs w:val="24"/>
          <w:highlight w:val="none"/>
        </w:rPr>
        <w:t>时，密度1.205kg/m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，约合</w:t>
      </w:r>
      <w:r>
        <w:rPr>
          <w:rFonts w:hint="eastAsia" w:ascii="Times New Roman" w:hAnsi="Times New Roman" w:eastAsia="宋体" w:cs="Times New Roman"/>
          <w:color w:val="auto"/>
          <w:sz w:val="24"/>
          <w:szCs w:val="24"/>
          <w:highlight w:val="none"/>
          <w:lang w:val="en-US" w:eastAsia="zh-CN"/>
        </w:rPr>
        <w:t>25.381</w:t>
      </w:r>
      <w:r>
        <w:rPr>
          <w:rFonts w:hint="eastAsia" w:ascii="Times New Roman" w:hAnsi="Times New Roman" w:eastAsia="宋体" w:cs="Times New Roman"/>
          <w:color w:val="auto"/>
          <w:sz w:val="24"/>
          <w:szCs w:val="24"/>
          <w:highlight w:val="none"/>
        </w:rPr>
        <w:t>t/a。</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（2）拟采取的措施</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畜禽养殖业污染治理工程技术规范》（HJ497-2009）中“厌氧处理产生的沼气须完全利用，不得直接向环境排放。经净化处理后通过输配气系统可用于居民生活用气、锅炉燃烧、沼气发电等”的规定。本项目产生的沼气经气水分离和活性氧化铁吸附柱脱硫除臭（脱硫除臭效率为99.5%）后，储存于双膜储气袋（容积为</w:t>
      </w:r>
      <w:r>
        <w:rPr>
          <w:rFonts w:hint="eastAsia" w:ascii="Times New Roman" w:hAnsi="Times New Roman" w:eastAsia="宋体" w:cs="Times New Roman"/>
          <w:color w:val="auto"/>
          <w:sz w:val="24"/>
          <w:szCs w:val="24"/>
          <w:highlight w:val="none"/>
          <w:lang w:val="en-US" w:eastAsia="zh-CN"/>
        </w:rPr>
        <w:t>150</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）内，全部用于沼气发电</w:t>
      </w:r>
      <w:r>
        <w:rPr>
          <w:rFonts w:hint="eastAsia" w:ascii="Times New Roman" w:hAnsi="Times New Roman" w:eastAsia="宋体" w:cs="Times New Roman"/>
          <w:color w:val="auto"/>
          <w:sz w:val="24"/>
          <w:szCs w:val="24"/>
          <w:highlight w:val="none"/>
          <w:lang w:eastAsia="zh-CN"/>
        </w:rPr>
        <w:t>和</w:t>
      </w:r>
      <w:r>
        <w:rPr>
          <w:rFonts w:hint="default" w:ascii="Times New Roman" w:hAnsi="Times New Roman" w:eastAsia="宋体" w:cs="Times New Roman"/>
          <w:color w:val="auto"/>
          <w:sz w:val="24"/>
          <w:szCs w:val="24"/>
          <w:highlight w:val="none"/>
        </w:rPr>
        <w:t>生活燃气。</w:t>
      </w:r>
    </w:p>
    <w:p>
      <w:pPr>
        <w:spacing w:line="360" w:lineRule="auto"/>
        <w:ind w:firstLine="480" w:firstLineChars="200"/>
        <w:rPr>
          <w:rFonts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畜禽养殖业污染防治技术政策》（环发【2010】151号）中有关内容，厌氧发酵产生的沼气应进行收集，并根据利用途径进行脱水、脱硫等净化处理；沼气宜作为燃料直接利用。本项目沼气从厌氧反应器沼气池流入管道，首先经过沼气脱水罐和脱硫装置，其目的是净化沼气，净化后的沼气从储气</w:t>
      </w:r>
      <w:r>
        <w:rPr>
          <w:rFonts w:hint="default" w:ascii="Times New Roman" w:hAnsi="Times New Roman" w:eastAsia="宋体" w:cs="Times New Roman"/>
          <w:color w:val="auto"/>
          <w:sz w:val="24"/>
          <w:szCs w:val="24"/>
          <w:highlight w:val="none"/>
          <w:lang w:eastAsia="zh-CN"/>
        </w:rPr>
        <w:t>袋</w:t>
      </w:r>
      <w:r>
        <w:rPr>
          <w:rFonts w:hint="default" w:ascii="Times New Roman" w:hAnsi="Times New Roman" w:eastAsia="宋体" w:cs="Times New Roman"/>
          <w:color w:val="auto"/>
          <w:sz w:val="24"/>
          <w:szCs w:val="24"/>
          <w:highlight w:val="none"/>
        </w:rPr>
        <w:t>进入后续沼气利用系统。沼气预处理措施流程见图3.</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w:t>
      </w:r>
    </w:p>
    <w:p>
      <w:pPr>
        <w:widowControl w:val="0"/>
        <w:spacing w:before="120" w:beforeLines="50" w:after="120" w:afterLines="50" w:line="240" w:lineRule="auto"/>
        <w:ind w:firstLine="0" w:firstLineChars="0"/>
        <w:jc w:val="center"/>
        <w:rPr>
          <w:rFonts w:hint="default" w:ascii="Times New Roman" w:hAnsi="Times New Roman" w:cs="Times New Roman"/>
          <w:color w:val="auto"/>
          <w:sz w:val="21"/>
          <w:szCs w:val="21"/>
          <w:highlight w:val="none"/>
          <w:lang w:val="en-US" w:eastAsia="zh-CN"/>
        </w:rPr>
      </w:pPr>
      <w:r>
        <w:rPr>
          <w:rFonts w:ascii="Times New Roman" w:hAnsi="Times New Roman" w:eastAsia="宋体" w:cs="Times New Roman"/>
          <w:b/>
          <w:color w:val="auto"/>
          <w:kern w:val="2"/>
          <w:sz w:val="21"/>
          <w:szCs w:val="24"/>
          <w:highlight w:val="none"/>
          <w:lang w:val="en-US" w:eastAsia="zh-CN" w:bidi="ar-SA"/>
        </w:rPr>
        <w:drawing>
          <wp:inline distT="0" distB="0" distL="114300" distR="114300">
            <wp:extent cx="5269865" cy="1214120"/>
            <wp:effectExtent l="0" t="0" r="6985" b="5080"/>
            <wp:docPr id="12" name="图片 12" descr="H7T3II92WPJ2HX91GE`6`B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H7T3II92WPJ2HX91GE`6`BV"/>
                    <pic:cNvPicPr>
                      <a:picLocks noChangeAspect="1"/>
                    </pic:cNvPicPr>
                  </pic:nvPicPr>
                  <pic:blipFill>
                    <a:blip r:embed="rId36"/>
                    <a:stretch>
                      <a:fillRect/>
                    </a:stretch>
                  </pic:blipFill>
                  <pic:spPr>
                    <a:xfrm>
                      <a:off x="0" y="0"/>
                      <a:ext cx="5269865" cy="1214120"/>
                    </a:xfrm>
                    <a:prstGeom prst="rect">
                      <a:avLst/>
                    </a:prstGeom>
                  </pic:spPr>
                </pic:pic>
              </a:graphicData>
            </a:graphic>
          </wp:inline>
        </w:drawing>
      </w:r>
    </w:p>
    <w:p>
      <w:pPr>
        <w:pStyle w:val="2504"/>
        <w:numPr>
          <w:ilvl w:val="0"/>
          <w:numId w:val="26"/>
        </w:numPr>
        <w:spacing w:before="120" w:line="360" w:lineRule="auto"/>
        <w:ind w:left="0" w:leftChars="0" w:firstLine="403" w:firstLineChars="0"/>
        <w:rPr>
          <w:rFonts w:ascii="Times New Roman" w:hAnsi="Times New Roman" w:eastAsia="宋体" w:cs="Times New Roman"/>
          <w:b/>
          <w:color w:val="auto"/>
          <w:kern w:val="2"/>
          <w:sz w:val="21"/>
          <w:szCs w:val="24"/>
          <w:highlight w:val="none"/>
          <w:lang w:val="en-US" w:eastAsia="zh-CN" w:bidi="ar-SA"/>
        </w:rPr>
      </w:pPr>
      <w:r>
        <w:rPr>
          <w:rFonts w:hint="eastAsia" w:ascii="Times New Roman" w:hAnsi="Times New Roman" w:cs="Times New Roman"/>
          <w:color w:val="auto"/>
          <w:sz w:val="21"/>
          <w:szCs w:val="21"/>
          <w:highlight w:val="none"/>
          <w:lang w:val="en-US" w:eastAsia="zh-CN"/>
        </w:rPr>
        <w:t xml:space="preserve">   </w:t>
      </w:r>
      <w:r>
        <w:rPr>
          <w:rFonts w:ascii="Times New Roman" w:hAnsi="Times New Roman" w:eastAsia="宋体" w:cs="Times New Roman"/>
          <w:b/>
          <w:color w:val="auto"/>
          <w:kern w:val="2"/>
          <w:sz w:val="21"/>
          <w:szCs w:val="24"/>
          <w:highlight w:val="none"/>
          <w:lang w:val="en-US" w:eastAsia="zh-CN" w:bidi="ar-SA"/>
        </w:rPr>
        <w:t>沼气预处理措施流程示意图</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①</w:t>
      </w:r>
      <w:r>
        <w:rPr>
          <w:rFonts w:ascii="Times New Roman" w:hAnsi="Times New Roman" w:eastAsia="宋体" w:cs="Times New Roman"/>
          <w:color w:val="auto"/>
          <w:sz w:val="24"/>
          <w:szCs w:val="24"/>
          <w:highlight w:val="none"/>
        </w:rPr>
        <w:t>脱水器（气水分离器）</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沼气是高湿度的混合气，沼气自沼气池进入管道时，温度逐渐降低，管道中会产生大量含杂质的冷凝水。如果不从系统中除去，容易堵塞、破坏管道设备。项目沼气脱水采用过滤器，此过滤器是一种用于滤除沼气中所含的固体杂质和水分的装置，由罐体和充填于罐体内的砾石组成。罐体为圆筒形，其底部为开孔筛板，筛板下方带有圆弧形集水器，集水器底部装有放水阀，罐体内带有半隔板将罐体分隔为底部连通的左罐体和右罐体，左右罐体上分别开有沼气进出口。沼气通过过滤器时可使其中的固体颗粒被截留，部分水分冷凝于砾石表面并经集水器排出。</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②</w:t>
      </w:r>
      <w:r>
        <w:rPr>
          <w:rFonts w:ascii="Times New Roman" w:hAnsi="Times New Roman" w:eastAsia="宋体" w:cs="Times New Roman"/>
          <w:color w:val="auto"/>
          <w:sz w:val="24"/>
          <w:szCs w:val="24"/>
          <w:highlight w:val="none"/>
        </w:rPr>
        <w:t>脱硫（硫化氢的去除）</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根据沼气技术培训资料及大理州农科院《沼气的主要成分及用途》，沼气中H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S平均含量为0.034%。沼气需要进行脱硫处理，以防止对沼气输送管道的腐蚀影响。本项目脱硫剂为氧化铁，采用常温Fe</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O</w:t>
      </w:r>
      <w:r>
        <w:rPr>
          <w:rFonts w:ascii="Times New Roman" w:hAnsi="Times New Roman" w:eastAsia="宋体" w:cs="Times New Roman"/>
          <w:color w:val="auto"/>
          <w:sz w:val="24"/>
          <w:szCs w:val="24"/>
          <w:highlight w:val="none"/>
          <w:vertAlign w:val="subscript"/>
        </w:rPr>
        <w:t>3</w:t>
      </w:r>
      <w:r>
        <w:rPr>
          <w:rFonts w:ascii="Times New Roman" w:hAnsi="Times New Roman" w:eastAsia="宋体" w:cs="Times New Roman"/>
          <w:color w:val="auto"/>
          <w:sz w:val="24"/>
          <w:szCs w:val="24"/>
          <w:highlight w:val="none"/>
        </w:rPr>
        <w:t>干式脱硫法，它是将Fe</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O</w:t>
      </w:r>
      <w:r>
        <w:rPr>
          <w:rFonts w:ascii="Times New Roman" w:hAnsi="Times New Roman" w:eastAsia="宋体" w:cs="Times New Roman"/>
          <w:color w:val="auto"/>
          <w:sz w:val="24"/>
          <w:szCs w:val="24"/>
          <w:highlight w:val="none"/>
          <w:vertAlign w:val="subscript"/>
        </w:rPr>
        <w:t>3</w:t>
      </w:r>
      <w:r>
        <w:rPr>
          <w:rFonts w:ascii="Times New Roman" w:hAnsi="Times New Roman" w:eastAsia="宋体" w:cs="Times New Roman"/>
          <w:color w:val="auto"/>
          <w:sz w:val="24"/>
          <w:szCs w:val="24"/>
          <w:highlight w:val="none"/>
        </w:rPr>
        <w:t>屑（或粉）和木屑混合制成脱硫剂，以湿态（含水40%左右）填充于脱硫装置内。Fe</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O</w:t>
      </w:r>
      <w:r>
        <w:rPr>
          <w:rFonts w:ascii="Times New Roman" w:hAnsi="Times New Roman" w:eastAsia="宋体" w:cs="Times New Roman"/>
          <w:color w:val="auto"/>
          <w:sz w:val="24"/>
          <w:szCs w:val="24"/>
          <w:highlight w:val="none"/>
          <w:vertAlign w:val="subscript"/>
        </w:rPr>
        <w:t>3</w:t>
      </w:r>
      <w:r>
        <w:rPr>
          <w:rFonts w:ascii="Times New Roman" w:hAnsi="Times New Roman" w:eastAsia="宋体" w:cs="Times New Roman"/>
          <w:color w:val="auto"/>
          <w:sz w:val="24"/>
          <w:szCs w:val="24"/>
          <w:highlight w:val="none"/>
        </w:rPr>
        <w:t>脱硫剂为条状多孔结构固体，对H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S能进行快速的不可逆化学吸附，数秒内可将H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S脱除到1×10</w:t>
      </w:r>
      <w:r>
        <w:rPr>
          <w:rFonts w:ascii="Times New Roman" w:hAnsi="Times New Roman" w:eastAsia="宋体" w:cs="Times New Roman"/>
          <w:color w:val="auto"/>
          <w:sz w:val="24"/>
          <w:szCs w:val="24"/>
          <w:highlight w:val="none"/>
          <w:vertAlign w:val="superscript"/>
        </w:rPr>
        <w:t>-6</w:t>
      </w:r>
      <w:r>
        <w:rPr>
          <w:rFonts w:ascii="Times New Roman" w:hAnsi="Times New Roman" w:eastAsia="宋体" w:cs="Times New Roman"/>
          <w:color w:val="auto"/>
          <w:sz w:val="24"/>
          <w:szCs w:val="24"/>
          <w:highlight w:val="none"/>
        </w:rPr>
        <w:t>以下。当沼气通过时，经如下反应，达到脱硫目的：</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脱硫：Fe</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O</w:t>
      </w:r>
      <w:r>
        <w:rPr>
          <w:rFonts w:ascii="Times New Roman" w:hAnsi="Times New Roman" w:eastAsia="宋体" w:cs="Times New Roman"/>
          <w:color w:val="auto"/>
          <w:sz w:val="24"/>
          <w:szCs w:val="24"/>
          <w:highlight w:val="none"/>
          <w:vertAlign w:val="subscript"/>
        </w:rPr>
        <w:t>3</w:t>
      </w: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O+3H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 =Fe</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w:t>
      </w:r>
      <w:r>
        <w:rPr>
          <w:rFonts w:ascii="Times New Roman" w:hAnsi="Times New Roman" w:eastAsia="宋体" w:cs="Times New Roman"/>
          <w:color w:val="auto"/>
          <w:sz w:val="24"/>
          <w:szCs w:val="24"/>
          <w:highlight w:val="none"/>
          <w:vertAlign w:val="subscript"/>
        </w:rPr>
        <w:t>3</w:t>
      </w:r>
      <w:r>
        <w:rPr>
          <w:rFonts w:ascii="Times New Roman" w:hAnsi="Times New Roman" w:eastAsia="宋体" w:cs="Times New Roman"/>
          <w:color w:val="auto"/>
          <w:sz w:val="24"/>
          <w:szCs w:val="24"/>
          <w:highlight w:val="none"/>
        </w:rPr>
        <w:t>+4H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O +63KJ/mol</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再生：Fe</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w:t>
      </w:r>
      <w:r>
        <w:rPr>
          <w:rFonts w:ascii="Times New Roman" w:hAnsi="Times New Roman" w:eastAsia="宋体" w:cs="Times New Roman"/>
          <w:color w:val="auto"/>
          <w:sz w:val="24"/>
          <w:szCs w:val="24"/>
          <w:highlight w:val="none"/>
          <w:vertAlign w:val="subscript"/>
        </w:rPr>
        <w:t>3</w:t>
      </w:r>
      <w:r>
        <w:rPr>
          <w:rFonts w:ascii="Times New Roman" w:hAnsi="Times New Roman" w:eastAsia="宋体" w:cs="Times New Roman"/>
          <w:color w:val="auto"/>
          <w:sz w:val="24"/>
          <w:szCs w:val="24"/>
          <w:highlight w:val="none"/>
        </w:rPr>
        <w:t>+3/2O</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+3H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O=Fe</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O</w:t>
      </w:r>
      <w:r>
        <w:rPr>
          <w:rFonts w:ascii="Times New Roman" w:hAnsi="Times New Roman" w:eastAsia="宋体" w:cs="Times New Roman"/>
          <w:color w:val="auto"/>
          <w:sz w:val="24"/>
          <w:szCs w:val="24"/>
          <w:highlight w:val="none"/>
          <w:vertAlign w:val="subscript"/>
        </w:rPr>
        <w:t>3</w:t>
      </w: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O+2H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 xml:space="preserve">O+3S+103KJ/mol </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脱硫剂工作一定时间后，其活性会逐渐下降，脱硫效果逐渐变差，就需要对脱硫剂进行处理。当气体中O</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分子数与H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S分子数之比大于2.5时，脱硫、再生反应可实现连续再生，氧化铁实际上相当于催化剂。常温下氧化铁脱硫剂的累积硫容量可达 30%～40%以上，当脱硫剂中硫未达到30%时，脱硫剂可进行再生；若脱硫剂硫容超过30%时，就要更新脱硫剂。</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类比同规模养殖场经采用专用沼气脱硫剂脱硫后，硫去除率可达到85%以上，经核算沼气净化后H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S含量不高于20mg/m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，符合《规模化畜禽养殖场沼气工程设计规范》（NY/T1222-2006）中规定的标准要求。</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经脱硫处理后的沼气不会对管道等产生大的腐蚀影响，即其因腐蚀导致沼气泄露的可能性很小。</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（3）沼气燃烧废气</w:t>
      </w:r>
    </w:p>
    <w:p>
      <w:pPr>
        <w:wordWrap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通过食堂炉灶燃烧沼气时，净化后的沼气中仅含有极少量H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S≤20mg/m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，评价按20mg/m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的不利情况计）及其它杂质。根据《环境保护实用数据手册》中各种燃料燃烧时产生污染物系数和本项目沼气的含硫量知：沼气燃烧时会产生SO</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与NOx，每1m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沼气燃烧SO</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产生量为0.0376g；沼气燃烧时NOx产生量为6.3kg/万m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沼气。</w:t>
      </w:r>
      <w:r>
        <w:rPr>
          <w:rFonts w:hint="eastAsia" w:ascii="Times New Roman" w:hAnsi="Times New Roman" w:eastAsia="宋体" w:cs="Times New Roman"/>
          <w:color w:val="auto"/>
          <w:sz w:val="24"/>
          <w:szCs w:val="24"/>
          <w:highlight w:val="none"/>
          <w:lang w:eastAsia="zh-CN"/>
        </w:rPr>
        <w:t>本项目可用于食堂炉灶燃烧的沼气量约为总产生量的</w:t>
      </w:r>
      <w:r>
        <w:rPr>
          <w:rFonts w:hint="eastAsia" w:ascii="Times New Roman" w:hAnsi="Times New Roman" w:eastAsia="宋体" w:cs="Times New Roman"/>
          <w:color w:val="auto"/>
          <w:sz w:val="24"/>
          <w:szCs w:val="24"/>
          <w:highlight w:val="none"/>
          <w:lang w:val="en-US" w:eastAsia="zh-CN"/>
        </w:rPr>
        <w:t>20%，即4212.6</w:t>
      </w:r>
      <w:r>
        <w:rPr>
          <w:rFonts w:ascii="Times New Roman" w:hAnsi="Times New Roman" w:eastAsia="宋体" w:cs="Times New Roman"/>
          <w:color w:val="auto"/>
          <w:kern w:val="0"/>
          <w:sz w:val="24"/>
          <w:szCs w:val="24"/>
          <w:highlight w:val="none"/>
          <w:lang w:val="en-US" w:eastAsia="zh-CN" w:bidi="ar-SA"/>
        </w:rPr>
        <w:t>m</w:t>
      </w:r>
      <w:r>
        <w:rPr>
          <w:rFonts w:ascii="Times New Roman" w:hAnsi="Times New Roman" w:eastAsia="宋体" w:cs="Times New Roman"/>
          <w:color w:val="auto"/>
          <w:kern w:val="0"/>
          <w:sz w:val="24"/>
          <w:szCs w:val="24"/>
          <w:highlight w:val="none"/>
          <w:vertAlign w:val="superscript"/>
          <w:lang w:val="en-US" w:eastAsia="zh-CN" w:bidi="ar-SA"/>
        </w:rPr>
        <w:t>3</w:t>
      </w:r>
      <w:r>
        <w:rPr>
          <w:rFonts w:ascii="Times New Roman" w:hAnsi="Times New Roman" w:eastAsia="宋体" w:cs="Times New Roman"/>
          <w:color w:val="auto"/>
          <w:kern w:val="0"/>
          <w:sz w:val="24"/>
          <w:szCs w:val="24"/>
          <w:highlight w:val="none"/>
          <w:lang w:val="en-US" w:eastAsia="zh-CN" w:bidi="ar-SA"/>
        </w:rPr>
        <w:t>/a</w:t>
      </w:r>
      <w:r>
        <w:rPr>
          <w:rFonts w:hint="eastAsia" w:ascii="Times New Roman" w:hAnsi="Times New Roman" w:eastAsia="宋体" w:cs="Times New Roman"/>
          <w:color w:val="auto"/>
          <w:kern w:val="0"/>
          <w:sz w:val="24"/>
          <w:szCs w:val="24"/>
          <w:highlight w:val="none"/>
          <w:lang w:val="en-US" w:eastAsia="zh-CN" w:bidi="ar-SA"/>
        </w:rPr>
        <w:t>。</w:t>
      </w:r>
    </w:p>
    <w:p>
      <w:pPr>
        <w:pStyle w:val="2504"/>
        <w:numPr>
          <w:ilvl w:val="0"/>
          <w:numId w:val="25"/>
        </w:numPr>
        <w:spacing w:before="120"/>
        <w:ind w:left="0" w:leftChars="0" w:firstLine="403" w:firstLineChars="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沼气燃烧废气污染物一览表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565"/>
        <w:gridCol w:w="1116"/>
        <w:gridCol w:w="920"/>
        <w:gridCol w:w="1555"/>
        <w:gridCol w:w="1427"/>
        <w:gridCol w:w="1427"/>
        <w:gridCol w:w="129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c>
          <w:tcPr>
            <w:tcW w:w="340"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序号</w:t>
            </w:r>
          </w:p>
        </w:tc>
        <w:tc>
          <w:tcPr>
            <w:tcW w:w="672"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沼气量</w:t>
            </w:r>
          </w:p>
        </w:tc>
        <w:tc>
          <w:tcPr>
            <w:tcW w:w="1490" w:type="pct"/>
            <w:gridSpan w:val="2"/>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产污系数</w:t>
            </w:r>
          </w:p>
        </w:tc>
        <w:tc>
          <w:tcPr>
            <w:tcW w:w="859"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污染物产生量（t/a）</w:t>
            </w:r>
          </w:p>
        </w:tc>
        <w:tc>
          <w:tcPr>
            <w:tcW w:w="859"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1"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污染物排放量（t/a）</w:t>
            </w:r>
          </w:p>
        </w:tc>
        <w:tc>
          <w:tcPr>
            <w:tcW w:w="778"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排放标准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c>
          <w:tcPr>
            <w:tcW w:w="340"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w w:val="99"/>
                <w:kern w:val="0"/>
                <w:sz w:val="21"/>
                <w:szCs w:val="21"/>
                <w:highlight w:val="none"/>
                <w:lang w:val="en-US" w:eastAsia="zh-CN" w:bidi="ar-SA"/>
              </w:rPr>
              <w:t>1</w:t>
            </w:r>
          </w:p>
        </w:tc>
        <w:tc>
          <w:tcPr>
            <w:tcW w:w="672" w:type="pct"/>
            <w:vMerge w:val="restar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4212.6</w:t>
            </w:r>
            <w:r>
              <w:rPr>
                <w:rFonts w:hint="default" w:ascii="Times New Roman" w:hAnsi="Times New Roman" w:eastAsia="宋体" w:cs="Times New Roman"/>
                <w:color w:val="auto"/>
                <w:kern w:val="0"/>
                <w:sz w:val="21"/>
                <w:szCs w:val="21"/>
                <w:highlight w:val="none"/>
                <w:lang w:val="en-US" w:eastAsia="zh-CN" w:bidi="ar-SA"/>
              </w:rPr>
              <w:t>m</w:t>
            </w:r>
            <w:r>
              <w:rPr>
                <w:rFonts w:hint="default" w:ascii="Times New Roman" w:hAnsi="Times New Roman" w:eastAsia="宋体" w:cs="Times New Roman"/>
                <w:color w:val="auto"/>
                <w:kern w:val="0"/>
                <w:sz w:val="21"/>
                <w:szCs w:val="21"/>
                <w:highlight w:val="none"/>
                <w:vertAlign w:val="superscript"/>
                <w:lang w:val="en-US" w:eastAsia="zh-CN" w:bidi="ar-SA"/>
              </w:rPr>
              <w:t>3</w:t>
            </w:r>
            <w:r>
              <w:rPr>
                <w:rFonts w:hint="default" w:ascii="Times New Roman" w:hAnsi="Times New Roman" w:eastAsia="宋体" w:cs="Times New Roman"/>
                <w:color w:val="auto"/>
                <w:kern w:val="0"/>
                <w:sz w:val="21"/>
                <w:szCs w:val="21"/>
                <w:highlight w:val="none"/>
                <w:lang w:val="en-US" w:eastAsia="zh-CN" w:bidi="ar-SA"/>
              </w:rPr>
              <w:t>/a</w:t>
            </w:r>
          </w:p>
        </w:tc>
        <w:tc>
          <w:tcPr>
            <w:tcW w:w="554"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SO</w:t>
            </w:r>
            <w:r>
              <w:rPr>
                <w:rFonts w:hint="default" w:ascii="Times New Roman" w:hAnsi="Times New Roman" w:eastAsia="宋体" w:cs="Times New Roman"/>
                <w:color w:val="auto"/>
                <w:kern w:val="0"/>
                <w:sz w:val="21"/>
                <w:szCs w:val="21"/>
                <w:highlight w:val="none"/>
                <w:vertAlign w:val="subscript"/>
                <w:lang w:val="en-US" w:eastAsia="zh-CN" w:bidi="ar-SA"/>
              </w:rPr>
              <w:t>2</w:t>
            </w:r>
          </w:p>
        </w:tc>
        <w:tc>
          <w:tcPr>
            <w:tcW w:w="935"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1"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0.0376g/m</w:t>
            </w:r>
            <w:r>
              <w:rPr>
                <w:rFonts w:hint="default" w:ascii="Times New Roman" w:hAnsi="Times New Roman" w:eastAsia="宋体" w:cs="Times New Roman"/>
                <w:color w:val="auto"/>
                <w:kern w:val="0"/>
                <w:sz w:val="21"/>
                <w:szCs w:val="21"/>
                <w:highlight w:val="none"/>
                <w:vertAlign w:val="superscript"/>
                <w:lang w:val="en-US" w:eastAsia="zh-CN" w:bidi="ar-SA"/>
              </w:rPr>
              <w:t>3</w:t>
            </w:r>
            <w:r>
              <w:rPr>
                <w:rFonts w:hint="default" w:ascii="Times New Roman" w:hAnsi="Times New Roman" w:eastAsia="宋体" w:cs="Times New Roman"/>
                <w:color w:val="auto"/>
                <w:kern w:val="0"/>
                <w:sz w:val="21"/>
                <w:szCs w:val="21"/>
                <w:highlight w:val="none"/>
                <w:lang w:val="en-US" w:eastAsia="zh-CN" w:bidi="ar-SA"/>
              </w:rPr>
              <w:t>沼气</w:t>
            </w:r>
          </w:p>
        </w:tc>
        <w:tc>
          <w:tcPr>
            <w:tcW w:w="142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1.58</w:t>
            </w:r>
            <w:r>
              <w:rPr>
                <w:rFonts w:hint="default" w:ascii="Arial" w:hAnsi="Arial" w:eastAsia="宋体" w:cs="Arial"/>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-4</w:t>
            </w:r>
          </w:p>
        </w:tc>
        <w:tc>
          <w:tcPr>
            <w:tcW w:w="142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1.58</w:t>
            </w:r>
            <w:r>
              <w:rPr>
                <w:rFonts w:hint="default" w:ascii="Arial" w:hAnsi="Arial" w:eastAsia="宋体" w:cs="Arial"/>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-4</w:t>
            </w:r>
          </w:p>
        </w:tc>
        <w:tc>
          <w:tcPr>
            <w:tcW w:w="778"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550mg/m</w:t>
            </w:r>
            <w:r>
              <w:rPr>
                <w:rFonts w:hint="default" w:ascii="Times New Roman" w:hAnsi="Times New Roman" w:eastAsia="宋体" w:cs="Times New Roman"/>
                <w:color w:val="auto"/>
                <w:kern w:val="0"/>
                <w:sz w:val="21"/>
                <w:szCs w:val="21"/>
                <w:highlight w:val="none"/>
                <w:vertAlign w:val="superscript"/>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c>
          <w:tcPr>
            <w:tcW w:w="340"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w w:val="99"/>
                <w:kern w:val="0"/>
                <w:sz w:val="21"/>
                <w:szCs w:val="21"/>
                <w:highlight w:val="none"/>
                <w:lang w:val="en-US" w:eastAsia="zh-CN" w:bidi="ar-SA"/>
              </w:rPr>
              <w:t>2</w:t>
            </w:r>
          </w:p>
        </w:tc>
        <w:tc>
          <w:tcPr>
            <w:tcW w:w="672" w:type="pct"/>
            <w:vMerge w:val="continue"/>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9"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554"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NO</w:t>
            </w:r>
            <w:r>
              <w:rPr>
                <w:rFonts w:hint="default" w:ascii="Times New Roman" w:hAnsi="Times New Roman" w:eastAsia="宋体" w:cs="Times New Roman"/>
                <w:color w:val="auto"/>
                <w:kern w:val="0"/>
                <w:sz w:val="21"/>
                <w:szCs w:val="21"/>
                <w:highlight w:val="none"/>
                <w:lang w:val="en-US" w:eastAsia="zh-CN" w:bidi="ar-SA"/>
              </w:rPr>
              <w:t>x</w:t>
            </w:r>
          </w:p>
        </w:tc>
        <w:tc>
          <w:tcPr>
            <w:tcW w:w="935"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1"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6.3kg/万</w:t>
            </w:r>
            <w:r>
              <w:rPr>
                <w:rFonts w:hint="default" w:ascii="Times New Roman" w:hAnsi="Times New Roman" w:eastAsia="宋体" w:cs="Times New Roman"/>
                <w:color w:val="auto"/>
                <w:spacing w:val="-52"/>
                <w:kern w:val="0"/>
                <w:sz w:val="21"/>
                <w:szCs w:val="21"/>
                <w:highlight w:val="none"/>
                <w:lang w:val="en-US" w:eastAsia="zh-CN" w:bidi="ar-SA"/>
              </w:rPr>
              <w:t xml:space="preserve"> </w:t>
            </w:r>
            <w:r>
              <w:rPr>
                <w:rFonts w:hint="default" w:ascii="Times New Roman" w:hAnsi="Times New Roman" w:eastAsia="宋体" w:cs="Times New Roman"/>
                <w:color w:val="auto"/>
                <w:kern w:val="0"/>
                <w:sz w:val="21"/>
                <w:szCs w:val="21"/>
                <w:highlight w:val="none"/>
                <w:lang w:val="en-US" w:eastAsia="zh-CN" w:bidi="ar-SA"/>
              </w:rPr>
              <w:t>m</w:t>
            </w:r>
            <w:r>
              <w:rPr>
                <w:rFonts w:hint="default" w:ascii="Times New Roman" w:hAnsi="Times New Roman" w:eastAsia="宋体" w:cs="Times New Roman"/>
                <w:color w:val="auto"/>
                <w:kern w:val="0"/>
                <w:sz w:val="21"/>
                <w:szCs w:val="21"/>
                <w:highlight w:val="none"/>
                <w:vertAlign w:val="superscript"/>
                <w:lang w:val="en-US" w:eastAsia="zh-CN" w:bidi="ar-SA"/>
              </w:rPr>
              <w:t>3</w:t>
            </w:r>
            <w:r>
              <w:rPr>
                <w:rFonts w:hint="default" w:ascii="Times New Roman" w:hAnsi="Times New Roman" w:eastAsia="宋体" w:cs="Times New Roman"/>
                <w:color w:val="auto"/>
                <w:kern w:val="0"/>
                <w:sz w:val="21"/>
                <w:szCs w:val="21"/>
                <w:highlight w:val="none"/>
                <w:lang w:val="en-US" w:eastAsia="zh-CN" w:bidi="ar-SA"/>
              </w:rPr>
              <w:t>沼气</w:t>
            </w:r>
          </w:p>
        </w:tc>
        <w:tc>
          <w:tcPr>
            <w:tcW w:w="142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2.65</w:t>
            </w:r>
            <w:r>
              <w:rPr>
                <w:rFonts w:hint="default" w:ascii="Arial" w:hAnsi="Arial" w:eastAsia="宋体" w:cs="Arial"/>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142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2.65</w:t>
            </w:r>
            <w:r>
              <w:rPr>
                <w:rFonts w:hint="default" w:ascii="Arial" w:hAnsi="Arial" w:eastAsia="宋体" w:cs="Arial"/>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778" w:type="pct"/>
            <w:tcBorders>
              <w:tl2br w:val="nil"/>
              <w:tr2bl w:val="nil"/>
            </w:tcBorders>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240mg/m</w:t>
            </w:r>
            <w:r>
              <w:rPr>
                <w:rFonts w:hint="default" w:ascii="Times New Roman" w:hAnsi="Times New Roman" w:eastAsia="宋体" w:cs="Times New Roman"/>
                <w:color w:val="auto"/>
                <w:kern w:val="0"/>
                <w:sz w:val="21"/>
                <w:szCs w:val="21"/>
                <w:highlight w:val="none"/>
                <w:vertAlign w:val="superscript"/>
                <w:lang w:val="en-US" w:eastAsia="zh-CN" w:bidi="ar-SA"/>
              </w:rPr>
              <w:t>3</w:t>
            </w:r>
          </w:p>
        </w:tc>
      </w:tr>
    </w:tbl>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为落实《畜禽养殖业污染防治技术政策》（环发【2010】151号），实现沼气的资源化利用，本环评要求：</w:t>
      </w:r>
      <w:r>
        <w:rPr>
          <w:rFonts w:ascii="Times New Roman" w:hAnsi="Times New Roman" w:eastAsia="宋体" w:cs="Times New Roman"/>
          <w:b/>
          <w:color w:val="auto"/>
          <w:sz w:val="24"/>
          <w:szCs w:val="24"/>
          <w:highlight w:val="none"/>
          <w:u w:val="single"/>
        </w:rPr>
        <w:t>建设单位应将沼气进行收集净化处理后用于项目内养殖场内的生活燃气</w:t>
      </w:r>
      <w:r>
        <w:rPr>
          <w:rFonts w:hint="eastAsia" w:ascii="Times New Roman" w:hAnsi="Times New Roman" w:eastAsia="宋体" w:cs="Times New Roman"/>
          <w:b/>
          <w:color w:val="auto"/>
          <w:sz w:val="24"/>
          <w:szCs w:val="24"/>
          <w:highlight w:val="none"/>
          <w:u w:val="single"/>
          <w:lang w:eastAsia="zh-CN"/>
        </w:rPr>
        <w:t>或沼气发电</w:t>
      </w:r>
      <w:r>
        <w:rPr>
          <w:rFonts w:ascii="Times New Roman" w:hAnsi="Times New Roman" w:eastAsia="宋体" w:cs="Times New Roman"/>
          <w:b/>
          <w:color w:val="auto"/>
          <w:sz w:val="24"/>
          <w:szCs w:val="24"/>
          <w:highlight w:val="none"/>
          <w:u w:val="single"/>
        </w:rPr>
        <w:t>等，其设计由建设单位委托专业单位进行，购置相应设备，必须实现沼气完全燃烧，不可直接向大气环境排放。</w:t>
      </w:r>
    </w:p>
    <w:p>
      <w:pPr>
        <w:spacing w:line="360" w:lineRule="auto"/>
        <w:ind w:firstLine="482" w:firstLineChars="200"/>
        <w:rPr>
          <w:rFonts w:ascii="Times New Roman" w:hAnsi="Times New Roman" w:eastAsia="宋体" w:cs="Times New Roman"/>
          <w:color w:val="auto"/>
          <w:sz w:val="24"/>
          <w:szCs w:val="24"/>
          <w:highlight w:val="none"/>
        </w:rPr>
      </w:pPr>
      <w:r>
        <w:rPr>
          <w:rFonts w:ascii="Times New Roman" w:hAnsi="Times New Roman" w:eastAsia="宋体" w:cs="Times New Roman"/>
          <w:b/>
          <w:color w:val="auto"/>
          <w:sz w:val="24"/>
          <w:szCs w:val="24"/>
          <w:highlight w:val="none"/>
        </w:rPr>
        <w:t>3、食堂油烟</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设有职工食堂，食堂采用本项目污水处理过程中产生的经净化后的清洁能源沼气作为，经净化的沼气属于清洁能源，燃烧对周围环境空气质量影响小，因此本项目运营过程中食堂产生的废气主要为食堂油烟。油烟指烹调油烟，由水蒸汽和油珠组成，它是食用油加热到250℃以上，油脂发生氧化、水解、聚合、裂解等反应，随沸腾的油挥发出来的烹调烟气。</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厨房油烟废气主要成分为动植物油烟，根据对餐饮企业的类比调查，目前居民人均食用油量为30g/人·d，根据不同的烧炸工况，油的挥发量不同，按日进行烧炸工况6小时计，油的平均挥发量为总耗油量的3%。本项目食堂内拟设有2个灶头，就餐人次按</w:t>
      </w:r>
      <w:r>
        <w:rPr>
          <w:rFonts w:hint="eastAsia" w:ascii="Times New Roman" w:hAnsi="Times New Roman" w:eastAsia="宋体" w:cs="Times New Roman"/>
          <w:color w:val="auto"/>
          <w:sz w:val="24"/>
          <w:szCs w:val="24"/>
          <w:highlight w:val="none"/>
          <w:lang w:val="en-US" w:eastAsia="zh-CN"/>
        </w:rPr>
        <w:t>80</w:t>
      </w:r>
      <w:r>
        <w:rPr>
          <w:rFonts w:ascii="Times New Roman" w:hAnsi="Times New Roman" w:eastAsia="宋体" w:cs="Times New Roman"/>
          <w:color w:val="auto"/>
          <w:sz w:val="24"/>
          <w:szCs w:val="24"/>
          <w:highlight w:val="none"/>
        </w:rPr>
        <w:t>人计，项目年耗食用油量</w:t>
      </w:r>
      <w:r>
        <w:rPr>
          <w:rFonts w:hint="eastAsia" w:ascii="Times New Roman" w:hAnsi="Times New Roman" w:eastAsia="宋体" w:cs="Times New Roman"/>
          <w:color w:val="auto"/>
          <w:sz w:val="24"/>
          <w:szCs w:val="24"/>
          <w:highlight w:val="none"/>
          <w:lang w:val="en-US" w:eastAsia="zh-CN"/>
        </w:rPr>
        <w:t>0.876</w:t>
      </w:r>
      <w:r>
        <w:rPr>
          <w:rFonts w:ascii="Times New Roman" w:hAnsi="Times New Roman" w:eastAsia="宋体" w:cs="Times New Roman"/>
          <w:color w:val="auto"/>
          <w:sz w:val="24"/>
          <w:szCs w:val="24"/>
          <w:highlight w:val="none"/>
        </w:rPr>
        <w:t>t/a。则油烟产生量为</w:t>
      </w:r>
      <w:r>
        <w:rPr>
          <w:rFonts w:hint="eastAsia" w:ascii="Times New Roman" w:hAnsi="Times New Roman" w:eastAsia="宋体" w:cs="Times New Roman"/>
          <w:color w:val="auto"/>
          <w:sz w:val="24"/>
          <w:szCs w:val="24"/>
          <w:highlight w:val="none"/>
          <w:lang w:val="en-US" w:eastAsia="zh-CN"/>
        </w:rPr>
        <w:t>26.28</w:t>
      </w:r>
      <w:r>
        <w:rPr>
          <w:rFonts w:ascii="Times New Roman" w:hAnsi="Times New Roman" w:eastAsia="宋体" w:cs="Times New Roman"/>
          <w:color w:val="auto"/>
          <w:sz w:val="24"/>
          <w:szCs w:val="24"/>
          <w:highlight w:val="none"/>
        </w:rPr>
        <w:t>kg/a（</w:t>
      </w:r>
      <w:r>
        <w:rPr>
          <w:rFonts w:hint="eastAsia" w:ascii="Times New Roman" w:hAnsi="Times New Roman" w:eastAsia="宋体" w:cs="Times New Roman"/>
          <w:color w:val="auto"/>
          <w:sz w:val="24"/>
          <w:szCs w:val="24"/>
          <w:highlight w:val="none"/>
          <w:lang w:val="en-US" w:eastAsia="zh-CN"/>
        </w:rPr>
        <w:t>0.072</w:t>
      </w:r>
      <w:r>
        <w:rPr>
          <w:rFonts w:ascii="Times New Roman" w:hAnsi="Times New Roman" w:eastAsia="宋体" w:cs="Times New Roman"/>
          <w:color w:val="auto"/>
          <w:sz w:val="24"/>
          <w:szCs w:val="24"/>
          <w:highlight w:val="none"/>
        </w:rPr>
        <w:t>kg/d，0.0</w:t>
      </w:r>
      <w:r>
        <w:rPr>
          <w:rFonts w:hint="eastAsia" w:ascii="Times New Roman" w:hAnsi="Times New Roman" w:eastAsia="宋体" w:cs="Times New Roman"/>
          <w:color w:val="auto"/>
          <w:sz w:val="24"/>
          <w:szCs w:val="24"/>
          <w:highlight w:val="none"/>
          <w:lang w:val="en-US" w:eastAsia="zh-CN"/>
        </w:rPr>
        <w:t>03</w:t>
      </w:r>
      <w:r>
        <w:rPr>
          <w:rFonts w:ascii="Times New Roman" w:hAnsi="Times New Roman" w:eastAsia="宋体" w:cs="Times New Roman"/>
          <w:color w:val="auto"/>
          <w:sz w:val="24"/>
          <w:szCs w:val="24"/>
          <w:highlight w:val="none"/>
        </w:rPr>
        <w:t>kg/h）。</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防治措施：根据国家《饮食行业油烟排放标准（试行）》（GB18483-2001）标准的要求，本次评价要求在食堂安装油烟净化器处理，烟气净化设施（去除率大于75%，风机风量约5000m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/h），并由专用内置强制排烟道至食堂楼顶排放，则食堂油烟污染物排放量为</w:t>
      </w:r>
      <w:r>
        <w:rPr>
          <w:rFonts w:hint="eastAsia" w:ascii="Times New Roman" w:hAnsi="Times New Roman" w:eastAsia="宋体" w:cs="Times New Roman"/>
          <w:color w:val="auto"/>
          <w:sz w:val="24"/>
          <w:szCs w:val="24"/>
          <w:highlight w:val="none"/>
          <w:lang w:val="en-US" w:eastAsia="zh-CN"/>
        </w:rPr>
        <w:t>6.57</w:t>
      </w:r>
      <w:r>
        <w:rPr>
          <w:rFonts w:ascii="Times New Roman" w:hAnsi="Times New Roman" w:eastAsia="宋体" w:cs="Times New Roman"/>
          <w:color w:val="auto"/>
          <w:sz w:val="24"/>
          <w:szCs w:val="24"/>
          <w:highlight w:val="none"/>
        </w:rPr>
        <w:t>kg/a（</w:t>
      </w:r>
      <w:r>
        <w:rPr>
          <w:rFonts w:hint="eastAsia" w:ascii="Times New Roman" w:hAnsi="Times New Roman" w:eastAsia="宋体" w:cs="Times New Roman"/>
          <w:color w:val="auto"/>
          <w:sz w:val="24"/>
          <w:szCs w:val="24"/>
          <w:highlight w:val="none"/>
          <w:lang w:val="en-US" w:eastAsia="zh-CN"/>
        </w:rPr>
        <w:t>0.018</w:t>
      </w:r>
      <w:r>
        <w:rPr>
          <w:rFonts w:ascii="Times New Roman" w:hAnsi="Times New Roman" w:eastAsia="宋体" w:cs="Times New Roman"/>
          <w:color w:val="auto"/>
          <w:sz w:val="24"/>
          <w:szCs w:val="24"/>
          <w:highlight w:val="none"/>
        </w:rPr>
        <w:t>kg/d，0.00</w:t>
      </w:r>
      <w:r>
        <w:rPr>
          <w:rFonts w:hint="eastAsia" w:ascii="Times New Roman" w:hAnsi="Times New Roman" w:eastAsia="宋体" w:cs="Times New Roman"/>
          <w:color w:val="auto"/>
          <w:sz w:val="24"/>
          <w:szCs w:val="24"/>
          <w:highlight w:val="none"/>
          <w:lang w:val="en-US" w:eastAsia="zh-CN"/>
        </w:rPr>
        <w:t>075</w:t>
      </w:r>
      <w:r>
        <w:rPr>
          <w:rFonts w:ascii="Times New Roman" w:hAnsi="Times New Roman" w:eastAsia="宋体" w:cs="Times New Roman"/>
          <w:color w:val="auto"/>
          <w:sz w:val="24"/>
          <w:szCs w:val="24"/>
          <w:highlight w:val="none"/>
        </w:rPr>
        <w:t>kg/h），排放浓度约为0.</w:t>
      </w:r>
      <w:r>
        <w:rPr>
          <w:rFonts w:hint="eastAsia" w:ascii="Times New Roman" w:hAnsi="Times New Roman" w:eastAsia="宋体" w:cs="Times New Roman"/>
          <w:color w:val="auto"/>
          <w:sz w:val="24"/>
          <w:szCs w:val="24"/>
          <w:highlight w:val="none"/>
          <w:lang w:val="en-US" w:eastAsia="zh-CN"/>
        </w:rPr>
        <w:t>15</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。能够满足《饮食业油烟排放标准（试行）》（GB18483-2001）的排放标准油烟最高允许排放浓度（≤2.0mg/m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）要求，对区域环境影响很小。</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4、柴油发电机废气</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本项目配备1台</w:t>
      </w:r>
      <w:r>
        <w:rPr>
          <w:rFonts w:hint="eastAsia" w:ascii="Times New Roman" w:hAnsi="Times New Roman" w:eastAsia="宋体" w:cs="Times New Roman"/>
          <w:b w:val="0"/>
          <w:bCs w:val="0"/>
          <w:color w:val="auto"/>
          <w:kern w:val="2"/>
          <w:sz w:val="24"/>
          <w:szCs w:val="24"/>
          <w:highlight w:val="none"/>
          <w:lang w:val="en-US" w:eastAsia="zh-CN" w:bidi="ar-SA"/>
        </w:rPr>
        <w:t>800</w:t>
      </w:r>
      <w:r>
        <w:rPr>
          <w:rFonts w:hint="default" w:ascii="Times New Roman" w:hAnsi="Times New Roman" w:eastAsia="宋体" w:cs="Times New Roman"/>
          <w:b w:val="0"/>
          <w:bCs w:val="0"/>
          <w:color w:val="auto"/>
          <w:kern w:val="2"/>
          <w:sz w:val="24"/>
          <w:szCs w:val="24"/>
          <w:highlight w:val="none"/>
          <w:lang w:val="en-US" w:eastAsia="zh-CN" w:bidi="ar-SA"/>
        </w:rPr>
        <w:t>kW的备用柴油发电机作为厂区的应急电源，当出现突发性停电，可自行发电供给养殖场使用。柴油发电机在使用过程中会产生废气，其主要成分为CO、HC、NOx。发电机房采用机械送、排风的形式，发电机房内保持着良好的通风性，柴油发电机产生的废气先由自身携带的废气净化装置处理，处理后经抽排风系统抽至排风口处排放。由于柴油发电机产生的废气量很小，采用上述措施后完全能够做到达标排放。</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备用发电机只有在停电时使用，备用发电机使用的频率很小，废气的排放间断性强，加上废气通过自由扩散后，浓度很小，对周围环境影响很小。同时，环评建议项目使用0#号柴油，0#柴油属于清洁能源，其燃烧产生的废气污染物较少，可进一步降低对外环境的不良影响。</w:t>
      </w:r>
    </w:p>
    <w:p>
      <w:pPr>
        <w:pStyle w:val="2"/>
        <w:keepNext w:val="0"/>
        <w:keepLines w:val="0"/>
        <w:pageBreakBefore w:val="0"/>
        <w:widowControl w:val="0"/>
        <w:numPr>
          <w:ilvl w:val="0"/>
          <w:numId w:val="30"/>
        </w:numPr>
        <w:kinsoku/>
        <w:wordWrap/>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废气产生及排放情况汇总</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综上所述，项目产生的沼气经沼气经净化系统处理后主要用于食堂燃烧</w:t>
      </w:r>
      <w:r>
        <w:rPr>
          <w:rFonts w:hint="eastAsia" w:ascii="Times New Roman" w:hAnsi="Times New Roman" w:eastAsia="宋体" w:cs="Times New Roman"/>
          <w:color w:val="auto"/>
          <w:sz w:val="24"/>
          <w:szCs w:val="24"/>
          <w:highlight w:val="none"/>
          <w:lang w:eastAsia="zh-CN"/>
        </w:rPr>
        <w:t>和沼气发电</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牛舍</w:t>
      </w:r>
      <w:r>
        <w:rPr>
          <w:rFonts w:ascii="Times New Roman" w:hAnsi="Times New Roman" w:eastAsia="宋体" w:cs="Times New Roman"/>
          <w:color w:val="auto"/>
          <w:sz w:val="24"/>
          <w:szCs w:val="24"/>
          <w:highlight w:val="none"/>
        </w:rPr>
        <w:t>恶臭通过</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粪日产日清、加强通风、饲料中添加EM、喷洒除臭剂等措施，可在厂界达标排放；</w:t>
      </w:r>
      <w:r>
        <w:rPr>
          <w:rFonts w:hint="eastAsia" w:ascii="Times New Roman" w:hAnsi="Times New Roman" w:eastAsia="宋体" w:cs="Times New Roman"/>
          <w:color w:val="auto"/>
          <w:sz w:val="24"/>
          <w:szCs w:val="24"/>
          <w:highlight w:val="none"/>
          <w:lang w:eastAsia="zh-CN"/>
        </w:rPr>
        <w:t>干粪棚恶臭通过</w:t>
      </w:r>
      <w:r>
        <w:rPr>
          <w:rFonts w:hint="eastAsia" w:ascii="Times New Roman" w:hAnsi="Times New Roman" w:eastAsia="宋体" w:cs="Times New Roman"/>
          <w:color w:val="auto"/>
          <w:sz w:val="24"/>
          <w:szCs w:val="24"/>
          <w:highlight w:val="none"/>
        </w:rPr>
        <w:t>车间密闭，并喷洒除臭剂，负压收集后的废气经生物滤池处理后经15m高排气筒</w:t>
      </w:r>
      <w:r>
        <w:rPr>
          <w:rFonts w:hint="eastAsia" w:ascii="Times New Roman" w:hAnsi="Times New Roman" w:eastAsia="宋体" w:cs="Times New Roman"/>
          <w:color w:val="auto"/>
          <w:kern w:val="2"/>
          <w:sz w:val="24"/>
          <w:szCs w:val="24"/>
          <w:highlight w:val="none"/>
          <w:lang w:val="en-US" w:eastAsia="zh-CN" w:bidi="ar-SA"/>
        </w:rPr>
        <w:t>（DA001）</w:t>
      </w:r>
      <w:r>
        <w:rPr>
          <w:rFonts w:hint="eastAsia" w:ascii="Times New Roman" w:hAnsi="Times New Roman" w:eastAsia="宋体" w:cs="Times New Roman"/>
          <w:color w:val="auto"/>
          <w:sz w:val="24"/>
          <w:szCs w:val="24"/>
          <w:highlight w:val="none"/>
          <w:lang w:eastAsia="zh-CN"/>
        </w:rPr>
        <w:t>排放；污水处理站恶臭产生的恶臭</w:t>
      </w:r>
      <w:r>
        <w:rPr>
          <w:rFonts w:hint="default" w:ascii="Times New Roman" w:hAnsi="Times New Roman" w:eastAsia="宋体" w:cs="Times New Roman"/>
          <w:color w:val="auto"/>
          <w:kern w:val="2"/>
          <w:sz w:val="24"/>
          <w:szCs w:val="24"/>
          <w:highlight w:val="none"/>
          <w:lang w:val="en-US" w:eastAsia="zh-CN" w:bidi="ar-SA"/>
        </w:rPr>
        <w:t>经“碱液喷淋+生物过滤法”处理后经15m高排气筒</w:t>
      </w:r>
      <w:r>
        <w:rPr>
          <w:rFonts w:hint="eastAsia" w:ascii="Times New Roman" w:hAnsi="Times New Roman" w:eastAsia="宋体" w:cs="Times New Roman"/>
          <w:color w:val="auto"/>
          <w:kern w:val="2"/>
          <w:sz w:val="24"/>
          <w:szCs w:val="24"/>
          <w:highlight w:val="none"/>
          <w:lang w:val="en-US" w:eastAsia="zh-CN" w:bidi="ar-SA"/>
        </w:rPr>
        <w:t>（DA002）达标</w:t>
      </w:r>
      <w:r>
        <w:rPr>
          <w:rFonts w:hint="default" w:ascii="Times New Roman" w:hAnsi="Times New Roman" w:eastAsia="宋体" w:cs="Times New Roman"/>
          <w:color w:val="auto"/>
          <w:kern w:val="2"/>
          <w:sz w:val="24"/>
          <w:szCs w:val="24"/>
          <w:highlight w:val="none"/>
          <w:lang w:val="en-US" w:eastAsia="zh-CN" w:bidi="ar-SA"/>
        </w:rPr>
        <w:t>排放</w:t>
      </w:r>
      <w:r>
        <w:rPr>
          <w:rFonts w:hint="eastAsia" w:ascii="Times New Roman" w:hAnsi="Times New Roman" w:eastAsia="宋体" w:cs="Times New Roman"/>
          <w:color w:val="auto"/>
          <w:kern w:val="2"/>
          <w:sz w:val="24"/>
          <w:szCs w:val="24"/>
          <w:highlight w:val="none"/>
          <w:lang w:val="en-US" w:eastAsia="zh-CN" w:bidi="ar-SA"/>
        </w:rPr>
        <w:t>；无害化处理机恶臭经自带恶臭净化器处理后由8m高的排气筒排放（无组织）；</w:t>
      </w:r>
      <w:r>
        <w:rPr>
          <w:rFonts w:ascii="Times New Roman" w:hAnsi="Times New Roman" w:eastAsia="宋体" w:cs="Times New Roman"/>
          <w:color w:val="auto"/>
          <w:sz w:val="24"/>
          <w:szCs w:val="24"/>
          <w:highlight w:val="none"/>
        </w:rPr>
        <w:t>食堂油烟经油烟净化器处理后经烟道至楼顶达标排放；柴油发电机产生的废气由自身携带的废气净化装置处理后能够做到达标排放。</w:t>
      </w:r>
    </w:p>
    <w:p>
      <w:pPr>
        <w:spacing w:line="360" w:lineRule="auto"/>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①</w:t>
      </w:r>
      <w:r>
        <w:rPr>
          <w:rFonts w:hint="default" w:ascii="Times New Roman" w:hAnsi="Times New Roman" w:eastAsia="宋体" w:cs="Times New Roman"/>
          <w:b/>
          <w:bCs/>
          <w:color w:val="auto"/>
          <w:sz w:val="24"/>
          <w:szCs w:val="24"/>
          <w:highlight w:val="none"/>
          <w:lang w:eastAsia="zh-CN"/>
        </w:rPr>
        <w:t>恶臭气体有组织排放情况</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本项目恶臭气体有组织排放情况见下表。</w:t>
      </w:r>
      <w:r>
        <w:rPr>
          <w:rFonts w:ascii="Times New Roman" w:hAnsi="Times New Roman" w:eastAsia="宋体" w:cs="Times New Roman"/>
          <w:color w:val="auto"/>
          <w:sz w:val="24"/>
          <w:szCs w:val="24"/>
          <w:highlight w:val="none"/>
        </w:rPr>
        <w:t>项目废气产生及排放情况见</w:t>
      </w:r>
      <w:r>
        <w:rPr>
          <w:rFonts w:hint="eastAsia" w:ascii="Times New Roman" w:hAnsi="Times New Roman" w:eastAsia="宋体" w:cs="Times New Roman"/>
          <w:color w:val="auto"/>
          <w:sz w:val="24"/>
          <w:szCs w:val="24"/>
          <w:highlight w:val="none"/>
          <w:lang w:eastAsia="zh-CN"/>
        </w:rPr>
        <w:t>下</w:t>
      </w:r>
      <w:r>
        <w:rPr>
          <w:rFonts w:ascii="Times New Roman" w:hAnsi="Times New Roman" w:eastAsia="宋体" w:cs="Times New Roman"/>
          <w:color w:val="auto"/>
          <w:sz w:val="24"/>
          <w:szCs w:val="24"/>
          <w:highlight w:val="none"/>
        </w:rPr>
        <w:t>。</w:t>
      </w:r>
    </w:p>
    <w:p>
      <w:pPr>
        <w:pStyle w:val="2"/>
        <w:ind w:left="0" w:leftChars="0" w:firstLine="0" w:firstLineChars="0"/>
        <w:rPr>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504"/>
        <w:numPr>
          <w:ilvl w:val="0"/>
          <w:numId w:val="25"/>
        </w:numPr>
        <w:spacing w:before="120" w:line="360" w:lineRule="auto"/>
        <w:ind w:left="0" w:leftChars="0" w:firstLine="403" w:firstLineChars="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  项目恶臭有组织废气产生及排放情况</w:t>
      </w:r>
    </w:p>
    <w:tbl>
      <w:tblPr>
        <w:tblStyle w:val="9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80"/>
        <w:gridCol w:w="629"/>
        <w:gridCol w:w="405"/>
        <w:gridCol w:w="371"/>
        <w:gridCol w:w="726"/>
        <w:gridCol w:w="678"/>
        <w:gridCol w:w="588"/>
        <w:gridCol w:w="618"/>
        <w:gridCol w:w="2523"/>
        <w:gridCol w:w="1818"/>
        <w:gridCol w:w="1101"/>
        <w:gridCol w:w="1101"/>
        <w:gridCol w:w="798"/>
        <w:gridCol w:w="662"/>
        <w:gridCol w:w="846"/>
        <w:gridCol w:w="4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产污环境</w:t>
            </w:r>
          </w:p>
          <w:p>
            <w:pPr>
              <w:pStyle w:val="2"/>
              <w:keepNext w:val="0"/>
              <w:keepLines w:val="0"/>
              <w:suppressLineNumbers w:val="0"/>
              <w:spacing w:before="0" w:beforeAutospacing="0" w:after="0" w:afterAutospacing="0"/>
              <w:ind w:right="0"/>
              <w:jc w:val="center"/>
              <w:rPr>
                <w:rFonts w:hint="default" w:ascii="Times New Roman" w:hAnsi="Times New Roman" w:eastAsia="宋体" w:cs="Times New Roman"/>
                <w:b/>
                <w:bCs/>
                <w:color w:val="auto"/>
                <w:sz w:val="21"/>
                <w:szCs w:val="21"/>
                <w:highlight w:val="none"/>
                <w:lang w:val="en-US" w:eastAsia="zh-CN"/>
              </w:rPr>
            </w:pPr>
          </w:p>
        </w:tc>
        <w:tc>
          <w:tcPr>
            <w:tcW w:w="0" w:type="auto"/>
            <w:gridSpan w:val="4"/>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排气参数</w:t>
            </w:r>
          </w:p>
        </w:tc>
        <w:tc>
          <w:tcPr>
            <w:tcW w:w="0" w:type="auto"/>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污染物名称</w:t>
            </w:r>
          </w:p>
        </w:tc>
        <w:tc>
          <w:tcPr>
            <w:tcW w:w="0" w:type="auto"/>
            <w:gridSpan w:val="2"/>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废气产生量</w:t>
            </w:r>
          </w:p>
        </w:tc>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治理</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措施</w:t>
            </w:r>
          </w:p>
        </w:tc>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sz w:val="21"/>
                <w:szCs w:val="21"/>
                <w:highlight w:val="none"/>
              </w:rPr>
              <w:t>去除率%</w:t>
            </w:r>
          </w:p>
        </w:tc>
        <w:tc>
          <w:tcPr>
            <w:tcW w:w="0" w:type="auto"/>
            <w:gridSpan w:val="3"/>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sz w:val="21"/>
                <w:szCs w:val="21"/>
                <w:highlight w:val="none"/>
              </w:rPr>
              <w:t>废气排放状况</w:t>
            </w:r>
          </w:p>
        </w:tc>
        <w:tc>
          <w:tcPr>
            <w:tcW w:w="0" w:type="auto"/>
            <w:gridSpan w:val="2"/>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排放标准</w:t>
            </w:r>
          </w:p>
        </w:tc>
        <w:tc>
          <w:tcPr>
            <w:tcW w:w="0" w:type="auto"/>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p>
        </w:tc>
        <w:tc>
          <w:tcPr>
            <w:tcW w:w="0" w:type="auto"/>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编号</w:t>
            </w:r>
          </w:p>
        </w:tc>
        <w:tc>
          <w:tcPr>
            <w:tcW w:w="0" w:type="auto"/>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高度</w:t>
            </w:r>
          </w:p>
        </w:tc>
        <w:tc>
          <w:tcPr>
            <w:tcW w:w="0" w:type="auto"/>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内径</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sz w:val="21"/>
                <w:szCs w:val="21"/>
                <w:highlight w:val="none"/>
              </w:rPr>
              <w:t>(m)</w:t>
            </w:r>
          </w:p>
        </w:tc>
        <w:tc>
          <w:tcPr>
            <w:tcW w:w="0" w:type="auto"/>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排气量m</w:t>
            </w:r>
            <w:r>
              <w:rPr>
                <w:rFonts w:hint="default" w:ascii="Times New Roman" w:hAnsi="Times New Roman" w:eastAsia="宋体" w:cs="Times New Roman"/>
                <w:b/>
                <w:bCs/>
                <w:color w:val="auto"/>
                <w:kern w:val="0"/>
                <w:sz w:val="21"/>
                <w:szCs w:val="21"/>
                <w:highlight w:val="none"/>
                <w:vertAlign w:val="superscript"/>
              </w:rPr>
              <w:t>3</w:t>
            </w:r>
            <w:r>
              <w:rPr>
                <w:rFonts w:hint="default" w:ascii="Times New Roman" w:hAnsi="Times New Roman" w:eastAsia="宋体" w:cs="Times New Roman"/>
                <w:b/>
                <w:bCs/>
                <w:color w:val="auto"/>
                <w:kern w:val="0"/>
                <w:sz w:val="21"/>
                <w:szCs w:val="21"/>
                <w:highlight w:val="none"/>
              </w:rPr>
              <w:t>/h</w:t>
            </w:r>
          </w:p>
        </w:tc>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p>
        </w:tc>
        <w:tc>
          <w:tcPr>
            <w:tcW w:w="0" w:type="auto"/>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速率</w:t>
            </w:r>
          </w:p>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kg/h</w:t>
            </w:r>
          </w:p>
        </w:tc>
        <w:tc>
          <w:tcPr>
            <w:tcW w:w="0" w:type="auto"/>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产生量</w:t>
            </w:r>
          </w:p>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t/a</w:t>
            </w:r>
          </w:p>
        </w:tc>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p>
        </w:tc>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p>
        </w:tc>
        <w:tc>
          <w:tcPr>
            <w:tcW w:w="0" w:type="auto"/>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浓度</w:t>
            </w:r>
          </w:p>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mg/m</w:t>
            </w:r>
            <w:r>
              <w:rPr>
                <w:rFonts w:hint="default" w:ascii="Times New Roman" w:hAnsi="Times New Roman" w:eastAsia="宋体" w:cs="Times New Roman"/>
                <w:b/>
                <w:bCs/>
                <w:color w:val="auto"/>
                <w:sz w:val="21"/>
                <w:szCs w:val="21"/>
                <w:highlight w:val="none"/>
                <w:vertAlign w:val="superscript"/>
              </w:rPr>
              <w:t>3</w:t>
            </w:r>
          </w:p>
        </w:tc>
        <w:tc>
          <w:tcPr>
            <w:tcW w:w="0" w:type="auto"/>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速率</w:t>
            </w:r>
          </w:p>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kg/h</w:t>
            </w:r>
          </w:p>
        </w:tc>
        <w:tc>
          <w:tcPr>
            <w:tcW w:w="0" w:type="auto"/>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排放量</w:t>
            </w:r>
          </w:p>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t/a</w:t>
            </w:r>
          </w:p>
        </w:tc>
        <w:tc>
          <w:tcPr>
            <w:tcW w:w="0" w:type="auto"/>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速率kg/h</w:t>
            </w:r>
          </w:p>
        </w:tc>
        <w:tc>
          <w:tcPr>
            <w:tcW w:w="0" w:type="auto"/>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浓度mg/m</w:t>
            </w:r>
            <w:r>
              <w:rPr>
                <w:rFonts w:hint="default" w:ascii="Times New Roman" w:hAnsi="Times New Roman" w:eastAsia="宋体" w:cs="Times New Roman"/>
                <w:b/>
                <w:bCs/>
                <w:color w:val="auto"/>
                <w:sz w:val="21"/>
                <w:szCs w:val="21"/>
                <w:highlight w:val="none"/>
                <w:vertAlign w:val="superscript"/>
              </w:rPr>
              <w:t>3</w:t>
            </w:r>
          </w:p>
        </w:tc>
        <w:tc>
          <w:tcPr>
            <w:tcW w:w="0" w:type="auto"/>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09" w:hRule="atLeast"/>
          <w:jc w:val="center"/>
        </w:trPr>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lang w:eastAsia="zh-CN"/>
              </w:rPr>
              <w:t>干粪棚</w:t>
            </w:r>
          </w:p>
        </w:tc>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DA001</w:t>
            </w:r>
          </w:p>
        </w:tc>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w:t>
            </w:r>
            <w:r>
              <w:rPr>
                <w:rFonts w:hint="eastAsia" w:ascii="Times New Roman" w:hAnsi="Times New Roman" w:eastAsia="宋体" w:cs="Times New Roman"/>
                <w:color w:val="auto"/>
                <w:kern w:val="0"/>
                <w:sz w:val="21"/>
                <w:szCs w:val="21"/>
                <w:highlight w:val="none"/>
                <w:lang w:val="en-US" w:eastAsia="zh-CN"/>
              </w:rPr>
              <w:t>5</w:t>
            </w:r>
            <w:r>
              <w:rPr>
                <w:rFonts w:hint="default" w:ascii="Times New Roman" w:hAnsi="Times New Roman" w:eastAsia="宋体" w:cs="Times New Roman"/>
                <w:color w:val="auto"/>
                <w:kern w:val="0"/>
                <w:sz w:val="21"/>
                <w:szCs w:val="21"/>
                <w:highlight w:val="none"/>
              </w:rPr>
              <w:t>m</w:t>
            </w:r>
          </w:p>
        </w:tc>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0.5</w:t>
            </w:r>
          </w:p>
        </w:tc>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5000</w:t>
            </w:r>
          </w:p>
        </w:tc>
        <w:tc>
          <w:tcPr>
            <w:tcW w:w="0" w:type="auto"/>
            <w:noWrap w:val="0"/>
            <w:vAlign w:val="center"/>
          </w:tcPr>
          <w:p>
            <w:pPr>
              <w:pStyle w:val="167"/>
              <w:keepNext w:val="0"/>
              <w:keepLines w:val="0"/>
              <w:suppressLineNumbers w:val="0"/>
              <w:kinsoku w:val="0"/>
              <w:overflowPunct w:val="0"/>
              <w:spacing w:before="44" w:beforeAutospacing="0" w:after="0" w:afterAutospacing="0" w:line="36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position w:val="2"/>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58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0.0015</w:t>
            </w:r>
          </w:p>
        </w:tc>
        <w:tc>
          <w:tcPr>
            <w:tcW w:w="61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0.0134</w:t>
            </w:r>
          </w:p>
        </w:tc>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sz w:val="21"/>
                <w:szCs w:val="21"/>
                <w:highlight w:val="none"/>
                <w:lang w:val="en-US" w:eastAsia="zh-CN"/>
              </w:rPr>
              <w:t>车间密闭，并喷洒除臭剂，负压收集后的废气经生物滤池</w:t>
            </w:r>
          </w:p>
        </w:tc>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收集效率9</w:t>
            </w:r>
            <w:r>
              <w:rPr>
                <w:rFonts w:hint="eastAsia" w:ascii="Times New Roman" w:hAnsi="Times New Roman" w:eastAsia="宋体" w:cs="Times New Roman"/>
                <w:color w:val="auto"/>
                <w:kern w:val="0"/>
                <w:sz w:val="21"/>
                <w:szCs w:val="21"/>
                <w:highlight w:val="none"/>
                <w:lang w:val="en-US" w:eastAsia="zh-CN"/>
              </w:rPr>
              <w:t>0</w:t>
            </w:r>
            <w:r>
              <w:rPr>
                <w:rFonts w:hint="default" w:ascii="Times New Roman" w:hAnsi="Times New Roman" w:eastAsia="宋体" w:cs="Times New Roman"/>
                <w:color w:val="auto"/>
                <w:kern w:val="0"/>
                <w:sz w:val="21"/>
                <w:szCs w:val="21"/>
                <w:highlight w:val="none"/>
              </w:rPr>
              <w:t>%，处理效率不低于90%</w:t>
            </w:r>
          </w:p>
        </w:tc>
        <w:tc>
          <w:tcPr>
            <w:tcW w:w="592" w:type="dxa"/>
            <w:tcBorders>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0.0275</w:t>
            </w:r>
          </w:p>
        </w:tc>
        <w:tc>
          <w:tcPr>
            <w:tcW w:w="693" w:type="dxa"/>
            <w:tcBorders>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0.0001</w:t>
            </w:r>
          </w:p>
        </w:tc>
        <w:tc>
          <w:tcPr>
            <w:tcW w:w="618" w:type="dxa"/>
            <w:tcBorders>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0.0012</w:t>
            </w:r>
          </w:p>
        </w:tc>
        <w:tc>
          <w:tcPr>
            <w:tcW w:w="0" w:type="auto"/>
            <w:tcBorders>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4.9</w:t>
            </w:r>
          </w:p>
        </w:tc>
        <w:tc>
          <w:tcPr>
            <w:tcW w:w="0" w:type="auto"/>
            <w:tcBorders>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lang w:val="en-US" w:eastAsia="zh-CN"/>
              </w:rPr>
              <w:t>/</w:t>
            </w:r>
          </w:p>
        </w:tc>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eastAsia="zh-CN"/>
              </w:rPr>
            </w:pPr>
          </w:p>
        </w:tc>
        <w:tc>
          <w:tcPr>
            <w:tcW w:w="0" w:type="auto"/>
            <w:vMerge w:val="continue"/>
            <w:tcBorders>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0" w:type="auto"/>
            <w:vMerge w:val="continue"/>
            <w:tcBorders>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0" w:type="auto"/>
            <w:vMerge w:val="continue"/>
            <w:tcBorders>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0" w:type="auto"/>
            <w:vMerge w:val="continue"/>
            <w:tcBorders>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0" w:type="auto"/>
            <w:noWrap w:val="0"/>
            <w:vAlign w:val="center"/>
          </w:tcPr>
          <w:p>
            <w:pPr>
              <w:pStyle w:val="167"/>
              <w:keepNext w:val="0"/>
              <w:keepLines w:val="0"/>
              <w:suppressLineNumbers w:val="0"/>
              <w:kinsoku w:val="0"/>
              <w:overflowPunct w:val="0"/>
              <w:spacing w:before="45" w:beforeAutospacing="0" w:after="0" w:afterAutospacing="0" w:line="36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position w:val="2"/>
                <w:sz w:val="21"/>
                <w:szCs w:val="21"/>
                <w:highlight w:val="none"/>
              </w:rPr>
              <w:t>H</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position w:val="2"/>
                <w:sz w:val="21"/>
                <w:szCs w:val="21"/>
                <w:highlight w:val="none"/>
              </w:rPr>
              <w:t>S</w:t>
            </w:r>
          </w:p>
        </w:tc>
        <w:tc>
          <w:tcPr>
            <w:tcW w:w="58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bidi="ar"/>
              </w:rPr>
            </w:pPr>
            <w:r>
              <w:rPr>
                <w:rFonts w:hint="default" w:ascii="Times New Roman" w:hAnsi="Times New Roman" w:eastAsia="宋体" w:cs="Times New Roman"/>
                <w:i w:val="0"/>
                <w:iCs w:val="0"/>
                <w:color w:val="auto"/>
                <w:kern w:val="0"/>
                <w:sz w:val="21"/>
                <w:szCs w:val="21"/>
                <w:highlight w:val="none"/>
                <w:u w:val="none"/>
                <w:lang w:val="en-US" w:eastAsia="zh-CN" w:bidi="ar"/>
              </w:rPr>
              <w:t>0.0003</w:t>
            </w:r>
          </w:p>
        </w:tc>
        <w:tc>
          <w:tcPr>
            <w:tcW w:w="618" w:type="dxa"/>
            <w:tcBorders>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0.0027</w:t>
            </w:r>
          </w:p>
        </w:tc>
        <w:tc>
          <w:tcPr>
            <w:tcW w:w="0" w:type="auto"/>
            <w:vMerge w:val="continue"/>
            <w:tcBorders>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0" w:type="auto"/>
            <w:vMerge w:val="continue"/>
            <w:tcBorders>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592" w:type="dxa"/>
            <w:tcBorders>
              <w:top w:val="single" w:color="000000" w:sz="8" w:space="0"/>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0.0055</w:t>
            </w:r>
          </w:p>
        </w:tc>
        <w:tc>
          <w:tcPr>
            <w:tcW w:w="693" w:type="dxa"/>
            <w:tcBorders>
              <w:top w:val="single" w:color="000000" w:sz="8" w:space="0"/>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0.00003</w:t>
            </w:r>
          </w:p>
        </w:tc>
        <w:tc>
          <w:tcPr>
            <w:tcW w:w="618" w:type="dxa"/>
            <w:tcBorders>
              <w:top w:val="single" w:color="000000" w:sz="8" w:space="0"/>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0.0002</w:t>
            </w:r>
          </w:p>
        </w:tc>
        <w:tc>
          <w:tcPr>
            <w:tcW w:w="0" w:type="auto"/>
            <w:tcBorders>
              <w:top w:val="single" w:color="000000" w:sz="8" w:space="0"/>
              <w:bottom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0.33</w:t>
            </w:r>
          </w:p>
        </w:tc>
        <w:tc>
          <w:tcPr>
            <w:tcW w:w="0" w:type="auto"/>
            <w:tcBorders>
              <w:top w:val="single" w:color="000000" w:sz="8" w:space="0"/>
              <w:bottom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w:t>
            </w:r>
          </w:p>
        </w:tc>
        <w:tc>
          <w:tcPr>
            <w:tcW w:w="0" w:type="auto"/>
            <w:vMerge w:val="continue"/>
            <w:tcBorders>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2" w:hRule="atLeast"/>
          <w:jc w:val="center"/>
        </w:trPr>
        <w:tc>
          <w:tcPr>
            <w:tcW w:w="0" w:type="auto"/>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lang w:eastAsia="zh-CN"/>
              </w:rPr>
              <w:t>污水处理站</w:t>
            </w:r>
          </w:p>
        </w:tc>
        <w:tc>
          <w:tcPr>
            <w:tcW w:w="0" w:type="auto"/>
            <w:vMerge w:val="restart"/>
            <w:tcBorders>
              <w:top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DA002</w:t>
            </w:r>
          </w:p>
        </w:tc>
        <w:tc>
          <w:tcPr>
            <w:tcW w:w="0" w:type="auto"/>
            <w:vMerge w:val="restart"/>
            <w:tcBorders>
              <w:top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w:t>
            </w:r>
            <w:r>
              <w:rPr>
                <w:rFonts w:hint="eastAsia" w:ascii="Times New Roman" w:hAnsi="Times New Roman" w:eastAsia="宋体" w:cs="Times New Roman"/>
                <w:color w:val="auto"/>
                <w:kern w:val="0"/>
                <w:sz w:val="21"/>
                <w:szCs w:val="21"/>
                <w:highlight w:val="none"/>
                <w:lang w:val="en-US" w:eastAsia="zh-CN"/>
              </w:rPr>
              <w:t>5</w:t>
            </w:r>
            <w:r>
              <w:rPr>
                <w:rFonts w:hint="default" w:ascii="Times New Roman" w:hAnsi="Times New Roman" w:eastAsia="宋体" w:cs="Times New Roman"/>
                <w:color w:val="auto"/>
                <w:kern w:val="0"/>
                <w:sz w:val="21"/>
                <w:szCs w:val="21"/>
                <w:highlight w:val="none"/>
              </w:rPr>
              <w:t>m</w:t>
            </w:r>
          </w:p>
        </w:tc>
        <w:tc>
          <w:tcPr>
            <w:tcW w:w="0" w:type="auto"/>
            <w:vMerge w:val="restart"/>
            <w:tcBorders>
              <w:top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0.5</w:t>
            </w:r>
          </w:p>
        </w:tc>
        <w:tc>
          <w:tcPr>
            <w:tcW w:w="0" w:type="auto"/>
            <w:vMerge w:val="restart"/>
            <w:tcBorders>
              <w:top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5000</w:t>
            </w:r>
          </w:p>
        </w:tc>
        <w:tc>
          <w:tcPr>
            <w:tcW w:w="0" w:type="auto"/>
            <w:noWrap w:val="0"/>
            <w:vAlign w:val="center"/>
          </w:tcPr>
          <w:p>
            <w:pPr>
              <w:pStyle w:val="167"/>
              <w:keepNext w:val="0"/>
              <w:keepLines w:val="0"/>
              <w:suppressLineNumbers w:val="0"/>
              <w:kinsoku w:val="0"/>
              <w:overflowPunct w:val="0"/>
              <w:spacing w:before="44" w:beforeAutospacing="0" w:after="0" w:afterAutospacing="0" w:line="36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position w:val="2"/>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58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0.0051</w:t>
            </w:r>
          </w:p>
        </w:tc>
        <w:tc>
          <w:tcPr>
            <w:tcW w:w="618" w:type="dxa"/>
            <w:tcBorders>
              <w:top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0.045</w:t>
            </w:r>
          </w:p>
        </w:tc>
        <w:tc>
          <w:tcPr>
            <w:tcW w:w="0" w:type="auto"/>
            <w:vMerge w:val="restart"/>
            <w:tcBorders>
              <w:top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“碱液喷淋+生物滤池”</w:t>
            </w:r>
          </w:p>
        </w:tc>
        <w:tc>
          <w:tcPr>
            <w:tcW w:w="0" w:type="auto"/>
            <w:vMerge w:val="restart"/>
            <w:tcBorders>
              <w:top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收集效率95%，处理效率不低于90%</w:t>
            </w:r>
          </w:p>
        </w:tc>
        <w:tc>
          <w:tcPr>
            <w:tcW w:w="592" w:type="dxa"/>
            <w:tcBorders>
              <w:top w:val="single" w:color="000000" w:sz="8" w:space="0"/>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1.28425E-07</w:t>
            </w:r>
          </w:p>
        </w:tc>
        <w:tc>
          <w:tcPr>
            <w:tcW w:w="693" w:type="dxa"/>
            <w:tcBorders>
              <w:top w:val="single" w:color="000000" w:sz="8" w:space="0"/>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2.56849E-05</w:t>
            </w:r>
          </w:p>
        </w:tc>
        <w:tc>
          <w:tcPr>
            <w:tcW w:w="618" w:type="dxa"/>
            <w:tcBorders>
              <w:top w:val="single" w:color="000000" w:sz="8" w:space="0"/>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0.000225</w:t>
            </w:r>
          </w:p>
        </w:tc>
        <w:tc>
          <w:tcPr>
            <w:tcW w:w="662" w:type="dxa"/>
            <w:tcBorders>
              <w:top w:val="single" w:color="000000" w:sz="8" w:space="0"/>
              <w:bottom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4.9</w:t>
            </w:r>
          </w:p>
        </w:tc>
        <w:tc>
          <w:tcPr>
            <w:tcW w:w="846" w:type="dxa"/>
            <w:tcBorders>
              <w:top w:val="single" w:color="000000" w:sz="8" w:space="0"/>
              <w:bottom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w:t>
            </w:r>
          </w:p>
        </w:tc>
        <w:tc>
          <w:tcPr>
            <w:tcW w:w="0" w:type="auto"/>
            <w:vMerge w:val="restart"/>
            <w:tcBorders>
              <w:top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eastAsia="zh-CN"/>
              </w:rPr>
            </w:pPr>
          </w:p>
        </w:tc>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0" w:type="auto"/>
            <w:noWrap w:val="0"/>
            <w:vAlign w:val="center"/>
          </w:tcPr>
          <w:p>
            <w:pPr>
              <w:pStyle w:val="167"/>
              <w:keepNext w:val="0"/>
              <w:keepLines w:val="0"/>
              <w:suppressLineNumbers w:val="0"/>
              <w:kinsoku w:val="0"/>
              <w:overflowPunct w:val="0"/>
              <w:spacing w:before="45" w:beforeAutospacing="0" w:after="0" w:afterAutospacing="0" w:line="36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position w:val="2"/>
                <w:sz w:val="21"/>
                <w:szCs w:val="21"/>
                <w:highlight w:val="none"/>
              </w:rPr>
              <w:t>H</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position w:val="2"/>
                <w:sz w:val="21"/>
                <w:szCs w:val="21"/>
                <w:highlight w:val="none"/>
              </w:rPr>
              <w:t>S</w:t>
            </w:r>
          </w:p>
        </w:tc>
        <w:tc>
          <w:tcPr>
            <w:tcW w:w="58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0.0002</w:t>
            </w:r>
          </w:p>
        </w:tc>
        <w:tc>
          <w:tcPr>
            <w:tcW w:w="61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0.0018</w:t>
            </w:r>
          </w:p>
        </w:tc>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592" w:type="dxa"/>
            <w:tcBorders>
              <w:top w:val="single" w:color="000000" w:sz="8" w:space="0"/>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5.13699E-09</w:t>
            </w:r>
          </w:p>
        </w:tc>
        <w:tc>
          <w:tcPr>
            <w:tcW w:w="693" w:type="dxa"/>
            <w:tcBorders>
              <w:top w:val="single" w:color="000000" w:sz="8" w:space="0"/>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1.02740E-06</w:t>
            </w:r>
          </w:p>
        </w:tc>
        <w:tc>
          <w:tcPr>
            <w:tcW w:w="618" w:type="dxa"/>
            <w:tcBorders>
              <w:top w:val="single" w:color="000000" w:sz="8" w:space="0"/>
              <w:bottom w:val="single" w:color="000000"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0.000009</w:t>
            </w:r>
          </w:p>
        </w:tc>
        <w:tc>
          <w:tcPr>
            <w:tcW w:w="662" w:type="dxa"/>
            <w:tcBorders>
              <w:top w:val="single" w:color="000000" w:sz="8" w:space="0"/>
              <w:bottom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en-US" w:eastAsia="zh-CN"/>
              </w:rPr>
              <w:t>0.33</w:t>
            </w:r>
          </w:p>
        </w:tc>
        <w:tc>
          <w:tcPr>
            <w:tcW w:w="846" w:type="dxa"/>
            <w:tcBorders>
              <w:top w:val="single" w:color="000000" w:sz="8" w:space="0"/>
              <w:bottom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en-US" w:eastAsia="zh-CN"/>
              </w:rPr>
              <w:t>/</w:t>
            </w:r>
          </w:p>
        </w:tc>
        <w:tc>
          <w:tcPr>
            <w:tcW w:w="0" w:type="auto"/>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r>
    </w:tbl>
    <w:p>
      <w:pPr>
        <w:pStyle w:val="2"/>
        <w:spacing w:line="360" w:lineRule="auto"/>
        <w:ind w:left="0" w:leftChars="0" w:firstLine="0" w:firstLineChars="0"/>
        <w:rPr>
          <w:color w:val="auto"/>
          <w:kern w:val="0"/>
          <w:sz w:val="24"/>
          <w:highlight w:val="none"/>
        </w:rPr>
        <w:sectPr>
          <w:footerReference r:id="rId9" w:type="default"/>
          <w:pgSz w:w="16838" w:h="11906" w:orient="landscape"/>
          <w:pgMar w:top="1797" w:right="1452" w:bottom="1797" w:left="1452"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spacing w:line="360" w:lineRule="auto"/>
        <w:ind w:firstLine="482" w:firstLineChars="200"/>
        <w:rPr>
          <w:rFonts w:hint="default" w:ascii="Times New Roman" w:hAnsi="Times New Roman" w:eastAsia="宋体" w:cs="Times New Roman"/>
          <w:b/>
          <w:bCs/>
          <w:color w:val="auto"/>
          <w:sz w:val="24"/>
          <w:szCs w:val="24"/>
          <w:highlight w:val="none"/>
          <w:lang w:eastAsia="zh-CN"/>
        </w:rPr>
      </w:pPr>
      <w:r>
        <w:rPr>
          <w:rFonts w:hint="eastAsia" w:ascii="Times New Roman" w:hAnsi="Times New Roman" w:eastAsia="宋体" w:cs="Times New Roman"/>
          <w:b/>
          <w:bCs/>
          <w:color w:val="auto"/>
          <w:sz w:val="24"/>
          <w:szCs w:val="24"/>
          <w:highlight w:val="none"/>
          <w:lang w:eastAsia="zh-CN"/>
        </w:rPr>
        <w:t>②</w:t>
      </w:r>
      <w:r>
        <w:rPr>
          <w:rFonts w:hint="default" w:ascii="Times New Roman" w:hAnsi="Times New Roman" w:eastAsia="宋体" w:cs="Times New Roman"/>
          <w:b/>
          <w:bCs/>
          <w:color w:val="auto"/>
          <w:sz w:val="24"/>
          <w:szCs w:val="24"/>
          <w:highlight w:val="none"/>
          <w:lang w:eastAsia="zh-CN"/>
        </w:rPr>
        <w:t>恶臭气体</w:t>
      </w:r>
      <w:r>
        <w:rPr>
          <w:rFonts w:hint="eastAsia" w:ascii="Times New Roman" w:hAnsi="Times New Roman" w:eastAsia="宋体" w:cs="Times New Roman"/>
          <w:b/>
          <w:bCs/>
          <w:color w:val="auto"/>
          <w:sz w:val="24"/>
          <w:szCs w:val="24"/>
          <w:highlight w:val="none"/>
          <w:lang w:eastAsia="zh-CN"/>
        </w:rPr>
        <w:t>无组织</w:t>
      </w:r>
      <w:r>
        <w:rPr>
          <w:rFonts w:hint="default" w:ascii="Times New Roman" w:hAnsi="Times New Roman" w:eastAsia="宋体" w:cs="Times New Roman"/>
          <w:b/>
          <w:bCs/>
          <w:color w:val="auto"/>
          <w:sz w:val="24"/>
          <w:szCs w:val="24"/>
          <w:highlight w:val="none"/>
          <w:lang w:eastAsia="zh-CN"/>
        </w:rPr>
        <w:t>排放情况</w:t>
      </w:r>
    </w:p>
    <w:p>
      <w:pPr>
        <w:pStyle w:val="2504"/>
        <w:numPr>
          <w:ilvl w:val="0"/>
          <w:numId w:val="25"/>
        </w:numPr>
        <w:spacing w:before="120"/>
        <w:ind w:left="0" w:leftChars="0" w:firstLine="403" w:firstLineChars="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  项目无组织废气排放情况</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515"/>
        <w:gridCol w:w="1108"/>
        <w:gridCol w:w="1571"/>
        <w:gridCol w:w="1438"/>
        <w:gridCol w:w="1604"/>
        <w:gridCol w:w="128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kern w:val="0"/>
                <w:sz w:val="21"/>
                <w:szCs w:val="21"/>
                <w:highlight w:val="none"/>
              </w:rPr>
              <w:t>产生环节</w:t>
            </w:r>
          </w:p>
        </w:tc>
        <w:tc>
          <w:tcPr>
            <w:tcW w:w="650"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1766" w:type="pct"/>
            <w:gridSpan w:val="2"/>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无组织排放量</w:t>
            </w:r>
          </w:p>
        </w:tc>
        <w:tc>
          <w:tcPr>
            <w:tcW w:w="1694" w:type="pct"/>
            <w:gridSpan w:val="2"/>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标准限值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889"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p>
        </w:tc>
        <w:tc>
          <w:tcPr>
            <w:tcW w:w="650"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p>
        </w:tc>
        <w:tc>
          <w:tcPr>
            <w:tcW w:w="92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eastAsia="zh-CN"/>
              </w:rPr>
              <w:t>排放</w:t>
            </w:r>
            <w:r>
              <w:rPr>
                <w:rFonts w:hint="default" w:ascii="Times New Roman" w:hAnsi="Times New Roman" w:eastAsia="宋体" w:cs="Times New Roman"/>
                <w:b/>
                <w:bCs/>
                <w:color w:val="auto"/>
                <w:sz w:val="21"/>
                <w:szCs w:val="21"/>
                <w:highlight w:val="none"/>
              </w:rPr>
              <w:t>量t/a</w:t>
            </w:r>
          </w:p>
        </w:tc>
        <w:tc>
          <w:tcPr>
            <w:tcW w:w="84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eastAsia="zh-CN"/>
              </w:rPr>
              <w:t>排放</w:t>
            </w:r>
            <w:r>
              <w:rPr>
                <w:rFonts w:hint="default" w:ascii="Times New Roman" w:hAnsi="Times New Roman" w:eastAsia="宋体" w:cs="Times New Roman"/>
                <w:b/>
                <w:bCs/>
                <w:color w:val="auto"/>
                <w:sz w:val="21"/>
                <w:szCs w:val="21"/>
                <w:highlight w:val="none"/>
              </w:rPr>
              <w:t>速率kg/h</w:t>
            </w:r>
          </w:p>
        </w:tc>
        <w:tc>
          <w:tcPr>
            <w:tcW w:w="94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监控点</w:t>
            </w:r>
          </w:p>
        </w:tc>
        <w:tc>
          <w:tcPr>
            <w:tcW w:w="75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浓度(mg/m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889"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eastAsia="zh-CN"/>
              </w:rPr>
              <w:t>牛</w:t>
            </w:r>
            <w:r>
              <w:rPr>
                <w:rFonts w:hint="default" w:ascii="Times New Roman" w:hAnsi="Times New Roman" w:eastAsia="宋体" w:cs="Times New Roman"/>
                <w:color w:val="auto"/>
                <w:kern w:val="0"/>
                <w:sz w:val="21"/>
                <w:szCs w:val="21"/>
                <w:highlight w:val="none"/>
              </w:rPr>
              <w:t>舍恶臭</w:t>
            </w:r>
          </w:p>
        </w:tc>
        <w:tc>
          <w:tcPr>
            <w:tcW w:w="650"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1571" w:type="dxa"/>
            <w:noWrap w:val="0"/>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bidi="ar"/>
              </w:rPr>
              <w:t>0.0312</w:t>
            </w:r>
          </w:p>
        </w:tc>
        <w:tc>
          <w:tcPr>
            <w:tcW w:w="1438" w:type="dxa"/>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0.0036</w:t>
            </w:r>
          </w:p>
        </w:tc>
        <w:tc>
          <w:tcPr>
            <w:tcW w:w="941"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周围外浓度最高点</w:t>
            </w:r>
          </w:p>
        </w:tc>
        <w:tc>
          <w:tcPr>
            <w:tcW w:w="753"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889"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650"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 w:rightChars="0" w:firstLine="0" w:firstLineChars="0"/>
              <w:jc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1571" w:type="dxa"/>
            <w:noWrap w:val="0"/>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bidi="ar"/>
              </w:rPr>
              <w:t>0.0119</w:t>
            </w:r>
          </w:p>
        </w:tc>
        <w:tc>
          <w:tcPr>
            <w:tcW w:w="1438" w:type="dxa"/>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0.0014</w:t>
            </w:r>
          </w:p>
        </w:tc>
        <w:tc>
          <w:tcPr>
            <w:tcW w:w="941"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53"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889"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干粪棚</w:t>
            </w:r>
          </w:p>
        </w:tc>
        <w:tc>
          <w:tcPr>
            <w:tcW w:w="650"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157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0.0001</w:t>
            </w:r>
          </w:p>
        </w:tc>
        <w:tc>
          <w:tcPr>
            <w:tcW w:w="143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0.00001</w:t>
            </w:r>
          </w:p>
        </w:tc>
        <w:tc>
          <w:tcPr>
            <w:tcW w:w="941"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53"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889"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50"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157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0.00003</w:t>
            </w:r>
          </w:p>
        </w:tc>
        <w:tc>
          <w:tcPr>
            <w:tcW w:w="143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0.000003</w:t>
            </w:r>
          </w:p>
        </w:tc>
        <w:tc>
          <w:tcPr>
            <w:tcW w:w="941"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53"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889"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污水处理站</w:t>
            </w:r>
          </w:p>
        </w:tc>
        <w:tc>
          <w:tcPr>
            <w:tcW w:w="650"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position w:val="2"/>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157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0.000225</w:t>
            </w:r>
          </w:p>
        </w:tc>
        <w:tc>
          <w:tcPr>
            <w:tcW w:w="143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0.00003</w:t>
            </w:r>
          </w:p>
        </w:tc>
        <w:tc>
          <w:tcPr>
            <w:tcW w:w="941"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53"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889"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50"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 w:rightChars="0" w:firstLine="0" w:firstLineChars="0"/>
              <w:jc w:val="center"/>
              <w:rPr>
                <w:rFonts w:hint="default" w:ascii="Times New Roman" w:hAnsi="Times New Roman" w:eastAsia="宋体" w:cs="Times New Roman"/>
                <w:color w:val="auto"/>
                <w:kern w:val="0"/>
                <w:position w:val="2"/>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157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0.000009</w:t>
            </w:r>
          </w:p>
        </w:tc>
        <w:tc>
          <w:tcPr>
            <w:tcW w:w="143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0.000001</w:t>
            </w:r>
          </w:p>
        </w:tc>
        <w:tc>
          <w:tcPr>
            <w:tcW w:w="941"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53"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889"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病死</w:t>
            </w:r>
            <w:r>
              <w:rPr>
                <w:rFonts w:hint="eastAsia" w:ascii="Times New Roman" w:hAnsi="Times New Roman" w:eastAsia="宋体" w:cs="Times New Roman"/>
                <w:color w:val="auto"/>
                <w:sz w:val="21"/>
                <w:szCs w:val="21"/>
                <w:highlight w:val="none"/>
                <w:lang w:eastAsia="zh-CN"/>
              </w:rPr>
              <w:t>牛</w:t>
            </w:r>
            <w:r>
              <w:rPr>
                <w:rFonts w:hint="default" w:ascii="Times New Roman" w:hAnsi="Times New Roman" w:eastAsia="宋体" w:cs="Times New Roman"/>
                <w:color w:val="auto"/>
                <w:sz w:val="21"/>
                <w:szCs w:val="21"/>
                <w:highlight w:val="none"/>
              </w:rPr>
              <w:t>处理车间</w:t>
            </w:r>
          </w:p>
        </w:tc>
        <w:tc>
          <w:tcPr>
            <w:tcW w:w="650"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position w:val="2"/>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92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不做定量分析</w:t>
            </w:r>
          </w:p>
        </w:tc>
        <w:tc>
          <w:tcPr>
            <w:tcW w:w="84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941"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53"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889"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50"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 w:rightChars="0" w:firstLine="0" w:firstLineChars="0"/>
              <w:jc w:val="center"/>
              <w:rPr>
                <w:rFonts w:hint="default" w:ascii="Times New Roman" w:hAnsi="Times New Roman" w:eastAsia="宋体" w:cs="Times New Roman"/>
                <w:color w:val="auto"/>
                <w:kern w:val="0"/>
                <w:position w:val="2"/>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92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不做定量分析</w:t>
            </w:r>
          </w:p>
        </w:tc>
        <w:tc>
          <w:tcPr>
            <w:tcW w:w="84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941"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53"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889"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合计</w:t>
            </w:r>
          </w:p>
        </w:tc>
        <w:tc>
          <w:tcPr>
            <w:tcW w:w="650"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0"/>
                <w:sz w:val="21"/>
                <w:szCs w:val="21"/>
                <w:highlight w:val="none"/>
                <w:lang w:bidi="ar"/>
              </w:rPr>
            </w:pPr>
            <w:r>
              <w:rPr>
                <w:rFonts w:hint="default" w:ascii="Times New Roman" w:hAnsi="Times New Roman" w:eastAsia="宋体" w:cs="Times New Roman"/>
                <w:b/>
                <w:bCs/>
                <w:color w:val="auto"/>
                <w:kern w:val="0"/>
                <w:position w:val="2"/>
                <w:sz w:val="21"/>
                <w:szCs w:val="21"/>
                <w:highlight w:val="none"/>
                <w:lang w:val="en-US" w:eastAsia="zh-CN" w:bidi="ar-SA"/>
              </w:rPr>
              <w:t>NH</w:t>
            </w:r>
            <w:r>
              <w:rPr>
                <w:rFonts w:hint="default" w:ascii="Times New Roman" w:hAnsi="Times New Roman" w:eastAsia="宋体" w:cs="Times New Roman"/>
                <w:b/>
                <w:bCs/>
                <w:color w:val="auto"/>
                <w:kern w:val="0"/>
                <w:position w:val="2"/>
                <w:sz w:val="21"/>
                <w:szCs w:val="21"/>
                <w:highlight w:val="none"/>
                <w:vertAlign w:val="subscript"/>
                <w:lang w:val="en-US" w:eastAsia="zh-CN" w:bidi="ar-SA"/>
              </w:rPr>
              <w:t>3</w:t>
            </w:r>
          </w:p>
        </w:tc>
        <w:tc>
          <w:tcPr>
            <w:tcW w:w="157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0.031525</w:t>
            </w:r>
          </w:p>
        </w:tc>
        <w:tc>
          <w:tcPr>
            <w:tcW w:w="143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0.00364</w:t>
            </w:r>
          </w:p>
        </w:tc>
        <w:tc>
          <w:tcPr>
            <w:tcW w:w="941"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53"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889"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p>
        </w:tc>
        <w:tc>
          <w:tcPr>
            <w:tcW w:w="650"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 w:rightChars="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kern w:val="0"/>
                <w:position w:val="2"/>
                <w:sz w:val="21"/>
                <w:szCs w:val="21"/>
                <w:highlight w:val="none"/>
                <w:lang w:val="en-US" w:eastAsia="zh-CN" w:bidi="ar-SA"/>
              </w:rPr>
              <w:t>H</w:t>
            </w:r>
            <w:r>
              <w:rPr>
                <w:rFonts w:hint="default" w:ascii="Times New Roman" w:hAnsi="Times New Roman" w:eastAsia="宋体" w:cs="Times New Roman"/>
                <w:b/>
                <w:bCs/>
                <w:color w:val="auto"/>
                <w:kern w:val="0"/>
                <w:position w:val="2"/>
                <w:sz w:val="21"/>
                <w:szCs w:val="21"/>
                <w:highlight w:val="none"/>
                <w:vertAlign w:val="subscript"/>
                <w:lang w:val="en-US" w:eastAsia="zh-CN" w:bidi="ar-SA"/>
              </w:rPr>
              <w:t>2</w:t>
            </w:r>
            <w:r>
              <w:rPr>
                <w:rFonts w:hint="default" w:ascii="Times New Roman" w:hAnsi="Times New Roman" w:eastAsia="宋体" w:cs="Times New Roman"/>
                <w:b/>
                <w:bCs/>
                <w:color w:val="auto"/>
                <w:kern w:val="0"/>
                <w:position w:val="2"/>
                <w:sz w:val="21"/>
                <w:szCs w:val="21"/>
                <w:highlight w:val="none"/>
                <w:lang w:val="en-US" w:eastAsia="zh-CN" w:bidi="ar-SA"/>
              </w:rPr>
              <w:t>S</w:t>
            </w:r>
          </w:p>
        </w:tc>
        <w:tc>
          <w:tcPr>
            <w:tcW w:w="157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color w:val="auto"/>
                <w:kern w:val="0"/>
                <w:sz w:val="21"/>
                <w:szCs w:val="21"/>
                <w:highlight w:val="none"/>
                <w:lang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0.011939</w:t>
            </w:r>
          </w:p>
        </w:tc>
        <w:tc>
          <w:tcPr>
            <w:tcW w:w="143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color w:val="auto"/>
                <w:kern w:val="0"/>
                <w:sz w:val="21"/>
                <w:szCs w:val="21"/>
                <w:highlight w:val="none"/>
                <w:lang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0.001404</w:t>
            </w:r>
          </w:p>
        </w:tc>
        <w:tc>
          <w:tcPr>
            <w:tcW w:w="941"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5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0.06</w:t>
            </w:r>
          </w:p>
        </w:tc>
      </w:tr>
    </w:tbl>
    <w:p>
      <w:pPr>
        <w:spacing w:line="360" w:lineRule="auto"/>
        <w:ind w:firstLine="482"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b/>
          <w:bCs/>
          <w:color w:val="auto"/>
          <w:sz w:val="24"/>
          <w:szCs w:val="24"/>
          <w:highlight w:val="none"/>
          <w:lang w:eastAsia="zh-CN"/>
        </w:rPr>
        <w:t>③项目废气产生及</w:t>
      </w:r>
      <w:r>
        <w:rPr>
          <w:rFonts w:hint="default" w:ascii="Times New Roman" w:hAnsi="Times New Roman" w:eastAsia="宋体" w:cs="Times New Roman"/>
          <w:b/>
          <w:bCs/>
          <w:color w:val="auto"/>
          <w:sz w:val="24"/>
          <w:szCs w:val="24"/>
          <w:highlight w:val="none"/>
          <w:lang w:eastAsia="zh-CN"/>
        </w:rPr>
        <w:t>排放情况</w:t>
      </w:r>
      <w:r>
        <w:rPr>
          <w:rFonts w:hint="eastAsia" w:ascii="Times New Roman" w:hAnsi="Times New Roman" w:eastAsia="宋体" w:cs="Times New Roman"/>
          <w:b/>
          <w:bCs/>
          <w:color w:val="auto"/>
          <w:sz w:val="24"/>
          <w:szCs w:val="24"/>
          <w:highlight w:val="none"/>
          <w:lang w:eastAsia="zh-CN"/>
        </w:rPr>
        <w:t>汇总</w:t>
      </w:r>
    </w:p>
    <w:p>
      <w:pPr>
        <w:pStyle w:val="2"/>
        <w:rPr>
          <w:color w:val="auto"/>
          <w:highlight w:val="none"/>
        </w:rPr>
      </w:pPr>
      <w:r>
        <w:rPr>
          <w:rFonts w:ascii="Times New Roman" w:hAnsi="Times New Roman" w:eastAsia="宋体" w:cs="Times New Roman"/>
          <w:color w:val="auto"/>
          <w:sz w:val="24"/>
          <w:szCs w:val="24"/>
          <w:highlight w:val="none"/>
        </w:rPr>
        <w:t>项目废气产生及排放情况</w:t>
      </w:r>
      <w:r>
        <w:rPr>
          <w:rFonts w:hint="eastAsia" w:ascii="Times New Roman" w:hAnsi="Times New Roman" w:eastAsia="宋体" w:cs="Times New Roman"/>
          <w:color w:val="auto"/>
          <w:sz w:val="24"/>
          <w:szCs w:val="24"/>
          <w:highlight w:val="none"/>
          <w:lang w:eastAsia="zh-CN"/>
        </w:rPr>
        <w:t>汇总</w:t>
      </w:r>
      <w:r>
        <w:rPr>
          <w:rFonts w:ascii="Times New Roman" w:hAnsi="Times New Roman" w:eastAsia="宋体" w:cs="Times New Roman"/>
          <w:color w:val="auto"/>
          <w:sz w:val="24"/>
          <w:szCs w:val="24"/>
          <w:highlight w:val="none"/>
        </w:rPr>
        <w:t>见</w:t>
      </w:r>
      <w:r>
        <w:rPr>
          <w:rFonts w:hint="eastAsia" w:ascii="Times New Roman" w:hAnsi="Times New Roman" w:eastAsia="宋体" w:cs="Times New Roman"/>
          <w:color w:val="auto"/>
          <w:sz w:val="24"/>
          <w:szCs w:val="24"/>
          <w:highlight w:val="none"/>
          <w:lang w:eastAsia="zh-CN"/>
        </w:rPr>
        <w:t>下</w:t>
      </w:r>
      <w:r>
        <w:rPr>
          <w:rFonts w:ascii="Times New Roman" w:hAnsi="Times New Roman" w:eastAsia="宋体" w:cs="Times New Roman"/>
          <w:color w:val="auto"/>
          <w:sz w:val="24"/>
          <w:szCs w:val="24"/>
          <w:highlight w:val="none"/>
        </w:rPr>
        <w:t>表。</w:t>
      </w:r>
    </w:p>
    <w:p>
      <w:pPr>
        <w:pStyle w:val="2504"/>
        <w:numPr>
          <w:ilvl w:val="0"/>
          <w:numId w:val="25"/>
        </w:numPr>
        <w:spacing w:before="120"/>
        <w:ind w:left="0" w:leftChars="0" w:firstLine="403" w:firstLineChars="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   项目废气染物产生及排放情况一览表</w:t>
      </w:r>
    </w:p>
    <w:tbl>
      <w:tblPr>
        <w:tblStyle w:val="91"/>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536"/>
        <w:gridCol w:w="446"/>
        <w:gridCol w:w="397"/>
        <w:gridCol w:w="668"/>
        <w:gridCol w:w="834"/>
        <w:gridCol w:w="877"/>
        <w:gridCol w:w="3965"/>
        <w:gridCol w:w="58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jc w:val="center"/>
        </w:trPr>
        <w:tc>
          <w:tcPr>
            <w:tcW w:w="840" w:type="pct"/>
            <w:gridSpan w:val="3"/>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污染源</w:t>
            </w: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污染物</w:t>
            </w:r>
          </w:p>
        </w:tc>
        <w:tc>
          <w:tcPr>
            <w:tcW w:w="479"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产生量（</w:t>
            </w:r>
            <w:r>
              <w:rPr>
                <w:rFonts w:hint="default" w:ascii="Times New Roman" w:hAnsi="Times New Roman" w:eastAsia="宋体" w:cs="Times New Roman"/>
                <w:color w:val="auto"/>
                <w:kern w:val="0"/>
                <w:sz w:val="21"/>
                <w:szCs w:val="21"/>
                <w:highlight w:val="none"/>
                <w:lang w:val="en-US" w:eastAsia="zh-CN" w:bidi="ar-SA"/>
              </w:rPr>
              <w:t>t/a）</w:t>
            </w:r>
          </w:p>
        </w:tc>
        <w:tc>
          <w:tcPr>
            <w:tcW w:w="531"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排放量（</w:t>
            </w:r>
            <w:r>
              <w:rPr>
                <w:rFonts w:hint="default" w:ascii="Times New Roman" w:hAnsi="Times New Roman" w:eastAsia="宋体" w:cs="Times New Roman"/>
                <w:color w:val="auto"/>
                <w:kern w:val="0"/>
                <w:sz w:val="21"/>
                <w:szCs w:val="21"/>
                <w:highlight w:val="none"/>
                <w:lang w:val="en-US" w:eastAsia="zh-CN" w:bidi="ar-SA"/>
              </w:rPr>
              <w:t>t/a）</w:t>
            </w:r>
          </w:p>
        </w:tc>
        <w:tc>
          <w:tcPr>
            <w:tcW w:w="2389"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处理措施</w:t>
            </w:r>
          </w:p>
        </w:tc>
        <w:tc>
          <w:tcPr>
            <w:tcW w:w="352"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排放方式及去向</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49" w:hRule="atLeast"/>
          <w:jc w:val="center"/>
        </w:trPr>
        <w:tc>
          <w:tcPr>
            <w:tcW w:w="326"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生产养殖区</w:t>
            </w:r>
          </w:p>
        </w:tc>
        <w:tc>
          <w:tcPr>
            <w:tcW w:w="271"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牛舍恶臭</w:t>
            </w:r>
          </w:p>
        </w:tc>
        <w:tc>
          <w:tcPr>
            <w:tcW w:w="242"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无组织</w:t>
            </w: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479"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0.1560</w:t>
            </w:r>
          </w:p>
        </w:tc>
        <w:tc>
          <w:tcPr>
            <w:tcW w:w="531" w:type="pct"/>
            <w:tcBorders>
              <w:tl2br w:val="nil"/>
              <w:tr2bl w:val="nil"/>
            </w:tcBorders>
            <w:noWrap w:val="0"/>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
              </w:rPr>
              <w:t>0.0312</w:t>
            </w:r>
          </w:p>
        </w:tc>
        <w:tc>
          <w:tcPr>
            <w:tcW w:w="2389"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①科学设计日粮，提高饲料利用率，合理使用饲料添加剂；②加强圈舍管理，采用干清粪工艺；③对牛舍定期喷洒除臭剂；④加强牛舍消毒措施；⑤合理种植绿化隔离带。</w:t>
            </w:r>
          </w:p>
        </w:tc>
        <w:tc>
          <w:tcPr>
            <w:tcW w:w="352"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46"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排放到大气环境</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326"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40" w:right="146"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71"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40" w:right="146"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4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40" w:right="146"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479" w:type="pct"/>
            <w:tcBorders>
              <w:tl2br w:val="nil"/>
              <w:tr2bl w:val="nil"/>
            </w:tcBorders>
            <w:noWrap w:val="0"/>
            <w:vAlign w:val="center"/>
          </w:tcPr>
          <w:p>
            <w:pPr>
              <w:pStyle w:val="2177"/>
              <w:keepNext w:val="0"/>
              <w:keepLines w:val="0"/>
              <w:widowControl/>
              <w:suppressLineNumbers w:val="0"/>
              <w:snapToGrid w:val="0"/>
              <w:spacing w:before="0" w:beforeAutospacing="0" w:after="0" w:afterAutospacing="0" w:line="360" w:lineRule="exact"/>
              <w:ind w:left="0" w:right="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0.0596</w:t>
            </w:r>
          </w:p>
        </w:tc>
        <w:tc>
          <w:tcPr>
            <w:tcW w:w="531" w:type="pct"/>
            <w:tcBorders>
              <w:tl2br w:val="nil"/>
              <w:tr2bl w:val="nil"/>
            </w:tcBorders>
            <w:noWrap w:val="0"/>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
              </w:rPr>
              <w:t>0.0119</w:t>
            </w:r>
          </w:p>
        </w:tc>
        <w:tc>
          <w:tcPr>
            <w:tcW w:w="2389"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41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5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41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326"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61"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环保</w:t>
            </w:r>
            <w:r>
              <w:rPr>
                <w:rFonts w:hint="default" w:ascii="Times New Roman" w:hAnsi="Times New Roman" w:eastAsia="宋体" w:cs="Times New Roman"/>
                <w:color w:val="auto"/>
                <w:w w:val="99"/>
                <w:kern w:val="0"/>
                <w:sz w:val="21"/>
                <w:szCs w:val="21"/>
                <w:highlight w:val="none"/>
                <w:lang w:val="en-US" w:eastAsia="zh-CN" w:bidi="ar-SA"/>
              </w:rPr>
              <w:t xml:space="preserve"> </w:t>
            </w:r>
            <w:r>
              <w:rPr>
                <w:rFonts w:hint="default" w:ascii="Times New Roman" w:hAnsi="Times New Roman" w:eastAsia="宋体" w:cs="Times New Roman"/>
                <w:color w:val="auto"/>
                <w:kern w:val="0"/>
                <w:sz w:val="21"/>
                <w:szCs w:val="21"/>
                <w:highlight w:val="none"/>
                <w:lang w:val="en-US" w:eastAsia="zh-CN" w:bidi="ar-SA"/>
              </w:rPr>
              <w:t>设施区</w:t>
            </w:r>
          </w:p>
        </w:tc>
        <w:tc>
          <w:tcPr>
            <w:tcW w:w="271"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污水处理站恶臭</w:t>
            </w:r>
          </w:p>
        </w:tc>
        <w:tc>
          <w:tcPr>
            <w:tcW w:w="242"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有组织</w:t>
            </w: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47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0.045</w:t>
            </w:r>
          </w:p>
        </w:tc>
        <w:tc>
          <w:tcPr>
            <w:tcW w:w="531"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0.000225</w:t>
            </w:r>
          </w:p>
        </w:tc>
        <w:tc>
          <w:tcPr>
            <w:tcW w:w="2389"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“碱液喷淋+生物过滤法”处理后经15m高排气筒</w:t>
            </w:r>
            <w:r>
              <w:rPr>
                <w:rFonts w:hint="default" w:ascii="Times New Roman" w:hAnsi="Times New Roman" w:eastAsia="宋体" w:cs="Times New Roman"/>
                <w:color w:val="auto"/>
                <w:sz w:val="21"/>
                <w:szCs w:val="21"/>
                <w:highlight w:val="none"/>
                <w:lang w:eastAsia="zh-CN"/>
              </w:rPr>
              <w:t>（DA002</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排放</w:t>
            </w:r>
          </w:p>
        </w:tc>
        <w:tc>
          <w:tcPr>
            <w:tcW w:w="35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326"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61"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71"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4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47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0.0018</w:t>
            </w:r>
          </w:p>
        </w:tc>
        <w:tc>
          <w:tcPr>
            <w:tcW w:w="531"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0.000009</w:t>
            </w:r>
          </w:p>
        </w:tc>
        <w:tc>
          <w:tcPr>
            <w:tcW w:w="2389"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35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326"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61"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71"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42"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无组织</w:t>
            </w: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47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0.00225</w:t>
            </w:r>
          </w:p>
        </w:tc>
        <w:tc>
          <w:tcPr>
            <w:tcW w:w="531"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0.000225</w:t>
            </w:r>
          </w:p>
        </w:tc>
        <w:tc>
          <w:tcPr>
            <w:tcW w:w="2389"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①选用合适设备，并进行密闭；②设置于场地地势较低处，利用地势高差减少废水在圈舍及集污池的停留时间；③投放吸附剂、除臭剂，定期进行杀虫灭蝇工作；④加强污水处理系统周边的绿化</w:t>
            </w:r>
          </w:p>
        </w:tc>
        <w:tc>
          <w:tcPr>
            <w:tcW w:w="35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326"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71"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4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47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0.00009</w:t>
            </w:r>
          </w:p>
        </w:tc>
        <w:tc>
          <w:tcPr>
            <w:tcW w:w="531"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0.000009</w:t>
            </w:r>
          </w:p>
        </w:tc>
        <w:tc>
          <w:tcPr>
            <w:tcW w:w="2389"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358"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5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358"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598" w:type="pct"/>
            <w:gridSpan w:val="2"/>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干粪棚</w:t>
            </w:r>
          </w:p>
        </w:tc>
        <w:tc>
          <w:tcPr>
            <w:tcW w:w="242"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有组织</w:t>
            </w: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47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0.0134</w:t>
            </w:r>
          </w:p>
        </w:tc>
        <w:tc>
          <w:tcPr>
            <w:tcW w:w="531"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0.0012</w:t>
            </w:r>
          </w:p>
        </w:tc>
        <w:tc>
          <w:tcPr>
            <w:tcW w:w="2389"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负压收集后的废气经生物滤池处理后经15m高排气筒</w:t>
            </w:r>
            <w:r>
              <w:rPr>
                <w:rFonts w:hint="default" w:ascii="Times New Roman" w:hAnsi="Times New Roman" w:eastAsia="宋体" w:cs="Times New Roman"/>
                <w:color w:val="auto"/>
                <w:sz w:val="21"/>
                <w:szCs w:val="21"/>
                <w:highlight w:val="none"/>
                <w:lang w:eastAsia="zh-CN"/>
              </w:rPr>
              <w:t>（DA00</w:t>
            </w:r>
            <w:r>
              <w:rPr>
                <w:rFonts w:hint="default" w:ascii="Times New Roman" w:hAnsi="Times New Roman" w:eastAsia="宋体" w:cs="Times New Roman"/>
                <w:color w:val="auto"/>
                <w:sz w:val="21"/>
                <w:szCs w:val="21"/>
                <w:highlight w:val="none"/>
                <w:lang w:val="en-US" w:eastAsia="zh-CN"/>
              </w:rPr>
              <w:t>1）排放</w:t>
            </w:r>
          </w:p>
        </w:tc>
        <w:tc>
          <w:tcPr>
            <w:tcW w:w="35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598" w:type="pct"/>
            <w:gridSpan w:val="2"/>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4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47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0.0027</w:t>
            </w:r>
          </w:p>
        </w:tc>
        <w:tc>
          <w:tcPr>
            <w:tcW w:w="531"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0.0002</w:t>
            </w:r>
          </w:p>
        </w:tc>
        <w:tc>
          <w:tcPr>
            <w:tcW w:w="2389"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358"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5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358"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598" w:type="pct"/>
            <w:gridSpan w:val="2"/>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42"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无组织</w:t>
            </w: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position w:val="2"/>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47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0.00134</w:t>
            </w:r>
          </w:p>
        </w:tc>
        <w:tc>
          <w:tcPr>
            <w:tcW w:w="531"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0.0001</w:t>
            </w:r>
          </w:p>
        </w:tc>
        <w:tc>
          <w:tcPr>
            <w:tcW w:w="2389"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①产生的干粪日产日清，保持干粪棚的清洁和干燥；②加强消毒；③夏季在干粪棚内投放吸附剂、除臭剂；④对不能及时清运的干粪，投洒除臭剂、EM菌液；⑤加强周边绿化等。</w:t>
            </w:r>
          </w:p>
        </w:tc>
        <w:tc>
          <w:tcPr>
            <w:tcW w:w="35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358"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598" w:type="pct"/>
            <w:gridSpan w:val="2"/>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4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 w:rightChars="0" w:firstLine="0" w:firstLineChars="0"/>
              <w:jc w:val="center"/>
              <w:rPr>
                <w:rFonts w:hint="default" w:ascii="Times New Roman" w:hAnsi="Times New Roman" w:eastAsia="宋体" w:cs="Times New Roman"/>
                <w:color w:val="auto"/>
                <w:kern w:val="0"/>
                <w:position w:val="2"/>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47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0.00027</w:t>
            </w:r>
          </w:p>
        </w:tc>
        <w:tc>
          <w:tcPr>
            <w:tcW w:w="531"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0.00003</w:t>
            </w:r>
          </w:p>
        </w:tc>
        <w:tc>
          <w:tcPr>
            <w:tcW w:w="2389"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358"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5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358"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598" w:type="pct"/>
            <w:gridSpan w:val="2"/>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沼气</w:t>
            </w:r>
          </w:p>
        </w:tc>
        <w:tc>
          <w:tcPr>
            <w:tcW w:w="242"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无组织</w:t>
            </w: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SO</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p>
        </w:tc>
        <w:tc>
          <w:tcPr>
            <w:tcW w:w="79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1.58</w:t>
            </w:r>
            <w:r>
              <w:rPr>
                <w:rFonts w:hint="default" w:ascii="Arial" w:hAnsi="Arial" w:eastAsia="宋体" w:cs="Arial"/>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-4</w:t>
            </w:r>
          </w:p>
        </w:tc>
        <w:tc>
          <w:tcPr>
            <w:tcW w:w="882"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1.58</w:t>
            </w:r>
            <w:r>
              <w:rPr>
                <w:rFonts w:hint="default" w:ascii="Arial" w:hAnsi="Arial" w:eastAsia="宋体" w:cs="Arial"/>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-4</w:t>
            </w:r>
          </w:p>
        </w:tc>
        <w:tc>
          <w:tcPr>
            <w:tcW w:w="2389"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沼气脱水脱硫处理+燃烧回用</w:t>
            </w:r>
            <w:r>
              <w:rPr>
                <w:rFonts w:hint="eastAsia" w:ascii="Times New Roman" w:hAnsi="Times New Roman" w:eastAsia="宋体" w:cs="Times New Roman"/>
                <w:color w:val="auto"/>
                <w:kern w:val="0"/>
                <w:sz w:val="21"/>
                <w:szCs w:val="21"/>
                <w:highlight w:val="none"/>
                <w:lang w:val="en-US" w:eastAsia="zh-CN" w:bidi="ar-SA"/>
              </w:rPr>
              <w:t>及发电回用</w:t>
            </w:r>
          </w:p>
        </w:tc>
        <w:tc>
          <w:tcPr>
            <w:tcW w:w="35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598" w:type="pct"/>
            <w:gridSpan w:val="2"/>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245"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4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245"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NOx</w:t>
            </w:r>
          </w:p>
        </w:tc>
        <w:tc>
          <w:tcPr>
            <w:tcW w:w="79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2.65</w:t>
            </w:r>
            <w:r>
              <w:rPr>
                <w:rFonts w:hint="default" w:ascii="Arial" w:hAnsi="Arial" w:eastAsia="宋体" w:cs="Arial"/>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882"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2.65</w:t>
            </w:r>
            <w:r>
              <w:rPr>
                <w:rFonts w:hint="default" w:ascii="Arial" w:hAnsi="Arial" w:eastAsia="宋体" w:cs="Arial"/>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2389"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461"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5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461"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840" w:type="pct"/>
            <w:gridSpan w:val="3"/>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食堂油烟废气</w:t>
            </w: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油烟</w:t>
            </w:r>
          </w:p>
        </w:tc>
        <w:tc>
          <w:tcPr>
            <w:tcW w:w="479"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0.02628</w:t>
            </w:r>
          </w:p>
        </w:tc>
        <w:tc>
          <w:tcPr>
            <w:tcW w:w="531"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0.00657</w:t>
            </w:r>
          </w:p>
        </w:tc>
        <w:tc>
          <w:tcPr>
            <w:tcW w:w="2389"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油烟净化器+排烟管道</w:t>
            </w:r>
          </w:p>
        </w:tc>
        <w:tc>
          <w:tcPr>
            <w:tcW w:w="352"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屋顶高空排放</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840" w:type="pct"/>
            <w:gridSpan w:val="3"/>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柴油发电机废气</w:t>
            </w:r>
          </w:p>
        </w:tc>
        <w:tc>
          <w:tcPr>
            <w:tcW w:w="40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CO、HC、NOx</w:t>
            </w:r>
          </w:p>
        </w:tc>
        <w:tc>
          <w:tcPr>
            <w:tcW w:w="3753" w:type="pct"/>
            <w:gridSpan w:val="4"/>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由自身携带的废气净化装置处理，处理后经抽排风系统抽至排风口处排放</w:t>
            </w:r>
          </w:p>
        </w:tc>
      </w:tr>
    </w:tbl>
    <w:p>
      <w:pPr>
        <w:pStyle w:val="9"/>
        <w:bidi w:val="0"/>
        <w:rPr>
          <w:rFonts w:hint="default" w:ascii="Times New Roman" w:hAnsi="Times New Roman" w:eastAsia="宋体" w:cs="Times New Roman"/>
          <w:color w:val="auto"/>
          <w:sz w:val="24"/>
          <w:szCs w:val="24"/>
          <w:highlight w:val="none"/>
        </w:rPr>
      </w:pPr>
      <w:r>
        <w:rPr>
          <w:rFonts w:hint="eastAsia" w:eastAsia="宋体" w:cs="Times New Roman"/>
          <w:color w:val="auto"/>
          <w:sz w:val="24"/>
          <w:szCs w:val="24"/>
          <w:highlight w:val="none"/>
          <w:lang w:eastAsia="zh-CN"/>
        </w:rPr>
        <w:t>运营期废水产生、治理及排放</w:t>
      </w:r>
    </w:p>
    <w:p>
      <w:pPr>
        <w:ind w:firstLine="480"/>
        <w:rPr>
          <w:rFonts w:hint="eastAsia"/>
          <w:color w:val="auto"/>
          <w:sz w:val="24"/>
          <w:szCs w:val="24"/>
          <w:highlight w:val="none"/>
        </w:rPr>
      </w:pPr>
      <w:r>
        <w:rPr>
          <w:rFonts w:hint="eastAsia"/>
          <w:color w:val="auto"/>
          <w:sz w:val="24"/>
          <w:szCs w:val="24"/>
          <w:highlight w:val="none"/>
        </w:rPr>
        <w:t>本项目废水主要</w:t>
      </w:r>
      <w:r>
        <w:rPr>
          <w:rFonts w:hint="eastAsia"/>
          <w:color w:val="auto"/>
          <w:sz w:val="24"/>
          <w:szCs w:val="24"/>
          <w:highlight w:val="none"/>
          <w:lang w:eastAsia="zh-CN"/>
        </w:rPr>
        <w:t>为生产废水和生活废水，生产废水主要为</w:t>
      </w:r>
      <w:r>
        <w:rPr>
          <w:rFonts w:hint="eastAsia"/>
          <w:color w:val="auto"/>
          <w:sz w:val="24"/>
          <w:szCs w:val="24"/>
          <w:highlight w:val="none"/>
        </w:rPr>
        <w:t>养殖过程中产生的尿液、</w:t>
      </w:r>
      <w:r>
        <w:rPr>
          <w:rFonts w:hint="eastAsia"/>
          <w:color w:val="auto"/>
          <w:sz w:val="24"/>
          <w:szCs w:val="24"/>
          <w:highlight w:val="none"/>
          <w:lang w:eastAsia="zh-CN"/>
        </w:rPr>
        <w:t>饲槽</w:t>
      </w:r>
      <w:r>
        <w:rPr>
          <w:rFonts w:hint="eastAsia"/>
          <w:color w:val="auto"/>
          <w:sz w:val="24"/>
          <w:szCs w:val="24"/>
          <w:highlight w:val="none"/>
        </w:rPr>
        <w:t>清洗废水</w:t>
      </w:r>
      <w:r>
        <w:rPr>
          <w:rFonts w:hint="eastAsia"/>
          <w:color w:val="auto"/>
          <w:sz w:val="24"/>
          <w:szCs w:val="24"/>
          <w:highlight w:val="none"/>
          <w:lang w:eastAsia="zh-CN"/>
        </w:rPr>
        <w:t>等</w:t>
      </w:r>
      <w:r>
        <w:rPr>
          <w:rFonts w:hint="eastAsia"/>
          <w:color w:val="auto"/>
          <w:sz w:val="24"/>
          <w:szCs w:val="24"/>
          <w:highlight w:val="none"/>
        </w:rPr>
        <w:t>；生活污水主要为职工办公、食堂餐饮废水。</w:t>
      </w:r>
    </w:p>
    <w:p>
      <w:pPr>
        <w:ind w:firstLine="482"/>
        <w:rPr>
          <w:b/>
          <w:color w:val="auto"/>
          <w:sz w:val="24"/>
          <w:szCs w:val="24"/>
          <w:highlight w:val="none"/>
        </w:rPr>
      </w:pPr>
      <w:r>
        <w:rPr>
          <w:b/>
          <w:color w:val="auto"/>
          <w:sz w:val="24"/>
          <w:szCs w:val="24"/>
          <w:highlight w:val="none"/>
        </w:rPr>
        <w:t>（1）养殖废水</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为避免</w:t>
      </w:r>
      <w:r>
        <w:rPr>
          <w:rFonts w:hint="eastAsia" w:ascii="Times New Roman" w:hAnsi="Times New Roman" w:cs="Times New Roman"/>
          <w:color w:val="auto"/>
          <w:sz w:val="24"/>
          <w:szCs w:val="24"/>
          <w:highlight w:val="none"/>
          <w:lang w:eastAsia="zh-CN"/>
        </w:rPr>
        <w:t>牛</w:t>
      </w:r>
      <w:r>
        <w:rPr>
          <w:rFonts w:hint="default" w:ascii="Times New Roman" w:hAnsi="Times New Roman" w:cs="Times New Roman"/>
          <w:color w:val="auto"/>
          <w:sz w:val="24"/>
          <w:szCs w:val="24"/>
          <w:highlight w:val="none"/>
        </w:rPr>
        <w:t>传染病的发生，</w:t>
      </w:r>
      <w:r>
        <w:rPr>
          <w:rFonts w:hint="eastAsia" w:ascii="Times New Roman" w:hAnsi="Times New Roman" w:cs="Times New Roman"/>
          <w:color w:val="auto"/>
          <w:sz w:val="24"/>
          <w:szCs w:val="24"/>
          <w:highlight w:val="none"/>
          <w:lang w:eastAsia="zh-CN"/>
        </w:rPr>
        <w:t>肉牛</w:t>
      </w:r>
      <w:r>
        <w:rPr>
          <w:rFonts w:hint="default" w:ascii="Times New Roman" w:hAnsi="Times New Roman" w:cs="Times New Roman"/>
          <w:color w:val="auto"/>
          <w:sz w:val="24"/>
          <w:szCs w:val="24"/>
          <w:highlight w:val="none"/>
        </w:rPr>
        <w:t>需要一个良好的生长环境，</w:t>
      </w:r>
      <w:r>
        <w:rPr>
          <w:rFonts w:hint="eastAsia" w:ascii="Times New Roman" w:hAnsi="Times New Roman" w:cs="Times New Roman"/>
          <w:color w:val="auto"/>
          <w:sz w:val="24"/>
          <w:szCs w:val="24"/>
          <w:highlight w:val="none"/>
          <w:lang w:eastAsia="zh-CN"/>
        </w:rPr>
        <w:t>牛</w:t>
      </w:r>
      <w:r>
        <w:rPr>
          <w:rFonts w:hint="default" w:ascii="Times New Roman" w:hAnsi="Times New Roman" w:cs="Times New Roman"/>
          <w:color w:val="auto"/>
          <w:sz w:val="24"/>
          <w:szCs w:val="24"/>
          <w:highlight w:val="none"/>
        </w:rPr>
        <w:t>舍需保持干燥、清洁，</w:t>
      </w:r>
      <w:r>
        <w:rPr>
          <w:rFonts w:hint="eastAsia" w:ascii="Times New Roman" w:hAnsi="Times New Roman" w:cs="Times New Roman"/>
          <w:color w:val="auto"/>
          <w:sz w:val="24"/>
          <w:szCs w:val="24"/>
          <w:highlight w:val="none"/>
          <w:lang w:eastAsia="zh-CN"/>
        </w:rPr>
        <w:t>牛舍</w:t>
      </w:r>
      <w:r>
        <w:rPr>
          <w:rFonts w:hint="default" w:ascii="Times New Roman" w:hAnsi="Times New Roman" w:cs="Times New Roman"/>
          <w:color w:val="auto"/>
          <w:sz w:val="24"/>
          <w:szCs w:val="24"/>
          <w:highlight w:val="none"/>
        </w:rPr>
        <w:t>用具及环境需定期冲洗和消毒。调研同类规模</w:t>
      </w:r>
      <w:r>
        <w:rPr>
          <w:rFonts w:hint="eastAsia" w:ascii="Times New Roman" w:hAnsi="Times New Roman" w:cs="Times New Roman"/>
          <w:color w:val="auto"/>
          <w:sz w:val="24"/>
          <w:szCs w:val="24"/>
          <w:highlight w:val="none"/>
          <w:lang w:eastAsia="zh-CN"/>
        </w:rPr>
        <w:t>肉牛养殖场</w:t>
      </w:r>
      <w:r>
        <w:rPr>
          <w:rFonts w:hint="default" w:ascii="Times New Roman" w:hAnsi="Times New Roman" w:cs="Times New Roman"/>
          <w:color w:val="auto"/>
          <w:sz w:val="24"/>
          <w:szCs w:val="24"/>
          <w:highlight w:val="none"/>
        </w:rPr>
        <w:t>及参考《畜禽养殖业污染治理工程技术规范》(HJ 497-2009)表A.1中提供的参考数据</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根据项目水平衡分析，运营期</w:t>
      </w:r>
      <w:r>
        <w:rPr>
          <w:rFonts w:hint="eastAsia" w:ascii="Times New Roman" w:hAnsi="Times New Roman" w:cs="Times New Roman"/>
          <w:color w:val="auto"/>
          <w:sz w:val="24"/>
          <w:szCs w:val="24"/>
          <w:highlight w:val="none"/>
          <w:lang w:eastAsia="zh-CN"/>
        </w:rPr>
        <w:t>牛</w:t>
      </w:r>
      <w:r>
        <w:rPr>
          <w:rFonts w:hint="default" w:ascii="Times New Roman" w:hAnsi="Times New Roman" w:cs="Times New Roman"/>
          <w:color w:val="auto"/>
          <w:sz w:val="24"/>
          <w:szCs w:val="24"/>
          <w:highlight w:val="none"/>
        </w:rPr>
        <w:t>尿、</w:t>
      </w:r>
      <w:r>
        <w:rPr>
          <w:rFonts w:hint="eastAsia" w:ascii="Times New Roman" w:hAnsi="Times New Roman" w:cs="Times New Roman"/>
          <w:color w:val="auto"/>
          <w:sz w:val="24"/>
          <w:szCs w:val="24"/>
          <w:highlight w:val="none"/>
          <w:lang w:eastAsia="zh-CN"/>
        </w:rPr>
        <w:t>牛</w:t>
      </w:r>
      <w:r>
        <w:rPr>
          <w:rFonts w:hint="default" w:ascii="Times New Roman" w:hAnsi="Times New Roman" w:cs="Times New Roman"/>
          <w:color w:val="auto"/>
          <w:sz w:val="24"/>
          <w:szCs w:val="24"/>
          <w:highlight w:val="none"/>
        </w:rPr>
        <w:t>粪脱水</w:t>
      </w:r>
      <w:r>
        <w:rPr>
          <w:rFonts w:hint="eastAsia" w:ascii="Times New Roman" w:hAnsi="Times New Roman" w:cs="Times New Roman"/>
          <w:color w:val="auto"/>
          <w:sz w:val="24"/>
          <w:szCs w:val="24"/>
          <w:highlight w:val="none"/>
          <w:lang w:eastAsia="zh-CN"/>
        </w:rPr>
        <w:t>、清洗</w:t>
      </w:r>
      <w:r>
        <w:rPr>
          <w:rFonts w:hint="default" w:ascii="Times New Roman" w:hAnsi="Times New Roman" w:cs="Times New Roman"/>
          <w:color w:val="auto"/>
          <w:sz w:val="24"/>
          <w:szCs w:val="24"/>
          <w:highlight w:val="none"/>
        </w:rPr>
        <w:t>废水</w:t>
      </w:r>
      <w:r>
        <w:rPr>
          <w:rFonts w:hint="eastAsia" w:ascii="Times New Roman" w:hAnsi="Times New Roman" w:cs="Times New Roman"/>
          <w:color w:val="auto"/>
          <w:sz w:val="24"/>
          <w:szCs w:val="24"/>
          <w:highlight w:val="none"/>
          <w:lang w:eastAsia="zh-CN"/>
        </w:rPr>
        <w:t>等养殖废水</w:t>
      </w:r>
      <w:r>
        <w:rPr>
          <w:rFonts w:hint="default" w:ascii="Times New Roman" w:hAnsi="Times New Roman" w:cs="Times New Roman"/>
          <w:color w:val="auto"/>
          <w:sz w:val="24"/>
          <w:szCs w:val="24"/>
          <w:highlight w:val="none"/>
        </w:rPr>
        <w:t>产生量约</w:t>
      </w:r>
      <w:r>
        <w:rPr>
          <w:rFonts w:hint="eastAsia" w:ascii="Times New Roman" w:hAnsi="Times New Roman" w:cs="Times New Roman"/>
          <w:color w:val="auto"/>
          <w:sz w:val="24"/>
          <w:szCs w:val="24"/>
          <w:highlight w:val="none"/>
          <w:lang w:val="en-US" w:eastAsia="zh-CN"/>
        </w:rPr>
        <w:t>237.56</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/d，合计</w:t>
      </w:r>
      <w:r>
        <w:rPr>
          <w:rFonts w:hint="eastAsia" w:ascii="Times New Roman" w:hAnsi="Times New Roman" w:cs="Times New Roman"/>
          <w:color w:val="auto"/>
          <w:sz w:val="24"/>
          <w:szCs w:val="24"/>
          <w:highlight w:val="none"/>
          <w:lang w:val="en-US" w:eastAsia="zh-CN"/>
        </w:rPr>
        <w:t>86709.4</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/a。</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本项目采取干清粪工艺，水质浓度参考</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畜禽养殖业污染治理工程技术规范（HJ497-2009）中对畜禽养殖废水中污染物质量浓度的标准值，如下表所示：</w:t>
      </w:r>
    </w:p>
    <w:p>
      <w:pPr>
        <w:pStyle w:val="2504"/>
        <w:numPr>
          <w:ilvl w:val="0"/>
          <w:numId w:val="25"/>
        </w:numPr>
        <w:spacing w:before="120"/>
        <w:ind w:left="0" w:leftChars="0" w:firstLine="403" w:firstLineChars="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 xml:space="preserve">   </w:t>
      </w:r>
      <w:r>
        <w:rPr>
          <w:rFonts w:hint="eastAsia" w:ascii="Times New Roman" w:hAnsi="Times New Roman" w:cs="Times New Roman"/>
          <w:color w:val="auto"/>
          <w:sz w:val="21"/>
          <w:szCs w:val="21"/>
          <w:highlight w:val="none"/>
          <w:lang w:val="en-US" w:eastAsia="zh-CN"/>
        </w:rPr>
        <w:t>畜禽养殖场废水中的污染物质量浓度和pH值  单位：mg/L（pH无量纲）</w:t>
      </w:r>
    </w:p>
    <w:tbl>
      <w:tblPr>
        <w:tblStyle w:val="91"/>
        <w:tblW w:w="4998" w:type="pct"/>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1578"/>
        <w:gridCol w:w="1593"/>
        <w:gridCol w:w="1461"/>
        <w:gridCol w:w="1134"/>
        <w:gridCol w:w="717"/>
        <w:gridCol w:w="615"/>
        <w:gridCol w:w="1205"/>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rPr>
          <w:jc w:val="center"/>
        </w:trPr>
        <w:tc>
          <w:tcPr>
            <w:tcW w:w="950" w:type="pct"/>
            <w:noWrap w:val="0"/>
            <w:vAlign w:val="center"/>
          </w:tcPr>
          <w:p>
            <w:pPr>
              <w:pStyle w:val="167"/>
              <w:keepNext w:val="0"/>
              <w:keepLines w:val="0"/>
              <w:suppressLineNumbers w:val="0"/>
              <w:kinsoku w:val="0"/>
              <w:overflowPunct w:val="0"/>
              <w:spacing w:before="0" w:beforeAutospacing="0" w:after="0" w:afterAutospacing="0" w:line="241" w:lineRule="exact"/>
              <w:ind w:left="0" w:right="0"/>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养殖</w:t>
            </w:r>
            <w:r>
              <w:rPr>
                <w:rFonts w:hint="eastAsia" w:ascii="Times New Roman" w:hAnsi="Times New Roman" w:cs="Times New Roman"/>
                <w:color w:val="auto"/>
                <w:sz w:val="21"/>
                <w:szCs w:val="21"/>
                <w:highlight w:val="none"/>
                <w:lang w:eastAsia="zh-CN"/>
              </w:rPr>
              <w:t>种类</w:t>
            </w:r>
          </w:p>
        </w:tc>
        <w:tc>
          <w:tcPr>
            <w:tcW w:w="959" w:type="pct"/>
            <w:noWrap w:val="0"/>
            <w:vAlign w:val="center"/>
          </w:tcPr>
          <w:p>
            <w:pPr>
              <w:pStyle w:val="167"/>
              <w:keepNext w:val="0"/>
              <w:keepLines w:val="0"/>
              <w:suppressLineNumbers w:val="0"/>
              <w:kinsoku w:val="0"/>
              <w:overflowPunct w:val="0"/>
              <w:spacing w:before="0" w:beforeAutospacing="0" w:after="0" w:afterAutospacing="0" w:line="241" w:lineRule="exact"/>
              <w:ind w:left="0" w:right="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清粪方式</w:t>
            </w:r>
          </w:p>
        </w:tc>
        <w:tc>
          <w:tcPr>
            <w:tcW w:w="879" w:type="pct"/>
            <w:noWrap w:val="0"/>
            <w:vAlign w:val="center"/>
          </w:tcPr>
          <w:p>
            <w:pPr>
              <w:pStyle w:val="167"/>
              <w:keepNext w:val="0"/>
              <w:keepLines w:val="0"/>
              <w:suppressLineNumbers w:val="0"/>
              <w:kinsoku w:val="0"/>
              <w:overflowPunct w:val="0"/>
              <w:spacing w:before="12"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position w:val="2"/>
                <w:sz w:val="21"/>
                <w:szCs w:val="21"/>
                <w:highlight w:val="none"/>
              </w:rPr>
              <w:t>COD</w:t>
            </w:r>
            <w:r>
              <w:rPr>
                <w:rFonts w:hint="default" w:ascii="Times New Roman" w:hAnsi="Times New Roman" w:eastAsia="宋体" w:cs="Times New Roman"/>
                <w:color w:val="auto"/>
                <w:sz w:val="21"/>
                <w:szCs w:val="21"/>
                <w:highlight w:val="none"/>
              </w:rPr>
              <w:t>cr</w:t>
            </w:r>
          </w:p>
        </w:tc>
        <w:tc>
          <w:tcPr>
            <w:tcW w:w="682" w:type="pct"/>
            <w:noWrap w:val="0"/>
            <w:vAlign w:val="center"/>
          </w:tcPr>
          <w:p>
            <w:pPr>
              <w:pStyle w:val="167"/>
              <w:keepNext w:val="0"/>
              <w:keepLines w:val="0"/>
              <w:suppressLineNumbers w:val="0"/>
              <w:kinsoku w:val="0"/>
              <w:overflowPunct w:val="0"/>
              <w:spacing w:before="0" w:beforeAutospacing="0" w:after="0" w:afterAutospacing="0" w:line="241" w:lineRule="exac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rPr>
              <w:t>-N</w:t>
            </w:r>
          </w:p>
        </w:tc>
        <w:tc>
          <w:tcPr>
            <w:tcW w:w="430" w:type="pct"/>
            <w:noWrap w:val="0"/>
            <w:vAlign w:val="center"/>
          </w:tcPr>
          <w:p>
            <w:pPr>
              <w:pStyle w:val="167"/>
              <w:keepNext w:val="0"/>
              <w:keepLines w:val="0"/>
              <w:suppressLineNumbers w:val="0"/>
              <w:kinsoku w:val="0"/>
              <w:overflowPunct w:val="0"/>
              <w:spacing w:before="0" w:beforeAutospacing="0" w:after="0" w:afterAutospacing="0" w:line="241" w:lineRule="exact"/>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T</w:t>
            </w:r>
            <w:r>
              <w:rPr>
                <w:rFonts w:hint="eastAsia" w:ascii="Times New Roman" w:hAnsi="Times New Roman" w:cs="Times New Roman"/>
                <w:color w:val="auto"/>
                <w:sz w:val="21"/>
                <w:szCs w:val="21"/>
                <w:highlight w:val="none"/>
                <w:lang w:val="en-US" w:eastAsia="zh-CN"/>
              </w:rPr>
              <w:t>N</w:t>
            </w:r>
          </w:p>
        </w:tc>
        <w:tc>
          <w:tcPr>
            <w:tcW w:w="370" w:type="pct"/>
            <w:noWrap w:val="0"/>
            <w:vAlign w:val="center"/>
          </w:tcPr>
          <w:p>
            <w:pPr>
              <w:pStyle w:val="167"/>
              <w:keepNext w:val="0"/>
              <w:keepLines w:val="0"/>
              <w:suppressLineNumbers w:val="0"/>
              <w:kinsoku w:val="0"/>
              <w:overflowPunct w:val="0"/>
              <w:spacing w:before="0" w:beforeAutospacing="0" w:after="0" w:afterAutospacing="0" w:line="241" w:lineRule="exact"/>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T</w:t>
            </w:r>
            <w:r>
              <w:rPr>
                <w:rFonts w:hint="eastAsia" w:ascii="Times New Roman" w:hAnsi="Times New Roman" w:cs="Times New Roman"/>
                <w:color w:val="auto"/>
                <w:sz w:val="21"/>
                <w:szCs w:val="21"/>
                <w:highlight w:val="none"/>
                <w:lang w:val="en-US" w:eastAsia="zh-CN"/>
              </w:rPr>
              <w:t>P</w:t>
            </w:r>
          </w:p>
        </w:tc>
        <w:tc>
          <w:tcPr>
            <w:tcW w:w="725" w:type="pct"/>
            <w:noWrap w:val="0"/>
            <w:vAlign w:val="center"/>
          </w:tcPr>
          <w:p>
            <w:pPr>
              <w:pStyle w:val="167"/>
              <w:keepNext w:val="0"/>
              <w:keepLines w:val="0"/>
              <w:suppressLineNumbers w:val="0"/>
              <w:kinsoku w:val="0"/>
              <w:overflowPunct w:val="0"/>
              <w:spacing w:before="0" w:beforeAutospacing="0" w:after="0" w:afterAutospacing="0" w:line="241" w:lineRule="exact"/>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pH</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rPr>
          <w:jc w:val="center"/>
        </w:trPr>
        <w:tc>
          <w:tcPr>
            <w:tcW w:w="950" w:type="pct"/>
            <w:noWrap w:val="0"/>
            <w:vAlign w:val="center"/>
          </w:tcPr>
          <w:p>
            <w:pPr>
              <w:pStyle w:val="167"/>
              <w:keepNext w:val="0"/>
              <w:keepLines w:val="0"/>
              <w:suppressLineNumbers w:val="0"/>
              <w:kinsoku w:val="0"/>
              <w:overflowPunct w:val="0"/>
              <w:spacing w:before="0" w:beforeAutospacing="0" w:after="0" w:afterAutospacing="0" w:line="274"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肉牛</w:t>
            </w:r>
          </w:p>
        </w:tc>
        <w:tc>
          <w:tcPr>
            <w:tcW w:w="959"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干清粪</w:t>
            </w:r>
          </w:p>
        </w:tc>
        <w:tc>
          <w:tcPr>
            <w:tcW w:w="879"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8.87</w:t>
            </w:r>
            <w:r>
              <w:rPr>
                <w:rFonts w:hint="default" w:ascii="Arial" w:hAnsi="Arial" w:cs="Arial"/>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10</w:t>
            </w:r>
            <w:r>
              <w:rPr>
                <w:rFonts w:hint="eastAsia" w:ascii="Times New Roman" w:hAnsi="Times New Roman" w:cs="Times New Roman"/>
                <w:color w:val="auto"/>
                <w:sz w:val="21"/>
                <w:szCs w:val="21"/>
                <w:highlight w:val="none"/>
                <w:vertAlign w:val="superscript"/>
                <w:lang w:val="en-US" w:eastAsia="zh-CN"/>
              </w:rPr>
              <w:t>2</w:t>
            </w:r>
          </w:p>
        </w:tc>
        <w:tc>
          <w:tcPr>
            <w:tcW w:w="682"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2.21</w:t>
            </w:r>
            <w:r>
              <w:rPr>
                <w:rFonts w:hint="default" w:ascii="Arial" w:hAnsi="Arial" w:cs="Arial"/>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10</w:t>
            </w:r>
          </w:p>
        </w:tc>
        <w:tc>
          <w:tcPr>
            <w:tcW w:w="430"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4.11</w:t>
            </w:r>
            <w:r>
              <w:rPr>
                <w:rFonts w:hint="default" w:ascii="Arial" w:hAnsi="Arial" w:cs="Arial"/>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10</w:t>
            </w:r>
          </w:p>
        </w:tc>
        <w:tc>
          <w:tcPr>
            <w:tcW w:w="370"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5.33</w:t>
            </w:r>
          </w:p>
        </w:tc>
        <w:tc>
          <w:tcPr>
            <w:tcW w:w="725"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7.1</w:t>
            </w:r>
            <w:r>
              <w:rPr>
                <w:rFonts w:hint="default" w:ascii="Times New Roman" w:hAnsi="Times New Roman" w:eastAsia="宋体" w:cs="Times New Roman"/>
                <w:color w:val="auto"/>
                <w:sz w:val="21"/>
                <w:szCs w:val="21"/>
                <w:highlight w:val="none"/>
              </w:rPr>
              <w:t>~7.5</w:t>
            </w:r>
          </w:p>
        </w:tc>
      </w:tr>
    </w:tbl>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同时，BOD</w:t>
      </w:r>
      <w:r>
        <w:rPr>
          <w:rFonts w:hint="default" w:ascii="Times New Roman" w:hAnsi="Times New Roman" w:cs="Times New Roman"/>
          <w:color w:val="auto"/>
          <w:sz w:val="24"/>
          <w:szCs w:val="24"/>
          <w:highlight w:val="none"/>
          <w:vertAlign w:val="subscript"/>
        </w:rPr>
        <w:t>5</w:t>
      </w:r>
      <w:r>
        <w:rPr>
          <w:rFonts w:hint="default" w:ascii="Times New Roman" w:hAnsi="Times New Roman" w:cs="Times New Roman"/>
          <w:color w:val="auto"/>
          <w:sz w:val="24"/>
          <w:szCs w:val="24"/>
          <w:highlight w:val="none"/>
        </w:rPr>
        <w:t>、SS等水质浓度参同类型</w:t>
      </w:r>
      <w:r>
        <w:rPr>
          <w:rFonts w:hint="eastAsia" w:ascii="Times New Roman" w:hAnsi="Times New Roman" w:cs="Times New Roman"/>
          <w:color w:val="auto"/>
          <w:sz w:val="24"/>
          <w:szCs w:val="24"/>
          <w:highlight w:val="none"/>
          <w:lang w:eastAsia="zh-CN"/>
        </w:rPr>
        <w:t>肉</w:t>
      </w:r>
      <w:r>
        <w:rPr>
          <w:rFonts w:hint="default" w:ascii="Times New Roman" w:hAnsi="Times New Roman" w:cs="Times New Roman"/>
          <w:color w:val="auto"/>
          <w:sz w:val="24"/>
          <w:szCs w:val="24"/>
          <w:highlight w:val="none"/>
        </w:rPr>
        <w:t>牛养殖项目，据此确定本项目养殖废水主要污染因子及浓度，见下表：</w:t>
      </w:r>
    </w:p>
    <w:p>
      <w:pPr>
        <w:pStyle w:val="2504"/>
        <w:numPr>
          <w:ilvl w:val="0"/>
          <w:numId w:val="25"/>
        </w:numPr>
        <w:spacing w:before="120"/>
        <w:ind w:left="0" w:leftChars="0" w:firstLine="403"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项目</w:t>
      </w:r>
      <w:r>
        <w:rPr>
          <w:rFonts w:hint="eastAsia" w:ascii="Times New Roman" w:hAnsi="Times New Roman" w:cs="Times New Roman"/>
          <w:color w:val="auto"/>
          <w:highlight w:val="none"/>
          <w:lang w:eastAsia="zh-CN"/>
        </w:rPr>
        <w:t>养殖废水污染物生产情况</w:t>
      </w:r>
      <w:r>
        <w:rPr>
          <w:rFonts w:hint="default" w:ascii="Times New Roman" w:hAnsi="Times New Roman" w:cs="Times New Roman"/>
          <w:color w:val="auto"/>
          <w:highlight w:val="none"/>
        </w:rPr>
        <w:t>一览表</w:t>
      </w:r>
    </w:p>
    <w:tbl>
      <w:tblPr>
        <w:tblStyle w:val="91"/>
        <w:tblW w:w="4997"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732"/>
        <w:gridCol w:w="1374"/>
        <w:gridCol w:w="961"/>
        <w:gridCol w:w="848"/>
        <w:gridCol w:w="848"/>
        <w:gridCol w:w="848"/>
        <w:gridCol w:w="845"/>
        <w:gridCol w:w="845"/>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jc w:val="center"/>
        </w:trPr>
        <w:tc>
          <w:tcPr>
            <w:tcW w:w="878" w:type="pct"/>
            <w:noWrap w:val="0"/>
            <w:vAlign w:val="center"/>
          </w:tcPr>
          <w:p>
            <w:pPr>
              <w:pStyle w:val="167"/>
              <w:keepNext w:val="0"/>
              <w:keepLines w:val="0"/>
              <w:suppressLineNumbers w:val="0"/>
              <w:kinsoku w:val="0"/>
              <w:overflowPunct w:val="0"/>
              <w:spacing w:before="0" w:beforeAutospacing="0" w:after="0" w:afterAutospacing="0" w:line="240" w:lineRule="exact"/>
              <w:ind w:left="0" w:right="0"/>
              <w:jc w:val="center"/>
              <w:rPr>
                <w:rFonts w:hint="eastAsia" w:ascii="Times New Roman" w:hAnsi="Times New Roman" w:eastAsia="宋体" w:cs="Times New Roman"/>
                <w:b/>
                <w:color w:val="auto"/>
                <w:sz w:val="21"/>
                <w:szCs w:val="21"/>
                <w:highlight w:val="none"/>
                <w:lang w:eastAsia="zh-CN"/>
              </w:rPr>
            </w:pPr>
            <w:r>
              <w:rPr>
                <w:rFonts w:hint="eastAsia" w:ascii="Times New Roman" w:hAnsi="Times New Roman" w:cs="Times New Roman"/>
                <w:b/>
                <w:color w:val="auto"/>
                <w:sz w:val="21"/>
                <w:szCs w:val="21"/>
                <w:highlight w:val="none"/>
                <w:lang w:eastAsia="zh-CN"/>
              </w:rPr>
              <w:t>养殖废水</w:t>
            </w:r>
          </w:p>
        </w:tc>
        <w:tc>
          <w:tcPr>
            <w:tcW w:w="851" w:type="pct"/>
            <w:noWrap w:val="0"/>
            <w:vAlign w:val="center"/>
          </w:tcPr>
          <w:p>
            <w:pPr>
              <w:pStyle w:val="167"/>
              <w:keepNext w:val="0"/>
              <w:keepLines w:val="0"/>
              <w:suppressLineNumbers w:val="0"/>
              <w:kinsoku w:val="0"/>
              <w:overflowPunct w:val="0"/>
              <w:spacing w:before="0" w:beforeAutospacing="0" w:after="0" w:afterAutospacing="0" w:line="240" w:lineRule="exact"/>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污染物名称</w:t>
            </w:r>
          </w:p>
        </w:tc>
        <w:tc>
          <w:tcPr>
            <w:tcW w:w="602"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CODcr</w:t>
            </w:r>
          </w:p>
        </w:tc>
        <w:tc>
          <w:tcPr>
            <w:tcW w:w="534" w:type="pct"/>
            <w:noWrap w:val="0"/>
            <w:vAlign w:val="center"/>
          </w:tcPr>
          <w:p>
            <w:pPr>
              <w:pStyle w:val="167"/>
              <w:keepNext w:val="0"/>
              <w:keepLines w:val="0"/>
              <w:suppressLineNumbers w:val="0"/>
              <w:kinsoku w:val="0"/>
              <w:overflowPunct w:val="0"/>
              <w:spacing w:before="1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BOD</w:t>
            </w:r>
            <w:r>
              <w:rPr>
                <w:rFonts w:hint="default" w:ascii="Times New Roman" w:hAnsi="Times New Roman" w:eastAsia="宋体" w:cs="Times New Roman"/>
                <w:b/>
                <w:color w:val="auto"/>
                <w:sz w:val="21"/>
                <w:szCs w:val="21"/>
                <w:highlight w:val="none"/>
                <w:vertAlign w:val="subscript"/>
              </w:rPr>
              <w:t>5</w:t>
            </w:r>
          </w:p>
        </w:tc>
        <w:tc>
          <w:tcPr>
            <w:tcW w:w="534" w:type="pct"/>
            <w:noWrap w:val="0"/>
            <w:vAlign w:val="center"/>
          </w:tcPr>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SS</w:t>
            </w:r>
          </w:p>
        </w:tc>
        <w:tc>
          <w:tcPr>
            <w:tcW w:w="534" w:type="pct"/>
            <w:noWrap w:val="0"/>
            <w:vAlign w:val="center"/>
          </w:tcPr>
          <w:p>
            <w:pPr>
              <w:pStyle w:val="167"/>
              <w:keepNext w:val="0"/>
              <w:keepLines w:val="0"/>
              <w:suppressLineNumbers w:val="0"/>
              <w:kinsoku w:val="0"/>
              <w:overflowPunct w:val="0"/>
              <w:spacing w:before="1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NH</w:t>
            </w:r>
            <w:r>
              <w:rPr>
                <w:rFonts w:hint="default" w:ascii="Times New Roman" w:hAnsi="Times New Roman" w:eastAsia="宋体" w:cs="Times New Roman"/>
                <w:b/>
                <w:color w:val="auto"/>
                <w:position w:val="2"/>
                <w:sz w:val="21"/>
                <w:szCs w:val="21"/>
                <w:highlight w:val="none"/>
                <w:vertAlign w:val="subscript"/>
              </w:rPr>
              <w:t>3</w:t>
            </w:r>
            <w:r>
              <w:rPr>
                <w:rFonts w:hint="default" w:ascii="Times New Roman" w:hAnsi="Times New Roman" w:eastAsia="宋体" w:cs="Times New Roman"/>
                <w:b/>
                <w:color w:val="auto"/>
                <w:position w:val="2"/>
                <w:sz w:val="21"/>
                <w:szCs w:val="21"/>
                <w:highlight w:val="none"/>
              </w:rPr>
              <w:t>-N</w:t>
            </w:r>
          </w:p>
        </w:tc>
        <w:tc>
          <w:tcPr>
            <w:tcW w:w="532" w:type="pct"/>
            <w:noWrap w:val="0"/>
            <w:vAlign w:val="center"/>
          </w:tcPr>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TP</w:t>
            </w:r>
          </w:p>
        </w:tc>
        <w:tc>
          <w:tcPr>
            <w:tcW w:w="532" w:type="pct"/>
            <w:noWrap w:val="0"/>
            <w:vAlign w:val="center"/>
          </w:tcPr>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bCs w:val="0"/>
                <w:color w:val="auto"/>
                <w:sz w:val="21"/>
                <w:szCs w:val="21"/>
                <w:highlight w:val="none"/>
              </w:rPr>
            </w:pPr>
            <w:r>
              <w:rPr>
                <w:rFonts w:hint="default" w:ascii="Times New Roman" w:hAnsi="Times New Roman" w:cs="Times New Roman"/>
                <w:b/>
                <w:bCs w:val="0"/>
                <w:color w:val="auto"/>
                <w:sz w:val="21"/>
                <w:szCs w:val="21"/>
                <w:highlight w:val="none"/>
                <w:lang w:val="en-US" w:eastAsia="zh-CN"/>
              </w:rPr>
              <w:t>T</w:t>
            </w:r>
            <w:r>
              <w:rPr>
                <w:rFonts w:hint="eastAsia" w:ascii="Times New Roman" w:hAnsi="Times New Roman" w:cs="Times New Roman"/>
                <w:b/>
                <w:bCs w:val="0"/>
                <w:color w:val="auto"/>
                <w:sz w:val="21"/>
                <w:szCs w:val="21"/>
                <w:highlight w:val="none"/>
                <w:lang w:val="en-US" w:eastAsia="zh-CN"/>
              </w:rPr>
              <w:t>N</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jc w:val="center"/>
        </w:trPr>
        <w:tc>
          <w:tcPr>
            <w:tcW w:w="878" w:type="pct"/>
            <w:vMerge w:val="restart"/>
            <w:noWrap w:val="0"/>
            <w:vAlign w:val="center"/>
          </w:tcPr>
          <w:p>
            <w:pPr>
              <w:pStyle w:val="167"/>
              <w:keepNext w:val="0"/>
              <w:keepLines w:val="0"/>
              <w:suppressLineNumbers w:val="0"/>
              <w:kinsoku w:val="0"/>
              <w:overflowPunct w:val="0"/>
              <w:spacing w:before="34" w:beforeAutospacing="0" w:after="0" w:afterAutospacing="0"/>
              <w:ind w:left="0" w:right="243"/>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237.56</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/d</w:t>
            </w:r>
          </w:p>
          <w:p>
            <w:pPr>
              <w:pStyle w:val="167"/>
              <w:keepNext w:val="0"/>
              <w:keepLines w:val="0"/>
              <w:suppressLineNumbers w:val="0"/>
              <w:kinsoku w:val="0"/>
              <w:overflowPunct w:val="0"/>
              <w:spacing w:before="34" w:beforeAutospacing="0" w:after="0" w:afterAutospacing="0"/>
              <w:ind w:left="0" w:right="24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w:t>
            </w:r>
            <w:r>
              <w:rPr>
                <w:rFonts w:hint="eastAsia" w:ascii="Times New Roman" w:hAnsi="Times New Roman" w:cs="Times New Roman"/>
                <w:color w:val="auto"/>
                <w:sz w:val="21"/>
                <w:szCs w:val="21"/>
                <w:highlight w:val="none"/>
                <w:lang w:val="en-US" w:eastAsia="zh-CN"/>
              </w:rPr>
              <w:t>86709.4</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/a）</w:t>
            </w:r>
          </w:p>
        </w:tc>
        <w:tc>
          <w:tcPr>
            <w:tcW w:w="85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产生浓度（mg/L）</w:t>
            </w:r>
          </w:p>
        </w:tc>
        <w:tc>
          <w:tcPr>
            <w:tcW w:w="602" w:type="pct"/>
            <w:noWrap w:val="0"/>
            <w:vAlign w:val="center"/>
          </w:tcPr>
          <w:p>
            <w:pPr>
              <w:pStyle w:val="167"/>
              <w:keepNext w:val="0"/>
              <w:keepLines w:val="0"/>
              <w:suppressLineNumbers w:val="0"/>
              <w:kinsoku w:val="0"/>
              <w:overflowPunct w:val="0"/>
              <w:spacing w:before="15" w:beforeAutospacing="0" w:after="0" w:afterAutospacing="0"/>
              <w:ind w:left="0" w:right="1"/>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887</w:t>
            </w:r>
          </w:p>
        </w:tc>
        <w:tc>
          <w:tcPr>
            <w:tcW w:w="534"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266</w:t>
            </w:r>
          </w:p>
        </w:tc>
        <w:tc>
          <w:tcPr>
            <w:tcW w:w="534"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400</w:t>
            </w:r>
          </w:p>
        </w:tc>
        <w:tc>
          <w:tcPr>
            <w:tcW w:w="534"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22.1</w:t>
            </w:r>
          </w:p>
        </w:tc>
        <w:tc>
          <w:tcPr>
            <w:tcW w:w="532"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w w:val="99"/>
                <w:sz w:val="24"/>
                <w:szCs w:val="24"/>
                <w:highlight w:val="none"/>
                <w:lang w:val="en-US" w:eastAsia="zh-CN"/>
              </w:rPr>
              <w:t>5.33</w:t>
            </w:r>
          </w:p>
        </w:tc>
        <w:tc>
          <w:tcPr>
            <w:tcW w:w="532"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cs="Times New Roman"/>
                <w:color w:val="auto"/>
                <w:w w:val="99"/>
                <w:sz w:val="24"/>
                <w:szCs w:val="24"/>
                <w:highlight w:val="none"/>
                <w:lang w:val="en-US" w:eastAsia="zh-CN"/>
              </w:rPr>
            </w:pPr>
            <w:r>
              <w:rPr>
                <w:rFonts w:hint="default" w:ascii="Times New Roman" w:hAnsi="Times New Roman" w:cs="Times New Roman"/>
                <w:color w:val="auto"/>
                <w:w w:val="99"/>
                <w:sz w:val="24"/>
                <w:szCs w:val="24"/>
                <w:highlight w:val="none"/>
                <w:lang w:val="en-US" w:eastAsia="zh-CN"/>
              </w:rPr>
              <w:t>41.1</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jc w:val="center"/>
        </w:trPr>
        <w:tc>
          <w:tcPr>
            <w:tcW w:w="878" w:type="pct"/>
            <w:vMerge w:val="continue"/>
            <w:noWrap w:val="0"/>
            <w:vAlign w:val="center"/>
          </w:tcPr>
          <w:p>
            <w:pPr>
              <w:pStyle w:val="167"/>
              <w:keepNext w:val="0"/>
              <w:keepLines w:val="0"/>
              <w:suppressLineNumbers w:val="0"/>
              <w:kinsoku w:val="0"/>
              <w:overflowPunct w:val="0"/>
              <w:spacing w:before="15" w:beforeAutospacing="0" w:after="0" w:afterAutospacing="0"/>
              <w:ind w:left="0" w:right="0" w:firstLine="480"/>
              <w:jc w:val="center"/>
              <w:rPr>
                <w:rFonts w:hint="default" w:ascii="Times New Roman" w:hAnsi="Times New Roman" w:eastAsia="宋体" w:cs="Times New Roman"/>
                <w:color w:val="auto"/>
                <w:sz w:val="21"/>
                <w:szCs w:val="21"/>
                <w:highlight w:val="none"/>
              </w:rPr>
            </w:pPr>
          </w:p>
        </w:tc>
        <w:tc>
          <w:tcPr>
            <w:tcW w:w="85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产生量（t/a）</w:t>
            </w:r>
          </w:p>
        </w:tc>
        <w:tc>
          <w:tcPr>
            <w:tcW w:w="96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val="0"/>
                <w:iCs w:val="0"/>
                <w:color w:val="auto"/>
                <w:kern w:val="0"/>
                <w:sz w:val="24"/>
                <w:szCs w:val="24"/>
                <w:highlight w:val="none"/>
                <w:u w:val="none"/>
                <w:lang w:val="en-US" w:eastAsia="zh-CN" w:bidi="ar"/>
              </w:rPr>
              <w:t>76.91</w:t>
            </w:r>
          </w:p>
        </w:tc>
        <w:tc>
          <w:tcPr>
            <w:tcW w:w="84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val="0"/>
                <w:iCs w:val="0"/>
                <w:color w:val="auto"/>
                <w:kern w:val="0"/>
                <w:sz w:val="24"/>
                <w:szCs w:val="24"/>
                <w:highlight w:val="none"/>
                <w:u w:val="none"/>
                <w:lang w:val="en-US" w:eastAsia="zh-CN" w:bidi="ar"/>
              </w:rPr>
              <w:t>23.06</w:t>
            </w:r>
          </w:p>
        </w:tc>
        <w:tc>
          <w:tcPr>
            <w:tcW w:w="84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i w:val="0"/>
                <w:iCs w:val="0"/>
                <w:color w:val="auto"/>
                <w:kern w:val="0"/>
                <w:sz w:val="24"/>
                <w:szCs w:val="24"/>
                <w:highlight w:val="none"/>
                <w:u w:val="none"/>
                <w:lang w:val="en-US" w:eastAsia="zh-CN" w:bidi="ar"/>
              </w:rPr>
              <w:t>34.68</w:t>
            </w:r>
          </w:p>
        </w:tc>
        <w:tc>
          <w:tcPr>
            <w:tcW w:w="848"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val="0"/>
                <w:iCs w:val="0"/>
                <w:color w:val="auto"/>
                <w:kern w:val="0"/>
                <w:sz w:val="24"/>
                <w:szCs w:val="24"/>
                <w:highlight w:val="none"/>
                <w:u w:val="none"/>
                <w:lang w:val="en-US" w:eastAsia="zh-CN" w:bidi="ar"/>
              </w:rPr>
              <w:t>1.92</w:t>
            </w:r>
          </w:p>
        </w:tc>
        <w:tc>
          <w:tcPr>
            <w:tcW w:w="845"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val="0"/>
                <w:iCs w:val="0"/>
                <w:color w:val="auto"/>
                <w:kern w:val="0"/>
                <w:sz w:val="24"/>
                <w:szCs w:val="24"/>
                <w:highlight w:val="none"/>
                <w:u w:val="none"/>
                <w:lang w:val="en-US" w:eastAsia="zh-CN" w:bidi="ar"/>
              </w:rPr>
              <w:t>0.46</w:t>
            </w:r>
          </w:p>
        </w:tc>
        <w:tc>
          <w:tcPr>
            <w:tcW w:w="845"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val="0"/>
                <w:iCs w:val="0"/>
                <w:color w:val="auto"/>
                <w:kern w:val="0"/>
                <w:sz w:val="24"/>
                <w:szCs w:val="24"/>
                <w:highlight w:val="none"/>
                <w:u w:val="none"/>
                <w:lang w:val="en-US" w:eastAsia="zh-CN" w:bidi="ar"/>
              </w:rPr>
              <w:t>3.56</w:t>
            </w:r>
          </w:p>
        </w:tc>
      </w:tr>
    </w:tbl>
    <w:p>
      <w:pPr>
        <w:ind w:firstLine="48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最高允许排水量核算：</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①《畜禽养殖业污染物排放标准》最高允许排水量核算</w:t>
      </w:r>
    </w:p>
    <w:p>
      <w:pPr>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根据《畜禽养殖业污染物排放标准》（GB18596-2001）的要求，对集约化畜禽养殖业干清粪工艺最高允许排水量数据见</w:t>
      </w:r>
      <w:r>
        <w:rPr>
          <w:rFonts w:hint="eastAsia" w:ascii="Times New Roman" w:hAnsi="Times New Roman" w:cs="Times New Roman"/>
          <w:color w:val="auto"/>
          <w:sz w:val="24"/>
          <w:szCs w:val="24"/>
          <w:highlight w:val="none"/>
          <w:lang w:eastAsia="zh-CN"/>
        </w:rPr>
        <w:t>下</w:t>
      </w:r>
      <w:r>
        <w:rPr>
          <w:rFonts w:hint="default" w:ascii="Times New Roman" w:hAnsi="Times New Roman" w:cs="Times New Roman"/>
          <w:color w:val="auto"/>
          <w:sz w:val="24"/>
          <w:szCs w:val="24"/>
          <w:highlight w:val="none"/>
        </w:rPr>
        <w:t>表。</w:t>
      </w:r>
    </w:p>
    <w:p>
      <w:pPr>
        <w:pStyle w:val="2504"/>
        <w:numPr>
          <w:ilvl w:val="0"/>
          <w:numId w:val="25"/>
        </w:numPr>
        <w:spacing w:before="120"/>
        <w:ind w:left="0" w:leftChars="0" w:firstLine="403" w:firstLineChars="0"/>
        <w:rPr>
          <w:rFonts w:hint="eastAsia" w:ascii="宋体" w:hAnsi="宋体" w:eastAsia="宋体" w:cs="宋体"/>
          <w:color w:val="auto"/>
          <w:highlight w:val="none"/>
        </w:rPr>
      </w:pPr>
      <w:r>
        <w:rPr>
          <w:color w:val="auto"/>
          <w:highlight w:val="none"/>
        </w:rPr>
        <w:t xml:space="preserve">   集</w:t>
      </w:r>
      <w:r>
        <w:rPr>
          <w:rFonts w:hint="eastAsia" w:ascii="宋体" w:hAnsi="宋体" w:eastAsia="宋体" w:cs="宋体"/>
          <w:color w:val="auto"/>
          <w:highlight w:val="none"/>
        </w:rPr>
        <w:t>约化畜禽养殖业干清粪工艺最高允许排水量</w:t>
      </w:r>
    </w:p>
    <w:tbl>
      <w:tblPr>
        <w:tblStyle w:val="91"/>
        <w:tblW w:w="0" w:type="auto"/>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201"/>
        <w:gridCol w:w="1264"/>
        <w:gridCol w:w="1265"/>
        <w:gridCol w:w="1264"/>
        <w:gridCol w:w="1265"/>
        <w:gridCol w:w="1264"/>
        <w:gridCol w:w="1264"/>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20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种类</w:t>
            </w:r>
          </w:p>
        </w:tc>
        <w:tc>
          <w:tcPr>
            <w:tcW w:w="2529" w:type="dxa"/>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猪（m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/百头·天）</w:t>
            </w:r>
          </w:p>
        </w:tc>
        <w:tc>
          <w:tcPr>
            <w:tcW w:w="2529" w:type="dxa"/>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鸡（m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/千只·天）</w:t>
            </w:r>
          </w:p>
        </w:tc>
        <w:tc>
          <w:tcPr>
            <w:tcW w:w="2528" w:type="dxa"/>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牛（m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/百头·天）</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20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季节</w:t>
            </w:r>
          </w:p>
        </w:tc>
        <w:tc>
          <w:tcPr>
            <w:tcW w:w="1264" w:type="dxa"/>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冬季</w:t>
            </w:r>
          </w:p>
        </w:tc>
        <w:tc>
          <w:tcPr>
            <w:tcW w:w="1265"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夏季</w:t>
            </w:r>
          </w:p>
        </w:tc>
        <w:tc>
          <w:tcPr>
            <w:tcW w:w="1264" w:type="dxa"/>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冬季</w:t>
            </w:r>
          </w:p>
        </w:tc>
        <w:tc>
          <w:tcPr>
            <w:tcW w:w="1265" w:type="dxa"/>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夏季</w:t>
            </w:r>
          </w:p>
        </w:tc>
        <w:tc>
          <w:tcPr>
            <w:tcW w:w="1264" w:type="dxa"/>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冬季</w:t>
            </w:r>
          </w:p>
        </w:tc>
        <w:tc>
          <w:tcPr>
            <w:tcW w:w="1264" w:type="dxa"/>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夏季</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20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264"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w:t>
            </w:r>
          </w:p>
        </w:tc>
        <w:tc>
          <w:tcPr>
            <w:tcW w:w="1265" w:type="dxa"/>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w:t>
            </w:r>
          </w:p>
        </w:tc>
        <w:tc>
          <w:tcPr>
            <w:tcW w:w="1264"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0.5</w:t>
            </w:r>
          </w:p>
        </w:tc>
        <w:tc>
          <w:tcPr>
            <w:tcW w:w="1265"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0.7</w:t>
            </w:r>
          </w:p>
        </w:tc>
        <w:tc>
          <w:tcPr>
            <w:tcW w:w="1264"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w:t>
            </w:r>
          </w:p>
        </w:tc>
        <w:tc>
          <w:tcPr>
            <w:tcW w:w="1264"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r>
    </w:tbl>
    <w:p>
      <w:pPr>
        <w:pStyle w:val="24"/>
        <w:spacing w:line="240" w:lineRule="auto"/>
        <w:ind w:firstLine="0" w:firstLineChars="0"/>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注：废水最高允许排放量的单位中，百头、千只均指存栏数。春、秋季度水最高允许排放量按冬、夏两季的平均值计算。</w:t>
      </w:r>
    </w:p>
    <w:p>
      <w:pPr>
        <w:pStyle w:val="24"/>
        <w:spacing w:line="440" w:lineRule="exact"/>
        <w:ind w:firstLine="480"/>
        <w:rPr>
          <w:rFonts w:hint="default" w:ascii="Times New Roman" w:hAnsi="Times New Roman" w:cs="Times New Roman"/>
          <w:color w:val="auto"/>
          <w:highlight w:val="none"/>
          <w:lang w:eastAsia="zh-CN"/>
        </w:rPr>
      </w:pPr>
      <w:r>
        <w:rPr>
          <w:rFonts w:ascii="Times New Roman" w:hAnsi="Times New Roman"/>
          <w:color w:val="auto"/>
          <w:highlight w:val="none"/>
        </w:rPr>
        <w:t>由</w:t>
      </w:r>
      <w:r>
        <w:rPr>
          <w:rFonts w:hint="eastAsia"/>
          <w:color w:val="auto"/>
          <w:highlight w:val="none"/>
          <w:lang w:eastAsia="zh-CN"/>
        </w:rPr>
        <w:t>上表</w:t>
      </w:r>
      <w:r>
        <w:rPr>
          <w:rFonts w:ascii="Times New Roman" w:hAnsi="Times New Roman"/>
          <w:color w:val="auto"/>
          <w:highlight w:val="none"/>
        </w:rPr>
        <w:t>可知，本项目干清粪工艺最高允许排水量：夏季</w:t>
      </w:r>
      <w:r>
        <w:rPr>
          <w:rFonts w:hint="eastAsia"/>
          <w:color w:val="auto"/>
          <w:highlight w:val="none"/>
          <w:lang w:val="en-US" w:eastAsia="zh-CN"/>
        </w:rPr>
        <w:t>20</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/百头</w:t>
      </w:r>
      <w:r>
        <w:rPr>
          <w:rFonts w:hint="eastAsia"/>
          <w:color w:val="auto"/>
          <w:highlight w:val="none"/>
          <w:lang w:eastAsia="zh-CN"/>
        </w:rPr>
        <w:t>牛</w:t>
      </w:r>
      <w:r>
        <w:rPr>
          <w:rFonts w:ascii="Times New Roman" w:hAnsi="Times New Roman"/>
          <w:color w:val="auto"/>
          <w:highlight w:val="none"/>
        </w:rPr>
        <w:t>·d，冬</w:t>
      </w:r>
      <w:r>
        <w:rPr>
          <w:rFonts w:hint="default" w:ascii="Times New Roman" w:hAnsi="Times New Roman" w:cs="Times New Roman"/>
          <w:color w:val="auto"/>
          <w:highlight w:val="none"/>
        </w:rPr>
        <w:t>季</w:t>
      </w:r>
      <w:r>
        <w:rPr>
          <w:rFonts w:hint="default" w:ascii="Times New Roman" w:hAnsi="Times New Roman" w:cs="Times New Roman"/>
          <w:color w:val="auto"/>
          <w:highlight w:val="none"/>
          <w:lang w:val="en-US" w:eastAsia="zh-CN"/>
        </w:rPr>
        <w:t>17</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/百头</w:t>
      </w:r>
      <w:r>
        <w:rPr>
          <w:rFonts w:hint="default" w:ascii="Times New Roman" w:hAnsi="Times New Roman" w:cs="Times New Roman"/>
          <w:color w:val="auto"/>
          <w:highlight w:val="none"/>
          <w:lang w:eastAsia="zh-CN"/>
        </w:rPr>
        <w:t>牛</w:t>
      </w:r>
      <w:r>
        <w:rPr>
          <w:rFonts w:hint="default" w:ascii="Times New Roman" w:hAnsi="Times New Roman" w:cs="Times New Roman"/>
          <w:color w:val="auto"/>
          <w:highlight w:val="none"/>
        </w:rPr>
        <w:t>·d，根据项目</w:t>
      </w:r>
      <w:r>
        <w:rPr>
          <w:rFonts w:hint="default" w:ascii="Times New Roman" w:hAnsi="Times New Roman" w:cs="Times New Roman"/>
          <w:color w:val="auto"/>
          <w:highlight w:val="none"/>
          <w:lang w:eastAsia="zh-CN"/>
        </w:rPr>
        <w:t>肉牛</w:t>
      </w:r>
      <w:r>
        <w:rPr>
          <w:rFonts w:hint="default" w:ascii="Times New Roman" w:hAnsi="Times New Roman" w:cs="Times New Roman"/>
          <w:color w:val="auto"/>
          <w:highlight w:val="none"/>
        </w:rPr>
        <w:t>存栏量</w:t>
      </w:r>
      <w:r>
        <w:rPr>
          <w:rFonts w:hint="default" w:ascii="Times New Roman" w:hAnsi="Times New Roman" w:cs="Times New Roman"/>
          <w:color w:val="auto"/>
          <w:highlight w:val="none"/>
          <w:lang w:val="en-US" w:eastAsia="zh-CN"/>
        </w:rPr>
        <w:t>12500</w:t>
      </w:r>
      <w:r>
        <w:rPr>
          <w:rFonts w:hint="default" w:ascii="Times New Roman" w:hAnsi="Times New Roman" w:cs="Times New Roman"/>
          <w:color w:val="auto"/>
          <w:highlight w:val="none"/>
        </w:rPr>
        <w:t xml:space="preserve">头，则夏季最高允许排水量为 </w:t>
      </w:r>
      <w:r>
        <w:rPr>
          <w:rFonts w:hint="default" w:ascii="Times New Roman" w:hAnsi="Times New Roman" w:cs="Times New Roman"/>
          <w:color w:val="auto"/>
          <w:highlight w:val="none"/>
          <w:lang w:val="en-US" w:eastAsia="zh-CN"/>
        </w:rPr>
        <w:t>2500</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/d，冬季最高允许排水量为</w:t>
      </w:r>
      <w:r>
        <w:rPr>
          <w:rFonts w:hint="default" w:ascii="Times New Roman" w:hAnsi="Times New Roman" w:cs="Times New Roman"/>
          <w:color w:val="auto"/>
          <w:highlight w:val="none"/>
          <w:lang w:val="en-US" w:eastAsia="zh-CN"/>
        </w:rPr>
        <w:t>2125</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/d。本项目营运期养殖废水核算排放量为</w:t>
      </w:r>
      <w:r>
        <w:rPr>
          <w:rFonts w:hint="default" w:ascii="Times New Roman" w:hAnsi="Times New Roman" w:cs="Times New Roman"/>
          <w:color w:val="auto"/>
          <w:highlight w:val="none"/>
          <w:lang w:val="en-US" w:eastAsia="zh-CN"/>
        </w:rPr>
        <w:t>86709.4</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/a（</w:t>
      </w:r>
      <w:r>
        <w:rPr>
          <w:rFonts w:hint="default" w:ascii="Times New Roman" w:hAnsi="Times New Roman" w:cs="Times New Roman"/>
          <w:color w:val="auto"/>
          <w:highlight w:val="none"/>
          <w:lang w:val="en-US" w:eastAsia="zh-CN"/>
        </w:rPr>
        <w:t>237.56</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/d），</w:t>
      </w:r>
      <w:r>
        <w:rPr>
          <w:rFonts w:hint="default" w:ascii="Times New Roman" w:hAnsi="Times New Roman" w:cs="Times New Roman"/>
          <w:color w:val="auto"/>
          <w:highlight w:val="none"/>
          <w:lang w:eastAsia="zh-CN"/>
        </w:rPr>
        <w:t>小于</w:t>
      </w:r>
      <w:r>
        <w:rPr>
          <w:rFonts w:hint="default" w:ascii="Times New Roman" w:hAnsi="Times New Roman" w:cs="Times New Roman"/>
          <w:color w:val="auto"/>
          <w:highlight w:val="none"/>
        </w:rPr>
        <w:t>《畜禽养殖业污染物排放标准》（GB18596-2001）中的</w:t>
      </w:r>
      <w:r>
        <w:rPr>
          <w:rFonts w:hint="default" w:ascii="Times New Roman" w:hAnsi="Times New Roman" w:cs="Times New Roman"/>
          <w:color w:val="auto"/>
          <w:highlight w:val="none"/>
          <w:lang w:eastAsia="zh-CN"/>
        </w:rPr>
        <w:t>最高排水量。因此项目营运期养殖废水核算排放量满足《畜禽养殖污染物排放标准》（GB18596-2001）中最高允许排水量。</w:t>
      </w:r>
    </w:p>
    <w:p>
      <w:pPr>
        <w:ind w:firstLine="480"/>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②《排污许可证申请与核发技术规范 畜禽养殖行业》最高允许排水量核算</w:t>
      </w:r>
    </w:p>
    <w:p>
      <w:pPr>
        <w:ind w:firstLine="482"/>
        <w:rPr>
          <w:rFonts w:hint="default"/>
          <w:color w:val="auto"/>
          <w:highlight w:val="none"/>
          <w:lang w:eastAsia="zh-CN"/>
        </w:rPr>
      </w:pPr>
      <w:r>
        <w:rPr>
          <w:rFonts w:hint="default" w:ascii="Times New Roman" w:hAnsi="Times New Roman" w:eastAsia="宋体" w:cs="Times New Roman"/>
          <w:color w:val="auto"/>
          <w:kern w:val="2"/>
          <w:sz w:val="24"/>
          <w:szCs w:val="24"/>
          <w:highlight w:val="none"/>
          <w:lang w:val="en-US" w:eastAsia="zh-CN" w:bidi="ar-SA"/>
        </w:rPr>
        <w:t>根据《排污许可证申请与核发技术规范畜禽养殖行业》（HJ1029-2019）中“表4畜禽养殖行业排污单位单位畜禽基准排水量推荐取值表”可知，牛基准排水量取值为18.5m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/（百头·d）。</w:t>
      </w:r>
      <w:r>
        <w:rPr>
          <w:rFonts w:hint="default" w:ascii="Times New Roman" w:hAnsi="Times New Roman" w:cs="Times New Roman"/>
          <w:color w:val="auto"/>
          <w:sz w:val="24"/>
          <w:szCs w:val="24"/>
          <w:highlight w:val="none"/>
        </w:rPr>
        <w:t>根据项目</w:t>
      </w:r>
      <w:r>
        <w:rPr>
          <w:rFonts w:hint="default" w:ascii="Times New Roman" w:hAnsi="Times New Roman" w:cs="Times New Roman"/>
          <w:color w:val="auto"/>
          <w:sz w:val="24"/>
          <w:szCs w:val="24"/>
          <w:highlight w:val="none"/>
          <w:lang w:eastAsia="zh-CN"/>
        </w:rPr>
        <w:t>肉牛</w:t>
      </w:r>
      <w:r>
        <w:rPr>
          <w:rFonts w:hint="default" w:ascii="Times New Roman" w:hAnsi="Times New Roman" w:cs="Times New Roman"/>
          <w:color w:val="auto"/>
          <w:sz w:val="24"/>
          <w:szCs w:val="24"/>
          <w:highlight w:val="none"/>
        </w:rPr>
        <w:t>存栏量</w:t>
      </w:r>
      <w:r>
        <w:rPr>
          <w:rFonts w:hint="default" w:ascii="Times New Roman" w:hAnsi="Times New Roman" w:cs="Times New Roman"/>
          <w:color w:val="auto"/>
          <w:sz w:val="24"/>
          <w:szCs w:val="24"/>
          <w:highlight w:val="none"/>
          <w:lang w:val="en-US" w:eastAsia="zh-CN"/>
        </w:rPr>
        <w:t>12500</w:t>
      </w:r>
      <w:r>
        <w:rPr>
          <w:rFonts w:hint="default" w:ascii="Times New Roman" w:hAnsi="Times New Roman" w:cs="Times New Roman"/>
          <w:color w:val="auto"/>
          <w:sz w:val="24"/>
          <w:szCs w:val="24"/>
          <w:highlight w:val="none"/>
        </w:rPr>
        <w:t>头，则根据《排污许可证申请与核发技术规范 畜禽养殖行业》（HJ1029-2019）计算可知，本项目最高允许排放量为</w:t>
      </w:r>
      <w:r>
        <w:rPr>
          <w:rFonts w:hint="default" w:ascii="Times New Roman" w:hAnsi="Times New Roman" w:cs="Times New Roman"/>
          <w:color w:val="auto"/>
          <w:sz w:val="24"/>
          <w:szCs w:val="24"/>
          <w:highlight w:val="none"/>
          <w:lang w:val="en-US" w:eastAsia="zh-CN"/>
        </w:rPr>
        <w:t>2312.5</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/d，本项目养殖废水总排放量为</w:t>
      </w:r>
      <w:r>
        <w:rPr>
          <w:rFonts w:hint="default" w:ascii="Times New Roman" w:hAnsi="Times New Roman" w:cs="Times New Roman"/>
          <w:color w:val="auto"/>
          <w:sz w:val="24"/>
          <w:szCs w:val="24"/>
          <w:highlight w:val="none"/>
          <w:lang w:val="en-US" w:eastAsia="zh-CN"/>
        </w:rPr>
        <w:t>237.56</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/d</w:t>
      </w:r>
      <w:r>
        <w:rPr>
          <w:rFonts w:hint="default" w:ascii="Times New Roman" w:hAnsi="Times New Roman" w:cs="Times New Roman"/>
          <w:color w:val="auto"/>
          <w:sz w:val="24"/>
          <w:szCs w:val="24"/>
          <w:highlight w:val="none"/>
          <w:lang w:eastAsia="zh-CN"/>
        </w:rPr>
        <w:t>小于《排污许可证申请与核发技术规范 畜禽养殖行业》（HJ1029-2019）中最高允许排水量。因此，项目营运期养殖废水核算排放量满足《排污许可证申请与核发技术规范 畜禽养殖行业》（HJ1029-2019）中最高允许排水量。</w:t>
      </w:r>
    </w:p>
    <w:p>
      <w:pPr>
        <w:ind w:firstLine="482"/>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综上，项目营运期养殖废水核算排放量满足《畜禽养殖污染物排放标准》（GB18596-2001）和《排污许可证申请与核发技术规范畜禽养殖业》（HJ1029-2019）中最高允许排水量。</w:t>
      </w:r>
    </w:p>
    <w:p>
      <w:pPr>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（2）生活区污水</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本项目劳动定员</w:t>
      </w:r>
      <w:r>
        <w:rPr>
          <w:rFonts w:hint="eastAsia" w:ascii="Times New Roman" w:hAnsi="Times New Roman" w:eastAsia="宋体" w:cs="Times New Roman"/>
          <w:color w:val="auto"/>
          <w:sz w:val="24"/>
          <w:szCs w:val="24"/>
          <w:highlight w:val="none"/>
          <w:lang w:val="en-US" w:eastAsia="zh-CN"/>
        </w:rPr>
        <w:t>80</w:t>
      </w:r>
      <w:r>
        <w:rPr>
          <w:rFonts w:hint="default" w:ascii="Times New Roman" w:hAnsi="Times New Roman" w:eastAsia="宋体" w:cs="Times New Roman"/>
          <w:color w:val="auto"/>
          <w:sz w:val="24"/>
          <w:szCs w:val="24"/>
          <w:highlight w:val="none"/>
        </w:rPr>
        <w:t>人，场区内设置有职工食堂和倒班宿舍，根据项目水平衡分析，运营期职工生活用水量为</w:t>
      </w:r>
      <w:r>
        <w:rPr>
          <w:rFonts w:hint="eastAsia" w:ascii="Times New Roman" w:hAnsi="Times New Roman" w:eastAsia="宋体" w:cs="Times New Roman"/>
          <w:color w:val="auto"/>
          <w:sz w:val="24"/>
          <w:szCs w:val="24"/>
          <w:highlight w:val="none"/>
          <w:lang w:val="en-US" w:eastAsia="zh-CN"/>
        </w:rPr>
        <w:t>14</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val="en-US" w:eastAsia="zh-CN"/>
        </w:rPr>
        <w:t>5110</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/a），污水产生系数按80%计，则本项目生活污水产生量为</w:t>
      </w:r>
      <w:r>
        <w:rPr>
          <w:rFonts w:hint="eastAsia" w:ascii="Times New Roman" w:hAnsi="Times New Roman" w:eastAsia="宋体" w:cs="Times New Roman"/>
          <w:color w:val="auto"/>
          <w:sz w:val="24"/>
          <w:szCs w:val="24"/>
          <w:highlight w:val="none"/>
          <w:lang w:val="en-US" w:eastAsia="zh-CN"/>
        </w:rPr>
        <w:t>11.2</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val="en-US" w:eastAsia="zh-CN"/>
        </w:rPr>
        <w:t>4088</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/a）。</w:t>
      </w:r>
    </w:p>
    <w:p>
      <w:pPr>
        <w:pStyle w:val="2504"/>
        <w:numPr>
          <w:ilvl w:val="0"/>
          <w:numId w:val="25"/>
        </w:numPr>
        <w:spacing w:before="120"/>
        <w:ind w:left="0" w:leftChars="0" w:firstLine="403"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项目生活污水水质情况一览表</w:t>
      </w:r>
    </w:p>
    <w:tbl>
      <w:tblPr>
        <w:tblStyle w:val="91"/>
        <w:tblW w:w="4997"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469"/>
        <w:gridCol w:w="1609"/>
        <w:gridCol w:w="967"/>
        <w:gridCol w:w="852"/>
        <w:gridCol w:w="852"/>
        <w:gridCol w:w="852"/>
        <w:gridCol w:w="850"/>
        <w:gridCol w:w="850"/>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91" w:type="pct"/>
            <w:noWrap w:val="0"/>
            <w:vAlign w:val="center"/>
          </w:tcPr>
          <w:p>
            <w:pPr>
              <w:pStyle w:val="167"/>
              <w:keepNext w:val="0"/>
              <w:keepLines w:val="0"/>
              <w:suppressLineNumbers w:val="0"/>
              <w:kinsoku w:val="0"/>
              <w:overflowPunct w:val="0"/>
              <w:spacing w:before="0" w:beforeAutospacing="0" w:after="0" w:afterAutospacing="0" w:line="240" w:lineRule="exact"/>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生活污水</w:t>
            </w:r>
          </w:p>
        </w:tc>
        <w:tc>
          <w:tcPr>
            <w:tcW w:w="982" w:type="pct"/>
            <w:noWrap w:val="0"/>
            <w:vAlign w:val="center"/>
          </w:tcPr>
          <w:p>
            <w:pPr>
              <w:pStyle w:val="167"/>
              <w:keepNext w:val="0"/>
              <w:keepLines w:val="0"/>
              <w:suppressLineNumbers w:val="0"/>
              <w:kinsoku w:val="0"/>
              <w:overflowPunct w:val="0"/>
              <w:spacing w:before="0" w:beforeAutospacing="0" w:after="0" w:afterAutospacing="0" w:line="240" w:lineRule="exact"/>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污染物名称</w:t>
            </w:r>
          </w:p>
        </w:tc>
        <w:tc>
          <w:tcPr>
            <w:tcW w:w="595"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CODcr</w:t>
            </w:r>
          </w:p>
        </w:tc>
        <w:tc>
          <w:tcPr>
            <w:tcW w:w="526" w:type="pct"/>
            <w:noWrap w:val="0"/>
            <w:vAlign w:val="center"/>
          </w:tcPr>
          <w:p>
            <w:pPr>
              <w:pStyle w:val="167"/>
              <w:keepNext w:val="0"/>
              <w:keepLines w:val="0"/>
              <w:suppressLineNumbers w:val="0"/>
              <w:kinsoku w:val="0"/>
              <w:overflowPunct w:val="0"/>
              <w:spacing w:before="1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BOD</w:t>
            </w:r>
            <w:r>
              <w:rPr>
                <w:rFonts w:hint="default" w:ascii="Times New Roman" w:hAnsi="Times New Roman" w:eastAsia="宋体" w:cs="Times New Roman"/>
                <w:b/>
                <w:color w:val="auto"/>
                <w:sz w:val="21"/>
                <w:szCs w:val="21"/>
                <w:highlight w:val="none"/>
                <w:vertAlign w:val="subscript"/>
              </w:rPr>
              <w:t>5</w:t>
            </w:r>
          </w:p>
        </w:tc>
        <w:tc>
          <w:tcPr>
            <w:tcW w:w="526" w:type="pct"/>
            <w:noWrap w:val="0"/>
            <w:vAlign w:val="center"/>
          </w:tcPr>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SS</w:t>
            </w:r>
          </w:p>
        </w:tc>
        <w:tc>
          <w:tcPr>
            <w:tcW w:w="526" w:type="pct"/>
            <w:noWrap w:val="0"/>
            <w:vAlign w:val="center"/>
          </w:tcPr>
          <w:p>
            <w:pPr>
              <w:pStyle w:val="167"/>
              <w:keepNext w:val="0"/>
              <w:keepLines w:val="0"/>
              <w:suppressLineNumbers w:val="0"/>
              <w:kinsoku w:val="0"/>
              <w:overflowPunct w:val="0"/>
              <w:spacing w:before="1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NH</w:t>
            </w:r>
            <w:r>
              <w:rPr>
                <w:rFonts w:hint="default" w:ascii="Times New Roman" w:hAnsi="Times New Roman" w:eastAsia="宋体" w:cs="Times New Roman"/>
                <w:b/>
                <w:color w:val="auto"/>
                <w:position w:val="2"/>
                <w:sz w:val="21"/>
                <w:szCs w:val="21"/>
                <w:highlight w:val="none"/>
                <w:vertAlign w:val="subscript"/>
              </w:rPr>
              <w:t>3</w:t>
            </w:r>
            <w:r>
              <w:rPr>
                <w:rFonts w:hint="default" w:ascii="Times New Roman" w:hAnsi="Times New Roman" w:eastAsia="宋体" w:cs="Times New Roman"/>
                <w:b/>
                <w:color w:val="auto"/>
                <w:position w:val="2"/>
                <w:sz w:val="21"/>
                <w:szCs w:val="21"/>
                <w:highlight w:val="none"/>
              </w:rPr>
              <w:t>-N</w:t>
            </w:r>
          </w:p>
        </w:tc>
        <w:tc>
          <w:tcPr>
            <w:tcW w:w="525" w:type="pct"/>
            <w:noWrap w:val="0"/>
            <w:vAlign w:val="center"/>
          </w:tcPr>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TP</w:t>
            </w:r>
          </w:p>
        </w:tc>
        <w:tc>
          <w:tcPr>
            <w:tcW w:w="525" w:type="pct"/>
            <w:noWrap w:val="0"/>
            <w:vAlign w:val="center"/>
          </w:tcPr>
          <w:p>
            <w:pPr>
              <w:pStyle w:val="167"/>
              <w:keepNext w:val="0"/>
              <w:keepLines w:val="0"/>
              <w:suppressLineNumbers w:val="0"/>
              <w:kinsoku w:val="0"/>
              <w:overflowPunct w:val="0"/>
              <w:spacing w:before="14" w:beforeAutospacing="0" w:after="0" w:afterAutospacing="0"/>
              <w:ind w:left="0" w:right="1"/>
              <w:jc w:val="center"/>
              <w:rPr>
                <w:rFonts w:hint="eastAsia" w:ascii="Times New Roman" w:hAnsi="Times New Roman" w:eastAsia="宋体" w:cs="Times New Roman"/>
                <w:b/>
                <w:color w:val="auto"/>
                <w:sz w:val="21"/>
                <w:szCs w:val="21"/>
                <w:highlight w:val="none"/>
                <w:lang w:eastAsia="zh-CN"/>
              </w:rPr>
            </w:pPr>
            <w:r>
              <w:rPr>
                <w:rFonts w:hint="eastAsia" w:ascii="Times New Roman" w:hAnsi="Times New Roman" w:cs="Times New Roman"/>
                <w:b/>
                <w:color w:val="auto"/>
                <w:sz w:val="21"/>
                <w:szCs w:val="21"/>
                <w:highlight w:val="none"/>
                <w:lang w:eastAsia="zh-CN"/>
              </w:rPr>
              <w:t>动植物油</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91" w:type="pct"/>
            <w:vMerge w:val="restart"/>
            <w:noWrap w:val="0"/>
            <w:vAlign w:val="center"/>
          </w:tcPr>
          <w:p>
            <w:pPr>
              <w:pStyle w:val="167"/>
              <w:keepNext w:val="0"/>
              <w:keepLines w:val="0"/>
              <w:suppressLineNumbers w:val="0"/>
              <w:kinsoku w:val="0"/>
              <w:overflowPunct w:val="0"/>
              <w:spacing w:before="34" w:beforeAutospacing="0" w:after="0" w:afterAutospacing="0"/>
              <w:ind w:left="0" w:right="243"/>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11.2</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/d</w:t>
            </w:r>
          </w:p>
          <w:p>
            <w:pPr>
              <w:pStyle w:val="167"/>
              <w:keepNext w:val="0"/>
              <w:keepLines w:val="0"/>
              <w:suppressLineNumbers w:val="0"/>
              <w:kinsoku w:val="0"/>
              <w:overflowPunct w:val="0"/>
              <w:spacing w:before="34" w:beforeAutospacing="0" w:after="0" w:afterAutospacing="0"/>
              <w:ind w:left="0" w:right="24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w:t>
            </w:r>
            <w:r>
              <w:rPr>
                <w:rFonts w:hint="eastAsia" w:ascii="Times New Roman" w:hAnsi="Times New Roman" w:cs="Times New Roman"/>
                <w:color w:val="auto"/>
                <w:sz w:val="21"/>
                <w:szCs w:val="21"/>
                <w:highlight w:val="none"/>
                <w:lang w:val="en-US" w:eastAsia="zh-CN"/>
              </w:rPr>
              <w:t>4088</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/a）</w:t>
            </w:r>
          </w:p>
        </w:tc>
        <w:tc>
          <w:tcPr>
            <w:tcW w:w="982"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产生浓度（mg/L）</w:t>
            </w:r>
          </w:p>
        </w:tc>
        <w:tc>
          <w:tcPr>
            <w:tcW w:w="595" w:type="pct"/>
            <w:noWrap w:val="0"/>
            <w:vAlign w:val="center"/>
          </w:tcPr>
          <w:p>
            <w:pPr>
              <w:pStyle w:val="167"/>
              <w:keepNext w:val="0"/>
              <w:keepLines w:val="0"/>
              <w:suppressLineNumbers w:val="0"/>
              <w:kinsoku w:val="0"/>
              <w:overflowPunct w:val="0"/>
              <w:spacing w:before="15"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w:t>
            </w:r>
          </w:p>
        </w:tc>
        <w:tc>
          <w:tcPr>
            <w:tcW w:w="526"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150</w:t>
            </w:r>
          </w:p>
        </w:tc>
        <w:tc>
          <w:tcPr>
            <w:tcW w:w="526"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250</w:t>
            </w:r>
          </w:p>
        </w:tc>
        <w:tc>
          <w:tcPr>
            <w:tcW w:w="526"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w:t>
            </w:r>
          </w:p>
        </w:tc>
        <w:tc>
          <w:tcPr>
            <w:tcW w:w="525"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3</w:t>
            </w:r>
          </w:p>
        </w:tc>
        <w:tc>
          <w:tcPr>
            <w:tcW w:w="525" w:type="pc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w w:val="99"/>
                <w:sz w:val="21"/>
                <w:szCs w:val="21"/>
                <w:highlight w:val="none"/>
                <w:lang w:val="en-US" w:eastAsia="zh-CN"/>
              </w:rPr>
            </w:pPr>
            <w:r>
              <w:rPr>
                <w:rFonts w:hint="default" w:ascii="Times New Roman" w:hAnsi="Times New Roman" w:cs="Times New Roman"/>
                <w:color w:val="auto"/>
                <w:w w:val="99"/>
                <w:sz w:val="21"/>
                <w:szCs w:val="21"/>
                <w:highlight w:val="none"/>
                <w:lang w:val="en-US" w:eastAsia="zh-CN"/>
              </w:rPr>
              <w:t>100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91" w:type="pct"/>
            <w:vMerge w:val="continue"/>
            <w:noWrap w:val="0"/>
            <w:vAlign w:val="center"/>
          </w:tcPr>
          <w:p>
            <w:pPr>
              <w:pStyle w:val="167"/>
              <w:keepNext w:val="0"/>
              <w:keepLines w:val="0"/>
              <w:suppressLineNumbers w:val="0"/>
              <w:kinsoku w:val="0"/>
              <w:overflowPunct w:val="0"/>
              <w:spacing w:before="15" w:beforeAutospacing="0" w:after="0" w:afterAutospacing="0"/>
              <w:ind w:left="0" w:right="0" w:firstLine="480"/>
              <w:jc w:val="center"/>
              <w:rPr>
                <w:rFonts w:hint="default" w:ascii="Times New Roman" w:hAnsi="Times New Roman" w:eastAsia="宋体" w:cs="Times New Roman"/>
                <w:color w:val="auto"/>
                <w:sz w:val="21"/>
                <w:szCs w:val="21"/>
                <w:highlight w:val="none"/>
              </w:rPr>
            </w:pPr>
          </w:p>
        </w:tc>
        <w:tc>
          <w:tcPr>
            <w:tcW w:w="982"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产生量（t/a）</w:t>
            </w:r>
          </w:p>
        </w:tc>
        <w:tc>
          <w:tcPr>
            <w:tcW w:w="595"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1.43</w:t>
            </w:r>
          </w:p>
        </w:tc>
        <w:tc>
          <w:tcPr>
            <w:tcW w:w="526"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0.61</w:t>
            </w:r>
          </w:p>
        </w:tc>
        <w:tc>
          <w:tcPr>
            <w:tcW w:w="526"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1.02</w:t>
            </w:r>
          </w:p>
        </w:tc>
        <w:tc>
          <w:tcPr>
            <w:tcW w:w="526"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0.10</w:t>
            </w:r>
          </w:p>
        </w:tc>
        <w:tc>
          <w:tcPr>
            <w:tcW w:w="525"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525"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0.41</w:t>
            </w:r>
          </w:p>
        </w:tc>
      </w:tr>
    </w:tbl>
    <w:p>
      <w:pPr>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2、废水治理措施</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（1）雨水</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本项目实施雨污分流，</w:t>
      </w:r>
      <w:r>
        <w:rPr>
          <w:rFonts w:hint="eastAsia" w:ascii="Times New Roman" w:hAnsi="Times New Roman" w:cs="Times New Roman"/>
          <w:color w:val="auto"/>
          <w:sz w:val="24"/>
          <w:szCs w:val="24"/>
          <w:highlight w:val="none"/>
        </w:rPr>
        <w:t>室外雨水通过雨水沟渠收集，利用场地地形高差，导出厂区外。</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（2）污水</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根据建设单位提供的资料，本项目清粪工艺采用干清粪工艺，粪便收集脱水后</w:t>
      </w:r>
      <w:r>
        <w:rPr>
          <w:rFonts w:hint="eastAsia" w:ascii="Times New Roman" w:hAnsi="Times New Roman" w:eastAsia="宋体" w:cs="Times New Roman"/>
          <w:color w:val="auto"/>
          <w:sz w:val="24"/>
          <w:szCs w:val="24"/>
          <w:highlight w:val="none"/>
          <w:lang w:eastAsia="zh-CN"/>
        </w:rPr>
        <w:t>运输至有机肥生产厂</w:t>
      </w:r>
      <w:r>
        <w:rPr>
          <w:rFonts w:hint="default" w:ascii="Times New Roman" w:hAnsi="Times New Roman" w:eastAsia="宋体" w:cs="Times New Roman"/>
          <w:color w:val="auto"/>
          <w:sz w:val="24"/>
          <w:szCs w:val="24"/>
          <w:highlight w:val="none"/>
        </w:rPr>
        <w:t>处理用于制作</w:t>
      </w:r>
      <w:r>
        <w:rPr>
          <w:rFonts w:hint="eastAsia" w:ascii="Times New Roman" w:hAnsi="Times New Roman" w:eastAsia="宋体" w:cs="Times New Roman"/>
          <w:color w:val="auto"/>
          <w:sz w:val="24"/>
          <w:szCs w:val="24"/>
          <w:highlight w:val="none"/>
          <w:lang w:eastAsia="zh-CN"/>
        </w:rPr>
        <w:t>有机肥</w:t>
      </w:r>
      <w:r>
        <w:rPr>
          <w:rFonts w:hint="default" w:ascii="Times New Roman" w:hAnsi="Times New Roman" w:eastAsia="宋体" w:cs="Times New Roman"/>
          <w:color w:val="auto"/>
          <w:sz w:val="24"/>
          <w:szCs w:val="24"/>
          <w:highlight w:val="none"/>
        </w:rPr>
        <w:t>，实现日产日清。建设单位拟采用“固液分离+UASB厌氧+絮凝沉淀+两级A/O系统+混凝絮凝沉淀+消毒”污水处理设施处理达《农田灌溉水质标准》（GB5084-20</w:t>
      </w:r>
      <w:r>
        <w:rPr>
          <w:rFonts w:hint="eastAsia" w:ascii="Times New Roman" w:hAnsi="Times New Roman" w:eastAsia="宋体"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表</w:t>
      </w:r>
      <w:r>
        <w:rPr>
          <w:rFonts w:hint="eastAsia" w:ascii="Times New Roman" w:hAnsi="Times New Roman" w:eastAsia="宋体" w:cs="Times New Roman"/>
          <w:color w:val="auto"/>
          <w:sz w:val="24"/>
          <w:szCs w:val="24"/>
          <w:highlight w:val="none"/>
          <w:lang w:val="en-US" w:eastAsia="zh-CN"/>
        </w:rPr>
        <w:t>1中</w:t>
      </w:r>
      <w:r>
        <w:rPr>
          <w:rFonts w:hint="eastAsia" w:ascii="Times New Roman" w:hAnsi="Times New Roman" w:eastAsia="宋体" w:cs="Times New Roman"/>
          <w:color w:val="auto"/>
          <w:sz w:val="24"/>
          <w:szCs w:val="24"/>
          <w:highlight w:val="none"/>
          <w:lang w:eastAsia="zh-CN"/>
        </w:rPr>
        <w:t>蔬菜</w:t>
      </w:r>
      <w:r>
        <w:rPr>
          <w:rFonts w:hint="default" w:ascii="Times New Roman" w:hAnsi="Times New Roman" w:eastAsia="宋体" w:cs="Times New Roman"/>
          <w:color w:val="auto"/>
          <w:sz w:val="24"/>
          <w:szCs w:val="24"/>
          <w:highlight w:val="none"/>
        </w:rPr>
        <w:t>标准后暂存于储存池内，</w:t>
      </w:r>
      <w:r>
        <w:rPr>
          <w:rFonts w:hint="eastAsia" w:ascii="Times New Roman" w:hAnsi="Times New Roman" w:eastAsia="宋体" w:cs="Times New Roman"/>
          <w:color w:val="auto"/>
          <w:sz w:val="24"/>
          <w:szCs w:val="24"/>
          <w:highlight w:val="none"/>
          <w:lang w:eastAsia="zh-CN"/>
        </w:rPr>
        <w:t>用于周围林地、农田蔬菜等灌溉，不外排</w:t>
      </w:r>
      <w:r>
        <w:rPr>
          <w:rFonts w:hint="default" w:ascii="Times New Roman" w:hAnsi="Times New Roman" w:eastAsia="宋体" w:cs="Times New Roman"/>
          <w:color w:val="auto"/>
          <w:sz w:val="24"/>
          <w:szCs w:val="24"/>
          <w:highlight w:val="none"/>
        </w:rPr>
        <w:t>。</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本项目拟建的污水处理设施采用“</w:t>
      </w:r>
      <w:r>
        <w:rPr>
          <w:rFonts w:hint="eastAsia" w:ascii="Times New Roman" w:hAnsi="Times New Roman" w:eastAsia="宋体" w:cs="Times New Roman"/>
          <w:color w:val="auto"/>
          <w:sz w:val="24"/>
          <w:szCs w:val="24"/>
          <w:highlight w:val="none"/>
          <w:lang w:eastAsia="zh-CN"/>
        </w:rPr>
        <w:t>固液分离+UASB厌氧+絮凝沉淀+两级A/O系统+混凝絮凝沉淀+消毒</w:t>
      </w:r>
      <w:r>
        <w:rPr>
          <w:rFonts w:hint="default" w:ascii="Times New Roman" w:hAnsi="Times New Roman" w:eastAsia="宋体" w:cs="Times New Roman"/>
          <w:color w:val="auto"/>
          <w:sz w:val="24"/>
          <w:szCs w:val="24"/>
          <w:highlight w:val="none"/>
        </w:rPr>
        <w:t>”的工艺进行处理，具体处理工艺流程见图3.</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处理后的尾水暂存于尾水暂存池中，用于周围林地、农田蔬菜等灌溉，不外排</w:t>
      </w:r>
      <w:r>
        <w:rPr>
          <w:rFonts w:hint="default" w:ascii="Times New Roman" w:hAnsi="Times New Roman" w:eastAsia="宋体" w:cs="Times New Roman"/>
          <w:color w:val="auto"/>
          <w:sz w:val="24"/>
          <w:szCs w:val="24"/>
          <w:highlight w:val="none"/>
        </w:rPr>
        <w:t>。项目废水主要污染物产生、处理和排放情况统计见表3.</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23</w:t>
      </w:r>
      <w:r>
        <w:rPr>
          <w:rFonts w:hint="default" w:ascii="Times New Roman" w:hAnsi="Times New Roman" w:eastAsia="宋体" w:cs="Times New Roman"/>
          <w:color w:val="auto"/>
          <w:sz w:val="24"/>
          <w:szCs w:val="24"/>
          <w:highlight w:val="none"/>
        </w:rPr>
        <w:t>。</w:t>
      </w:r>
    </w:p>
    <w:p>
      <w:pPr>
        <w:pStyle w:val="2504"/>
        <w:numPr>
          <w:ilvl w:val="0"/>
          <w:numId w:val="25"/>
        </w:numPr>
        <w:spacing w:before="120"/>
        <w:ind w:left="0" w:leftChars="0" w:firstLine="403"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 xml:space="preserve">   项目废水主要污染物产生、处理和排放情况统计表</w:t>
      </w:r>
    </w:p>
    <w:tbl>
      <w:tblPr>
        <w:tblStyle w:val="91"/>
        <w:tblW w:w="4998" w:type="pct"/>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999"/>
        <w:gridCol w:w="1061"/>
        <w:gridCol w:w="908"/>
        <w:gridCol w:w="883"/>
        <w:gridCol w:w="883"/>
        <w:gridCol w:w="1005"/>
        <w:gridCol w:w="795"/>
        <w:gridCol w:w="607"/>
        <w:gridCol w:w="465"/>
        <w:gridCol w:w="697"/>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999" w:type="dxa"/>
            <w:vMerge w:val="restart"/>
            <w:tcBorders>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污水</w:t>
            </w:r>
          </w:p>
          <w:p>
            <w:pPr>
              <w:pStyle w:val="167"/>
              <w:keepNext w:val="0"/>
              <w:keepLines w:val="0"/>
              <w:suppressLineNumbers w:val="0"/>
              <w:kinsoku w:val="0"/>
              <w:overflowPunct w:val="0"/>
              <w:spacing w:before="0" w:beforeAutospacing="0" w:after="0" w:afterAutospacing="0"/>
              <w:ind w:left="0" w:leftChars="0" w:right="0" w:rightChars="0"/>
              <w:jc w:val="center"/>
              <w:rPr>
                <w:rFonts w:hint="eastAsia" w:ascii="Times New Roman" w:hAnsi="Times New Roman"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rPr>
              <w:t>种类</w:t>
            </w:r>
          </w:p>
        </w:tc>
        <w:tc>
          <w:tcPr>
            <w:tcW w:w="1061" w:type="dxa"/>
            <w:vMerge w:val="restart"/>
            <w:tcBorders>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排放量</w:t>
            </w:r>
          </w:p>
          <w:p>
            <w:pPr>
              <w:pStyle w:val="167"/>
              <w:keepNext w:val="0"/>
              <w:keepLines w:val="0"/>
              <w:suppressLineNumbers w:val="0"/>
              <w:kinsoku w:val="0"/>
              <w:overflowPunct w:val="0"/>
              <w:spacing w:before="0" w:beforeAutospacing="0" w:after="0" w:afterAutospacing="0"/>
              <w:ind w:left="0" w:leftChars="0" w:right="1" w:rightChars="0"/>
              <w:jc w:val="center"/>
              <w:rPr>
                <w:rFonts w:hint="default" w:ascii="Times New Roman" w:hAnsi="Times New Roman" w:eastAsia="宋体" w:cs="Times New Roman"/>
                <w:b/>
                <w:color w:val="auto"/>
                <w:sz w:val="21"/>
                <w:szCs w:val="21"/>
                <w:highlight w:val="none"/>
                <w:lang w:val="en-US"/>
              </w:rPr>
            </w:pPr>
            <w:r>
              <w:rPr>
                <w:rFonts w:hint="default" w:ascii="Times New Roman" w:hAnsi="Times New Roman" w:eastAsia="宋体" w:cs="Times New Roman"/>
                <w:b/>
                <w:color w:val="auto"/>
                <w:sz w:val="21"/>
                <w:szCs w:val="21"/>
                <w:highlight w:val="none"/>
              </w:rPr>
              <w:t>m</w:t>
            </w:r>
            <w:r>
              <w:rPr>
                <w:rFonts w:hint="default" w:ascii="Times New Roman" w:hAnsi="Times New Roman" w:eastAsia="宋体" w:cs="Times New Roman"/>
                <w:b/>
                <w:color w:val="auto"/>
                <w:sz w:val="21"/>
                <w:szCs w:val="21"/>
                <w:highlight w:val="none"/>
                <w:vertAlign w:val="superscript"/>
              </w:rPr>
              <w:t>3</w:t>
            </w:r>
            <w:r>
              <w:rPr>
                <w:rFonts w:hint="default" w:ascii="Times New Roman" w:hAnsi="Times New Roman" w:eastAsia="宋体" w:cs="Times New Roman"/>
                <w:b/>
                <w:color w:val="auto"/>
                <w:sz w:val="21"/>
                <w:szCs w:val="21"/>
                <w:highlight w:val="none"/>
              </w:rPr>
              <w:t>/a</w:t>
            </w:r>
          </w:p>
        </w:tc>
        <w:tc>
          <w:tcPr>
            <w:tcW w:w="908" w:type="dxa"/>
            <w:vMerge w:val="restart"/>
            <w:tcBorders>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leftChars="0" w:right="0" w:rightChars="0"/>
              <w:jc w:val="center"/>
              <w:rPr>
                <w:rFonts w:hint="default" w:ascii="Times New Roman" w:hAnsi="Times New Roman" w:eastAsia="宋体" w:cs="Times New Roman"/>
                <w:b/>
                <w:color w:val="auto"/>
                <w:sz w:val="21"/>
                <w:szCs w:val="21"/>
                <w:highlight w:val="none"/>
                <w:lang w:val="en-US"/>
              </w:rPr>
            </w:pPr>
            <w:r>
              <w:rPr>
                <w:rFonts w:hint="default" w:ascii="Times New Roman" w:hAnsi="Times New Roman" w:eastAsia="宋体" w:cs="Times New Roman"/>
                <w:b/>
                <w:color w:val="auto"/>
                <w:sz w:val="21"/>
                <w:szCs w:val="21"/>
                <w:highlight w:val="none"/>
              </w:rPr>
              <w:t>项目</w:t>
            </w:r>
          </w:p>
        </w:tc>
        <w:tc>
          <w:tcPr>
            <w:tcW w:w="5335" w:type="dxa"/>
            <w:gridSpan w:val="7"/>
            <w:tcBorders>
              <w:left w:val="single" w:color="auto" w:sz="8"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污染物名称</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continue"/>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061" w:type="dxa"/>
            <w:vMerge w:val="continue"/>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478" w:right="0"/>
              <w:jc w:val="center"/>
              <w:rPr>
                <w:rFonts w:hint="default" w:ascii="Times New Roman" w:hAnsi="Times New Roman" w:eastAsia="宋体" w:cs="Times New Roman"/>
                <w:b/>
                <w:color w:val="auto"/>
                <w:sz w:val="21"/>
                <w:szCs w:val="21"/>
                <w:highlight w:val="none"/>
              </w:rPr>
            </w:pPr>
          </w:p>
        </w:tc>
        <w:tc>
          <w:tcPr>
            <w:tcW w:w="908" w:type="dxa"/>
            <w:vMerge w:val="continue"/>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478" w:right="0"/>
              <w:jc w:val="center"/>
              <w:rPr>
                <w:rFonts w:hint="default" w:ascii="Times New Roman" w:hAnsi="Times New Roman" w:eastAsia="宋体" w:cs="Times New Roman"/>
                <w:b/>
                <w:color w:val="auto"/>
                <w:sz w:val="21"/>
                <w:szCs w:val="21"/>
                <w:highlight w:val="none"/>
              </w:rPr>
            </w:pPr>
          </w:p>
        </w:tc>
        <w:tc>
          <w:tcPr>
            <w:tcW w:w="883"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COD</w:t>
            </w:r>
          </w:p>
        </w:tc>
        <w:tc>
          <w:tcPr>
            <w:tcW w:w="883"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BOD</w:t>
            </w:r>
            <w:r>
              <w:rPr>
                <w:rFonts w:hint="default" w:ascii="Times New Roman" w:hAnsi="Times New Roman" w:eastAsia="宋体" w:cs="Times New Roman"/>
                <w:b/>
                <w:color w:val="auto"/>
                <w:sz w:val="21"/>
                <w:szCs w:val="21"/>
                <w:highlight w:val="none"/>
                <w:vertAlign w:val="subscript"/>
              </w:rPr>
              <w:t>5</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SS</w:t>
            </w:r>
          </w:p>
        </w:tc>
        <w:tc>
          <w:tcPr>
            <w:tcW w:w="795"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NH</w:t>
            </w:r>
            <w:r>
              <w:rPr>
                <w:rFonts w:hint="default" w:ascii="Times New Roman" w:hAnsi="Times New Roman" w:eastAsia="宋体" w:cs="Times New Roman"/>
                <w:b/>
                <w:color w:val="auto"/>
                <w:sz w:val="21"/>
                <w:szCs w:val="21"/>
                <w:highlight w:val="none"/>
                <w:vertAlign w:val="subscript"/>
              </w:rPr>
              <w:t>3</w:t>
            </w:r>
            <w:r>
              <w:rPr>
                <w:rFonts w:hint="default" w:ascii="Times New Roman" w:hAnsi="Times New Roman" w:eastAsia="宋体" w:cs="Times New Roman"/>
                <w:b/>
                <w:color w:val="auto"/>
                <w:position w:val="2"/>
                <w:sz w:val="21"/>
                <w:szCs w:val="21"/>
                <w:highlight w:val="none"/>
              </w:rPr>
              <w:t>-N</w:t>
            </w:r>
          </w:p>
        </w:tc>
        <w:tc>
          <w:tcPr>
            <w:tcW w:w="607"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TP</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TN</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粪大肠</w:t>
            </w:r>
          </w:p>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菌群</w:t>
            </w:r>
          </w:p>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（个</w:t>
            </w:r>
          </w:p>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rPr>
              <w:t>/mL</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999" w:type="dxa"/>
            <w:vMerge w:val="restart"/>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养殖废水</w:t>
            </w:r>
          </w:p>
        </w:tc>
        <w:tc>
          <w:tcPr>
            <w:tcW w:w="1061"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color w:val="auto"/>
                <w:kern w:val="0"/>
                <w:sz w:val="21"/>
                <w:szCs w:val="21"/>
                <w:highlight w:val="none"/>
                <w:u w:val="none"/>
                <w:lang w:val="en-US" w:eastAsia="zh-CN" w:bidi="ar"/>
              </w:rPr>
              <w:t>86709.4</w:t>
            </w: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w:t>
            </w:r>
          </w:p>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887</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266</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400</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22.1</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5.31</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41.1</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leftChars="0" w:right="0" w:rightChars="0"/>
              <w:jc w:val="center"/>
              <w:rPr>
                <w:rFonts w:hint="eastAsia"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cs="Times New Roman"/>
                <w:b w:val="0"/>
                <w:bCs/>
                <w:color w:val="auto"/>
                <w:sz w:val="21"/>
                <w:szCs w:val="21"/>
                <w:highlight w:val="none"/>
                <w:lang w:val="en-US" w:eastAsia="zh-CN"/>
              </w:rPr>
              <w:t>20000个/mL</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continue"/>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31" w:right="0"/>
              <w:jc w:val="center"/>
              <w:rPr>
                <w:rFonts w:hint="default" w:ascii="Times New Roman" w:hAnsi="Times New Roman" w:eastAsia="宋体" w:cs="Times New Roman"/>
                <w:color w:val="auto"/>
                <w:sz w:val="21"/>
                <w:szCs w:val="21"/>
                <w:highlight w:val="none"/>
              </w:rPr>
            </w:pPr>
          </w:p>
        </w:tc>
        <w:tc>
          <w:tcPr>
            <w:tcW w:w="1061" w:type="dxa"/>
            <w:vMerge w:val="continue"/>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31" w:right="0"/>
              <w:jc w:val="center"/>
              <w:rPr>
                <w:rFonts w:hint="default" w:ascii="Times New Roman" w:hAnsi="Times New Roman" w:eastAsia="宋体" w:cs="Times New Roman"/>
                <w:color w:val="auto"/>
                <w:sz w:val="21"/>
                <w:szCs w:val="21"/>
                <w:highlight w:val="none"/>
              </w:rPr>
            </w:pP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产生量</w:t>
            </w:r>
            <w:r>
              <w:rPr>
                <w:rFonts w:hint="default" w:ascii="Times New Roman" w:hAnsi="Times New Roman" w:eastAsia="宋体" w:cs="Times New Roman"/>
                <w:color w:val="auto"/>
                <w:spacing w:val="-59"/>
                <w:sz w:val="21"/>
                <w:szCs w:val="21"/>
                <w:highlight w:val="none"/>
              </w:rPr>
              <w:t xml:space="preserve"> </w:t>
            </w:r>
            <w:r>
              <w:rPr>
                <w:rFonts w:hint="default" w:ascii="Times New Roman" w:hAnsi="Times New Roman" w:eastAsia="宋体" w:cs="Times New Roman"/>
                <w:color w:val="auto"/>
                <w:sz w:val="21"/>
                <w:szCs w:val="21"/>
                <w:highlight w:val="none"/>
              </w:rPr>
              <w:t>t/a</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76.91</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23.06</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34.68</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1.92</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0.46</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3.56</w:t>
            </w:r>
          </w:p>
        </w:tc>
        <w:tc>
          <w:tcPr>
            <w:tcW w:w="697" w:type="dxa"/>
            <w:tcBorders>
              <w:top w:val="single" w:color="auto" w:sz="8" w:space="0"/>
              <w:left w:val="single" w:color="000000" w:sz="6" w:space="0"/>
              <w:bottom w:val="single" w:color="auto" w:sz="8" w:space="0"/>
              <w:right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restart"/>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w:t>
            </w:r>
          </w:p>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污水</w:t>
            </w:r>
          </w:p>
        </w:tc>
        <w:tc>
          <w:tcPr>
            <w:tcW w:w="1061"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color w:val="auto"/>
                <w:kern w:val="0"/>
                <w:sz w:val="21"/>
                <w:szCs w:val="21"/>
                <w:highlight w:val="none"/>
                <w:u w:val="none"/>
                <w:lang w:val="en-US" w:eastAsia="zh-CN" w:bidi="ar"/>
              </w:rPr>
              <w:t>4088</w:t>
            </w: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w:t>
            </w:r>
          </w:p>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350</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150</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250</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25</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3</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999" w:type="dxa"/>
            <w:vMerge w:val="continue"/>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871" w:right="0"/>
              <w:jc w:val="center"/>
              <w:rPr>
                <w:rFonts w:hint="default" w:ascii="Times New Roman" w:hAnsi="Times New Roman" w:eastAsia="宋体" w:cs="Times New Roman"/>
                <w:color w:val="auto"/>
                <w:sz w:val="21"/>
                <w:szCs w:val="21"/>
                <w:highlight w:val="none"/>
              </w:rPr>
            </w:pPr>
          </w:p>
        </w:tc>
        <w:tc>
          <w:tcPr>
            <w:tcW w:w="1061" w:type="dxa"/>
            <w:vMerge w:val="continue"/>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871" w:right="0"/>
              <w:jc w:val="center"/>
              <w:rPr>
                <w:rFonts w:hint="default" w:ascii="Times New Roman" w:hAnsi="Times New Roman" w:eastAsia="宋体" w:cs="Times New Roman"/>
                <w:color w:val="auto"/>
                <w:sz w:val="21"/>
                <w:szCs w:val="21"/>
                <w:highlight w:val="none"/>
              </w:rPr>
            </w:pP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产生量</w:t>
            </w:r>
            <w:r>
              <w:rPr>
                <w:rFonts w:hint="default" w:ascii="Times New Roman" w:hAnsi="Times New Roman" w:eastAsia="宋体" w:cs="Times New Roman"/>
                <w:color w:val="auto"/>
                <w:spacing w:val="-59"/>
                <w:sz w:val="21"/>
                <w:szCs w:val="21"/>
                <w:highlight w:val="none"/>
              </w:rPr>
              <w:t xml:space="preserve"> </w:t>
            </w:r>
            <w:r>
              <w:rPr>
                <w:rFonts w:hint="default" w:ascii="Times New Roman" w:hAnsi="Times New Roman" w:eastAsia="宋体" w:cs="Times New Roman"/>
                <w:color w:val="auto"/>
                <w:sz w:val="21"/>
                <w:szCs w:val="21"/>
                <w:highlight w:val="none"/>
              </w:rPr>
              <w:t>t/a</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1.43</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0.61</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1.02</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0.10</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restart"/>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混合后</w:t>
            </w:r>
          </w:p>
        </w:tc>
        <w:tc>
          <w:tcPr>
            <w:tcW w:w="1061"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90797.4</w:t>
            </w: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w:t>
            </w:r>
          </w:p>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862.80</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260.69</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393.18</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22.25</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5.18</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20000个/mL</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continue"/>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31" w:right="0"/>
              <w:jc w:val="center"/>
              <w:rPr>
                <w:rFonts w:hint="default" w:ascii="Times New Roman" w:hAnsi="Times New Roman" w:eastAsia="宋体" w:cs="Times New Roman"/>
                <w:color w:val="auto"/>
                <w:sz w:val="21"/>
                <w:szCs w:val="21"/>
                <w:highlight w:val="none"/>
              </w:rPr>
            </w:pPr>
          </w:p>
        </w:tc>
        <w:tc>
          <w:tcPr>
            <w:tcW w:w="1061" w:type="dxa"/>
            <w:vMerge w:val="continue"/>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31" w:right="0"/>
              <w:jc w:val="center"/>
              <w:rPr>
                <w:rFonts w:hint="default" w:ascii="Times New Roman" w:hAnsi="Times New Roman" w:eastAsia="宋体" w:cs="Times New Roman"/>
                <w:color w:val="auto"/>
                <w:sz w:val="21"/>
                <w:szCs w:val="21"/>
                <w:highlight w:val="none"/>
              </w:rPr>
            </w:pP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产生量</w:t>
            </w:r>
            <w:r>
              <w:rPr>
                <w:rFonts w:hint="default" w:ascii="Times New Roman" w:hAnsi="Times New Roman" w:eastAsia="宋体" w:cs="Times New Roman"/>
                <w:color w:val="auto"/>
                <w:spacing w:val="-59"/>
                <w:sz w:val="21"/>
                <w:szCs w:val="21"/>
                <w:highlight w:val="none"/>
              </w:rPr>
              <w:t xml:space="preserve"> </w:t>
            </w:r>
            <w:r>
              <w:rPr>
                <w:rFonts w:hint="default" w:ascii="Times New Roman" w:hAnsi="Times New Roman" w:eastAsia="宋体" w:cs="Times New Roman"/>
                <w:color w:val="auto"/>
                <w:sz w:val="21"/>
                <w:szCs w:val="21"/>
                <w:highlight w:val="none"/>
              </w:rPr>
              <w:t>t/a</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78.34</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23.67</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35.7</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2.02</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0.47</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PrEx>
        <w:trPr>
          <w:jc w:val="center"/>
        </w:trPr>
        <w:tc>
          <w:tcPr>
            <w:tcW w:w="999" w:type="dxa"/>
            <w:vMerge w:val="restart"/>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处理后</w:t>
            </w:r>
          </w:p>
        </w:tc>
        <w:tc>
          <w:tcPr>
            <w:tcW w:w="1061"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90797.4</w:t>
            </w: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排放浓度</w:t>
            </w:r>
          </w:p>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100</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40</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15</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0.73</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4000个/ml</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continue"/>
            <w:tcBorders>
              <w:top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04" w:right="0"/>
              <w:jc w:val="center"/>
              <w:rPr>
                <w:rFonts w:hint="default" w:ascii="Times New Roman" w:hAnsi="Times New Roman" w:eastAsia="宋体" w:cs="Times New Roman"/>
                <w:color w:val="auto"/>
                <w:sz w:val="21"/>
                <w:szCs w:val="21"/>
                <w:highlight w:val="none"/>
              </w:rPr>
            </w:pPr>
          </w:p>
        </w:tc>
        <w:tc>
          <w:tcPr>
            <w:tcW w:w="1061" w:type="dxa"/>
            <w:vMerge w:val="continue"/>
            <w:tcBorders>
              <w:top w:val="single" w:color="auto" w:sz="8" w:space="0"/>
              <w:left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04" w:right="0"/>
              <w:jc w:val="center"/>
              <w:rPr>
                <w:rFonts w:hint="default" w:ascii="Times New Roman" w:hAnsi="Times New Roman" w:eastAsia="宋体" w:cs="Times New Roman"/>
                <w:color w:val="auto"/>
                <w:sz w:val="21"/>
                <w:szCs w:val="21"/>
                <w:highlight w:val="none"/>
              </w:rPr>
            </w:pPr>
          </w:p>
        </w:tc>
        <w:tc>
          <w:tcPr>
            <w:tcW w:w="908" w:type="dxa"/>
            <w:tcBorders>
              <w:top w:val="single" w:color="auto" w:sz="8" w:space="0"/>
              <w:left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排放量</w:t>
            </w:r>
            <w:r>
              <w:rPr>
                <w:rFonts w:hint="default" w:ascii="Times New Roman" w:hAnsi="Times New Roman" w:eastAsia="宋体" w:cs="Times New Roman"/>
                <w:color w:val="auto"/>
                <w:spacing w:val="-59"/>
                <w:sz w:val="21"/>
                <w:szCs w:val="21"/>
                <w:highlight w:val="none"/>
              </w:rPr>
              <w:t xml:space="preserve"> </w:t>
            </w:r>
            <w:r>
              <w:rPr>
                <w:rFonts w:hint="default" w:ascii="Times New Roman" w:hAnsi="Times New Roman" w:eastAsia="宋体" w:cs="Times New Roman"/>
                <w:color w:val="auto"/>
                <w:sz w:val="21"/>
                <w:szCs w:val="21"/>
                <w:highlight w:val="none"/>
              </w:rPr>
              <w:t>t/a</w:t>
            </w:r>
          </w:p>
        </w:tc>
        <w:tc>
          <w:tcPr>
            <w:tcW w:w="883" w:type="dxa"/>
            <w:tcBorders>
              <w:top w:val="single" w:color="auto" w:sz="8" w:space="0"/>
              <w:left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9.08</w:t>
            </w:r>
          </w:p>
        </w:tc>
        <w:tc>
          <w:tcPr>
            <w:tcW w:w="883" w:type="dxa"/>
            <w:tcBorders>
              <w:top w:val="single" w:color="auto" w:sz="8" w:space="0"/>
              <w:left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3.63</w:t>
            </w:r>
          </w:p>
        </w:tc>
        <w:tc>
          <w:tcPr>
            <w:tcW w:w="1005" w:type="dxa"/>
            <w:tcBorders>
              <w:top w:val="single" w:color="auto" w:sz="8" w:space="0"/>
              <w:left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5.45</w:t>
            </w:r>
          </w:p>
        </w:tc>
        <w:tc>
          <w:tcPr>
            <w:tcW w:w="795" w:type="dxa"/>
            <w:tcBorders>
              <w:top w:val="single" w:color="auto" w:sz="8" w:space="0"/>
              <w:left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1.36</w:t>
            </w:r>
          </w:p>
        </w:tc>
        <w:tc>
          <w:tcPr>
            <w:tcW w:w="607" w:type="dxa"/>
            <w:tcBorders>
              <w:top w:val="single" w:color="auto" w:sz="8" w:space="0"/>
              <w:left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0.07</w:t>
            </w:r>
          </w:p>
        </w:tc>
        <w:tc>
          <w:tcPr>
            <w:tcW w:w="465" w:type="dxa"/>
            <w:tcBorders>
              <w:top w:val="single" w:color="auto" w:sz="8" w:space="0"/>
              <w:left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bl>
    <w:p>
      <w:pPr>
        <w:pStyle w:val="9"/>
        <w:bidi w:val="0"/>
        <w:rPr>
          <w:rFonts w:hint="default" w:ascii="Times New Roman" w:hAnsi="Times New Roman" w:eastAsia="宋体" w:cs="Times New Roman"/>
          <w:color w:val="auto"/>
          <w:sz w:val="24"/>
          <w:szCs w:val="24"/>
          <w:highlight w:val="none"/>
        </w:rPr>
      </w:pPr>
      <w:r>
        <w:rPr>
          <w:rFonts w:hint="eastAsia" w:eastAsia="宋体" w:cs="Times New Roman"/>
          <w:color w:val="auto"/>
          <w:sz w:val="24"/>
          <w:szCs w:val="24"/>
          <w:highlight w:val="none"/>
          <w:lang w:eastAsia="zh-CN"/>
        </w:rPr>
        <w:t>运营期噪声产生、治理及排放</w:t>
      </w:r>
    </w:p>
    <w:p>
      <w:pPr>
        <w:tabs>
          <w:tab w:val="left" w:pos="1220"/>
        </w:tabs>
        <w:spacing w:line="360" w:lineRule="auto"/>
        <w:ind w:firstLine="475" w:firstLineChars="198"/>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本项目运营期噪声主要来自于水泵、风机、发电机、污水处理设施、无害化降解处理机等设备噪声，</w:t>
      </w:r>
      <w:r>
        <w:rPr>
          <w:rFonts w:hint="eastAsia" w:ascii="Times New Roman" w:hAnsi="Times New Roman" w:cs="Times New Roman"/>
          <w:color w:val="auto"/>
          <w:sz w:val="24"/>
          <w:szCs w:val="24"/>
          <w:highlight w:val="none"/>
          <w:lang w:eastAsia="zh-CN"/>
        </w:rPr>
        <w:t>牛</w:t>
      </w:r>
      <w:r>
        <w:rPr>
          <w:rFonts w:hint="eastAsia" w:ascii="Times New Roman" w:hAnsi="Times New Roman" w:cs="Times New Roman"/>
          <w:color w:val="auto"/>
          <w:sz w:val="24"/>
          <w:szCs w:val="24"/>
          <w:highlight w:val="none"/>
        </w:rPr>
        <w:t>叫声产生的噪声以及进出车辆噪声等。</w:t>
      </w:r>
    </w:p>
    <w:p>
      <w:pPr>
        <w:spacing w:line="360" w:lineRule="auto"/>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1、噪声产生情况</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本项目运营过程中</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舍较为集中，</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叫声为间歇噪声，声压级约70dB（A），属于低频段为主的噪声。生产中主要产噪设备为</w:t>
      </w:r>
      <w:r>
        <w:rPr>
          <w:rFonts w:hint="eastAsia" w:ascii="Times New Roman" w:hAnsi="Times New Roman" w:eastAsia="宋体" w:cs="Times New Roman"/>
          <w:color w:val="auto"/>
          <w:sz w:val="24"/>
          <w:szCs w:val="24"/>
          <w:highlight w:val="none"/>
        </w:rPr>
        <w:t>水泵、风机、发电机、污水处理设施、无害化降解处理机</w:t>
      </w:r>
      <w:r>
        <w:rPr>
          <w:rFonts w:ascii="Times New Roman" w:hAnsi="Times New Roman" w:eastAsia="宋体" w:cs="Times New Roman"/>
          <w:color w:val="auto"/>
          <w:sz w:val="24"/>
          <w:szCs w:val="24"/>
          <w:highlight w:val="none"/>
        </w:rPr>
        <w:t>等，产生的噪声为机械性噪声，频谱特征大部分以中低频为主，声级约70～90dB（A）。项目取水水泵采用潜水泵，其余水泵主要为污水处理站的污水泵、回流泵和污泥泵，水泵均设置在泵房内或地下室；风机主要为</w:t>
      </w:r>
      <w:r>
        <w:rPr>
          <w:rFonts w:hint="eastAsia" w:ascii="Times New Roman" w:hAnsi="Times New Roman" w:eastAsia="宋体" w:cs="Times New Roman"/>
          <w:color w:val="auto"/>
          <w:sz w:val="24"/>
          <w:szCs w:val="24"/>
          <w:highlight w:val="none"/>
          <w:lang w:eastAsia="zh-CN"/>
        </w:rPr>
        <w:t>牛舍</w:t>
      </w:r>
      <w:r>
        <w:rPr>
          <w:rFonts w:ascii="Times New Roman" w:hAnsi="Times New Roman" w:eastAsia="宋体" w:cs="Times New Roman"/>
          <w:color w:val="auto"/>
          <w:sz w:val="24"/>
          <w:szCs w:val="24"/>
          <w:highlight w:val="none"/>
        </w:rPr>
        <w:t>水帘降温风机，位于</w:t>
      </w:r>
      <w:r>
        <w:rPr>
          <w:rFonts w:hint="eastAsia" w:ascii="Times New Roman" w:hAnsi="Times New Roman" w:eastAsia="宋体" w:cs="Times New Roman"/>
          <w:color w:val="auto"/>
          <w:sz w:val="24"/>
          <w:szCs w:val="24"/>
          <w:highlight w:val="none"/>
          <w:lang w:eastAsia="zh-CN"/>
        </w:rPr>
        <w:t>牛舍</w:t>
      </w:r>
      <w:r>
        <w:rPr>
          <w:rFonts w:ascii="Times New Roman" w:hAnsi="Times New Roman" w:eastAsia="宋体" w:cs="Times New Roman"/>
          <w:color w:val="auto"/>
          <w:sz w:val="24"/>
          <w:szCs w:val="24"/>
          <w:highlight w:val="none"/>
        </w:rPr>
        <w:t>纵墙的墙面上并设有水帘；柴油发电机组位于发电机房内。另外，生活区配备有空调，空调均为挂壁式空调，不设置中央空调及冷却塔。</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噪声主要</w:t>
      </w:r>
      <w:r>
        <w:rPr>
          <w:rFonts w:hint="eastAsia" w:ascii="Times New Roman" w:hAnsi="Times New Roman" w:eastAsia="宋体" w:cs="Times New Roman"/>
          <w:color w:val="auto"/>
          <w:sz w:val="24"/>
          <w:szCs w:val="24"/>
          <w:highlight w:val="none"/>
          <w:lang w:eastAsia="zh-CN"/>
        </w:rPr>
        <w:t>为</w:t>
      </w:r>
      <w:r>
        <w:rPr>
          <w:rFonts w:ascii="Times New Roman" w:hAnsi="Times New Roman" w:eastAsia="宋体" w:cs="Times New Roman"/>
          <w:color w:val="auto"/>
          <w:sz w:val="24"/>
          <w:szCs w:val="24"/>
          <w:highlight w:val="none"/>
        </w:rPr>
        <w:t>设备运行噪声以及</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叫声和出入场区的车辆噪声等，噪声值在70~90dB（A）之间，项目主要噪声源强及治理措施见</w:t>
      </w:r>
      <w:r>
        <w:rPr>
          <w:rFonts w:hint="eastAsia" w:ascii="Times New Roman" w:hAnsi="Times New Roman" w:eastAsia="宋体" w:cs="Times New Roman"/>
          <w:color w:val="auto"/>
          <w:sz w:val="24"/>
          <w:szCs w:val="24"/>
          <w:highlight w:val="none"/>
          <w:lang w:eastAsia="zh-CN"/>
        </w:rPr>
        <w:t>下</w:t>
      </w:r>
      <w:r>
        <w:rPr>
          <w:rFonts w:ascii="Times New Roman" w:hAnsi="Times New Roman" w:eastAsia="宋体" w:cs="Times New Roman"/>
          <w:color w:val="auto"/>
          <w:sz w:val="24"/>
          <w:szCs w:val="24"/>
          <w:highlight w:val="none"/>
        </w:rPr>
        <w:t>表。</w:t>
      </w:r>
    </w:p>
    <w:p>
      <w:pPr>
        <w:pStyle w:val="2504"/>
        <w:numPr>
          <w:ilvl w:val="0"/>
          <w:numId w:val="25"/>
        </w:numPr>
        <w:spacing w:before="120"/>
        <w:ind w:left="0" w:leftChars="0" w:firstLine="403" w:firstLineChars="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   主要噪声源源强及治理措施一览表</w:t>
      </w:r>
    </w:p>
    <w:tbl>
      <w:tblPr>
        <w:tblStyle w:val="91"/>
        <w:tblW w:w="0" w:type="auto"/>
        <w:tblInd w:w="0" w:type="dxa"/>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Layout w:type="autofit"/>
        <w:tblCellMar>
          <w:top w:w="0" w:type="dxa"/>
          <w:left w:w="0" w:type="dxa"/>
          <w:bottom w:w="0" w:type="dxa"/>
          <w:right w:w="0" w:type="dxa"/>
        </w:tblCellMar>
      </w:tblPr>
      <w:tblGrid>
        <w:gridCol w:w="1468"/>
        <w:gridCol w:w="2101"/>
        <w:gridCol w:w="858"/>
        <w:gridCol w:w="1038"/>
        <w:gridCol w:w="2841"/>
      </w:tblGrid>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声源名称</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位置</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排放特征</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源强dB(A)</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7"/>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治理或防护措施</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牛</w:t>
            </w:r>
            <w:r>
              <w:rPr>
                <w:rFonts w:hint="default" w:ascii="Times New Roman" w:hAnsi="Times New Roman" w:eastAsia="宋体" w:cs="Times New Roman"/>
                <w:color w:val="auto"/>
                <w:sz w:val="21"/>
                <w:szCs w:val="21"/>
                <w:highlight w:val="none"/>
              </w:rPr>
              <w:t>叫声</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2"/>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牛</w:t>
            </w:r>
            <w:r>
              <w:rPr>
                <w:rFonts w:hint="default" w:ascii="Times New Roman" w:hAnsi="Times New Roman" w:eastAsia="宋体" w:cs="Times New Roman"/>
                <w:color w:val="auto"/>
                <w:sz w:val="21"/>
                <w:szCs w:val="21"/>
                <w:highlight w:val="none"/>
              </w:rPr>
              <w:t>舍</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间断</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70~80</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pacing w:val="-3"/>
                <w:sz w:val="21"/>
                <w:szCs w:val="21"/>
                <w:highlight w:val="none"/>
                <w:lang w:eastAsia="zh-CN"/>
              </w:rPr>
              <w:t>牛</w:t>
            </w:r>
            <w:r>
              <w:rPr>
                <w:rFonts w:hint="default" w:ascii="Times New Roman" w:hAnsi="Times New Roman" w:eastAsia="宋体" w:cs="Times New Roman"/>
                <w:color w:val="auto"/>
                <w:spacing w:val="-3"/>
                <w:sz w:val="21"/>
                <w:szCs w:val="21"/>
                <w:highlight w:val="none"/>
              </w:rPr>
              <w:t>舍隔声、减少扰动、加强管理</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风机</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2"/>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牛</w:t>
            </w:r>
            <w:r>
              <w:rPr>
                <w:rFonts w:hint="default" w:ascii="Times New Roman" w:hAnsi="Times New Roman" w:eastAsia="宋体" w:cs="Times New Roman"/>
                <w:color w:val="auto"/>
                <w:sz w:val="21"/>
                <w:szCs w:val="21"/>
                <w:highlight w:val="none"/>
              </w:rPr>
              <w:t>舍</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连续</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65～70</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消声、隔声、基础减振</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鼓风机</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设备房</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连续</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85~90</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消声、隔声、基础减振</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水泵</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设备房</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连续</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80～90</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消声、基础减振</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污泥泵</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设备房</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连续</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80～90</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消声、隔声、基础减振</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空调</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生活区</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连续</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70~75</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12"/>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基础减振</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柴油发电机</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发电机房</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间断</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80~85</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12"/>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基础减振、隔声</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无害化处理设备</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无害化处理间</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间断</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70～85</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消声、隔声、基础减振</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PrEx>
        <w:tc>
          <w:tcPr>
            <w:tcW w:w="0" w:type="auto"/>
            <w:noWrap w:val="0"/>
            <w:vAlign w:val="center"/>
          </w:tcPr>
          <w:p>
            <w:pPr>
              <w:pStyle w:val="167"/>
              <w:keepNext w:val="0"/>
              <w:keepLines w:val="0"/>
              <w:suppressLineNumbers w:val="0"/>
              <w:kinsoku w:val="0"/>
              <w:overflowPunct w:val="0"/>
              <w:spacing w:before="0" w:beforeAutospacing="0" w:after="0" w:afterAutospacing="0"/>
              <w:ind w:left="0" w:right="122"/>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运输车辆</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运输路线及厂区内道路</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间断</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70~75</w:t>
            </w:r>
          </w:p>
        </w:tc>
        <w:tc>
          <w:tcPr>
            <w:tcW w:w="0" w:type="auto"/>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合理安排行驶路线，减少鸣笛</w:t>
            </w:r>
          </w:p>
        </w:tc>
      </w:tr>
    </w:tbl>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2、噪声防治措施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（1）牛叫声</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本项目牛舍，产噪方式为间歇性，源强为 65~70dB（A），属于低频段为主的噪声。为确保厂界噪声实现达标排放，本次评价要求建设单位在营运期采用科学饲养方式，加强对牛舍的日常管理，合理安排饲养时间，定时投食；禁止非工作人员随意进场，减少对牛舍的干扰；将</w:t>
      </w:r>
      <w:r>
        <w:rPr>
          <w:rFonts w:hint="eastAsia" w:ascii="Times New Roman" w:hAnsi="Times New Roman" w:eastAsia="宋体" w:cs="Times New Roman"/>
          <w:color w:val="auto"/>
          <w:sz w:val="24"/>
          <w:szCs w:val="24"/>
          <w:highlight w:val="none"/>
          <w:lang w:eastAsia="zh-CN"/>
        </w:rPr>
        <w:t>肉</w:t>
      </w:r>
      <w:r>
        <w:rPr>
          <w:rFonts w:hint="eastAsia" w:ascii="Times New Roman" w:hAnsi="Times New Roman" w:eastAsia="宋体" w:cs="Times New Roman"/>
          <w:color w:val="auto"/>
          <w:sz w:val="24"/>
          <w:szCs w:val="24"/>
          <w:highlight w:val="none"/>
        </w:rPr>
        <w:t>牛运进和运出的时间安排在昼间，尽可能的减少牛叫声对周围居民的影响。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（2）设备噪声</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①柴油发电机置于密闭砖混结构的发电机房，优先选用性能较好和自带消声器的设备，同时利用建筑隔声。</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②通风设备采用低噪声型，且其吊装设备采用减振吊装、落地式安装设备采用弹簧减振器或橡胶减振垫，进出口设软接头，风机进出口风管处安装消声设备，四周设置隔声墙。</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③备用柴油发电机选用低噪声设备，对发电机组采取减震措施，发电机房采取隔声、吸声等降噪措施，出风口设置消声器。</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④水泵选用低噪声型，加装减振器，安装于污水处理区所需池体内，均设置于水下，减小噪声影响。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⑤场内对车辆采取限速、禁鸣的要求，可以有效降低车辆运输带来的噪声；另外，运输车辆沿途必须按规范操作，尽量少鸣笛，以免对周围村民生活造成影响或因鸣笛使牛受到惊吓而鸣叫，从而产生扰民。</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⑥加强场区内绿化，四周种植乔木及灌木，充分利用建筑物、绿化带阻隔声波传播。</w:t>
      </w:r>
    </w:p>
    <w:p>
      <w:pPr>
        <w:spacing w:line="360" w:lineRule="auto"/>
        <w:ind w:firstLine="480" w:firstLineChars="200"/>
        <w:rPr>
          <w:rFonts w:ascii="Times New Roman" w:hAnsi="Times New Roman" w:eastAsia="宋体" w:cs="Times New Roman"/>
          <w:bCs/>
          <w:color w:val="auto"/>
          <w:sz w:val="24"/>
          <w:szCs w:val="24"/>
          <w:highlight w:val="none"/>
        </w:rPr>
      </w:pPr>
      <w:r>
        <w:rPr>
          <w:rFonts w:ascii="Times New Roman" w:hAnsi="Times New Roman" w:eastAsia="宋体" w:cs="Times New Roman"/>
          <w:color w:val="auto"/>
          <w:sz w:val="24"/>
          <w:szCs w:val="24"/>
          <w:highlight w:val="none"/>
        </w:rPr>
        <w:t>采取上述措施后</w:t>
      </w:r>
      <w:r>
        <w:rPr>
          <w:rFonts w:ascii="Times New Roman" w:hAnsi="Times New Roman" w:eastAsia="宋体" w:cs="Times New Roman"/>
          <w:bCs/>
          <w:color w:val="auto"/>
          <w:sz w:val="24"/>
          <w:szCs w:val="24"/>
          <w:highlight w:val="none"/>
        </w:rPr>
        <w:t>可有效降低噪声值10~15dB(A)，再加上厂界距离衰减和隔声屏障，项目运营过程中产生的噪声能够满足《工业企业厂界环境噪声排放标准》（GB12348-2008）中的2类标准。</w:t>
      </w:r>
    </w:p>
    <w:p>
      <w:pPr>
        <w:pStyle w:val="9"/>
        <w:bidi w:val="0"/>
        <w:spacing w:line="360" w:lineRule="auto"/>
        <w:rPr>
          <w:rFonts w:hint="default" w:ascii="Times New Roman" w:hAnsi="Times New Roman" w:eastAsia="宋体" w:cs="Times New Roman"/>
          <w:color w:val="auto"/>
          <w:sz w:val="24"/>
          <w:szCs w:val="24"/>
          <w:highlight w:val="none"/>
        </w:rPr>
      </w:pPr>
      <w:r>
        <w:rPr>
          <w:rFonts w:hint="eastAsia" w:eastAsia="宋体" w:cs="Times New Roman"/>
          <w:color w:val="auto"/>
          <w:sz w:val="24"/>
          <w:szCs w:val="24"/>
          <w:highlight w:val="none"/>
          <w:lang w:eastAsia="zh-CN"/>
        </w:rPr>
        <w:t>运营期固体废物产生、治理及排放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项目营运期固体废物包括一般固体废物和危险废物。其中一般固废包括职工生活垃圾、餐厨垃圾（含隔油池油脂）、预处理池污泥、牛粪、污水处理站产生的沼渣、病死牛及分娩废物、废脱硫剂、废包装材料；危险废物为卫生防疫产生的畜禽医疗废物</w:t>
      </w:r>
      <w:r>
        <w:rPr>
          <w:rFonts w:ascii="Times New Roman" w:hAnsi="Times New Roman" w:eastAsia="宋体" w:cs="Times New Roman"/>
          <w:color w:val="auto"/>
          <w:sz w:val="24"/>
          <w:szCs w:val="24"/>
          <w:highlight w:val="none"/>
          <w:lang w:val="zh-CN"/>
        </w:rPr>
        <w:t>。</w:t>
      </w:r>
    </w:p>
    <w:p>
      <w:pPr>
        <w:spacing w:line="360" w:lineRule="auto"/>
        <w:ind w:firstLine="482"/>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color w:val="auto"/>
          <w:sz w:val="24"/>
          <w:szCs w:val="24"/>
          <w:highlight w:val="none"/>
          <w:lang w:val="zh-CN"/>
        </w:rPr>
        <w:t>1、</w:t>
      </w:r>
      <w:r>
        <w:rPr>
          <w:rFonts w:hint="eastAsia" w:ascii="Times New Roman" w:hAnsi="Times New Roman" w:eastAsia="宋体" w:cs="Times New Roman"/>
          <w:b/>
          <w:color w:val="auto"/>
          <w:sz w:val="24"/>
          <w:szCs w:val="24"/>
          <w:highlight w:val="none"/>
          <w:lang w:val="zh-CN"/>
        </w:rPr>
        <w:t>牛粪</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w:t>
      </w:r>
      <w:r>
        <w:rPr>
          <w:rFonts w:hint="default" w:ascii="Times New Roman" w:hAnsi="Times New Roman" w:eastAsia="宋体" w:cs="Times New Roman"/>
          <w:color w:val="auto"/>
          <w:sz w:val="24"/>
          <w:szCs w:val="24"/>
          <w:highlight w:val="none"/>
          <w:lang w:eastAsia="zh-CN"/>
        </w:rPr>
        <w:t>排污许可证申请与核发技术规范</w:t>
      </w:r>
      <w:r>
        <w:rPr>
          <w:rFonts w:hint="default" w:ascii="Times New Roman" w:hAnsi="Times New Roman" w:eastAsia="宋体" w:cs="Times New Roman"/>
          <w:color w:val="auto"/>
          <w:sz w:val="24"/>
          <w:szCs w:val="24"/>
          <w:highlight w:val="none"/>
          <w:lang w:val="en-US" w:eastAsia="zh-CN"/>
        </w:rPr>
        <w:t xml:space="preserve"> 畜禽养殖行业</w:t>
      </w:r>
      <w:r>
        <w:rPr>
          <w:rFonts w:hint="default" w:ascii="Times New Roman" w:hAnsi="Times New Roman" w:eastAsia="宋体" w:cs="Times New Roman"/>
          <w:color w:val="auto"/>
          <w:sz w:val="24"/>
          <w:szCs w:val="24"/>
          <w:highlight w:val="none"/>
        </w:rPr>
        <w:t>》（HJ</w:t>
      </w:r>
      <w:r>
        <w:rPr>
          <w:rFonts w:hint="default" w:ascii="Times New Roman" w:hAnsi="Times New Roman" w:eastAsia="宋体" w:cs="Times New Roman"/>
          <w:color w:val="auto"/>
          <w:sz w:val="24"/>
          <w:szCs w:val="24"/>
          <w:highlight w:val="none"/>
          <w:lang w:val="en-US" w:eastAsia="zh-CN"/>
        </w:rPr>
        <w:t>1029</w:t>
      </w:r>
      <w:r>
        <w:rPr>
          <w:rFonts w:hint="default" w:ascii="Times New Roman" w:hAnsi="Times New Roman" w:eastAsia="宋体" w:cs="Times New Roman"/>
          <w:color w:val="auto"/>
          <w:sz w:val="24"/>
          <w:szCs w:val="24"/>
          <w:highlight w:val="none"/>
        </w:rPr>
        <w:t>－20</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9）</w:t>
      </w:r>
      <w:r>
        <w:rPr>
          <w:rFonts w:hint="default" w:ascii="Times New Roman" w:hAnsi="Times New Roman" w:eastAsia="宋体" w:cs="Times New Roman"/>
          <w:color w:val="auto"/>
          <w:sz w:val="24"/>
          <w:szCs w:val="24"/>
          <w:highlight w:val="none"/>
          <w:lang w:eastAsia="zh-CN"/>
        </w:rPr>
        <w:t>表</w:t>
      </w:r>
      <w:r>
        <w:rPr>
          <w:rFonts w:hint="default" w:ascii="Times New Roman" w:hAnsi="Times New Roman" w:eastAsia="宋体" w:cs="Times New Roman"/>
          <w:color w:val="auto"/>
          <w:sz w:val="24"/>
          <w:szCs w:val="24"/>
          <w:highlight w:val="none"/>
          <w:lang w:val="en-US" w:eastAsia="zh-CN"/>
        </w:rPr>
        <w:t>9 各类畜禽污染物产生量，肉牛粪便产生量为10.88</w:t>
      </w:r>
      <w:r>
        <w:rPr>
          <w:rFonts w:hint="default" w:ascii="Times New Roman" w:hAnsi="Times New Roman" w:eastAsia="宋体" w:cs="Times New Roman"/>
          <w:color w:val="auto"/>
          <w:sz w:val="24"/>
          <w:szCs w:val="24"/>
          <w:highlight w:val="none"/>
        </w:rPr>
        <w:t>kg/d•头计</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则本项目</w:t>
      </w:r>
      <w:r>
        <w:rPr>
          <w:rFonts w:hint="default" w:ascii="Times New Roman" w:hAnsi="Times New Roman" w:eastAsia="宋体" w:cs="Times New Roman"/>
          <w:color w:val="auto"/>
          <w:sz w:val="24"/>
          <w:szCs w:val="24"/>
          <w:highlight w:val="none"/>
          <w:lang w:eastAsia="zh-CN"/>
        </w:rPr>
        <w:t>牛粪便产生量</w:t>
      </w:r>
      <w:r>
        <w:rPr>
          <w:rFonts w:hint="default" w:ascii="Times New Roman" w:hAnsi="Times New Roman" w:eastAsia="宋体" w:cs="Times New Roman"/>
          <w:color w:val="auto"/>
          <w:sz w:val="24"/>
          <w:szCs w:val="24"/>
          <w:highlight w:val="none"/>
        </w:rPr>
        <w:t>为</w:t>
      </w:r>
      <w:r>
        <w:rPr>
          <w:rFonts w:hint="eastAsia" w:ascii="Times New Roman" w:hAnsi="Times New Roman" w:eastAsia="宋体" w:cs="Times New Roman"/>
          <w:color w:val="auto"/>
          <w:sz w:val="24"/>
          <w:szCs w:val="24"/>
          <w:highlight w:val="none"/>
          <w:lang w:val="en-US" w:eastAsia="zh-CN"/>
        </w:rPr>
        <w:t>136</w:t>
      </w:r>
      <w:r>
        <w:rPr>
          <w:rFonts w:hint="default" w:ascii="Times New Roman" w:hAnsi="Times New Roman" w:eastAsia="宋体" w:cs="Times New Roman"/>
          <w:color w:val="auto"/>
          <w:sz w:val="24"/>
          <w:szCs w:val="24"/>
          <w:highlight w:val="none"/>
        </w:rPr>
        <w:t>t/</w:t>
      </w:r>
      <w:r>
        <w:rPr>
          <w:rFonts w:hint="eastAsia" w:ascii="Times New Roman" w:hAnsi="Times New Roman" w:eastAsia="宋体" w:cs="Times New Roman"/>
          <w:color w:val="auto"/>
          <w:sz w:val="24"/>
          <w:szCs w:val="24"/>
          <w:highlight w:val="none"/>
          <w:lang w:val="en-US" w:eastAsia="zh-CN"/>
        </w:rPr>
        <w:t>d</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49640</w:t>
      </w:r>
      <w:r>
        <w:rPr>
          <w:rFonts w:hint="default" w:ascii="Times New Roman" w:hAnsi="Times New Roman" w:eastAsia="宋体" w:cs="Times New Roman"/>
          <w:color w:val="auto"/>
          <w:sz w:val="24"/>
          <w:szCs w:val="24"/>
          <w:highlight w:val="none"/>
        </w:rPr>
        <w:t>t/a</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pPr>
        <w:spacing w:line="360" w:lineRule="auto"/>
        <w:ind w:firstLine="48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治理措施：根据《畜禽养殖业污染防治技术规范》，粪便必须设置专门的贮存设施。本项目拟设置一处干粪棚，用于临时暂存干湿分离后的干粪。项目牛粪、牛尿依靠重力进入粪污收集池，最终经污水处理系统固液分离机进行干湿分离，经干湿分离后的干粪暂存于封闭的干粪棚，日产日清，</w:t>
      </w:r>
      <w:r>
        <w:rPr>
          <w:rFonts w:hint="eastAsia" w:ascii="Times New Roman" w:hAnsi="Times New Roman" w:eastAsia="宋体" w:cs="Times New Roman"/>
          <w:color w:val="auto"/>
          <w:sz w:val="24"/>
          <w:szCs w:val="24"/>
          <w:highlight w:val="none"/>
          <w:lang w:val="en-US" w:eastAsia="zh-CN"/>
        </w:rPr>
        <w:t>暂存</w:t>
      </w:r>
      <w:r>
        <w:rPr>
          <w:rFonts w:hint="default" w:ascii="Times New Roman" w:hAnsi="Times New Roman" w:eastAsia="宋体" w:cs="Times New Roman"/>
          <w:color w:val="auto"/>
          <w:sz w:val="24"/>
          <w:szCs w:val="24"/>
          <w:highlight w:val="none"/>
          <w:lang w:val="en-US" w:eastAsia="zh-CN"/>
        </w:rPr>
        <w:t>后运输至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用作生产有机肥原料使用。新鲜粪便的含水量约为83.8%，项目牛尿液中牛粪脱水后的粪渣含水量为70%（行业经验系数），则经干湿分离后的牛粪量为：</w:t>
      </w:r>
      <w:r>
        <w:rPr>
          <w:rFonts w:hint="eastAsia" w:ascii="Times New Roman" w:hAnsi="Times New Roman" w:eastAsia="宋体" w:cs="Times New Roman"/>
          <w:color w:val="auto"/>
          <w:sz w:val="24"/>
          <w:szCs w:val="24"/>
          <w:highlight w:val="none"/>
          <w:lang w:val="en-US" w:eastAsia="zh-CN"/>
        </w:rPr>
        <w:t>73.44</w:t>
      </w:r>
      <w:r>
        <w:rPr>
          <w:rFonts w:hint="default" w:ascii="Times New Roman" w:hAnsi="Times New Roman" w:eastAsia="宋体" w:cs="Times New Roman"/>
          <w:color w:val="auto"/>
          <w:sz w:val="24"/>
          <w:szCs w:val="24"/>
          <w:highlight w:val="none"/>
          <w:lang w:val="en-US" w:eastAsia="zh-CN"/>
        </w:rPr>
        <w:t>t/d（</w:t>
      </w:r>
      <w:r>
        <w:rPr>
          <w:rFonts w:hint="eastAsia" w:ascii="Times New Roman" w:hAnsi="Times New Roman" w:eastAsia="宋体" w:cs="Times New Roman"/>
          <w:color w:val="auto"/>
          <w:sz w:val="24"/>
          <w:szCs w:val="24"/>
          <w:highlight w:val="none"/>
          <w:lang w:val="en-US" w:eastAsia="zh-CN"/>
        </w:rPr>
        <w:t>26805.6</w:t>
      </w:r>
      <w:r>
        <w:rPr>
          <w:rFonts w:hint="default" w:ascii="Times New Roman" w:hAnsi="Times New Roman" w:eastAsia="宋体" w:cs="Times New Roman"/>
          <w:color w:val="auto"/>
          <w:sz w:val="24"/>
          <w:szCs w:val="24"/>
          <w:highlight w:val="none"/>
          <w:lang w:val="en-US" w:eastAsia="zh-CN"/>
        </w:rPr>
        <w:t>t/a）。</w:t>
      </w:r>
    </w:p>
    <w:p>
      <w:pPr>
        <w:spacing w:line="360" w:lineRule="auto"/>
        <w:ind w:firstLine="480"/>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干粪棚设置要求：严格按照《畜禽粪便贮存设施设计要求》（GB/T27622-2011）进行规划建设，干粪棚设置成地上带有“Π”型结构，地面向“Π”型槽的开口方向倾斜，坡度为1%，坡地设排污沟，渗滤出来的渗滤液排入污水处理系统前端调节池（即干粪棚四周修建粪水收集地沟，收集的少量粪水通过密闭管线输送到污水处理系统）。同时根据《畜禽养殖业污染物排放标准》（GB18596-2001）要求，项目干粪棚要有防止粪液渗漏、溢流等措施，</w:t>
      </w:r>
    </w:p>
    <w:p>
      <w:pPr>
        <w:spacing w:line="360" w:lineRule="auto"/>
        <w:ind w:firstLine="480"/>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干粪棚四周须设置2m高防渗混凝土围墙，地面采用混凝土防渗地面，设置通气孔。为防止雨季雨水冲刷粪堆，干粪棚顶部设置为彩钢瓦结构遮挡雨水，在干粪棚四周修建排水沟（30cm*30cm）。</w:t>
      </w:r>
    </w:p>
    <w:p>
      <w:pPr>
        <w:spacing w:line="360" w:lineRule="auto"/>
        <w:ind w:firstLine="480"/>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运输管理要求：为便于环境管理，提高养殖场环保水平，评价要求项目粪污处理必须建立明确的粪便入库单、出库记录及输送档案（或台账）。粪便必须按照《畜禽粪便无害化处理技术规范》（NY/T1168-2006）中的规定进行收集、清运和处置，企业必须按照规定线路进行运输；禁止中途转作他用或者中途偷排；运输过程中不得出现“跑、冒、滴、漏”现象，运输车辆必须做好防漏措施，比米运输，严禁抛洒，避免对运输线路造成影响。根据《畜禽养殖污染治理办法》（国家环境保护总局令第9号），外运粪便时必须采取防渗漏、防流失、防遗撒等防止污染环境的措施。</w:t>
      </w:r>
    </w:p>
    <w:p>
      <w:pPr>
        <w:spacing w:line="360" w:lineRule="auto"/>
        <w:ind w:firstLine="482" w:firstLineChars="200"/>
        <w:rPr>
          <w:rFonts w:ascii="Times New Roman" w:hAnsi="Times New Roman" w:eastAsia="宋体" w:cs="Times New Roman"/>
          <w:b/>
          <w:color w:val="auto"/>
          <w:sz w:val="24"/>
          <w:szCs w:val="24"/>
          <w:highlight w:val="none"/>
          <w:lang w:val="zh-CN"/>
        </w:rPr>
      </w:pPr>
      <w:r>
        <w:rPr>
          <w:rFonts w:ascii="Times New Roman" w:hAnsi="Times New Roman" w:eastAsia="宋体" w:cs="Times New Roman"/>
          <w:b/>
          <w:color w:val="auto"/>
          <w:sz w:val="24"/>
          <w:szCs w:val="24"/>
          <w:highlight w:val="none"/>
          <w:lang w:val="zh-CN"/>
        </w:rPr>
        <w:t>2、污水处理设施污泥及沼渣</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（1）格栅渣</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本项目在污水处理站前设置有机械格栅，减少废水中较大的残渣，主要包括</w:t>
      </w:r>
      <w:r>
        <w:rPr>
          <w:rFonts w:hint="eastAsia" w:ascii="Times New Roman" w:hAnsi="Times New Roman" w:eastAsia="宋体" w:cs="Times New Roman"/>
          <w:color w:val="auto"/>
          <w:sz w:val="24"/>
          <w:szCs w:val="24"/>
          <w:highlight w:val="none"/>
          <w:lang w:val="zh-CN"/>
        </w:rPr>
        <w:t>牛</w:t>
      </w:r>
      <w:r>
        <w:rPr>
          <w:rFonts w:ascii="Times New Roman" w:hAnsi="Times New Roman" w:eastAsia="宋体" w:cs="Times New Roman"/>
          <w:color w:val="auto"/>
          <w:sz w:val="24"/>
          <w:szCs w:val="24"/>
          <w:highlight w:val="none"/>
          <w:lang w:val="zh-CN"/>
        </w:rPr>
        <w:t>毛、残余的饲料等。格栅渣采用下式计算；</w:t>
      </w:r>
    </w:p>
    <w:p>
      <w:pPr>
        <w:spacing w:line="360" w:lineRule="auto"/>
        <w:ind w:firstLine="0" w:firstLineChars="0"/>
        <w:jc w:val="center"/>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rPr>
        <w:drawing>
          <wp:inline distT="0" distB="0" distL="114300" distR="114300">
            <wp:extent cx="1390650" cy="485775"/>
            <wp:effectExtent l="0" t="0" r="0" b="9525"/>
            <wp:docPr id="1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9"/>
                    <pic:cNvPicPr>
                      <a:picLocks noChangeAspect="1"/>
                    </pic:cNvPicPr>
                  </pic:nvPicPr>
                  <pic:blipFill>
                    <a:blip r:embed="rId37"/>
                    <a:stretch>
                      <a:fillRect/>
                    </a:stretch>
                  </pic:blipFill>
                  <pic:spPr>
                    <a:xfrm>
                      <a:off x="0" y="0"/>
                      <a:ext cx="1390650" cy="485775"/>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式中：</w:t>
      </w:r>
      <w:r>
        <w:rPr>
          <w:rFonts w:ascii="Times New Roman" w:hAnsi="Times New Roman" w:eastAsia="宋体" w:cs="Times New Roman"/>
          <w:i/>
          <w:color w:val="auto"/>
          <w:sz w:val="24"/>
          <w:szCs w:val="24"/>
          <w:highlight w:val="none"/>
          <w:lang w:val="zh-CN"/>
        </w:rPr>
        <w:t>Q</w:t>
      </w:r>
      <w:r>
        <w:rPr>
          <w:rFonts w:ascii="Times New Roman" w:hAnsi="Times New Roman" w:eastAsia="宋体" w:cs="Times New Roman"/>
          <w:color w:val="auto"/>
          <w:sz w:val="24"/>
          <w:szCs w:val="24"/>
          <w:highlight w:val="none"/>
          <w:vertAlign w:val="subscript"/>
          <w:lang w:val="zh-CN"/>
        </w:rPr>
        <w:t>max</w:t>
      </w:r>
      <w:r>
        <w:rPr>
          <w:rFonts w:ascii="Times New Roman" w:hAnsi="Times New Roman" w:eastAsia="宋体" w:cs="Times New Roman"/>
          <w:color w:val="auto"/>
          <w:sz w:val="24"/>
          <w:szCs w:val="24"/>
          <w:highlight w:val="none"/>
          <w:lang w:val="zh-CN"/>
        </w:rPr>
        <w:t>——最大流量，m</w:t>
      </w:r>
      <w:r>
        <w:rPr>
          <w:rFonts w:ascii="Times New Roman" w:hAnsi="Times New Roman" w:eastAsia="宋体" w:cs="Times New Roman"/>
          <w:color w:val="auto"/>
          <w:sz w:val="24"/>
          <w:szCs w:val="24"/>
          <w:highlight w:val="none"/>
          <w:vertAlign w:val="superscript"/>
          <w:lang w:val="zh-CN"/>
        </w:rPr>
        <w:t>3</w:t>
      </w:r>
      <w:r>
        <w:rPr>
          <w:rFonts w:ascii="Times New Roman" w:hAnsi="Times New Roman" w:eastAsia="宋体" w:cs="Times New Roman"/>
          <w:color w:val="auto"/>
          <w:sz w:val="24"/>
          <w:szCs w:val="24"/>
          <w:highlight w:val="none"/>
          <w:lang w:val="zh-CN"/>
        </w:rPr>
        <w:t>/s，本项目取0.1m</w:t>
      </w:r>
      <w:r>
        <w:rPr>
          <w:rFonts w:ascii="Times New Roman" w:hAnsi="Times New Roman" w:eastAsia="宋体" w:cs="Times New Roman"/>
          <w:color w:val="auto"/>
          <w:sz w:val="24"/>
          <w:szCs w:val="24"/>
          <w:highlight w:val="none"/>
          <w:vertAlign w:val="superscript"/>
          <w:lang w:val="zh-CN"/>
        </w:rPr>
        <w:t>3</w:t>
      </w:r>
      <w:r>
        <w:rPr>
          <w:rFonts w:ascii="Times New Roman" w:hAnsi="Times New Roman" w:eastAsia="宋体" w:cs="Times New Roman"/>
          <w:color w:val="auto"/>
          <w:sz w:val="24"/>
          <w:szCs w:val="24"/>
          <w:highlight w:val="none"/>
          <w:lang w:val="zh-CN"/>
        </w:rPr>
        <w:t>/s；</w:t>
      </w:r>
    </w:p>
    <w:p>
      <w:pPr>
        <w:spacing w:line="360" w:lineRule="auto"/>
        <w:ind w:firstLine="1200" w:firstLineChars="500"/>
        <w:rPr>
          <w:rFonts w:ascii="Times New Roman" w:hAnsi="Times New Roman" w:eastAsia="宋体" w:cs="Times New Roman"/>
          <w:color w:val="auto"/>
          <w:sz w:val="24"/>
          <w:szCs w:val="24"/>
          <w:highlight w:val="none"/>
          <w:lang w:val="zh-CN"/>
        </w:rPr>
      </w:pPr>
      <w:r>
        <w:rPr>
          <w:rFonts w:ascii="Times New Roman" w:hAnsi="Times New Roman" w:eastAsia="宋体" w:cs="Times New Roman"/>
          <w:i/>
          <w:color w:val="auto"/>
          <w:sz w:val="24"/>
          <w:szCs w:val="24"/>
          <w:highlight w:val="none"/>
          <w:lang w:val="zh-CN"/>
        </w:rPr>
        <w:t>W</w:t>
      </w:r>
      <w:r>
        <w:rPr>
          <w:rFonts w:ascii="Times New Roman" w:hAnsi="Times New Roman" w:eastAsia="宋体" w:cs="Times New Roman"/>
          <w:color w:val="auto"/>
          <w:sz w:val="24"/>
          <w:szCs w:val="24"/>
          <w:highlight w:val="none"/>
          <w:lang w:val="zh-CN"/>
        </w:rPr>
        <w:t>——每日栅渣量，m</w:t>
      </w:r>
      <w:r>
        <w:rPr>
          <w:rFonts w:ascii="Times New Roman" w:hAnsi="Times New Roman" w:eastAsia="宋体" w:cs="Times New Roman"/>
          <w:color w:val="auto"/>
          <w:sz w:val="24"/>
          <w:szCs w:val="24"/>
          <w:highlight w:val="none"/>
          <w:vertAlign w:val="superscript"/>
          <w:lang w:val="zh-CN"/>
        </w:rPr>
        <w:t>3</w:t>
      </w:r>
      <w:r>
        <w:rPr>
          <w:rFonts w:ascii="Times New Roman" w:hAnsi="Times New Roman" w:eastAsia="宋体" w:cs="Times New Roman"/>
          <w:color w:val="auto"/>
          <w:sz w:val="24"/>
          <w:szCs w:val="24"/>
          <w:highlight w:val="none"/>
          <w:lang w:val="zh-CN"/>
        </w:rPr>
        <w:t>/d；</w:t>
      </w:r>
    </w:p>
    <w:p>
      <w:pPr>
        <w:spacing w:line="360" w:lineRule="auto"/>
        <w:ind w:firstLine="1200" w:firstLineChars="500"/>
        <w:rPr>
          <w:rFonts w:ascii="Times New Roman" w:hAnsi="Times New Roman" w:eastAsia="宋体" w:cs="Times New Roman"/>
          <w:color w:val="auto"/>
          <w:sz w:val="24"/>
          <w:szCs w:val="24"/>
          <w:highlight w:val="none"/>
          <w:lang w:val="zh-CN"/>
        </w:rPr>
      </w:pPr>
      <w:r>
        <w:rPr>
          <w:rFonts w:ascii="Times New Roman" w:hAnsi="Times New Roman" w:eastAsia="宋体" w:cs="Times New Roman"/>
          <w:i/>
          <w:color w:val="auto"/>
          <w:sz w:val="24"/>
          <w:szCs w:val="24"/>
          <w:highlight w:val="none"/>
          <w:lang w:val="zh-CN"/>
        </w:rPr>
        <w:t>W</w:t>
      </w:r>
      <w:r>
        <w:rPr>
          <w:rFonts w:ascii="Times New Roman" w:hAnsi="Times New Roman" w:eastAsia="宋体" w:cs="Times New Roman"/>
          <w:i/>
          <w:color w:val="auto"/>
          <w:sz w:val="24"/>
          <w:szCs w:val="24"/>
          <w:highlight w:val="none"/>
          <w:vertAlign w:val="subscript"/>
          <w:lang w:val="zh-CN"/>
        </w:rPr>
        <w:t>0</w:t>
      </w:r>
      <w:r>
        <w:rPr>
          <w:rFonts w:ascii="Times New Roman" w:hAnsi="Times New Roman" w:eastAsia="宋体" w:cs="Times New Roman"/>
          <w:color w:val="auto"/>
          <w:sz w:val="24"/>
          <w:szCs w:val="24"/>
          <w:highlight w:val="none"/>
          <w:lang w:val="zh-CN"/>
        </w:rPr>
        <w:t>——栅渣量，取</w:t>
      </w:r>
      <w:r>
        <w:rPr>
          <w:rFonts w:hint="eastAsia" w:ascii="Times New Roman" w:hAnsi="Times New Roman" w:eastAsia="宋体" w:cs="Times New Roman"/>
          <w:color w:val="auto"/>
          <w:sz w:val="24"/>
          <w:szCs w:val="24"/>
          <w:highlight w:val="none"/>
          <w:lang w:val="en-US" w:eastAsia="zh-CN"/>
        </w:rPr>
        <w:t>20</w:t>
      </w:r>
      <w:r>
        <w:rPr>
          <w:rFonts w:ascii="Times New Roman" w:hAnsi="Times New Roman" w:eastAsia="宋体" w:cs="Times New Roman"/>
          <w:color w:val="auto"/>
          <w:sz w:val="24"/>
          <w:szCs w:val="24"/>
          <w:highlight w:val="none"/>
          <w:lang w:val="zh-CN"/>
        </w:rPr>
        <w:t>m</w:t>
      </w:r>
      <w:r>
        <w:rPr>
          <w:rFonts w:ascii="Times New Roman" w:hAnsi="Times New Roman" w:eastAsia="宋体" w:cs="Times New Roman"/>
          <w:color w:val="auto"/>
          <w:sz w:val="24"/>
          <w:szCs w:val="24"/>
          <w:highlight w:val="none"/>
          <w:vertAlign w:val="superscript"/>
          <w:lang w:val="zh-CN"/>
        </w:rPr>
        <w:t>3</w:t>
      </w:r>
      <w:r>
        <w:rPr>
          <w:rFonts w:ascii="Times New Roman" w:hAnsi="Times New Roman" w:eastAsia="宋体" w:cs="Times New Roman"/>
          <w:color w:val="auto"/>
          <w:sz w:val="24"/>
          <w:szCs w:val="24"/>
          <w:highlight w:val="none"/>
          <w:lang w:val="zh-CN"/>
        </w:rPr>
        <w:t>/10</w:t>
      </w:r>
      <w:r>
        <w:rPr>
          <w:rFonts w:ascii="Times New Roman" w:hAnsi="Times New Roman" w:eastAsia="宋体" w:cs="Times New Roman"/>
          <w:color w:val="auto"/>
          <w:sz w:val="24"/>
          <w:szCs w:val="24"/>
          <w:highlight w:val="none"/>
          <w:vertAlign w:val="superscript"/>
          <w:lang w:val="zh-CN"/>
        </w:rPr>
        <w:t>3</w:t>
      </w:r>
      <w:r>
        <w:rPr>
          <w:rFonts w:ascii="Times New Roman" w:hAnsi="Times New Roman" w:eastAsia="宋体" w:cs="Times New Roman"/>
          <w:color w:val="auto"/>
          <w:sz w:val="24"/>
          <w:szCs w:val="24"/>
          <w:highlight w:val="none"/>
          <w:lang w:val="zh-CN"/>
        </w:rPr>
        <w:t>m</w:t>
      </w:r>
      <w:r>
        <w:rPr>
          <w:rFonts w:ascii="Times New Roman" w:hAnsi="Times New Roman" w:eastAsia="宋体" w:cs="Times New Roman"/>
          <w:color w:val="auto"/>
          <w:sz w:val="24"/>
          <w:szCs w:val="24"/>
          <w:highlight w:val="none"/>
          <w:vertAlign w:val="superscript"/>
          <w:lang w:val="zh-CN"/>
        </w:rPr>
        <w:t>3</w:t>
      </w:r>
      <w:r>
        <w:rPr>
          <w:rFonts w:ascii="Times New Roman" w:hAnsi="Times New Roman" w:eastAsia="宋体" w:cs="Times New Roman"/>
          <w:color w:val="auto"/>
          <w:sz w:val="24"/>
          <w:szCs w:val="24"/>
          <w:highlight w:val="none"/>
          <w:lang w:val="zh-CN"/>
        </w:rPr>
        <w:t>污水；</w:t>
      </w:r>
    </w:p>
    <w:p>
      <w:pPr>
        <w:spacing w:line="360" w:lineRule="auto"/>
        <w:ind w:firstLine="1200" w:firstLineChars="500"/>
        <w:rPr>
          <w:rFonts w:ascii="Times New Roman" w:hAnsi="Times New Roman" w:eastAsia="宋体" w:cs="Times New Roman"/>
          <w:color w:val="auto"/>
          <w:sz w:val="24"/>
          <w:szCs w:val="24"/>
          <w:highlight w:val="none"/>
          <w:lang w:val="zh-CN"/>
        </w:rPr>
      </w:pPr>
      <w:r>
        <w:rPr>
          <w:rFonts w:ascii="Times New Roman" w:hAnsi="Times New Roman" w:eastAsia="宋体" w:cs="Times New Roman"/>
          <w:i/>
          <w:color w:val="auto"/>
          <w:sz w:val="24"/>
          <w:szCs w:val="24"/>
          <w:highlight w:val="none"/>
          <w:lang w:val="zh-CN"/>
        </w:rPr>
        <w:t>K</w:t>
      </w:r>
      <w:r>
        <w:rPr>
          <w:rFonts w:ascii="Times New Roman" w:hAnsi="Times New Roman" w:eastAsia="宋体" w:cs="Times New Roman"/>
          <w:color w:val="auto"/>
          <w:sz w:val="24"/>
          <w:szCs w:val="24"/>
          <w:highlight w:val="none"/>
          <w:lang w:val="zh-CN"/>
        </w:rPr>
        <w:t>——总变化系数，取2.</w:t>
      </w:r>
      <w:r>
        <w:rPr>
          <w:rFonts w:hint="eastAsia" w:ascii="Times New Roman" w:hAnsi="Times New Roman" w:eastAsia="宋体" w:cs="Times New Roman"/>
          <w:color w:val="auto"/>
          <w:sz w:val="24"/>
          <w:szCs w:val="24"/>
          <w:highlight w:val="none"/>
          <w:lang w:val="en-US" w:eastAsia="zh-CN"/>
        </w:rPr>
        <w:t>24</w:t>
      </w:r>
      <w:r>
        <w:rPr>
          <w:rFonts w:ascii="Times New Roman" w:hAnsi="Times New Roman" w:eastAsia="宋体" w:cs="Times New Roman"/>
          <w:color w:val="auto"/>
          <w:sz w:val="24"/>
          <w:szCs w:val="24"/>
          <w:highlight w:val="none"/>
          <w:lang w:val="zh-CN"/>
        </w:rPr>
        <w:t>；</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因此，本项目格栅渣产生量为</w:t>
      </w:r>
      <w:r>
        <w:rPr>
          <w:rFonts w:hint="eastAsia" w:ascii="Times New Roman" w:hAnsi="Times New Roman" w:eastAsia="宋体" w:cs="Times New Roman"/>
          <w:color w:val="auto"/>
          <w:sz w:val="24"/>
          <w:szCs w:val="24"/>
          <w:highlight w:val="none"/>
          <w:lang w:val="en-US" w:eastAsia="zh-CN"/>
        </w:rPr>
        <w:t>0.077</w:t>
      </w:r>
      <w:r>
        <w:rPr>
          <w:rFonts w:ascii="Times New Roman" w:hAnsi="Times New Roman" w:eastAsia="宋体" w:cs="Times New Roman"/>
          <w:color w:val="auto"/>
          <w:sz w:val="24"/>
          <w:szCs w:val="24"/>
          <w:highlight w:val="none"/>
          <w:lang w:val="zh-CN"/>
        </w:rPr>
        <w:t>m</w:t>
      </w:r>
      <w:r>
        <w:rPr>
          <w:rFonts w:ascii="Times New Roman" w:hAnsi="Times New Roman" w:eastAsia="宋体" w:cs="Times New Roman"/>
          <w:color w:val="auto"/>
          <w:sz w:val="24"/>
          <w:szCs w:val="24"/>
          <w:highlight w:val="none"/>
          <w:vertAlign w:val="superscript"/>
          <w:lang w:val="zh-CN"/>
        </w:rPr>
        <w:t>3</w:t>
      </w:r>
      <w:r>
        <w:rPr>
          <w:rFonts w:ascii="Times New Roman" w:hAnsi="Times New Roman" w:eastAsia="宋体" w:cs="Times New Roman"/>
          <w:color w:val="auto"/>
          <w:sz w:val="24"/>
          <w:szCs w:val="24"/>
          <w:highlight w:val="none"/>
          <w:lang w:val="zh-CN"/>
        </w:rPr>
        <w:t>/d（</w:t>
      </w:r>
      <w:r>
        <w:rPr>
          <w:rFonts w:hint="eastAsia" w:ascii="Times New Roman" w:hAnsi="Times New Roman" w:eastAsia="宋体" w:cs="Times New Roman"/>
          <w:color w:val="auto"/>
          <w:sz w:val="24"/>
          <w:szCs w:val="24"/>
          <w:highlight w:val="none"/>
          <w:lang w:val="en-US" w:eastAsia="zh-CN"/>
        </w:rPr>
        <w:t>28.16</w:t>
      </w:r>
      <w:r>
        <w:rPr>
          <w:rFonts w:ascii="Times New Roman" w:hAnsi="Times New Roman" w:eastAsia="宋体" w:cs="Times New Roman"/>
          <w:color w:val="auto"/>
          <w:sz w:val="24"/>
          <w:szCs w:val="24"/>
          <w:highlight w:val="none"/>
          <w:lang w:val="zh-CN"/>
        </w:rPr>
        <w:t>t/a），全部随</w:t>
      </w:r>
      <w:r>
        <w:rPr>
          <w:rFonts w:hint="eastAsia" w:ascii="Times New Roman" w:hAnsi="Times New Roman" w:eastAsia="宋体" w:cs="Times New Roman"/>
          <w:color w:val="auto"/>
          <w:sz w:val="24"/>
          <w:szCs w:val="24"/>
          <w:highlight w:val="none"/>
          <w:lang w:val="zh-CN"/>
        </w:rPr>
        <w:t>牛</w:t>
      </w:r>
      <w:r>
        <w:rPr>
          <w:rFonts w:ascii="Times New Roman" w:hAnsi="Times New Roman" w:eastAsia="宋体" w:cs="Times New Roman"/>
          <w:color w:val="auto"/>
          <w:sz w:val="24"/>
          <w:szCs w:val="24"/>
          <w:highlight w:val="none"/>
          <w:lang w:val="zh-CN"/>
        </w:rPr>
        <w:t>粪</w:t>
      </w:r>
      <w:r>
        <w:rPr>
          <w:rFonts w:hint="default" w:ascii="Times New Roman" w:hAnsi="Times New Roman" w:eastAsia="宋体" w:cs="Times New Roman"/>
          <w:color w:val="auto"/>
          <w:sz w:val="24"/>
          <w:szCs w:val="24"/>
          <w:highlight w:val="none"/>
          <w:lang w:val="en-US" w:eastAsia="zh-CN"/>
        </w:rPr>
        <w:t>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ascii="Times New Roman" w:hAnsi="Times New Roman" w:eastAsia="宋体" w:cs="Times New Roman"/>
          <w:color w:val="auto"/>
          <w:sz w:val="24"/>
          <w:szCs w:val="24"/>
          <w:highlight w:val="none"/>
          <w:lang w:val="zh-CN"/>
        </w:rPr>
        <w:t>。</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（2）固液分离机渣物</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由于畜禽养殖废水高SS的特点，本项目在调节池前设置固液分离机，减小污水处理设施的污染负荷，固液分离机的固体分离效率为60%，项目SS量为</w:t>
      </w:r>
      <w:r>
        <w:rPr>
          <w:rFonts w:hint="eastAsia" w:ascii="Times New Roman" w:hAnsi="Times New Roman" w:eastAsia="宋体" w:cs="Times New Roman"/>
          <w:color w:val="auto"/>
          <w:sz w:val="24"/>
          <w:szCs w:val="24"/>
          <w:highlight w:val="none"/>
          <w:lang w:val="en-US" w:eastAsia="zh-CN"/>
        </w:rPr>
        <w:t>35.7</w:t>
      </w:r>
      <w:r>
        <w:rPr>
          <w:rFonts w:ascii="Times New Roman" w:hAnsi="Times New Roman" w:eastAsia="宋体" w:cs="Times New Roman"/>
          <w:color w:val="auto"/>
          <w:sz w:val="24"/>
          <w:szCs w:val="24"/>
          <w:highlight w:val="none"/>
          <w:lang w:val="zh-CN"/>
        </w:rPr>
        <w:t>t/a，则分离的固体渣物量为</w:t>
      </w:r>
      <w:r>
        <w:rPr>
          <w:rFonts w:hint="eastAsia" w:ascii="Times New Roman" w:hAnsi="Times New Roman" w:eastAsia="宋体" w:cs="Times New Roman"/>
          <w:color w:val="auto"/>
          <w:sz w:val="24"/>
          <w:szCs w:val="24"/>
          <w:highlight w:val="none"/>
          <w:lang w:val="en-US" w:eastAsia="zh-CN"/>
        </w:rPr>
        <w:t>21.42</w:t>
      </w:r>
      <w:r>
        <w:rPr>
          <w:rFonts w:ascii="Times New Roman" w:hAnsi="Times New Roman" w:eastAsia="宋体" w:cs="Times New Roman"/>
          <w:color w:val="auto"/>
          <w:sz w:val="24"/>
          <w:szCs w:val="24"/>
          <w:highlight w:val="none"/>
          <w:lang w:val="zh-CN"/>
        </w:rPr>
        <w:t>t/a，全部随</w:t>
      </w:r>
      <w:r>
        <w:rPr>
          <w:rFonts w:hint="eastAsia" w:ascii="Times New Roman" w:hAnsi="Times New Roman" w:eastAsia="宋体" w:cs="Times New Roman"/>
          <w:color w:val="auto"/>
          <w:sz w:val="24"/>
          <w:szCs w:val="24"/>
          <w:highlight w:val="none"/>
          <w:lang w:val="zh-CN"/>
        </w:rPr>
        <w:t>牛</w:t>
      </w:r>
      <w:r>
        <w:rPr>
          <w:rFonts w:ascii="Times New Roman" w:hAnsi="Times New Roman" w:eastAsia="宋体" w:cs="Times New Roman"/>
          <w:color w:val="auto"/>
          <w:sz w:val="24"/>
          <w:szCs w:val="24"/>
          <w:highlight w:val="none"/>
          <w:lang w:val="zh-CN"/>
        </w:rPr>
        <w:t>粪</w:t>
      </w:r>
      <w:r>
        <w:rPr>
          <w:rFonts w:hint="default" w:ascii="Times New Roman" w:hAnsi="Times New Roman" w:eastAsia="宋体" w:cs="Times New Roman"/>
          <w:color w:val="auto"/>
          <w:sz w:val="24"/>
          <w:szCs w:val="24"/>
          <w:highlight w:val="none"/>
          <w:lang w:val="en-US" w:eastAsia="zh-CN"/>
        </w:rPr>
        <w:t>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ascii="Times New Roman" w:hAnsi="Times New Roman" w:eastAsia="宋体" w:cs="Times New Roman"/>
          <w:color w:val="auto"/>
          <w:sz w:val="24"/>
          <w:szCs w:val="24"/>
          <w:highlight w:val="none"/>
          <w:lang w:val="zh-CN"/>
        </w:rPr>
        <w:t>。</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（3）沼渣及污泥</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本项目污水处理设施沼渣及污泥产生量按8kg/100m</w:t>
      </w:r>
      <w:r>
        <w:rPr>
          <w:rFonts w:ascii="Times New Roman" w:hAnsi="Times New Roman" w:eastAsia="宋体" w:cs="Times New Roman"/>
          <w:color w:val="auto"/>
          <w:sz w:val="24"/>
          <w:szCs w:val="24"/>
          <w:highlight w:val="none"/>
          <w:vertAlign w:val="superscript"/>
          <w:lang w:val="zh-CN"/>
        </w:rPr>
        <w:t>3</w:t>
      </w:r>
      <w:r>
        <w:rPr>
          <w:rFonts w:ascii="Times New Roman" w:hAnsi="Times New Roman" w:eastAsia="宋体" w:cs="Times New Roman"/>
          <w:color w:val="auto"/>
          <w:sz w:val="24"/>
          <w:szCs w:val="24"/>
          <w:highlight w:val="none"/>
          <w:lang w:val="zh-CN"/>
        </w:rPr>
        <w:t>·d（废水）计，进入污水处理设施的废水量为</w:t>
      </w:r>
      <w:r>
        <w:rPr>
          <w:rFonts w:hint="eastAsia" w:ascii="Times New Roman" w:hAnsi="Times New Roman" w:eastAsia="宋体" w:cs="Times New Roman"/>
          <w:color w:val="auto"/>
          <w:sz w:val="24"/>
          <w:szCs w:val="24"/>
          <w:highlight w:val="none"/>
          <w:lang w:val="en-US" w:eastAsia="zh-CN"/>
        </w:rPr>
        <w:t>248.76</w:t>
      </w:r>
      <w:r>
        <w:rPr>
          <w:rFonts w:ascii="Times New Roman" w:hAnsi="Times New Roman" w:eastAsia="宋体" w:cs="Times New Roman"/>
          <w:color w:val="auto"/>
          <w:sz w:val="24"/>
          <w:szCs w:val="24"/>
          <w:highlight w:val="none"/>
          <w:lang w:val="zh-CN"/>
        </w:rPr>
        <w:t>m</w:t>
      </w:r>
      <w:r>
        <w:rPr>
          <w:rFonts w:ascii="Times New Roman" w:hAnsi="Times New Roman" w:eastAsia="宋体" w:cs="Times New Roman"/>
          <w:color w:val="auto"/>
          <w:sz w:val="24"/>
          <w:szCs w:val="24"/>
          <w:highlight w:val="none"/>
          <w:vertAlign w:val="superscript"/>
          <w:lang w:val="zh-CN"/>
        </w:rPr>
        <w:t>3</w:t>
      </w:r>
      <w:r>
        <w:rPr>
          <w:rFonts w:ascii="Times New Roman" w:hAnsi="Times New Roman" w:eastAsia="宋体" w:cs="Times New Roman"/>
          <w:color w:val="auto"/>
          <w:sz w:val="24"/>
          <w:szCs w:val="24"/>
          <w:highlight w:val="none"/>
          <w:lang w:val="zh-CN"/>
        </w:rPr>
        <w:t>/d，则污水处理设施沼渣及污泥产生量为</w:t>
      </w:r>
      <w:r>
        <w:rPr>
          <w:rFonts w:hint="eastAsia" w:ascii="Times New Roman" w:hAnsi="Times New Roman" w:eastAsia="宋体" w:cs="Times New Roman"/>
          <w:color w:val="auto"/>
          <w:sz w:val="24"/>
          <w:szCs w:val="24"/>
          <w:highlight w:val="none"/>
          <w:lang w:val="en-US" w:eastAsia="zh-CN"/>
        </w:rPr>
        <w:t>19.90</w:t>
      </w:r>
      <w:r>
        <w:rPr>
          <w:rFonts w:ascii="Times New Roman" w:hAnsi="Times New Roman" w:eastAsia="宋体" w:cs="Times New Roman"/>
          <w:color w:val="auto"/>
          <w:sz w:val="24"/>
          <w:szCs w:val="24"/>
          <w:highlight w:val="none"/>
          <w:lang w:val="zh-CN"/>
        </w:rPr>
        <w:t>kg/d（</w:t>
      </w:r>
      <w:r>
        <w:rPr>
          <w:rFonts w:hint="eastAsia" w:ascii="Times New Roman" w:hAnsi="Times New Roman" w:eastAsia="宋体" w:cs="Times New Roman"/>
          <w:color w:val="auto"/>
          <w:sz w:val="24"/>
          <w:szCs w:val="24"/>
          <w:highlight w:val="none"/>
          <w:lang w:val="en-US" w:eastAsia="zh-CN"/>
        </w:rPr>
        <w:t>7.26</w:t>
      </w:r>
      <w:r>
        <w:rPr>
          <w:rFonts w:ascii="Times New Roman" w:hAnsi="Times New Roman" w:eastAsia="宋体" w:cs="Times New Roman"/>
          <w:color w:val="auto"/>
          <w:sz w:val="24"/>
          <w:szCs w:val="24"/>
          <w:highlight w:val="none"/>
          <w:lang w:val="zh-CN"/>
        </w:rPr>
        <w:t>t/a），定期清掏后</w:t>
      </w:r>
      <w:r>
        <w:rPr>
          <w:rFonts w:hint="default" w:ascii="Times New Roman" w:hAnsi="Times New Roman" w:eastAsia="宋体" w:cs="Times New Roman"/>
          <w:color w:val="auto"/>
          <w:sz w:val="24"/>
          <w:szCs w:val="24"/>
          <w:highlight w:val="none"/>
          <w:lang w:val="en-US" w:eastAsia="zh-CN"/>
        </w:rPr>
        <w:t>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ascii="Times New Roman" w:hAnsi="Times New Roman" w:eastAsia="宋体" w:cs="Times New Roman"/>
          <w:color w:val="auto"/>
          <w:sz w:val="24"/>
          <w:szCs w:val="24"/>
          <w:highlight w:val="none"/>
          <w:lang w:val="zh-CN"/>
        </w:rPr>
        <w:t>。</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因此，本项目</w:t>
      </w:r>
      <w:r>
        <w:rPr>
          <w:rFonts w:hint="eastAsia" w:ascii="Times New Roman" w:hAnsi="Times New Roman" w:eastAsia="宋体" w:cs="Times New Roman"/>
          <w:color w:val="auto"/>
          <w:sz w:val="24"/>
          <w:szCs w:val="24"/>
          <w:highlight w:val="none"/>
          <w:lang w:val="zh-CN"/>
        </w:rPr>
        <w:t>污水处理设施污泥及沼渣共计</w:t>
      </w:r>
      <w:r>
        <w:rPr>
          <w:rFonts w:hint="eastAsia" w:ascii="Times New Roman" w:hAnsi="Times New Roman" w:eastAsia="宋体" w:cs="Times New Roman"/>
          <w:color w:val="auto"/>
          <w:sz w:val="24"/>
          <w:szCs w:val="24"/>
          <w:highlight w:val="none"/>
          <w:lang w:val="en-US" w:eastAsia="zh-CN"/>
        </w:rPr>
        <w:t>56.84t/a</w:t>
      </w:r>
      <w:r>
        <w:rPr>
          <w:rFonts w:ascii="Times New Roman" w:hAnsi="Times New Roman" w:eastAsia="宋体" w:cs="Times New Roman"/>
          <w:color w:val="auto"/>
          <w:sz w:val="24"/>
          <w:szCs w:val="24"/>
          <w:highlight w:val="none"/>
          <w:lang w:val="zh-CN"/>
        </w:rPr>
        <w:t>，，全部随</w:t>
      </w:r>
      <w:r>
        <w:rPr>
          <w:rFonts w:hint="eastAsia" w:ascii="Times New Roman" w:hAnsi="Times New Roman" w:eastAsia="宋体" w:cs="Times New Roman"/>
          <w:color w:val="auto"/>
          <w:sz w:val="24"/>
          <w:szCs w:val="24"/>
          <w:highlight w:val="none"/>
          <w:lang w:val="zh-CN"/>
        </w:rPr>
        <w:t>牛</w:t>
      </w:r>
      <w:r>
        <w:rPr>
          <w:rFonts w:ascii="Times New Roman" w:hAnsi="Times New Roman" w:eastAsia="宋体" w:cs="Times New Roman"/>
          <w:color w:val="auto"/>
          <w:sz w:val="24"/>
          <w:szCs w:val="24"/>
          <w:highlight w:val="none"/>
          <w:lang w:val="zh-CN"/>
        </w:rPr>
        <w:t>粪</w:t>
      </w:r>
      <w:r>
        <w:rPr>
          <w:rFonts w:hint="default" w:ascii="Times New Roman" w:hAnsi="Times New Roman" w:eastAsia="宋体" w:cs="Times New Roman"/>
          <w:color w:val="auto"/>
          <w:sz w:val="24"/>
          <w:szCs w:val="24"/>
          <w:highlight w:val="none"/>
          <w:lang w:val="en-US" w:eastAsia="zh-CN"/>
        </w:rPr>
        <w:t>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ascii="Times New Roman" w:hAnsi="Times New Roman" w:eastAsia="宋体" w:cs="Times New Roman"/>
          <w:color w:val="auto"/>
          <w:sz w:val="24"/>
          <w:szCs w:val="24"/>
          <w:highlight w:val="none"/>
          <w:lang w:val="zh-CN"/>
        </w:rPr>
        <w:t>。</w:t>
      </w:r>
    </w:p>
    <w:p>
      <w:pPr>
        <w:spacing w:line="360" w:lineRule="auto"/>
        <w:ind w:firstLine="482" w:firstLineChars="200"/>
        <w:rPr>
          <w:rFonts w:hint="default" w:ascii="Times New Roman" w:hAnsi="Times New Roman" w:eastAsia="宋体" w:cs="Times New Roman"/>
          <w:b/>
          <w:color w:val="auto"/>
          <w:sz w:val="24"/>
          <w:szCs w:val="24"/>
          <w:highlight w:val="none"/>
          <w:lang w:val="en-US" w:eastAsia="zh-CN"/>
        </w:rPr>
      </w:pPr>
      <w:r>
        <w:rPr>
          <w:rFonts w:ascii="Times New Roman" w:hAnsi="Times New Roman" w:eastAsia="宋体" w:cs="Times New Roman"/>
          <w:b/>
          <w:color w:val="auto"/>
          <w:sz w:val="24"/>
          <w:szCs w:val="24"/>
          <w:highlight w:val="none"/>
          <w:lang w:val="zh-CN"/>
        </w:rPr>
        <w:t>3、病死</w:t>
      </w:r>
      <w:r>
        <w:rPr>
          <w:rFonts w:hint="eastAsia" w:ascii="Times New Roman" w:hAnsi="Times New Roman" w:eastAsia="宋体" w:cs="Times New Roman"/>
          <w:b/>
          <w:color w:val="auto"/>
          <w:sz w:val="24"/>
          <w:szCs w:val="24"/>
          <w:highlight w:val="none"/>
          <w:lang w:val="zh-CN"/>
        </w:rPr>
        <w:t>牛</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w:t>
      </w:r>
      <w:r>
        <w:rPr>
          <w:rFonts w:hint="eastAsia" w:ascii="Times New Roman" w:hAnsi="Times New Roman"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zh-CN"/>
        </w:rPr>
        <w:t>产生情况</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考虑到养殖的风险性，营运过程中会不定期的产生病死牛。根据同类型肉牛养殖场类比调查及建设单位养殖经验，肉牛的死亡率一般取存栏量 0.1%左右，项目年存栏肉牛</w:t>
      </w:r>
      <w:r>
        <w:rPr>
          <w:rFonts w:hint="eastAsia" w:ascii="Times New Roman" w:hAnsi="Times New Roman" w:eastAsia="宋体" w:cs="Times New Roman"/>
          <w:color w:val="auto"/>
          <w:sz w:val="24"/>
          <w:szCs w:val="24"/>
          <w:highlight w:val="none"/>
          <w:lang w:val="en-US" w:eastAsia="zh-CN"/>
        </w:rPr>
        <w:t>12500</w:t>
      </w:r>
      <w:r>
        <w:rPr>
          <w:rFonts w:hint="eastAsia" w:ascii="Times New Roman" w:hAnsi="Times New Roman" w:eastAsia="宋体" w:cs="Times New Roman"/>
          <w:color w:val="auto"/>
          <w:sz w:val="24"/>
          <w:szCs w:val="24"/>
          <w:highlight w:val="none"/>
          <w:lang w:val="zh-CN"/>
        </w:rPr>
        <w:t>头，则项目病死牛产生量为</w:t>
      </w:r>
      <w:r>
        <w:rPr>
          <w:rFonts w:hint="eastAsia" w:ascii="Times New Roman" w:hAnsi="Times New Roman" w:eastAsia="宋体" w:cs="Times New Roman"/>
          <w:color w:val="auto"/>
          <w:sz w:val="24"/>
          <w:szCs w:val="24"/>
          <w:highlight w:val="none"/>
          <w:lang w:val="en-US" w:eastAsia="zh-CN"/>
        </w:rPr>
        <w:t>12.5</w:t>
      </w:r>
      <w:r>
        <w:rPr>
          <w:rFonts w:hint="eastAsia" w:ascii="Times New Roman" w:hAnsi="Times New Roman" w:eastAsia="宋体" w:cs="Times New Roman"/>
          <w:color w:val="auto"/>
          <w:sz w:val="24"/>
          <w:szCs w:val="24"/>
          <w:highlight w:val="none"/>
          <w:lang w:val="zh-CN"/>
        </w:rPr>
        <w:t>头/a。病死牛重量平均按3</w:t>
      </w:r>
      <w:r>
        <w:rPr>
          <w:rFonts w:hint="eastAsia" w:ascii="Times New Roman" w:hAnsi="Times New Roman" w:eastAsia="宋体" w:cs="Times New Roman"/>
          <w:color w:val="auto"/>
          <w:sz w:val="24"/>
          <w:szCs w:val="24"/>
          <w:highlight w:val="none"/>
          <w:lang w:val="en-US" w:eastAsia="zh-CN"/>
        </w:rPr>
        <w:t>0</w:t>
      </w:r>
      <w:r>
        <w:rPr>
          <w:rFonts w:hint="eastAsia" w:ascii="Times New Roman" w:hAnsi="Times New Roman" w:eastAsia="宋体" w:cs="Times New Roman"/>
          <w:color w:val="auto"/>
          <w:sz w:val="24"/>
          <w:szCs w:val="24"/>
          <w:highlight w:val="none"/>
          <w:lang w:val="zh-CN"/>
        </w:rPr>
        <w:t>0kg/头计，则项目营运期病死牛产生量为</w:t>
      </w:r>
      <w:r>
        <w:rPr>
          <w:rFonts w:hint="eastAsia" w:ascii="Times New Roman" w:hAnsi="Times New Roman" w:eastAsia="宋体" w:cs="Times New Roman"/>
          <w:color w:val="auto"/>
          <w:sz w:val="24"/>
          <w:szCs w:val="24"/>
          <w:highlight w:val="none"/>
          <w:lang w:val="en-US" w:eastAsia="zh-CN"/>
        </w:rPr>
        <w:t>3.75</w:t>
      </w:r>
      <w:r>
        <w:rPr>
          <w:rFonts w:hint="eastAsia" w:ascii="Times New Roman" w:hAnsi="Times New Roman" w:eastAsia="宋体" w:cs="Times New Roman"/>
          <w:color w:val="auto"/>
          <w:sz w:val="24"/>
          <w:szCs w:val="24"/>
          <w:highlight w:val="none"/>
          <w:lang w:val="zh-CN"/>
        </w:rPr>
        <w:t>t/a。</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根据《畜禽养殖业污染防治技术政策》（环发[2010]151 号）中有关内容，畜禽尸体应按照有关卫生防疫规定单独进行妥善处置。染疫畜禽及其排泄物、染疫畜禽产品，病死或者死因不明的畜禽尸体等污染物，应就地进行无害化处理。根据《畜禽规模养殖污染防治条例》（中华人民共和国国务院令第 643 号）的有关内容，染疫畜禽以及染疫畜禽排泄物、染疫畜禽产品、病死或者死因不明的畜禽尸体等病害畜禽养殖废弃物，应当按照有关法律、法规和国务院农牧主管部门的规定，进行深埋、化制、焚烧等无害化处理，并按照国家有关规定对处理费用、养殖损失给予适当补助。</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（2）处置措施</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经无害化降解处理机处理后，</w:t>
      </w:r>
      <w:r>
        <w:rPr>
          <w:rFonts w:hint="default" w:ascii="Times New Roman" w:hAnsi="Times New Roman" w:eastAsia="宋体" w:cs="Times New Roman"/>
          <w:color w:val="auto"/>
          <w:sz w:val="24"/>
          <w:szCs w:val="24"/>
          <w:highlight w:val="none"/>
          <w:lang w:val="en-US" w:eastAsia="zh-CN"/>
        </w:rPr>
        <w:t>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hint="eastAsia" w:ascii="Times New Roman" w:hAnsi="Times New Roman" w:eastAsia="宋体" w:cs="Times New Roman"/>
          <w:color w:val="auto"/>
          <w:sz w:val="24"/>
          <w:szCs w:val="24"/>
          <w:highlight w:val="none"/>
          <w:lang w:val="zh-CN"/>
        </w:rPr>
        <w:t>。</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对高温法处理的技术工艺及注意事项，本次评价要求如下：</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hint="eastAsia" w:ascii="宋体" w:hAnsi="宋体" w:eastAsia="宋体" w:cs="宋体"/>
          <w:color w:val="auto"/>
          <w:sz w:val="24"/>
          <w:szCs w:val="24"/>
          <w:highlight w:val="none"/>
          <w:lang w:val="zh-CN"/>
        </w:rPr>
        <w:t>①</w:t>
      </w:r>
      <w:r>
        <w:rPr>
          <w:rFonts w:ascii="Times New Roman" w:hAnsi="Times New Roman" w:eastAsia="宋体" w:cs="Times New Roman"/>
          <w:color w:val="auto"/>
          <w:sz w:val="24"/>
          <w:szCs w:val="24"/>
          <w:highlight w:val="none"/>
          <w:lang w:val="zh-CN"/>
        </w:rPr>
        <w:t>按照《病死及病害动物无害化处理技术规范》（农医发【2017】25号）要求，采用</w:t>
      </w:r>
      <w:r>
        <w:rPr>
          <w:rFonts w:hint="eastAsia" w:ascii="Times New Roman" w:hAnsi="Times New Roman" w:eastAsia="宋体" w:cs="Times New Roman"/>
          <w:color w:val="auto"/>
          <w:sz w:val="24"/>
          <w:szCs w:val="24"/>
          <w:highlight w:val="none"/>
          <w:lang w:val="zh-CN"/>
        </w:rPr>
        <w:t>无害化降解处理机</w:t>
      </w:r>
      <w:r>
        <w:rPr>
          <w:rFonts w:ascii="Times New Roman" w:hAnsi="Times New Roman" w:eastAsia="宋体" w:cs="Times New Roman"/>
          <w:color w:val="auto"/>
          <w:sz w:val="24"/>
          <w:szCs w:val="24"/>
          <w:highlight w:val="none"/>
          <w:lang w:val="zh-CN"/>
        </w:rPr>
        <w:t>机处理时不得用于患有炭疽等芽孢杆菌类疫病，以及牛海绵状脑病、痒病的染疫动物及产品、组织的处理，如发生此类情况，立即上报当地畜牧局</w:t>
      </w:r>
      <w:r>
        <w:rPr>
          <w:rFonts w:ascii="Times New Roman" w:hAnsi="Times New Roman" w:eastAsia="宋体" w:cs="Times New Roman"/>
          <w:color w:val="auto"/>
          <w:sz w:val="24"/>
          <w:szCs w:val="24"/>
          <w:highlight w:val="none"/>
        </w:rPr>
        <w:t>，启动畜禽疫病防控应急预案</w:t>
      </w:r>
      <w:r>
        <w:rPr>
          <w:rFonts w:ascii="Times New Roman" w:hAnsi="Times New Roman" w:eastAsia="宋体" w:cs="Times New Roman"/>
          <w:color w:val="auto"/>
          <w:sz w:val="24"/>
          <w:szCs w:val="24"/>
          <w:highlight w:val="none"/>
          <w:lang w:val="zh-CN"/>
        </w:rPr>
        <w:t>。</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hint="eastAsia" w:ascii="宋体" w:hAnsi="宋体" w:eastAsia="宋体" w:cs="宋体"/>
          <w:color w:val="auto"/>
          <w:sz w:val="24"/>
          <w:szCs w:val="24"/>
          <w:highlight w:val="none"/>
          <w:lang w:val="zh-CN"/>
        </w:rPr>
        <w:t>②</w:t>
      </w:r>
      <w:r>
        <w:rPr>
          <w:rFonts w:ascii="Times New Roman" w:hAnsi="Times New Roman" w:eastAsia="宋体" w:cs="Times New Roman"/>
          <w:color w:val="auto"/>
          <w:sz w:val="24"/>
          <w:szCs w:val="24"/>
          <w:highlight w:val="none"/>
          <w:lang w:val="zh-CN"/>
        </w:rPr>
        <w:t>进行病死</w:t>
      </w:r>
      <w:r>
        <w:rPr>
          <w:rFonts w:hint="eastAsia" w:ascii="Times New Roman" w:hAnsi="Times New Roman" w:eastAsia="宋体" w:cs="Times New Roman"/>
          <w:color w:val="auto"/>
          <w:sz w:val="24"/>
          <w:szCs w:val="24"/>
          <w:highlight w:val="none"/>
          <w:lang w:val="zh-CN"/>
        </w:rPr>
        <w:t>牛</w:t>
      </w:r>
      <w:r>
        <w:rPr>
          <w:rFonts w:ascii="Times New Roman" w:hAnsi="Times New Roman" w:eastAsia="宋体" w:cs="Times New Roman"/>
          <w:color w:val="auto"/>
          <w:sz w:val="24"/>
          <w:szCs w:val="24"/>
          <w:highlight w:val="none"/>
          <w:lang w:val="zh-CN"/>
        </w:rPr>
        <w:t>的收集、暂存、转运等操作的工作人员应经过专门培训，掌握相应的动物防疫知识。同时病死</w:t>
      </w:r>
      <w:r>
        <w:rPr>
          <w:rFonts w:hint="eastAsia" w:ascii="Times New Roman" w:hAnsi="Times New Roman" w:eastAsia="宋体" w:cs="Times New Roman"/>
          <w:color w:val="auto"/>
          <w:sz w:val="24"/>
          <w:szCs w:val="24"/>
          <w:highlight w:val="none"/>
          <w:lang w:val="zh-CN"/>
        </w:rPr>
        <w:t>牛</w:t>
      </w:r>
      <w:r>
        <w:rPr>
          <w:rFonts w:ascii="Times New Roman" w:hAnsi="Times New Roman" w:eastAsia="宋体" w:cs="Times New Roman"/>
          <w:color w:val="auto"/>
          <w:sz w:val="24"/>
          <w:szCs w:val="24"/>
          <w:highlight w:val="none"/>
          <w:lang w:val="zh-CN"/>
        </w:rPr>
        <w:t>等产品的收集、暂存、转运、无害化处理等环节应建有台账和记录。</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hint="eastAsia" w:ascii="宋体" w:hAnsi="宋体" w:eastAsia="宋体" w:cs="宋体"/>
          <w:color w:val="auto"/>
          <w:sz w:val="24"/>
          <w:szCs w:val="24"/>
          <w:highlight w:val="none"/>
          <w:lang w:val="zh-CN"/>
        </w:rPr>
        <w:t>③</w:t>
      </w:r>
      <w:r>
        <w:rPr>
          <w:rFonts w:ascii="Times New Roman" w:hAnsi="Times New Roman" w:eastAsia="宋体" w:cs="Times New Roman"/>
          <w:color w:val="auto"/>
          <w:sz w:val="24"/>
          <w:szCs w:val="24"/>
          <w:highlight w:val="none"/>
          <w:lang w:val="zh-CN"/>
        </w:rPr>
        <w:t>工作人员应使用专用的收集工具、包装用品、转运工具、清洗工具、消毒器材等，在操作过程中应穿戴防护服、口罩、护目镜、胶鞋及手套等防护用具。</w:t>
      </w:r>
    </w:p>
    <w:p>
      <w:pPr>
        <w:widowControl w:val="0"/>
        <w:spacing w:line="360" w:lineRule="auto"/>
        <w:ind w:firstLine="480" w:firstLineChars="200"/>
        <w:jc w:val="both"/>
        <w:rPr>
          <w:rFonts w:ascii="Times New Roman" w:hAnsi="Times New Roman" w:eastAsia="宋体" w:cs="Times New Roman"/>
          <w:color w:val="auto"/>
          <w:kern w:val="2"/>
          <w:sz w:val="24"/>
          <w:szCs w:val="20"/>
          <w:highlight w:val="none"/>
          <w:lang w:val="zh-CN" w:eastAsia="zh-CN" w:bidi="ar-SA"/>
        </w:rPr>
      </w:pPr>
      <w:r>
        <w:rPr>
          <w:rFonts w:hint="eastAsia" w:ascii="宋体" w:hAnsi="宋体" w:eastAsia="宋体" w:cs="宋体"/>
          <w:color w:val="auto"/>
          <w:kern w:val="2"/>
          <w:sz w:val="24"/>
          <w:szCs w:val="20"/>
          <w:highlight w:val="none"/>
          <w:lang w:val="zh-CN" w:eastAsia="zh-CN" w:bidi="ar-SA"/>
        </w:rPr>
        <w:t>④</w:t>
      </w:r>
      <w:r>
        <w:rPr>
          <w:rFonts w:ascii="Times New Roman" w:hAnsi="Times New Roman" w:eastAsia="宋体" w:cs="Times New Roman"/>
          <w:color w:val="auto"/>
          <w:kern w:val="2"/>
          <w:sz w:val="24"/>
          <w:szCs w:val="20"/>
          <w:highlight w:val="none"/>
          <w:lang w:val="zh-CN" w:eastAsia="zh-CN" w:bidi="ar-SA"/>
        </w:rPr>
        <w:t>工作完毕后，应对一次性防护用品作销毁处理，对循环使用的防护用品消毒处理。</w:t>
      </w:r>
    </w:p>
    <w:p>
      <w:pPr>
        <w:widowControl w:val="0"/>
        <w:spacing w:line="360" w:lineRule="auto"/>
        <w:ind w:firstLine="480" w:firstLineChars="200"/>
        <w:jc w:val="both"/>
        <w:rPr>
          <w:rFonts w:ascii="Times New Roman" w:hAnsi="Times New Roman" w:eastAsia="宋体" w:cs="Times New Roman"/>
          <w:color w:val="auto"/>
          <w:kern w:val="2"/>
          <w:sz w:val="24"/>
          <w:szCs w:val="20"/>
          <w:highlight w:val="none"/>
          <w:lang w:val="zh-CN" w:eastAsia="zh-CN" w:bidi="ar-SA"/>
        </w:rPr>
      </w:pPr>
      <w:r>
        <w:rPr>
          <w:rFonts w:ascii="Times New Roman" w:hAnsi="Times New Roman" w:eastAsia="宋体" w:cs="Times New Roman"/>
          <w:color w:val="auto"/>
          <w:kern w:val="2"/>
          <w:sz w:val="24"/>
          <w:szCs w:val="20"/>
          <w:highlight w:val="none"/>
          <w:lang w:val="zh-CN" w:eastAsia="zh-CN" w:bidi="ar-SA"/>
        </w:rPr>
        <w:t>采取上述措施后，项目运营期产生的病死</w:t>
      </w:r>
      <w:r>
        <w:rPr>
          <w:rFonts w:hint="eastAsia" w:ascii="Times New Roman" w:hAnsi="Times New Roman" w:eastAsia="宋体" w:cs="Times New Roman"/>
          <w:color w:val="auto"/>
          <w:kern w:val="2"/>
          <w:sz w:val="24"/>
          <w:szCs w:val="20"/>
          <w:highlight w:val="none"/>
          <w:lang w:val="zh-CN" w:eastAsia="zh-CN" w:bidi="ar-SA"/>
        </w:rPr>
        <w:t>牛</w:t>
      </w:r>
      <w:r>
        <w:rPr>
          <w:rFonts w:ascii="Times New Roman" w:hAnsi="Times New Roman" w:eastAsia="宋体" w:cs="Times New Roman"/>
          <w:color w:val="auto"/>
          <w:kern w:val="2"/>
          <w:sz w:val="24"/>
          <w:szCs w:val="20"/>
          <w:highlight w:val="none"/>
          <w:lang w:val="zh-CN" w:eastAsia="zh-CN" w:bidi="ar-SA"/>
        </w:rPr>
        <w:t>可实现无害化处置，</w:t>
      </w:r>
      <w:r>
        <w:rPr>
          <w:rFonts w:ascii="Times New Roman" w:hAnsi="Times New Roman" w:eastAsia="宋体" w:cs="Times New Roman"/>
          <w:color w:val="auto"/>
          <w:kern w:val="2"/>
          <w:sz w:val="24"/>
          <w:szCs w:val="20"/>
          <w:highlight w:val="none"/>
          <w:lang w:val="en-US" w:eastAsia="zh-CN" w:bidi="ar-SA"/>
        </w:rPr>
        <w:t>不会对周围环境造成明显不利影响</w:t>
      </w:r>
      <w:r>
        <w:rPr>
          <w:rFonts w:ascii="Times New Roman" w:hAnsi="Times New Roman" w:eastAsia="宋体" w:cs="Times New Roman"/>
          <w:color w:val="auto"/>
          <w:kern w:val="2"/>
          <w:sz w:val="24"/>
          <w:szCs w:val="20"/>
          <w:highlight w:val="none"/>
          <w:lang w:val="zh-CN" w:eastAsia="zh-CN" w:bidi="ar-SA"/>
        </w:rPr>
        <w:t>。</w:t>
      </w:r>
    </w:p>
    <w:p>
      <w:pPr>
        <w:spacing w:line="360" w:lineRule="auto"/>
        <w:ind w:firstLine="482"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b/>
          <w:color w:val="auto"/>
          <w:sz w:val="24"/>
          <w:szCs w:val="24"/>
          <w:highlight w:val="none"/>
          <w:lang w:val="zh-CN"/>
        </w:rPr>
        <w:t>4、畜禽医疗废物</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（1）产生情况</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项目营运期养殖过程中需对肉牛进行疫苗注射、健康体检、配置普通口服药等。项目营运期间会产生一定量的畜禽医疗废物，主要包括损伤性废弃物（针头、玻璃器皿、玻璃药剂瓶等）、药物性废弃物（过期药品、疫苗等）、感染性废弃物（一次性注射器、棉球、棉签、纱布、病畜污染物等）、化学性废弃物（消毒剂、化学试剂等）、为防治动物传染病而需要收集和处置的废物。根据《国家危险废物名录》（2021年）可知，上述产生的医疗废物分别属于该名录中的“HW01 医疗废物/卫生/841-001-01感染性废物、841-002-01损伤性废物、841-004-01化学性废物、841-005-01药物性废物”。预计营运期项目畜禽医疗废物产生量为 1t/a。畜禽医疗废物主要来源于兽医室，在兽医室内分类设置医疗废物塑料收集箱，针管与废药品、包装容器等分开收集，统一收集后暂存于危废暂存间，定期交由有医疗废物处置的资质单位集中处置。</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（2）处置措施</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lang w:val="zh-CN"/>
        </w:rPr>
        <w:t>危险废物应单独收集处理，不与生活垃圾进行混装，</w:t>
      </w:r>
      <w:r>
        <w:rPr>
          <w:rFonts w:ascii="Times New Roman" w:hAnsi="Times New Roman" w:eastAsia="宋体" w:cs="Times New Roman"/>
          <w:color w:val="auto"/>
          <w:sz w:val="24"/>
          <w:szCs w:val="24"/>
          <w:highlight w:val="none"/>
        </w:rPr>
        <w:t>经收集后暂存于危险废物暂存间，最终交由具有相应资质类别的危险废物处置单位处置。</w:t>
      </w:r>
    </w:p>
    <w:p>
      <w:pPr>
        <w:pStyle w:val="2504"/>
        <w:numPr>
          <w:ilvl w:val="0"/>
          <w:numId w:val="25"/>
        </w:numPr>
        <w:spacing w:before="120"/>
        <w:ind w:left="0" w:leftChars="0" w:firstLine="403" w:firstLineChars="0"/>
        <w:rPr>
          <w:rFonts w:hint="default" w:ascii="Times New Roman" w:hAnsi="Times New Roman" w:eastAsia="宋体" w:cs="Times New Roman"/>
          <w:b/>
          <w:color w:val="auto"/>
          <w:kern w:val="2"/>
          <w:sz w:val="21"/>
          <w:szCs w:val="24"/>
          <w:highlight w:val="none"/>
          <w:lang w:val="en-US" w:eastAsia="zh-CN" w:bidi="ar-SA"/>
        </w:rPr>
      </w:pP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b/>
          <w:color w:val="auto"/>
          <w:kern w:val="2"/>
          <w:sz w:val="21"/>
          <w:szCs w:val="24"/>
          <w:highlight w:val="none"/>
          <w:lang w:val="en-US" w:eastAsia="zh-CN" w:bidi="ar-SA"/>
        </w:rPr>
        <w:t>工程分析中危险废物汇总样表</w:t>
      </w:r>
    </w:p>
    <w:tbl>
      <w:tblPr>
        <w:tblStyle w:val="91"/>
        <w:tblW w:w="5000"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329"/>
        <w:gridCol w:w="653"/>
        <w:gridCol w:w="1016"/>
        <w:gridCol w:w="640"/>
        <w:gridCol w:w="354"/>
        <w:gridCol w:w="339"/>
        <w:gridCol w:w="984"/>
        <w:gridCol w:w="607"/>
        <w:gridCol w:w="540"/>
        <w:gridCol w:w="600"/>
        <w:gridCol w:w="2244"/>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1289" w:hRule="atLeast"/>
        </w:trPr>
        <w:tc>
          <w:tcPr>
            <w:tcW w:w="198"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危险 废物 名称</w:t>
            </w:r>
          </w:p>
        </w:tc>
        <w:tc>
          <w:tcPr>
            <w:tcW w:w="393"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危险 废物 类别</w:t>
            </w:r>
          </w:p>
        </w:tc>
        <w:tc>
          <w:tcPr>
            <w:tcW w:w="611"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危险废物代码</w:t>
            </w:r>
          </w:p>
        </w:tc>
        <w:tc>
          <w:tcPr>
            <w:tcW w:w="38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产生量</w:t>
            </w:r>
          </w:p>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（t/a）</w:t>
            </w:r>
          </w:p>
        </w:tc>
        <w:tc>
          <w:tcPr>
            <w:tcW w:w="213"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产生工序 及装 置</w:t>
            </w:r>
          </w:p>
        </w:tc>
        <w:tc>
          <w:tcPr>
            <w:tcW w:w="204"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形态</w:t>
            </w:r>
          </w:p>
        </w:tc>
        <w:tc>
          <w:tcPr>
            <w:tcW w:w="592"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主要成分</w:t>
            </w:r>
          </w:p>
        </w:tc>
        <w:tc>
          <w:tcPr>
            <w:tcW w:w="36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有害成分</w:t>
            </w:r>
          </w:p>
        </w:tc>
        <w:tc>
          <w:tcPr>
            <w:tcW w:w="325"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产废周期</w:t>
            </w:r>
          </w:p>
        </w:tc>
        <w:tc>
          <w:tcPr>
            <w:tcW w:w="361"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危险特性</w:t>
            </w:r>
          </w:p>
        </w:tc>
        <w:tc>
          <w:tcPr>
            <w:tcW w:w="1350"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污染防治措施*</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899" w:hRule="atLeast"/>
        </w:trPr>
        <w:tc>
          <w:tcPr>
            <w:tcW w:w="198"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医疗 废物</w:t>
            </w:r>
          </w:p>
        </w:tc>
        <w:tc>
          <w:tcPr>
            <w:tcW w:w="393" w:type="pct"/>
            <w:vMerge w:val="restart"/>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HW01医疗废物</w:t>
            </w:r>
          </w:p>
        </w:tc>
        <w:tc>
          <w:tcPr>
            <w:tcW w:w="611" w:type="pct"/>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841-001-01</w:t>
            </w:r>
          </w:p>
        </w:tc>
        <w:tc>
          <w:tcPr>
            <w:tcW w:w="385" w:type="pct"/>
            <w:vMerge w:val="restart"/>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w:t>
            </w:r>
          </w:p>
        </w:tc>
        <w:tc>
          <w:tcPr>
            <w:tcW w:w="213" w:type="pct"/>
            <w:vMerge w:val="restart"/>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防疫 用品</w:t>
            </w:r>
          </w:p>
        </w:tc>
        <w:tc>
          <w:tcPr>
            <w:tcW w:w="204" w:type="pct"/>
            <w:vMerge w:val="restart"/>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固体</w:t>
            </w:r>
          </w:p>
        </w:tc>
        <w:tc>
          <w:tcPr>
            <w:tcW w:w="592" w:type="pct"/>
            <w:vMerge w:val="restart"/>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针头、玻璃器皿、玻璃药剂瓶、一次性注射器、棉球、棉签、纱布、病畜污染物、消毒剂、化学试剂等</w:t>
            </w:r>
          </w:p>
        </w:tc>
        <w:tc>
          <w:tcPr>
            <w:tcW w:w="365" w:type="pct"/>
            <w:vMerge w:val="restart"/>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残留</w:t>
            </w:r>
          </w:p>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疫苗</w:t>
            </w:r>
          </w:p>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和药品</w:t>
            </w:r>
          </w:p>
        </w:tc>
        <w:tc>
          <w:tcPr>
            <w:tcW w:w="325" w:type="pct"/>
            <w:vMerge w:val="restart"/>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lang w:eastAsia="zh-CN"/>
              </w:rPr>
              <w:t>不定期</w:t>
            </w:r>
          </w:p>
        </w:tc>
        <w:tc>
          <w:tcPr>
            <w:tcW w:w="361" w:type="pct"/>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In</w:t>
            </w:r>
          </w:p>
        </w:tc>
        <w:tc>
          <w:tcPr>
            <w:tcW w:w="1350" w:type="pct"/>
            <w:vMerge w:val="restart"/>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建设单位应在场区内设立高密度聚乙烯塑料桶（内衬专用塑料袋）对卫生防疫产生的废药品（含器具）进行收集，禁止与生活垃圾进行混装，在项目建成投运前必须签订危险废物处置协议，项目产生的危险废物需定期交由具有相应资质类别的单位处置，并落实联单责任制。</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1250" w:hRule="atLeast"/>
        </w:trPr>
        <w:tc>
          <w:tcPr>
            <w:tcW w:w="198"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93"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611"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841-002-01</w:t>
            </w:r>
          </w:p>
        </w:tc>
        <w:tc>
          <w:tcPr>
            <w:tcW w:w="385"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13"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04"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59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65"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25" w:type="pct"/>
            <w:vMerge w:val="continue"/>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rPr>
            </w:pPr>
          </w:p>
        </w:tc>
        <w:tc>
          <w:tcPr>
            <w:tcW w:w="361"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In</w:t>
            </w:r>
          </w:p>
        </w:tc>
        <w:tc>
          <w:tcPr>
            <w:tcW w:w="1350"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12" w:hRule="atLeast"/>
        </w:trPr>
        <w:tc>
          <w:tcPr>
            <w:tcW w:w="198"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93"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611"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85"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13"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04"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59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65"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25" w:type="pct"/>
            <w:vMerge w:val="continue"/>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rPr>
            </w:pPr>
          </w:p>
        </w:tc>
        <w:tc>
          <w:tcPr>
            <w:tcW w:w="361" w:type="pct"/>
            <w:vMerge w:val="restar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T/C/I/R</w:t>
            </w:r>
          </w:p>
        </w:tc>
        <w:tc>
          <w:tcPr>
            <w:tcW w:w="1350"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1630" w:hRule="atLeast"/>
        </w:trPr>
        <w:tc>
          <w:tcPr>
            <w:tcW w:w="198"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93"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611"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841-004-01</w:t>
            </w:r>
          </w:p>
        </w:tc>
        <w:tc>
          <w:tcPr>
            <w:tcW w:w="385"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13"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04"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59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65"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25" w:type="pct"/>
            <w:vMerge w:val="continue"/>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rPr>
            </w:pPr>
          </w:p>
        </w:tc>
        <w:tc>
          <w:tcPr>
            <w:tcW w:w="361"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1350"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1042" w:hRule="atLeast"/>
        </w:trPr>
        <w:tc>
          <w:tcPr>
            <w:tcW w:w="198"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93"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611"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841-005-01</w:t>
            </w:r>
          </w:p>
        </w:tc>
        <w:tc>
          <w:tcPr>
            <w:tcW w:w="385"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13"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204"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592"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65"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325" w:type="pct"/>
            <w:vMerge w:val="continue"/>
            <w:tcBorders>
              <w:tl2br w:val="nil"/>
              <w:tr2bl w:val="nil"/>
            </w:tcBorders>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rPr>
            </w:pPr>
          </w:p>
        </w:tc>
        <w:tc>
          <w:tcPr>
            <w:tcW w:w="361" w:type="pct"/>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T</w:t>
            </w:r>
          </w:p>
        </w:tc>
        <w:tc>
          <w:tcPr>
            <w:tcW w:w="1350" w:type="pct"/>
            <w:vMerge w:val="continue"/>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360" w:lineRule="auto"/>
              <w:ind w:left="3"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bl>
    <w:p>
      <w:pPr>
        <w:spacing w:line="360" w:lineRule="auto"/>
        <w:ind w:firstLine="480" w:firstLineChars="200"/>
        <w:rPr>
          <w:rFonts w:ascii="Times New Roman" w:hAnsi="Times New Roman" w:eastAsia="宋体" w:cs="Times New Roman"/>
          <w:bCs/>
          <w:color w:val="auto"/>
          <w:sz w:val="24"/>
          <w:szCs w:val="24"/>
          <w:highlight w:val="none"/>
        </w:rPr>
      </w:pPr>
      <w:r>
        <w:rPr>
          <w:rFonts w:hint="eastAsia" w:ascii="Times New Roman" w:hAnsi="Times New Roman" w:eastAsia="宋体" w:cs="Times New Roman"/>
          <w:bCs/>
          <w:color w:val="auto"/>
          <w:sz w:val="24"/>
          <w:szCs w:val="24"/>
          <w:highlight w:val="none"/>
        </w:rPr>
        <w:t>危险废物的处置需按照《危险废物贮存污染控制标准》 （GB18597-2001）和《危险废物转移联单管理办法》进行收集处置，禁止随意丢弃。针对项目产生的医疗废物，建设单位拟在厂区内设置危废暂存间1间（面积为</w:t>
      </w:r>
      <w:r>
        <w:rPr>
          <w:rFonts w:hint="eastAsia" w:ascii="Times New Roman" w:hAnsi="Times New Roman" w:eastAsia="宋体" w:cs="Times New Roman"/>
          <w:bCs/>
          <w:color w:val="auto"/>
          <w:sz w:val="24"/>
          <w:szCs w:val="24"/>
          <w:highlight w:val="none"/>
          <w:lang w:val="en-US" w:eastAsia="zh-CN"/>
        </w:rPr>
        <w:t>2</w:t>
      </w:r>
      <w:r>
        <w:rPr>
          <w:rFonts w:hint="eastAsia" w:ascii="Times New Roman" w:hAnsi="Times New Roman" w:eastAsia="宋体" w:cs="Times New Roman"/>
          <w:bCs/>
          <w:color w:val="auto"/>
          <w:sz w:val="24"/>
          <w:szCs w:val="24"/>
          <w:highlight w:val="none"/>
        </w:rPr>
        <w:t>0m</w:t>
      </w:r>
      <w:r>
        <w:rPr>
          <w:rFonts w:hint="eastAsia" w:ascii="Times New Roman" w:hAnsi="Times New Roman" w:eastAsia="宋体" w:cs="Times New Roman"/>
          <w:bCs/>
          <w:color w:val="auto"/>
          <w:sz w:val="24"/>
          <w:szCs w:val="24"/>
          <w:highlight w:val="none"/>
          <w:vertAlign w:val="superscript"/>
        </w:rPr>
        <w:t>2</w:t>
      </w:r>
      <w:r>
        <w:rPr>
          <w:rFonts w:hint="eastAsia" w:ascii="Times New Roman" w:hAnsi="Times New Roman" w:eastAsia="宋体" w:cs="Times New Roman"/>
          <w:bCs/>
          <w:color w:val="auto"/>
          <w:sz w:val="24"/>
          <w:szCs w:val="24"/>
          <w:highlight w:val="none"/>
        </w:rPr>
        <w:t>），位于牛场东</w:t>
      </w:r>
      <w:r>
        <w:rPr>
          <w:rFonts w:hint="eastAsia" w:ascii="Times New Roman" w:hAnsi="Times New Roman" w:eastAsia="宋体" w:cs="Times New Roman"/>
          <w:bCs/>
          <w:color w:val="auto"/>
          <w:sz w:val="24"/>
          <w:szCs w:val="24"/>
          <w:highlight w:val="none"/>
          <w:lang w:eastAsia="zh-CN"/>
        </w:rPr>
        <w:t>南</w:t>
      </w:r>
      <w:r>
        <w:rPr>
          <w:rFonts w:hint="eastAsia" w:ascii="Times New Roman" w:hAnsi="Times New Roman" w:eastAsia="宋体" w:cs="Times New Roman"/>
          <w:bCs/>
          <w:color w:val="auto"/>
          <w:sz w:val="24"/>
          <w:szCs w:val="24"/>
          <w:highlight w:val="none"/>
        </w:rPr>
        <w:t>侧。按要求设置警示标志、内设高密度聚乙烯塑料桶（内衬专用塑料袋）对卫生防疫产生的医疗废物进行收集，禁止与生活垃圾进行混装，地面采取混凝土地面加铺防渗剂和人工材料（HDPE）防渗层，确保渗透系数K≤1×10</w:t>
      </w:r>
      <w:r>
        <w:rPr>
          <w:rFonts w:hint="eastAsia" w:ascii="Times New Roman" w:hAnsi="Times New Roman" w:eastAsia="宋体" w:cs="Times New Roman"/>
          <w:bCs/>
          <w:color w:val="auto"/>
          <w:sz w:val="24"/>
          <w:szCs w:val="24"/>
          <w:highlight w:val="none"/>
          <w:vertAlign w:val="superscript"/>
        </w:rPr>
        <w:t>-10</w:t>
      </w:r>
      <w:r>
        <w:rPr>
          <w:rFonts w:hint="eastAsia" w:ascii="Times New Roman" w:hAnsi="Times New Roman" w:eastAsia="宋体" w:cs="Times New Roman"/>
          <w:bCs/>
          <w:color w:val="auto"/>
          <w:sz w:val="24"/>
          <w:szCs w:val="24"/>
          <w:highlight w:val="none"/>
        </w:rPr>
        <w:t>cm/s。做好防雨、防腐措施，防止造成地下水污染。</w:t>
      </w:r>
      <w:r>
        <w:rPr>
          <w:rFonts w:ascii="Times New Roman" w:hAnsi="Times New Roman" w:eastAsia="宋体" w:cs="Times New Roman"/>
          <w:bCs/>
          <w:color w:val="auto"/>
          <w:sz w:val="24"/>
          <w:szCs w:val="24"/>
          <w:highlight w:val="none"/>
        </w:rPr>
        <w:t>本项目危险废物贮存场所基本情况见</w:t>
      </w:r>
      <w:r>
        <w:rPr>
          <w:rFonts w:hint="eastAsia" w:ascii="Times New Roman" w:hAnsi="Times New Roman" w:eastAsia="宋体" w:cs="Times New Roman"/>
          <w:bCs/>
          <w:color w:val="auto"/>
          <w:sz w:val="24"/>
          <w:szCs w:val="24"/>
          <w:highlight w:val="none"/>
          <w:lang w:eastAsia="zh-CN"/>
        </w:rPr>
        <w:t>下</w:t>
      </w:r>
      <w:r>
        <w:rPr>
          <w:rFonts w:ascii="Times New Roman" w:hAnsi="Times New Roman" w:eastAsia="宋体" w:cs="Times New Roman"/>
          <w:bCs/>
          <w:color w:val="auto"/>
          <w:sz w:val="24"/>
          <w:szCs w:val="24"/>
          <w:highlight w:val="none"/>
        </w:rPr>
        <w:t>表。</w:t>
      </w:r>
    </w:p>
    <w:p>
      <w:pPr>
        <w:pStyle w:val="2504"/>
        <w:numPr>
          <w:ilvl w:val="0"/>
          <w:numId w:val="25"/>
        </w:numPr>
        <w:spacing w:before="120"/>
        <w:ind w:left="0" w:leftChars="0" w:firstLine="403" w:firstLineChars="0"/>
        <w:rPr>
          <w:rFonts w:ascii="Times New Roman" w:hAnsi="Times New Roman" w:eastAsia="宋体" w:cs="Times New Roman"/>
          <w:b/>
          <w:color w:val="auto"/>
          <w:kern w:val="2"/>
          <w:sz w:val="21"/>
          <w:szCs w:val="24"/>
          <w:highlight w:val="none"/>
          <w:lang w:val="en-US" w:eastAsia="zh-CN" w:bidi="ar-SA"/>
        </w:rPr>
      </w:pPr>
      <w:r>
        <w:rPr>
          <w:rFonts w:hint="default" w:ascii="Times New Roman" w:hAnsi="Times New Roman" w:eastAsia="宋体" w:cs="Times New Roman"/>
          <w:color w:val="auto"/>
          <w:sz w:val="21"/>
          <w:szCs w:val="21"/>
          <w:highlight w:val="none"/>
          <w:lang w:val="en-US" w:eastAsia="zh-CN"/>
        </w:rPr>
        <w:t xml:space="preserve">    </w:t>
      </w:r>
      <w:r>
        <w:rPr>
          <w:rFonts w:ascii="Times New Roman" w:hAnsi="Times New Roman" w:eastAsia="宋体" w:cs="Times New Roman"/>
          <w:b/>
          <w:color w:val="auto"/>
          <w:kern w:val="2"/>
          <w:sz w:val="21"/>
          <w:szCs w:val="24"/>
          <w:highlight w:val="none"/>
          <w:lang w:val="en-US" w:eastAsia="zh-CN" w:bidi="ar-SA"/>
        </w:rPr>
        <w:t>建设项目危险废物贮存场所基本情况表</w:t>
      </w:r>
    </w:p>
    <w:tbl>
      <w:tblPr>
        <w:tblStyle w:val="9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5"/>
        <w:gridCol w:w="864"/>
        <w:gridCol w:w="864"/>
        <w:gridCol w:w="864"/>
        <w:gridCol w:w="1196"/>
        <w:gridCol w:w="870"/>
        <w:gridCol w:w="870"/>
        <w:gridCol w:w="870"/>
        <w:gridCol w:w="870"/>
        <w:gridCol w:w="8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65"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864"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贮存场所名称</w:t>
            </w:r>
          </w:p>
        </w:tc>
        <w:tc>
          <w:tcPr>
            <w:tcW w:w="864"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危险废物名称</w:t>
            </w:r>
          </w:p>
        </w:tc>
        <w:tc>
          <w:tcPr>
            <w:tcW w:w="864"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危险废物类别</w:t>
            </w:r>
          </w:p>
        </w:tc>
        <w:tc>
          <w:tcPr>
            <w:tcW w:w="1196"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危险废物代码</w:t>
            </w:r>
          </w:p>
        </w:tc>
        <w:tc>
          <w:tcPr>
            <w:tcW w:w="870"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位置</w:t>
            </w:r>
          </w:p>
        </w:tc>
        <w:tc>
          <w:tcPr>
            <w:tcW w:w="870"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面积</w:t>
            </w:r>
          </w:p>
        </w:tc>
        <w:tc>
          <w:tcPr>
            <w:tcW w:w="870"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贮存方式</w:t>
            </w:r>
          </w:p>
        </w:tc>
        <w:tc>
          <w:tcPr>
            <w:tcW w:w="870"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贮存能力</w:t>
            </w:r>
          </w:p>
        </w:tc>
        <w:tc>
          <w:tcPr>
            <w:tcW w:w="870"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贮存周期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865"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1</w:t>
            </w:r>
          </w:p>
        </w:tc>
        <w:tc>
          <w:tcPr>
            <w:tcW w:w="864"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rPr>
              <w:t>危险废物暂存间</w:t>
            </w:r>
          </w:p>
        </w:tc>
        <w:tc>
          <w:tcPr>
            <w:tcW w:w="864" w:type="dxa"/>
            <w:noWrap w:val="0"/>
            <w:vAlign w:val="center"/>
          </w:tcPr>
          <w:p>
            <w:pPr>
              <w:keepNext w:val="0"/>
              <w:keepLines w:val="0"/>
              <w:suppressLineNumbers w:val="0"/>
              <w:adjustRightInd w:val="0"/>
              <w:snapToGrid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医疗废物</w:t>
            </w:r>
          </w:p>
        </w:tc>
        <w:tc>
          <w:tcPr>
            <w:tcW w:w="864" w:type="dxa"/>
            <w:noWrap w:val="0"/>
            <w:vAlign w:val="center"/>
          </w:tcPr>
          <w:p>
            <w:pPr>
              <w:keepNext w:val="0"/>
              <w:keepLines w:val="0"/>
              <w:suppressLineNumbers w:val="0"/>
              <w:adjustRightInd w:val="0"/>
              <w:snapToGrid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HW01</w:t>
            </w:r>
          </w:p>
        </w:tc>
        <w:tc>
          <w:tcPr>
            <w:tcW w:w="1196" w:type="dxa"/>
            <w:noWrap w:val="0"/>
            <w:vAlign w:val="center"/>
          </w:tcPr>
          <w:p>
            <w:pPr>
              <w:keepNext w:val="0"/>
              <w:keepLines w:val="0"/>
              <w:suppressLineNumbers w:val="0"/>
              <w:adjustRightInd w:val="0"/>
              <w:snapToGrid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841-001-01</w:t>
            </w:r>
          </w:p>
          <w:p>
            <w:pPr>
              <w:keepNext w:val="0"/>
              <w:keepLines w:val="0"/>
              <w:suppressLineNumbers w:val="0"/>
              <w:adjustRightInd w:val="0"/>
              <w:snapToGrid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841-002-01</w:t>
            </w:r>
          </w:p>
          <w:p>
            <w:pPr>
              <w:keepNext w:val="0"/>
              <w:keepLines w:val="0"/>
              <w:suppressLineNumbers w:val="0"/>
              <w:adjustRightInd w:val="0"/>
              <w:snapToGrid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841-004-01</w:t>
            </w:r>
          </w:p>
          <w:p>
            <w:pPr>
              <w:keepNext w:val="0"/>
              <w:keepLines w:val="0"/>
              <w:suppressLineNumbers w:val="0"/>
              <w:adjustRightInd w:val="0"/>
              <w:snapToGrid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841-005-01</w:t>
            </w:r>
          </w:p>
        </w:tc>
        <w:tc>
          <w:tcPr>
            <w:tcW w:w="870"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eastAsia" w:ascii="Times New Roman" w:hAnsi="Times New Roman" w:eastAsia="宋体" w:cs="Times New Roman"/>
                <w:bCs/>
                <w:color w:val="auto"/>
                <w:sz w:val="21"/>
                <w:szCs w:val="21"/>
                <w:highlight w:val="none"/>
              </w:rPr>
            </w:pPr>
            <w:r>
              <w:rPr>
                <w:rFonts w:hint="eastAsia" w:ascii="Times New Roman" w:hAnsi="Times New Roman" w:eastAsia="宋体" w:cs="Times New Roman"/>
                <w:bCs/>
                <w:color w:val="auto"/>
                <w:sz w:val="21"/>
                <w:szCs w:val="21"/>
                <w:highlight w:val="none"/>
              </w:rPr>
              <w:t>牛场东南侧</w:t>
            </w:r>
          </w:p>
        </w:tc>
        <w:tc>
          <w:tcPr>
            <w:tcW w:w="870"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eastAsia" w:ascii="Times New Roman" w:hAnsi="Times New Roman" w:eastAsia="宋体" w:cs="Times New Roman"/>
                <w:bCs/>
                <w:color w:val="auto"/>
                <w:sz w:val="21"/>
                <w:szCs w:val="21"/>
                <w:highlight w:val="none"/>
                <w:lang w:val="en-US" w:eastAsia="zh-CN"/>
              </w:rPr>
              <w:t>20</w:t>
            </w:r>
            <w:r>
              <w:rPr>
                <w:rFonts w:hint="default" w:ascii="Times New Roman" w:hAnsi="Times New Roman" w:eastAsia="宋体" w:cs="Times New Roman"/>
                <w:bCs/>
                <w:color w:val="auto"/>
                <w:sz w:val="21"/>
                <w:szCs w:val="21"/>
                <w:highlight w:val="none"/>
              </w:rPr>
              <w:t>m</w:t>
            </w:r>
            <w:r>
              <w:rPr>
                <w:rFonts w:hint="default" w:ascii="Times New Roman" w:hAnsi="Times New Roman" w:eastAsia="宋体" w:cs="Times New Roman"/>
                <w:bCs/>
                <w:color w:val="auto"/>
                <w:sz w:val="21"/>
                <w:szCs w:val="21"/>
                <w:highlight w:val="none"/>
                <w:vertAlign w:val="superscript"/>
              </w:rPr>
              <w:t>2</w:t>
            </w:r>
          </w:p>
        </w:tc>
        <w:tc>
          <w:tcPr>
            <w:tcW w:w="870"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桶装密闭暂存</w:t>
            </w:r>
          </w:p>
        </w:tc>
        <w:tc>
          <w:tcPr>
            <w:tcW w:w="870"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eastAsia" w:ascii="Times New Roman" w:hAnsi="Times New Roman" w:eastAsia="宋体" w:cs="Times New Roman"/>
                <w:bCs/>
                <w:color w:val="auto"/>
                <w:sz w:val="21"/>
                <w:szCs w:val="21"/>
                <w:highlight w:val="none"/>
                <w:lang w:val="en-US" w:eastAsia="zh-CN"/>
              </w:rPr>
              <w:t>0.5</w:t>
            </w:r>
            <w:r>
              <w:rPr>
                <w:rFonts w:hint="default" w:ascii="Times New Roman" w:hAnsi="Times New Roman" w:eastAsia="宋体" w:cs="Times New Roman"/>
                <w:bCs/>
                <w:color w:val="auto"/>
                <w:sz w:val="21"/>
                <w:szCs w:val="21"/>
                <w:highlight w:val="none"/>
              </w:rPr>
              <w:t>t</w:t>
            </w:r>
          </w:p>
        </w:tc>
        <w:tc>
          <w:tcPr>
            <w:tcW w:w="870" w:type="dxa"/>
            <w:noWrap w:val="0"/>
            <w:vAlign w:val="center"/>
          </w:tcPr>
          <w:p>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半年</w:t>
            </w:r>
          </w:p>
        </w:tc>
      </w:tr>
    </w:tbl>
    <w:p>
      <w:pPr>
        <w:spacing w:line="360" w:lineRule="auto"/>
        <w:ind w:firstLine="480" w:firstLineChars="200"/>
        <w:rPr>
          <w:rFonts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同时，危险废物转运时必须安全转移，防止撒漏，定期交有资质的危险废物处置单位回收，本环评要求：危废暂存间设置警示标识，在房间内设置不低于30cm高围堰，设置空桶作为备用收容设施，落实防风、防雨、防晒、防渗漏的“四防”措施，建设单位在投入营运前必须与相关资质单位签订危废协议，确保项目危废得到妥善处置。</w:t>
      </w:r>
    </w:p>
    <w:p>
      <w:pPr>
        <w:spacing w:line="360" w:lineRule="auto"/>
        <w:ind w:firstLine="482"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color w:val="auto"/>
          <w:sz w:val="24"/>
          <w:szCs w:val="24"/>
          <w:highlight w:val="none"/>
        </w:rPr>
        <w:t>医疗废物暂存、管理要求：</w:t>
      </w:r>
      <w:r>
        <w:rPr>
          <w:rFonts w:hint="eastAsia" w:ascii="Times New Roman" w:hAnsi="Times New Roman" w:eastAsia="宋体" w:cs="Times New Roman"/>
          <w:b w:val="0"/>
          <w:bCs/>
          <w:color w:val="auto"/>
          <w:sz w:val="24"/>
          <w:szCs w:val="24"/>
          <w:highlight w:val="none"/>
        </w:rPr>
        <w:t>按照《医疗废物管理条例》（国务院第 380 号令）、《医疗废物集中处置技术规范（试行）》、《医疗废物专用包装袋、容器和警示标志标准》（HJ421-2008）、《医疗卫生机构医疗废物管理办法》（中华人民共和国卫生部令第 36 号）、《关于印发医疗废物分类目录的通知》（卫医发[2003]287 号）的相关要求，医疗废物应采取以下管理措施：</w:t>
      </w:r>
    </w:p>
    <w:p>
      <w:pPr>
        <w:spacing w:line="360" w:lineRule="auto"/>
        <w:ind w:firstLine="482" w:firstLineChars="200"/>
        <w:rPr>
          <w:rFonts w:hint="eastAsia" w:ascii="Times New Roman" w:hAnsi="Times New Roman" w:eastAsia="宋体" w:cs="Times New Roman"/>
          <w:b/>
          <w:bCs w:val="0"/>
          <w:color w:val="auto"/>
          <w:sz w:val="24"/>
          <w:szCs w:val="24"/>
          <w:highlight w:val="none"/>
        </w:rPr>
      </w:pPr>
      <w:r>
        <w:rPr>
          <w:rFonts w:hint="eastAsia" w:ascii="Times New Roman" w:hAnsi="Times New Roman" w:eastAsia="宋体" w:cs="Times New Roman"/>
          <w:b/>
          <w:bCs w:val="0"/>
          <w:color w:val="auto"/>
          <w:sz w:val="24"/>
          <w:szCs w:val="24"/>
          <w:highlight w:val="none"/>
        </w:rPr>
        <w:t>A、医疗废物的收集和管理</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a.根据医疗废物的类别，将医疗废物分置于符合《医疗废物专用包装物、容器的标准和警示标识的规定》的包装物或者容器内。</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b.在盛装医疗废物前，应对医疗废物包装物或者容器进行认真检查，确保无破损、渗漏和其它缺陷。</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c.盛装的医疗废物达到包装物或者容器的3/4时，应当使用有效的封口方式，使包装物或者容器的封口紧实、严密。</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d.盛装医疗废物的每个包装物、容器外表面应当有警示标识，在每个包装物、容器上应当系中文标签，中文标签的内容应当包括：医疗废物产生单位、产生日期、类别及需要的特别说明等。</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e.感染性废物、损伤性废物、药物性废物、化学性废物、为防治动物传染病而需要收集和处置的废物不能混合收集。少量的药物性废物可以混入感染性废物，但应当在标签上注明。</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f.批量的含有汞的体温计等器具报废时，交由有资质的单位处置。</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g.放入包装物或者容器内的感染性废物、损伤性废物不得取出。</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h.包装物或者容器外表面被感染性废物污染时，应当对被污染处进行消毒处理或者增加一层包装。</w:t>
      </w:r>
    </w:p>
    <w:p>
      <w:pPr>
        <w:spacing w:line="360" w:lineRule="auto"/>
        <w:ind w:firstLine="482" w:firstLineChars="200"/>
        <w:rPr>
          <w:rFonts w:hint="eastAsia" w:ascii="Times New Roman" w:hAnsi="Times New Roman" w:eastAsia="宋体" w:cs="Times New Roman"/>
          <w:b/>
          <w:bCs w:val="0"/>
          <w:color w:val="auto"/>
          <w:sz w:val="24"/>
          <w:szCs w:val="24"/>
          <w:highlight w:val="none"/>
        </w:rPr>
      </w:pPr>
      <w:r>
        <w:rPr>
          <w:rFonts w:hint="eastAsia" w:ascii="Times New Roman" w:hAnsi="Times New Roman" w:eastAsia="宋体" w:cs="Times New Roman"/>
          <w:b/>
          <w:bCs w:val="0"/>
          <w:color w:val="auto"/>
          <w:sz w:val="24"/>
          <w:szCs w:val="24"/>
          <w:highlight w:val="none"/>
        </w:rPr>
        <w:t>B、医疗废物的暂时贮存和管理</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a.在危废暂存间外的明显处同时设置危险废物和医疗废物的警示标识，危废暂存间内应张贴“禁止吸烟、饮食”的警示标识。</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b.地面和1.0m高的墙裙须进行防渗处理，易于清洁和消毒。</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c.避免阳光直射，应有良好的照明设备和通风条件。</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d.有严密的封闭措施，设专人管理，避免非工作人员进出，以及防鼠、防蚊蝇、防蟑螂、防盗以及预防儿童接触等安全措施。</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e.建立危险废物贮存的台账制度。</w:t>
      </w:r>
    </w:p>
    <w:p>
      <w:pPr>
        <w:spacing w:line="360" w:lineRule="auto"/>
        <w:ind w:firstLine="482" w:firstLineChars="200"/>
        <w:rPr>
          <w:rFonts w:hint="eastAsia" w:ascii="Times New Roman" w:hAnsi="Times New Roman" w:eastAsia="宋体" w:cs="Times New Roman"/>
          <w:b/>
          <w:bCs w:val="0"/>
          <w:color w:val="auto"/>
          <w:sz w:val="24"/>
          <w:szCs w:val="24"/>
          <w:highlight w:val="none"/>
        </w:rPr>
      </w:pPr>
      <w:r>
        <w:rPr>
          <w:rFonts w:hint="eastAsia" w:ascii="Times New Roman" w:hAnsi="Times New Roman" w:eastAsia="宋体" w:cs="Times New Roman"/>
          <w:b/>
          <w:bCs w:val="0"/>
          <w:color w:val="auto"/>
          <w:sz w:val="24"/>
          <w:szCs w:val="24"/>
          <w:highlight w:val="none"/>
        </w:rPr>
        <w:t>C、危险废物的运输</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应由持有危险废物经营许可证的单位按照其许可证的经营范围组织实施，承担危险废物运输的单位应活得交通运输部门颁发的危险货物运输资质。</w:t>
      </w:r>
    </w:p>
    <w:p>
      <w:pPr>
        <w:spacing w:line="360" w:lineRule="auto"/>
        <w:ind w:firstLine="482" w:firstLineChars="200"/>
        <w:rPr>
          <w:rFonts w:hint="eastAsia" w:ascii="Times New Roman" w:hAnsi="Times New Roman" w:eastAsia="宋体" w:cs="Times New Roman"/>
          <w:b/>
          <w:bCs w:val="0"/>
          <w:color w:val="auto"/>
          <w:sz w:val="24"/>
          <w:szCs w:val="24"/>
          <w:highlight w:val="none"/>
        </w:rPr>
      </w:pPr>
      <w:r>
        <w:rPr>
          <w:rFonts w:hint="eastAsia" w:ascii="Times New Roman" w:hAnsi="Times New Roman" w:eastAsia="宋体" w:cs="Times New Roman"/>
          <w:b/>
          <w:bCs w:val="0"/>
          <w:color w:val="auto"/>
          <w:sz w:val="24"/>
          <w:szCs w:val="24"/>
          <w:highlight w:val="none"/>
        </w:rPr>
        <w:t>D、危险废物转移</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按《危险废物转移联单管理办法》填写危险废物转移联单。</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危险废物产生单位在转移危险废物前，须按照国家有关规定报批危险废物转移计划，经批准后，产生单位应当向移除地环境保护行政主管部门申请领取联单。</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危险废物产生单位每转移一车、船（次）同类危险废物，应当填写一份联单。每车、船（次）有多类危险废物的，应当按每一类危险废物填写一份联单。</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危险废物产生单位应当如实填写联单中产生单位栏目，并加盖公章，经交付危险废物运输单位核实验收签字后，将联单第一联副联自留存档，将联单第二联交移出地环境保护行政主管部门，联单第一联正联及其余个脸交付运输单位随危险废物转移运行。</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危险废物运输单位应当如实填写联单的运输单位栏目，按照国家有关危险物品运输的规定，将危险废物安全运抵联单载明的接受地点，并将联单第一联、第二联副联、第三联、第四联、第五联随转移的危险废物交付危险服务接受单位。</w:t>
      </w:r>
    </w:p>
    <w:p>
      <w:pPr>
        <w:spacing w:line="360" w:lineRule="auto"/>
        <w:ind w:firstLine="482" w:firstLineChars="200"/>
        <w:rPr>
          <w:rFonts w:ascii="Times New Roman" w:hAnsi="Times New Roman" w:eastAsia="宋体" w:cs="Times New Roman"/>
          <w:b/>
          <w:color w:val="auto"/>
          <w:sz w:val="24"/>
          <w:szCs w:val="24"/>
          <w:highlight w:val="none"/>
          <w:lang w:val="zh-CN"/>
        </w:rPr>
      </w:pPr>
      <w:r>
        <w:rPr>
          <w:rFonts w:ascii="Times New Roman" w:hAnsi="Times New Roman" w:eastAsia="宋体" w:cs="Times New Roman"/>
          <w:b/>
          <w:color w:val="auto"/>
          <w:sz w:val="24"/>
          <w:szCs w:val="24"/>
          <w:highlight w:val="none"/>
          <w:lang w:val="zh-CN"/>
        </w:rPr>
        <w:t>5、生活垃圾</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项目生活垃圾主要来源于厂区内员工办公生活，本项目劳动定员为</w:t>
      </w:r>
      <w:r>
        <w:rPr>
          <w:rFonts w:hint="eastAsia" w:ascii="Times New Roman" w:hAnsi="Times New Roman" w:eastAsia="宋体" w:cs="Times New Roman"/>
          <w:color w:val="auto"/>
          <w:sz w:val="24"/>
          <w:szCs w:val="24"/>
          <w:highlight w:val="none"/>
          <w:lang w:val="en-US" w:eastAsia="zh-CN"/>
        </w:rPr>
        <w:t>80</w:t>
      </w:r>
      <w:r>
        <w:rPr>
          <w:rFonts w:ascii="Times New Roman" w:hAnsi="Times New Roman" w:eastAsia="宋体" w:cs="Times New Roman"/>
          <w:color w:val="auto"/>
          <w:sz w:val="24"/>
          <w:szCs w:val="24"/>
          <w:highlight w:val="none"/>
        </w:rPr>
        <w:t>人，生活垃圾产生量按每人每天0.5kg/人·d计算，则生活垃圾日产生量为</w:t>
      </w:r>
      <w:r>
        <w:rPr>
          <w:rFonts w:hint="eastAsia" w:ascii="Times New Roman" w:hAnsi="Times New Roman" w:eastAsia="宋体" w:cs="Times New Roman"/>
          <w:color w:val="auto"/>
          <w:sz w:val="24"/>
          <w:szCs w:val="24"/>
          <w:highlight w:val="none"/>
          <w:lang w:val="en-US" w:eastAsia="zh-CN"/>
        </w:rPr>
        <w:t>4</w:t>
      </w:r>
      <w:r>
        <w:rPr>
          <w:rFonts w:ascii="Times New Roman" w:hAnsi="Times New Roman" w:eastAsia="宋体" w:cs="Times New Roman"/>
          <w:color w:val="auto"/>
          <w:sz w:val="24"/>
          <w:szCs w:val="24"/>
          <w:highlight w:val="none"/>
        </w:rPr>
        <w:t>0kg/d，年产生量为</w:t>
      </w:r>
      <w:r>
        <w:rPr>
          <w:rFonts w:hint="eastAsia" w:ascii="Times New Roman" w:hAnsi="Times New Roman" w:eastAsia="宋体" w:cs="Times New Roman"/>
          <w:color w:val="auto"/>
          <w:sz w:val="24"/>
          <w:szCs w:val="24"/>
          <w:highlight w:val="none"/>
          <w:lang w:val="en-US" w:eastAsia="zh-CN"/>
        </w:rPr>
        <w:t>14.6</w:t>
      </w:r>
      <w:r>
        <w:rPr>
          <w:rFonts w:ascii="Times New Roman" w:hAnsi="Times New Roman" w:eastAsia="宋体" w:cs="Times New Roman"/>
          <w:color w:val="auto"/>
          <w:sz w:val="24"/>
          <w:szCs w:val="24"/>
          <w:highlight w:val="none"/>
        </w:rPr>
        <w:t>t/a。生活垃圾袋装收集后暂存于生活垃圾暂存间，并及时运往垃圾中转站，由环卫部门统一清运处置。</w:t>
      </w:r>
    </w:p>
    <w:p>
      <w:pPr>
        <w:spacing w:line="360" w:lineRule="auto"/>
        <w:ind w:firstLine="482" w:firstLineChars="200"/>
        <w:rPr>
          <w:rFonts w:hint="eastAsia"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en-US" w:eastAsia="zh-CN"/>
        </w:rPr>
        <w:t>6、</w:t>
      </w:r>
      <w:r>
        <w:rPr>
          <w:rFonts w:hint="eastAsia" w:ascii="Times New Roman" w:hAnsi="Times New Roman" w:eastAsia="宋体" w:cs="Times New Roman"/>
          <w:b/>
          <w:color w:val="auto"/>
          <w:sz w:val="24"/>
          <w:szCs w:val="24"/>
          <w:highlight w:val="none"/>
          <w:lang w:val="zh-CN"/>
        </w:rPr>
        <w:t>餐厨垃圾（含隔油池油脂）</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产生情况：项目营运期职工共计</w:t>
      </w:r>
      <w:r>
        <w:rPr>
          <w:rFonts w:hint="eastAsia" w:ascii="Times New Roman" w:hAnsi="Times New Roman" w:eastAsia="宋体" w:cs="Times New Roman"/>
          <w:color w:val="auto"/>
          <w:sz w:val="24"/>
          <w:szCs w:val="24"/>
          <w:highlight w:val="none"/>
          <w:lang w:val="en-US" w:eastAsia="zh-CN"/>
        </w:rPr>
        <w:t>80</w:t>
      </w:r>
      <w:r>
        <w:rPr>
          <w:rFonts w:hint="eastAsia" w:ascii="Times New Roman" w:hAnsi="Times New Roman" w:eastAsia="宋体" w:cs="Times New Roman"/>
          <w:color w:val="auto"/>
          <w:sz w:val="24"/>
          <w:szCs w:val="24"/>
          <w:highlight w:val="none"/>
        </w:rPr>
        <w:t>人，食堂产生的餐厨垃圾和隔油池清掏的废油脂其产生量按0.1kg/d·人计，则项目营运期餐厨垃圾（含隔油池油脂）产生量为</w:t>
      </w:r>
      <w:r>
        <w:rPr>
          <w:rFonts w:hint="eastAsia" w:ascii="Times New Roman" w:hAnsi="Times New Roman" w:eastAsia="宋体" w:cs="Times New Roman"/>
          <w:color w:val="auto"/>
          <w:sz w:val="24"/>
          <w:szCs w:val="24"/>
          <w:highlight w:val="none"/>
          <w:lang w:val="en-US" w:eastAsia="zh-CN"/>
        </w:rPr>
        <w:t>8</w:t>
      </w:r>
      <w:r>
        <w:rPr>
          <w:rFonts w:hint="eastAsia" w:ascii="Times New Roman" w:hAnsi="Times New Roman" w:eastAsia="宋体" w:cs="Times New Roman"/>
          <w:color w:val="auto"/>
          <w:sz w:val="24"/>
          <w:szCs w:val="24"/>
          <w:highlight w:val="none"/>
        </w:rPr>
        <w:t>kg/d（</w:t>
      </w:r>
      <w:r>
        <w:rPr>
          <w:rFonts w:hint="eastAsia" w:ascii="Times New Roman" w:hAnsi="Times New Roman" w:eastAsia="宋体" w:cs="Times New Roman"/>
          <w:color w:val="auto"/>
          <w:sz w:val="24"/>
          <w:szCs w:val="24"/>
          <w:highlight w:val="none"/>
          <w:lang w:val="en-US" w:eastAsia="zh-CN"/>
        </w:rPr>
        <w:t>2.92</w:t>
      </w:r>
      <w:r>
        <w:rPr>
          <w:rFonts w:hint="eastAsia" w:ascii="Times New Roman" w:hAnsi="Times New Roman" w:eastAsia="宋体" w:cs="Times New Roman"/>
          <w:color w:val="auto"/>
          <w:sz w:val="24"/>
          <w:szCs w:val="24"/>
          <w:highlight w:val="none"/>
        </w:rPr>
        <w:t>t/a）。</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食堂内设立密闭收集桶，餐厨垃圾（含隔油池油脂）与生活垃圾需单独收集，餐厨垃圾收集桶应设立明显警示装置，收集后交由餐厨垃圾收运单位清运处置。</w:t>
      </w:r>
    </w:p>
    <w:p>
      <w:pPr>
        <w:spacing w:line="360" w:lineRule="auto"/>
        <w:ind w:firstLine="482" w:firstLineChars="200"/>
        <w:rPr>
          <w:rFonts w:hint="default" w:ascii="Times New Roman" w:hAnsi="Times New Roman" w:eastAsia="宋体" w:cs="Times New Roman"/>
          <w:b/>
          <w:color w:val="auto"/>
          <w:sz w:val="24"/>
          <w:szCs w:val="24"/>
          <w:highlight w:val="none"/>
          <w:lang w:val="en-US" w:eastAsia="zh-CN"/>
        </w:rPr>
      </w:pPr>
      <w:r>
        <w:rPr>
          <w:rFonts w:hint="eastAsia" w:ascii="Times New Roman" w:hAnsi="Times New Roman" w:eastAsia="宋体" w:cs="Times New Roman"/>
          <w:b/>
          <w:color w:val="auto"/>
          <w:sz w:val="24"/>
          <w:szCs w:val="24"/>
          <w:highlight w:val="none"/>
          <w:lang w:val="en-US" w:eastAsia="zh-CN"/>
        </w:rPr>
        <w:t>7、化粪池污泥</w:t>
      </w:r>
    </w:p>
    <w:p>
      <w:pPr>
        <w:spacing w:line="360" w:lineRule="auto"/>
        <w:ind w:firstLine="480" w:firstLineChars="200"/>
        <w:rPr>
          <w:rFonts w:hint="eastAsia" w:ascii="Times New Roman" w:hAnsi="Times New Roman" w:eastAsia="宋体" w:cs="Times New Roman"/>
          <w:b w:val="0"/>
          <w:bCs/>
          <w:color w:val="auto"/>
          <w:sz w:val="24"/>
          <w:szCs w:val="24"/>
          <w:highlight w:val="none"/>
          <w:lang w:val="en-US" w:eastAsia="zh-CN"/>
        </w:rPr>
      </w:pPr>
      <w:r>
        <w:rPr>
          <w:rFonts w:hint="eastAsia" w:ascii="Times New Roman" w:hAnsi="Times New Roman" w:eastAsia="宋体" w:cs="Times New Roman"/>
          <w:b w:val="0"/>
          <w:bCs/>
          <w:color w:val="auto"/>
          <w:sz w:val="24"/>
          <w:szCs w:val="24"/>
          <w:highlight w:val="none"/>
          <w:lang w:val="en-US" w:eastAsia="zh-CN"/>
        </w:rPr>
        <w:t>项目场区内设置1个化粪池（20m</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lang w:val="en-US" w:eastAsia="zh-CN"/>
        </w:rPr>
        <w:t xml:space="preserve">），主要对职工生活污水和食堂废水进行预处理，位于管理房附近。其污泥产生量按8kg/100m </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lang w:val="en-US" w:eastAsia="zh-CN"/>
        </w:rPr>
        <w:t>·d（废水）计，本项目营运期职工生活污水和食堂废水产生量共计11.2m</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lang w:val="en-US" w:eastAsia="zh-CN"/>
        </w:rPr>
        <w:t>/d（4088m</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lang w:val="en-US" w:eastAsia="zh-CN"/>
        </w:rPr>
        <w:t>/a），则营运期化粪池污泥产生量为0.896kg/d（0.327t/a）。定期清掏，清掏后运输至南江县万事康生物科技有限公司用作生产有机肥原料使用。</w:t>
      </w:r>
    </w:p>
    <w:p>
      <w:pPr>
        <w:spacing w:line="360" w:lineRule="auto"/>
        <w:ind w:firstLine="482"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en-US" w:eastAsia="zh-CN"/>
        </w:rPr>
        <w:t>8</w:t>
      </w:r>
      <w:r>
        <w:rPr>
          <w:rFonts w:ascii="Times New Roman" w:hAnsi="Times New Roman" w:eastAsia="宋体" w:cs="Times New Roman"/>
          <w:b/>
          <w:color w:val="auto"/>
          <w:sz w:val="24"/>
          <w:szCs w:val="24"/>
          <w:highlight w:val="none"/>
          <w:lang w:val="zh-CN"/>
        </w:rPr>
        <w:t>、废脱硫剂</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w:t>
      </w:r>
      <w:r>
        <w:rPr>
          <w:rFonts w:hint="eastAsia" w:ascii="Times New Roman" w:hAnsi="Times New Roman"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zh-CN"/>
        </w:rPr>
        <w:t>产生情况</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项目污水处理系统产生的沼气在使用前需经脱水、脱硫，脱硫过程中将使用氧化铁作为脱硫剂。其目的是将沼气中的含硫化合物化学吸附到脱硫剂的小孔中，改变其化学组成从而净化沼气。当观察到脱硫剂变色时，对脱硫剂进行再生，当再生效果不佳时，则重新更换脱硫剂。沼气中硫含量一般在0.5~2%之间，本项目以2%计，1m</w:t>
      </w:r>
      <w:r>
        <w:rPr>
          <w:rFonts w:hint="eastAsia" w:ascii="Times New Roman" w:hAnsi="Times New Roman" w:eastAsia="宋体" w:cs="Times New Roman"/>
          <w:color w:val="auto"/>
          <w:sz w:val="24"/>
          <w:szCs w:val="24"/>
          <w:highlight w:val="none"/>
          <w:vertAlign w:val="superscript"/>
          <w:lang w:val="zh-CN"/>
        </w:rPr>
        <w:t>3</w:t>
      </w:r>
      <w:r>
        <w:rPr>
          <w:rFonts w:hint="eastAsia" w:ascii="Times New Roman" w:hAnsi="Times New Roman" w:eastAsia="宋体" w:cs="Times New Roman"/>
          <w:color w:val="auto"/>
          <w:sz w:val="24"/>
          <w:szCs w:val="24"/>
          <w:highlight w:val="none"/>
          <w:lang w:val="zh-CN"/>
        </w:rPr>
        <w:t>沼气硫化氢含量为30g，脱硫剂硫容以12%计，则1m</w:t>
      </w:r>
      <w:r>
        <w:rPr>
          <w:rFonts w:hint="eastAsia" w:ascii="Times New Roman" w:hAnsi="Times New Roman" w:eastAsia="宋体" w:cs="Times New Roman"/>
          <w:color w:val="auto"/>
          <w:sz w:val="24"/>
          <w:szCs w:val="24"/>
          <w:highlight w:val="none"/>
          <w:vertAlign w:val="superscript"/>
          <w:lang w:val="zh-CN"/>
        </w:rPr>
        <w:t>3</w:t>
      </w:r>
      <w:r>
        <w:rPr>
          <w:rFonts w:hint="eastAsia" w:ascii="Times New Roman" w:hAnsi="Times New Roman" w:eastAsia="宋体" w:cs="Times New Roman"/>
          <w:color w:val="auto"/>
          <w:sz w:val="24"/>
          <w:szCs w:val="24"/>
          <w:highlight w:val="none"/>
          <w:lang w:val="zh-CN"/>
        </w:rPr>
        <w:t>沼气所需脱硫剂25g，根据计算，本项目沼气产生量为</w:t>
      </w:r>
      <w:r>
        <w:rPr>
          <w:rFonts w:hint="eastAsia" w:ascii="Times New Roman" w:hAnsi="Times New Roman" w:eastAsia="宋体" w:cs="Times New Roman"/>
          <w:b w:val="0"/>
          <w:bCs w:val="0"/>
          <w:color w:val="auto"/>
          <w:kern w:val="2"/>
          <w:sz w:val="24"/>
          <w:szCs w:val="24"/>
          <w:highlight w:val="none"/>
          <w:lang w:val="en-US" w:eastAsia="zh-CN" w:bidi="ar-SA"/>
        </w:rPr>
        <w:t>57.71</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/d（</w:t>
      </w:r>
      <w:r>
        <w:rPr>
          <w:rFonts w:hint="eastAsia" w:ascii="Times New Roman" w:hAnsi="Times New Roman" w:eastAsia="宋体" w:cs="Times New Roman"/>
          <w:b w:val="0"/>
          <w:bCs w:val="0"/>
          <w:color w:val="auto"/>
          <w:kern w:val="2"/>
          <w:sz w:val="24"/>
          <w:szCs w:val="24"/>
          <w:highlight w:val="none"/>
          <w:lang w:val="en-US" w:eastAsia="zh-CN" w:bidi="ar-SA"/>
        </w:rPr>
        <w:t>21063</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/a）</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eastAsia" w:ascii="Times New Roman" w:hAnsi="Times New Roman" w:eastAsia="宋体" w:cs="Times New Roman"/>
          <w:color w:val="auto"/>
          <w:sz w:val="24"/>
          <w:szCs w:val="24"/>
          <w:highlight w:val="none"/>
          <w:lang w:val="zh-CN"/>
        </w:rPr>
        <w:t>则本项目沼气所需要的脱硫剂为</w:t>
      </w:r>
      <w:r>
        <w:rPr>
          <w:rFonts w:hint="eastAsia" w:ascii="Times New Roman" w:hAnsi="Times New Roman" w:eastAsia="宋体" w:cs="Times New Roman"/>
          <w:color w:val="auto"/>
          <w:sz w:val="24"/>
          <w:szCs w:val="24"/>
          <w:highlight w:val="none"/>
          <w:lang w:val="en-US" w:eastAsia="zh-CN"/>
        </w:rPr>
        <w:t>0.527</w:t>
      </w:r>
      <w:r>
        <w:rPr>
          <w:rFonts w:hint="eastAsia" w:ascii="Times New Roman" w:hAnsi="Times New Roman" w:eastAsia="宋体" w:cs="Times New Roman"/>
          <w:color w:val="auto"/>
          <w:sz w:val="24"/>
          <w:szCs w:val="24"/>
          <w:highlight w:val="none"/>
          <w:lang w:val="zh-CN"/>
        </w:rPr>
        <w:t>t/a。</w:t>
      </w:r>
      <w:r>
        <w:rPr>
          <w:rFonts w:ascii="Times New Roman" w:hAnsi="Times New Roman" w:eastAsia="宋体" w:cs="Times New Roman"/>
          <w:color w:val="auto"/>
          <w:sz w:val="24"/>
          <w:szCs w:val="24"/>
          <w:highlight w:val="none"/>
          <w:lang w:val="zh-CN"/>
        </w:rPr>
        <w:t>一般情况下，脱硫剂可以再生3次，每次再生后脱硫剂可以用3~4个月，</w:t>
      </w:r>
      <w:r>
        <w:rPr>
          <w:rFonts w:hint="eastAsia" w:ascii="Times New Roman" w:hAnsi="Times New Roman" w:eastAsia="宋体" w:cs="Times New Roman"/>
          <w:color w:val="auto"/>
          <w:sz w:val="24"/>
          <w:szCs w:val="24"/>
          <w:highlight w:val="none"/>
          <w:lang w:val="zh-CN"/>
        </w:rPr>
        <w:t>为保证沼气脱硫效率得到保障，本次环评建议建设单位每半年对脱硫塔内脱硫剂进行彻底更换一次，更换下来的废脱硫剂产生量约为1.05t/a，</w:t>
      </w:r>
      <w:r>
        <w:rPr>
          <w:rFonts w:ascii="Times New Roman" w:hAnsi="Times New Roman" w:eastAsia="宋体" w:cs="Times New Roman"/>
          <w:color w:val="auto"/>
          <w:sz w:val="24"/>
          <w:szCs w:val="24"/>
          <w:highlight w:val="none"/>
          <w:lang w:val="zh-CN"/>
        </w:rPr>
        <w:t>S、Fe</w:t>
      </w:r>
      <w:r>
        <w:rPr>
          <w:rFonts w:ascii="Times New Roman" w:hAnsi="Times New Roman" w:eastAsia="宋体" w:cs="Times New Roman"/>
          <w:color w:val="auto"/>
          <w:sz w:val="24"/>
          <w:szCs w:val="24"/>
          <w:highlight w:val="none"/>
          <w:vertAlign w:val="subscript"/>
          <w:lang w:val="zh-CN"/>
        </w:rPr>
        <w:t>2</w:t>
      </w:r>
      <w:r>
        <w:rPr>
          <w:rFonts w:ascii="Times New Roman" w:hAnsi="Times New Roman" w:eastAsia="宋体" w:cs="Times New Roman"/>
          <w:color w:val="auto"/>
          <w:sz w:val="24"/>
          <w:szCs w:val="24"/>
          <w:highlight w:val="none"/>
          <w:lang w:val="zh-CN"/>
        </w:rPr>
        <w:t>S</w:t>
      </w:r>
      <w:r>
        <w:rPr>
          <w:rFonts w:ascii="Times New Roman" w:hAnsi="Times New Roman" w:eastAsia="宋体" w:cs="Times New Roman"/>
          <w:color w:val="auto"/>
          <w:sz w:val="24"/>
          <w:szCs w:val="24"/>
          <w:highlight w:val="none"/>
          <w:vertAlign w:val="subscript"/>
          <w:lang w:val="zh-CN"/>
        </w:rPr>
        <w:t>3</w:t>
      </w:r>
      <w:r>
        <w:rPr>
          <w:rFonts w:ascii="Times New Roman" w:hAnsi="Times New Roman" w:eastAsia="宋体" w:cs="Times New Roman"/>
          <w:color w:val="auto"/>
          <w:sz w:val="24"/>
          <w:szCs w:val="24"/>
          <w:highlight w:val="none"/>
          <w:lang w:val="zh-CN"/>
        </w:rPr>
        <w:t>、Fe</w:t>
      </w:r>
      <w:r>
        <w:rPr>
          <w:rFonts w:ascii="Times New Roman" w:hAnsi="Times New Roman" w:eastAsia="宋体" w:cs="Times New Roman"/>
          <w:color w:val="auto"/>
          <w:sz w:val="24"/>
          <w:szCs w:val="24"/>
          <w:highlight w:val="none"/>
          <w:vertAlign w:val="subscript"/>
          <w:lang w:val="zh-CN"/>
        </w:rPr>
        <w:t>2</w:t>
      </w:r>
      <w:r>
        <w:rPr>
          <w:rFonts w:ascii="Times New Roman" w:hAnsi="Times New Roman" w:eastAsia="宋体" w:cs="Times New Roman"/>
          <w:color w:val="auto"/>
          <w:sz w:val="24"/>
          <w:szCs w:val="24"/>
          <w:highlight w:val="none"/>
          <w:lang w:val="zh-CN"/>
        </w:rPr>
        <w:t>O</w:t>
      </w:r>
      <w:r>
        <w:rPr>
          <w:rFonts w:ascii="Times New Roman" w:hAnsi="Times New Roman" w:eastAsia="宋体" w:cs="Times New Roman"/>
          <w:color w:val="auto"/>
          <w:sz w:val="24"/>
          <w:szCs w:val="24"/>
          <w:highlight w:val="none"/>
          <w:vertAlign w:val="subscript"/>
          <w:lang w:val="zh-CN"/>
        </w:rPr>
        <w:t>3</w:t>
      </w:r>
      <w:r>
        <w:rPr>
          <w:rFonts w:ascii="Times New Roman" w:hAnsi="Times New Roman" w:eastAsia="宋体" w:cs="Times New Roman"/>
          <w:color w:val="auto"/>
          <w:sz w:val="24"/>
          <w:szCs w:val="24"/>
          <w:highlight w:val="none"/>
          <w:lang w:val="zh-CN"/>
        </w:rPr>
        <w:t>等</w:t>
      </w:r>
      <w:r>
        <w:rPr>
          <w:rFonts w:hint="eastAsia" w:ascii="Times New Roman" w:hAnsi="Times New Roman" w:eastAsia="宋体" w:cs="Times New Roman"/>
          <w:color w:val="auto"/>
          <w:sz w:val="24"/>
          <w:szCs w:val="24"/>
          <w:highlight w:val="none"/>
          <w:lang w:val="zh-CN"/>
        </w:rPr>
        <w:t>。</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w:t>
      </w:r>
      <w:r>
        <w:rPr>
          <w:rFonts w:hint="eastAsia" w:ascii="Times New Roman" w:hAnsi="Times New Roman" w:eastAsia="宋体"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zh-CN"/>
        </w:rPr>
        <w:t>治理措施</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根据《国家危险废物名录》（2021年），废脱硫剂不在该名录内，故更换下来的废脱硫剂属于一般废物。但废脱硫剂表面附着大量的硫化物，使其具有极大的危险性，若随意丢弃，在污染环境的同时还会造成安全隐患，引发火灾、爆炸等事故。由厂家更换后带走回收利用。</w:t>
      </w:r>
    </w:p>
    <w:p>
      <w:pPr>
        <w:spacing w:line="360" w:lineRule="auto"/>
        <w:ind w:firstLine="482"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en-US" w:eastAsia="zh-CN"/>
        </w:rPr>
        <w:t>9</w:t>
      </w:r>
      <w:r>
        <w:rPr>
          <w:rFonts w:ascii="Times New Roman" w:hAnsi="Times New Roman" w:eastAsia="宋体" w:cs="Times New Roman"/>
          <w:b/>
          <w:color w:val="auto"/>
          <w:sz w:val="24"/>
          <w:szCs w:val="24"/>
          <w:highlight w:val="none"/>
          <w:lang w:val="zh-CN"/>
        </w:rPr>
        <w:t>、废包装材料</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营运期间，项目将购买各种消毒剂、添加剂等，由此产生的废包装材料约</w:t>
      </w:r>
      <w:r>
        <w:rPr>
          <w:rFonts w:hint="eastAsia" w:ascii="Times New Roman" w:hAnsi="Times New Roman"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zh-CN"/>
        </w:rPr>
        <w:t>.5t/a</w:t>
      </w:r>
      <w:r>
        <w:rPr>
          <w:rFonts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rPr>
        <w:t>属于一般固体废物，统一收集后送至废品回收站收购。</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本项目固体废弃物产生和处置情况见表3.</w:t>
      </w:r>
      <w:r>
        <w:rPr>
          <w:rFonts w:hint="eastAsia" w:ascii="Times New Roman" w:hAnsi="Times New Roman" w:eastAsia="宋体" w:cs="Times New Roman"/>
          <w:color w:val="auto"/>
          <w:sz w:val="24"/>
          <w:szCs w:val="24"/>
          <w:highlight w:val="none"/>
          <w:lang w:val="en-US" w:eastAsia="zh-CN"/>
        </w:rPr>
        <w:t>2</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18</w:t>
      </w:r>
      <w:r>
        <w:rPr>
          <w:rFonts w:ascii="Times New Roman" w:hAnsi="Times New Roman" w:eastAsia="宋体" w:cs="Times New Roman"/>
          <w:color w:val="auto"/>
          <w:sz w:val="24"/>
          <w:szCs w:val="24"/>
          <w:highlight w:val="none"/>
        </w:rPr>
        <w:t>。</w:t>
      </w:r>
    </w:p>
    <w:p>
      <w:pPr>
        <w:pStyle w:val="2504"/>
        <w:numPr>
          <w:ilvl w:val="0"/>
          <w:numId w:val="25"/>
        </w:numPr>
        <w:spacing w:before="120"/>
        <w:ind w:left="0" w:leftChars="0" w:firstLine="403" w:firstLineChars="0"/>
        <w:rPr>
          <w:rFonts w:ascii="Times New Roman" w:hAnsi="Times New Roman" w:eastAsia="宋体" w:cs="Times New Roman"/>
          <w:b/>
          <w:color w:val="auto"/>
          <w:kern w:val="2"/>
          <w:sz w:val="21"/>
          <w:szCs w:val="24"/>
          <w:highlight w:val="none"/>
          <w:lang w:val="en-US" w:eastAsia="zh-CN" w:bidi="ar-SA"/>
        </w:rPr>
      </w:pPr>
      <w:r>
        <w:rPr>
          <w:rFonts w:hint="default" w:ascii="Times New Roman" w:hAnsi="Times New Roman" w:eastAsia="宋体" w:cs="Times New Roman"/>
          <w:color w:val="auto"/>
          <w:sz w:val="21"/>
          <w:szCs w:val="21"/>
          <w:highlight w:val="none"/>
          <w:lang w:val="en-US" w:eastAsia="zh-CN"/>
        </w:rPr>
        <w:t xml:space="preserve">    </w:t>
      </w:r>
      <w:r>
        <w:rPr>
          <w:rFonts w:ascii="Times New Roman" w:hAnsi="Times New Roman" w:eastAsia="宋体" w:cs="Times New Roman"/>
          <w:b/>
          <w:color w:val="auto"/>
          <w:kern w:val="2"/>
          <w:sz w:val="21"/>
          <w:szCs w:val="24"/>
          <w:highlight w:val="none"/>
          <w:lang w:val="en-US" w:eastAsia="zh-CN" w:bidi="ar-SA"/>
        </w:rPr>
        <w:t>固废产生及处置情况一览表</w:t>
      </w:r>
    </w:p>
    <w:tbl>
      <w:tblPr>
        <w:tblStyle w:val="91"/>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646"/>
        <w:gridCol w:w="1200"/>
        <w:gridCol w:w="1341"/>
        <w:gridCol w:w="1205"/>
        <w:gridCol w:w="1413"/>
        <w:gridCol w:w="271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序号</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固废名称</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产生量（t/a）</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来源</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固废类别</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处置方式</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牛</w:t>
            </w:r>
            <w:r>
              <w:rPr>
                <w:rFonts w:hint="default" w:ascii="Times New Roman" w:hAnsi="Times New Roman" w:eastAsia="宋体" w:cs="Times New Roman"/>
                <w:color w:val="auto"/>
                <w:kern w:val="2"/>
                <w:sz w:val="21"/>
                <w:szCs w:val="21"/>
                <w:highlight w:val="none"/>
                <w:lang w:val="en-US" w:eastAsia="zh-CN" w:bidi="ar-SA"/>
              </w:rPr>
              <w:t>粪</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26805.6</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牛</w:t>
            </w:r>
            <w:r>
              <w:rPr>
                <w:rFonts w:hint="default" w:ascii="Times New Roman" w:hAnsi="Times New Roman" w:eastAsia="宋体" w:cs="Times New Roman"/>
                <w:color w:val="auto"/>
                <w:kern w:val="2"/>
                <w:sz w:val="21"/>
                <w:szCs w:val="21"/>
                <w:highlight w:val="none"/>
                <w:lang w:val="en-US" w:eastAsia="zh-CN" w:bidi="ar-SA"/>
              </w:rPr>
              <w:t>舍</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运输至</w:t>
            </w:r>
            <w:r>
              <w:rPr>
                <w:rFonts w:hint="eastAsia" w:ascii="Times New Roman" w:hAnsi="Times New Roman" w:eastAsia="宋体" w:cs="Times New Roman"/>
                <w:color w:val="auto"/>
                <w:kern w:val="2"/>
                <w:sz w:val="21"/>
                <w:szCs w:val="21"/>
                <w:highlight w:val="none"/>
                <w:lang w:val="en-US" w:eastAsia="zh-CN" w:bidi="ar-SA"/>
              </w:rPr>
              <w:t>南江县万事康生物科技有限公司</w:t>
            </w:r>
            <w:r>
              <w:rPr>
                <w:rFonts w:hint="default" w:ascii="Times New Roman" w:hAnsi="Times New Roman" w:eastAsia="宋体" w:cs="Times New Roman"/>
                <w:color w:val="auto"/>
                <w:kern w:val="2"/>
                <w:sz w:val="21"/>
                <w:szCs w:val="21"/>
                <w:highlight w:val="none"/>
                <w:lang w:val="en-US" w:eastAsia="zh-CN" w:bidi="ar-SA"/>
              </w:rPr>
              <w:t>用作生产有机肥原料使用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格栅渣</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28.16</w:t>
            </w:r>
          </w:p>
        </w:tc>
        <w:tc>
          <w:tcPr>
            <w:tcW w:w="707" w:type="pct"/>
            <w:vMerge w:val="restar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污水处理站</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vMerge w:val="restar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运输至</w:t>
            </w:r>
            <w:r>
              <w:rPr>
                <w:rFonts w:hint="eastAsia" w:ascii="Times New Roman" w:hAnsi="Times New Roman" w:eastAsia="宋体" w:cs="Times New Roman"/>
                <w:color w:val="auto"/>
                <w:kern w:val="2"/>
                <w:sz w:val="21"/>
                <w:szCs w:val="21"/>
                <w:highlight w:val="none"/>
                <w:lang w:val="en-US" w:eastAsia="zh-CN" w:bidi="ar-SA"/>
              </w:rPr>
              <w:t>南江县万事康生物科技有限公司</w:t>
            </w:r>
            <w:r>
              <w:rPr>
                <w:rFonts w:hint="default" w:ascii="Times New Roman" w:hAnsi="Times New Roman" w:eastAsia="宋体" w:cs="Times New Roman"/>
                <w:color w:val="auto"/>
                <w:kern w:val="2"/>
                <w:sz w:val="21"/>
                <w:szCs w:val="21"/>
                <w:highlight w:val="none"/>
                <w:lang w:val="en-US" w:eastAsia="zh-CN" w:bidi="ar-SA"/>
              </w:rPr>
              <w:t>用作生产有机肥原料使用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固液分离机渣物</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21.42</w:t>
            </w:r>
          </w:p>
        </w:tc>
        <w:tc>
          <w:tcPr>
            <w:tcW w:w="707"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沼渣及污泥</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7.26</w:t>
            </w:r>
          </w:p>
        </w:tc>
        <w:tc>
          <w:tcPr>
            <w:tcW w:w="707"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病死牛</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3.75</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牛舍</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采用</w:t>
            </w:r>
            <w:r>
              <w:rPr>
                <w:rFonts w:hint="eastAsia" w:ascii="Times New Roman" w:hAnsi="Times New Roman" w:eastAsia="宋体" w:cs="Times New Roman"/>
                <w:color w:val="auto"/>
                <w:kern w:val="2"/>
                <w:sz w:val="21"/>
                <w:szCs w:val="21"/>
                <w:highlight w:val="none"/>
                <w:lang w:val="en-US" w:eastAsia="zh-CN" w:bidi="ar-SA"/>
              </w:rPr>
              <w:t>无害化降解处理机</w:t>
            </w:r>
            <w:r>
              <w:rPr>
                <w:rFonts w:hint="default" w:ascii="Times New Roman" w:hAnsi="Times New Roman" w:eastAsia="宋体" w:cs="Times New Roman"/>
                <w:color w:val="auto"/>
                <w:kern w:val="2"/>
                <w:sz w:val="21"/>
                <w:szCs w:val="21"/>
                <w:highlight w:val="none"/>
                <w:lang w:val="en-US" w:eastAsia="zh-CN" w:bidi="ar-SA"/>
              </w:rPr>
              <w:t>处理，处理后运输至</w:t>
            </w:r>
            <w:r>
              <w:rPr>
                <w:rFonts w:hint="eastAsia" w:ascii="Times New Roman" w:hAnsi="Times New Roman" w:eastAsia="宋体" w:cs="Times New Roman"/>
                <w:color w:val="auto"/>
                <w:kern w:val="2"/>
                <w:sz w:val="21"/>
                <w:szCs w:val="21"/>
                <w:highlight w:val="none"/>
                <w:lang w:val="en-US" w:eastAsia="zh-CN" w:bidi="ar-SA"/>
              </w:rPr>
              <w:t>南江县万事康生物科技有限公司</w:t>
            </w:r>
            <w:r>
              <w:rPr>
                <w:rFonts w:hint="default" w:ascii="Times New Roman" w:hAnsi="Times New Roman" w:eastAsia="宋体" w:cs="Times New Roman"/>
                <w:color w:val="auto"/>
                <w:kern w:val="2"/>
                <w:sz w:val="21"/>
                <w:szCs w:val="21"/>
                <w:highlight w:val="none"/>
                <w:lang w:val="en-US" w:eastAsia="zh-CN" w:bidi="ar-SA"/>
              </w:rPr>
              <w:t>用作生产有机肥原料使用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畜禽医疗废物</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牛舍</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危险废物HW01</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暂存于危险废物暂存间，交由危险废物处置单位进行处置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14.6</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生活区</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袋装收集后暂存于生活垃圾暂存间，及时运往垃圾中转站，由环卫部门统一清运处置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餐厨垃圾（含隔油池油脂）</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2.92</w:t>
            </w:r>
          </w:p>
        </w:tc>
        <w:tc>
          <w:tcPr>
            <w:tcW w:w="707" w:type="pct"/>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食堂</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收集后交由餐厨垃圾收运单位清运处置。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化粪池污泥</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0.327</w:t>
            </w:r>
          </w:p>
        </w:tc>
        <w:tc>
          <w:tcPr>
            <w:tcW w:w="707" w:type="pct"/>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生活区</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运输至南江县万事康生物科技有限公司用作生产有机肥原料使用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废脱硫剂</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1.05</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沼气净化间</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集中收集后交由原厂家回收再生利用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11</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废包装材料 </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生产区</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统一收集后送至废品回收站收购</w:t>
            </w:r>
          </w:p>
        </w:tc>
      </w:tr>
    </w:tbl>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综上所述，本项目运营期产生的固体废弃物去向明确，处置措施合理可行，可有效防止固体废物的逸散和对环境的二次污染，不会对周围环境造成明显不利影响。</w:t>
      </w:r>
    </w:p>
    <w:p>
      <w:pPr>
        <w:pStyle w:val="9"/>
        <w:bidi w:val="0"/>
        <w:spacing w:line="360" w:lineRule="auto"/>
        <w:rPr>
          <w:rFonts w:hint="eastAsia" w:eastAsia="宋体" w:cs="Times New Roman"/>
          <w:color w:val="auto"/>
          <w:sz w:val="24"/>
          <w:szCs w:val="24"/>
          <w:highlight w:val="none"/>
          <w:lang w:val="en-US" w:eastAsia="zh-CN"/>
        </w:rPr>
      </w:pPr>
      <w:r>
        <w:rPr>
          <w:rFonts w:hint="eastAsia" w:eastAsia="宋体" w:cs="Times New Roman"/>
          <w:color w:val="auto"/>
          <w:sz w:val="24"/>
          <w:szCs w:val="24"/>
          <w:highlight w:val="none"/>
          <w:lang w:val="en-US" w:eastAsia="zh-CN"/>
        </w:rPr>
        <w:t>地下水保护及防渗措施</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本项目为养殖业，采用干清粪工艺，本评价依据《环境影响评价技术导则  地下水环境》（HJ610-2016）中</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建设项目污染防控对策</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的相关要求</w:t>
      </w:r>
      <w:r>
        <w:rPr>
          <w:rFonts w:hint="eastAsia" w:ascii="Times New Roman" w:hAnsi="Times New Roman" w:eastAsia="宋体" w:cs="Times New Roman"/>
          <w:color w:val="auto"/>
          <w:sz w:val="24"/>
          <w:szCs w:val="24"/>
          <w:highlight w:val="none"/>
        </w:rPr>
        <w:t>和《环境影响评价技术导则 土壤环境》（HJ964-2018）中“建设项目环境保护措施”的相关要求</w:t>
      </w:r>
      <w:r>
        <w:rPr>
          <w:rFonts w:ascii="Times New Roman" w:hAnsi="Times New Roman" w:eastAsia="宋体" w:cs="Times New Roman"/>
          <w:color w:val="auto"/>
          <w:sz w:val="24"/>
          <w:szCs w:val="24"/>
          <w:highlight w:val="none"/>
        </w:rPr>
        <w:t>，针对本项目提出以下地下水保护措施：</w:t>
      </w:r>
    </w:p>
    <w:p>
      <w:pPr>
        <w:spacing w:line="360" w:lineRule="auto"/>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1、源头控制措施</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本项目场区内污水采用地埋式污水管道输送，产生的废水和粪污经干湿分离后进入污水处理站处理后用于周边</w:t>
      </w:r>
      <w:r>
        <w:rPr>
          <w:rFonts w:hint="eastAsia" w:ascii="Times New Roman" w:hAnsi="Times New Roman" w:eastAsia="宋体" w:cs="Times New Roman"/>
          <w:color w:val="auto"/>
          <w:sz w:val="24"/>
          <w:szCs w:val="24"/>
          <w:highlight w:val="none"/>
          <w:lang w:eastAsia="zh-CN"/>
        </w:rPr>
        <w:t>林地及</w:t>
      </w:r>
      <w:r>
        <w:rPr>
          <w:rFonts w:hint="eastAsia" w:ascii="Times New Roman" w:hAnsi="Times New Roman" w:eastAsia="宋体" w:cs="Times New Roman"/>
          <w:color w:val="auto"/>
          <w:sz w:val="24"/>
          <w:szCs w:val="24"/>
          <w:highlight w:val="none"/>
        </w:rPr>
        <w:t>农田</w:t>
      </w:r>
      <w:r>
        <w:rPr>
          <w:rFonts w:hint="eastAsia" w:ascii="Times New Roman" w:hAnsi="Times New Roman" w:eastAsia="宋体" w:cs="Times New Roman"/>
          <w:color w:val="auto"/>
          <w:sz w:val="24"/>
          <w:szCs w:val="24"/>
          <w:highlight w:val="none"/>
          <w:lang w:eastAsia="zh-CN"/>
        </w:rPr>
        <w:t>灌溉</w:t>
      </w:r>
      <w:r>
        <w:rPr>
          <w:rFonts w:hint="eastAsia" w:ascii="Times New Roman" w:hAnsi="Times New Roman" w:eastAsia="宋体" w:cs="Times New Roman"/>
          <w:color w:val="auto"/>
          <w:sz w:val="24"/>
          <w:szCs w:val="24"/>
          <w:highlight w:val="none"/>
        </w:rPr>
        <w:t>，不外排。为防止污水等的泄漏污染地下水，拟采取以下措施：污水管道、污水处理系统等采取防腐和防渗漏处理；干湿分离后的干粪日产日清，</w:t>
      </w:r>
      <w:r>
        <w:rPr>
          <w:rFonts w:hint="default" w:ascii="Times New Roman" w:hAnsi="Times New Roman" w:eastAsia="宋体" w:cs="Times New Roman"/>
          <w:color w:val="auto"/>
          <w:sz w:val="24"/>
          <w:szCs w:val="24"/>
          <w:highlight w:val="none"/>
          <w:lang w:val="en-US" w:eastAsia="zh-CN"/>
        </w:rPr>
        <w:t>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hint="eastAsia" w:ascii="Times New Roman" w:hAnsi="Times New Roman" w:eastAsia="宋体" w:cs="Times New Roman"/>
          <w:color w:val="auto"/>
          <w:sz w:val="24"/>
          <w:szCs w:val="24"/>
          <w:highlight w:val="none"/>
        </w:rPr>
        <w:t>；危废暂存间、柴油发电机房、兽医室等采取防腐和防渗漏处理；畜禽医疗废物等转运时须安全转移，防止遗撒导致二次污染；定期进行检漏监测及检修；强化各相关工程的转弯、承插、对接等处的防渗，做好隐蔽工程记录，强化防渗工作的环境管理。</w:t>
      </w:r>
    </w:p>
    <w:p>
      <w:pPr>
        <w:spacing w:line="360" w:lineRule="auto"/>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2、分区防治措施</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将全厂按各功能单元所处的位置划分为重点防渗区、一般防渗区和简单防渗区三类地下水污染防治区域。</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重点防渗区包括：</w:t>
      </w:r>
      <w:r>
        <w:rPr>
          <w:rFonts w:hint="eastAsia" w:ascii="Times New Roman" w:hAnsi="Times New Roman" w:eastAsia="宋体" w:cs="Times New Roman"/>
          <w:color w:val="auto"/>
          <w:sz w:val="24"/>
          <w:szCs w:val="24"/>
          <w:highlight w:val="none"/>
          <w:lang w:eastAsia="zh-CN"/>
        </w:rPr>
        <w:t>危废间、</w:t>
      </w:r>
      <w:r>
        <w:rPr>
          <w:rFonts w:hint="eastAsia" w:ascii="Times New Roman" w:hAnsi="Times New Roman" w:eastAsia="宋体" w:cs="Times New Roman"/>
          <w:bCs/>
          <w:color w:val="auto"/>
          <w:sz w:val="24"/>
          <w:szCs w:val="24"/>
          <w:highlight w:val="none"/>
        </w:rPr>
        <w:t>干粪棚、机修车间、</w:t>
      </w:r>
      <w:r>
        <w:rPr>
          <w:rFonts w:ascii="Times New Roman" w:hAnsi="Times New Roman" w:eastAsia="宋体" w:cs="Times New Roman"/>
          <w:bCs/>
          <w:color w:val="auto"/>
          <w:sz w:val="24"/>
          <w:szCs w:val="24"/>
          <w:highlight w:val="none"/>
        </w:rPr>
        <w:t>废水处理设施</w:t>
      </w:r>
      <w:r>
        <w:rPr>
          <w:rFonts w:hint="eastAsia" w:ascii="Times New Roman" w:hAnsi="Times New Roman" w:eastAsia="宋体" w:cs="Times New Roman"/>
          <w:bCs/>
          <w:color w:val="auto"/>
          <w:sz w:val="24"/>
          <w:szCs w:val="24"/>
          <w:highlight w:val="none"/>
          <w:lang w:eastAsia="zh-CN"/>
        </w:rPr>
        <w:t>（含</w:t>
      </w:r>
      <w:r>
        <w:rPr>
          <w:rFonts w:ascii="Times New Roman" w:hAnsi="Times New Roman" w:eastAsia="宋体" w:cs="Times New Roman"/>
          <w:bCs/>
          <w:color w:val="auto"/>
          <w:sz w:val="24"/>
          <w:szCs w:val="24"/>
          <w:highlight w:val="none"/>
        </w:rPr>
        <w:t>集污池</w:t>
      </w:r>
      <w:r>
        <w:rPr>
          <w:rFonts w:hint="eastAsia" w:ascii="Times New Roman" w:hAnsi="Times New Roman" w:eastAsia="宋体" w:cs="Times New Roman"/>
          <w:bCs/>
          <w:color w:val="auto"/>
          <w:sz w:val="24"/>
          <w:szCs w:val="24"/>
          <w:highlight w:val="none"/>
          <w:lang w:eastAsia="zh-CN"/>
        </w:rPr>
        <w:t>）</w:t>
      </w:r>
      <w:r>
        <w:rPr>
          <w:rFonts w:ascii="Times New Roman" w:hAnsi="Times New Roman" w:eastAsia="宋体" w:cs="Times New Roman"/>
          <w:bCs/>
          <w:color w:val="auto"/>
          <w:sz w:val="24"/>
          <w:szCs w:val="24"/>
          <w:highlight w:val="none"/>
        </w:rPr>
        <w:t>、尾水储存池、</w:t>
      </w:r>
      <w:r>
        <w:rPr>
          <w:rFonts w:hint="eastAsia" w:ascii="Times New Roman" w:hAnsi="Times New Roman" w:eastAsia="宋体" w:cs="Times New Roman"/>
          <w:bCs/>
          <w:color w:val="auto"/>
          <w:sz w:val="24"/>
          <w:szCs w:val="24"/>
          <w:highlight w:val="none"/>
        </w:rPr>
        <w:t>事故应急池</w:t>
      </w:r>
      <w:r>
        <w:rPr>
          <w:rFonts w:hint="eastAsia" w:ascii="Times New Roman" w:hAnsi="Times New Roman" w:eastAsia="宋体" w:cs="Times New Roman"/>
          <w:bCs/>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隔油池、</w:t>
      </w:r>
      <w:r>
        <w:rPr>
          <w:rFonts w:hint="eastAsia" w:ascii="Times New Roman" w:hAnsi="Times New Roman" w:eastAsia="宋体" w:cs="Times New Roman"/>
          <w:color w:val="auto"/>
          <w:sz w:val="24"/>
          <w:szCs w:val="24"/>
          <w:highlight w:val="none"/>
        </w:rPr>
        <w:t>粪污管道及周边粪水收集沟</w:t>
      </w:r>
      <w:r>
        <w:rPr>
          <w:rFonts w:ascii="Times New Roman" w:hAnsi="Times New Roman" w:eastAsia="宋体" w:cs="Times New Roman"/>
          <w:color w:val="auto"/>
          <w:sz w:val="24"/>
          <w:szCs w:val="24"/>
          <w:highlight w:val="none"/>
        </w:rPr>
        <w:t>。一般防渗区包括：</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舍、</w:t>
      </w:r>
      <w:r>
        <w:rPr>
          <w:rFonts w:hint="eastAsia" w:ascii="Times New Roman" w:hAnsi="Times New Roman" w:eastAsia="宋体" w:cs="Times New Roman"/>
          <w:color w:val="auto"/>
          <w:sz w:val="24"/>
          <w:szCs w:val="24"/>
          <w:highlight w:val="none"/>
        </w:rPr>
        <w:t>青贮窖</w:t>
      </w:r>
      <w:r>
        <w:rPr>
          <w:rFonts w:hint="eastAsia" w:ascii="Times New Roman" w:hAnsi="Times New Roman" w:eastAsia="宋体" w:cs="Times New Roman"/>
          <w:color w:val="auto"/>
          <w:sz w:val="24"/>
          <w:szCs w:val="24"/>
          <w:highlight w:val="none"/>
          <w:lang w:eastAsia="zh-CN"/>
        </w:rPr>
        <w:t>、饲料库、</w:t>
      </w:r>
      <w:r>
        <w:rPr>
          <w:rFonts w:hint="eastAsia" w:ascii="Times New Roman" w:hAnsi="Times New Roman" w:eastAsia="宋体" w:cs="Times New Roman"/>
          <w:color w:val="auto"/>
          <w:sz w:val="24"/>
          <w:szCs w:val="24"/>
          <w:highlight w:val="none"/>
        </w:rPr>
        <w:t>兽医室</w:t>
      </w:r>
      <w:r>
        <w:rPr>
          <w:rFonts w:hint="eastAsia" w:ascii="Times New Roman" w:hAnsi="Times New Roman" w:eastAsia="宋体" w:cs="Times New Roman"/>
          <w:color w:val="auto"/>
          <w:sz w:val="24"/>
          <w:szCs w:val="24"/>
          <w:highlight w:val="none"/>
          <w:lang w:eastAsia="zh-CN"/>
        </w:rPr>
        <w:t>、预处理池</w:t>
      </w:r>
      <w:r>
        <w:rPr>
          <w:rFonts w:ascii="Times New Roman" w:hAnsi="Times New Roman" w:eastAsia="宋体" w:cs="Times New Roman"/>
          <w:color w:val="auto"/>
          <w:sz w:val="24"/>
          <w:szCs w:val="24"/>
          <w:highlight w:val="none"/>
        </w:rPr>
        <w:t>等。简单防渗区包括：办公区、食堂地面</w:t>
      </w:r>
      <w:r>
        <w:rPr>
          <w:rFonts w:hint="eastAsia" w:ascii="Times New Roman" w:hAnsi="Times New Roman" w:eastAsia="宋体" w:cs="Times New Roman"/>
          <w:color w:val="auto"/>
          <w:sz w:val="24"/>
          <w:szCs w:val="24"/>
          <w:highlight w:val="none"/>
          <w:lang w:eastAsia="zh-CN"/>
        </w:rPr>
        <w:t>、门卫室</w:t>
      </w:r>
      <w:r>
        <w:rPr>
          <w:rFonts w:ascii="Times New Roman" w:hAnsi="Times New Roman" w:eastAsia="宋体" w:cs="Times New Roman"/>
          <w:color w:val="auto"/>
          <w:sz w:val="24"/>
          <w:szCs w:val="24"/>
          <w:highlight w:val="none"/>
        </w:rPr>
        <w:t>以及站内道路等。地下水污染防渗分区划分原则见</w:t>
      </w:r>
      <w:r>
        <w:rPr>
          <w:rFonts w:hint="eastAsia" w:ascii="Times New Roman" w:hAnsi="Times New Roman" w:eastAsia="宋体" w:cs="Times New Roman"/>
          <w:color w:val="auto"/>
          <w:sz w:val="24"/>
          <w:szCs w:val="24"/>
          <w:highlight w:val="none"/>
          <w:lang w:eastAsia="zh-CN"/>
        </w:rPr>
        <w:t>下</w:t>
      </w:r>
      <w:r>
        <w:rPr>
          <w:rFonts w:ascii="Times New Roman" w:hAnsi="Times New Roman" w:eastAsia="宋体" w:cs="Times New Roman"/>
          <w:color w:val="auto"/>
          <w:sz w:val="24"/>
          <w:szCs w:val="24"/>
          <w:highlight w:val="none"/>
        </w:rPr>
        <w:t>表。</w:t>
      </w:r>
    </w:p>
    <w:p>
      <w:pPr>
        <w:pStyle w:val="2504"/>
        <w:numPr>
          <w:ilvl w:val="0"/>
          <w:numId w:val="25"/>
        </w:numPr>
        <w:spacing w:before="120"/>
        <w:ind w:left="0" w:leftChars="0" w:firstLine="403" w:firstLineChars="0"/>
        <w:rPr>
          <w:rFonts w:ascii="Times New Roman" w:hAnsi="Times New Roman" w:eastAsia="宋体" w:cs="Times New Roman"/>
          <w:b/>
          <w:color w:val="auto"/>
          <w:kern w:val="2"/>
          <w:sz w:val="21"/>
          <w:szCs w:val="24"/>
          <w:highlight w:val="none"/>
          <w:lang w:val="en-US" w:eastAsia="zh-CN" w:bidi="ar-SA"/>
        </w:rPr>
      </w:pPr>
      <w:r>
        <w:rPr>
          <w:rFonts w:hint="default" w:ascii="Times New Roman" w:hAnsi="Times New Roman" w:eastAsia="宋体" w:cs="Times New Roman"/>
          <w:color w:val="auto"/>
          <w:sz w:val="21"/>
          <w:szCs w:val="21"/>
          <w:highlight w:val="none"/>
          <w:lang w:val="en-US" w:eastAsia="zh-CN"/>
        </w:rPr>
        <w:t xml:space="preserve">   </w:t>
      </w:r>
      <w:r>
        <w:rPr>
          <w:rFonts w:ascii="Times New Roman" w:hAnsi="Times New Roman" w:eastAsia="宋体" w:cs="Times New Roman"/>
          <w:b/>
          <w:color w:val="auto"/>
          <w:kern w:val="2"/>
          <w:sz w:val="21"/>
          <w:szCs w:val="24"/>
          <w:highlight w:val="none"/>
          <w:lang w:val="en-US" w:eastAsia="zh-CN" w:bidi="ar-SA"/>
        </w:rPr>
        <w:t>污染控制难易程度分级参照表</w:t>
      </w:r>
    </w:p>
    <w:tbl>
      <w:tblPr>
        <w:tblStyle w:val="91"/>
        <w:tblW w:w="4999"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817"/>
        <w:gridCol w:w="6487"/>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0" w:hRule="exact"/>
          <w:jc w:val="center"/>
        </w:trPr>
        <w:tc>
          <w:tcPr>
            <w:tcW w:w="109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污染控制难易程度</w:t>
            </w:r>
          </w:p>
        </w:tc>
        <w:tc>
          <w:tcPr>
            <w:tcW w:w="390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主要特征</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0" w:hRule="exact"/>
          <w:jc w:val="center"/>
        </w:trPr>
        <w:tc>
          <w:tcPr>
            <w:tcW w:w="109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难</w:t>
            </w:r>
          </w:p>
        </w:tc>
        <w:tc>
          <w:tcPr>
            <w:tcW w:w="3905"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对地下水环境有污染的物料或污染物泄漏后，不能及时发现和处理</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0" w:hRule="exact"/>
          <w:jc w:val="center"/>
        </w:trPr>
        <w:tc>
          <w:tcPr>
            <w:tcW w:w="109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易</w:t>
            </w:r>
          </w:p>
        </w:tc>
        <w:tc>
          <w:tcPr>
            <w:tcW w:w="3905"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对地下水环境有污染的物料或污染物泄漏后，可及时发现和处理</w:t>
            </w:r>
          </w:p>
        </w:tc>
      </w:tr>
    </w:tbl>
    <w:p>
      <w:pPr>
        <w:pStyle w:val="2504"/>
        <w:numPr>
          <w:ilvl w:val="0"/>
          <w:numId w:val="25"/>
        </w:numPr>
        <w:spacing w:before="120"/>
        <w:ind w:left="0" w:leftChars="0" w:firstLine="403" w:firstLineChars="0"/>
        <w:rPr>
          <w:rFonts w:ascii="Times New Roman" w:hAnsi="Times New Roman" w:eastAsia="宋体" w:cs="Times New Roman"/>
          <w:b/>
          <w:color w:val="auto"/>
          <w:kern w:val="2"/>
          <w:sz w:val="21"/>
          <w:szCs w:val="24"/>
          <w:highlight w:val="none"/>
          <w:lang w:val="en-US" w:eastAsia="zh-CN" w:bidi="ar-SA"/>
        </w:rPr>
      </w:pPr>
      <w:r>
        <w:rPr>
          <w:rFonts w:hint="default" w:ascii="Times New Roman" w:hAnsi="Times New Roman" w:eastAsia="宋体" w:cs="Times New Roman"/>
          <w:color w:val="auto"/>
          <w:sz w:val="21"/>
          <w:szCs w:val="21"/>
          <w:highlight w:val="none"/>
          <w:lang w:val="en-US" w:eastAsia="zh-CN"/>
        </w:rPr>
        <w:t xml:space="preserve"> </w:t>
      </w:r>
      <w:r>
        <w:rPr>
          <w:rFonts w:hint="eastAsia"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 xml:space="preserve"> </w:t>
      </w:r>
      <w:r>
        <w:rPr>
          <w:rFonts w:ascii="Times New Roman" w:hAnsi="Times New Roman" w:eastAsia="宋体" w:cs="Times New Roman"/>
          <w:b/>
          <w:color w:val="auto"/>
          <w:kern w:val="2"/>
          <w:sz w:val="21"/>
          <w:szCs w:val="24"/>
          <w:highlight w:val="none"/>
          <w:lang w:val="en-US" w:eastAsia="zh-CN" w:bidi="ar-SA"/>
        </w:rPr>
        <w:t>天然包气带防污性能分级参照表</w:t>
      </w:r>
    </w:p>
    <w:tbl>
      <w:tblPr>
        <w:tblStyle w:val="91"/>
        <w:tblW w:w="4999" w:type="pct"/>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553"/>
        <w:gridCol w:w="6751"/>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93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72" w:lineRule="exact"/>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分级</w:t>
            </w:r>
          </w:p>
        </w:tc>
        <w:tc>
          <w:tcPr>
            <w:tcW w:w="406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72" w:lineRule="exact"/>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包气带岩土的渗透性能</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93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72"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强</w:t>
            </w:r>
          </w:p>
        </w:tc>
        <w:tc>
          <w:tcPr>
            <w:tcW w:w="406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88"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岩（土）层单层厚度 Mb≥1.0m，渗透系数K≤1×10</w:t>
            </w:r>
            <w:r>
              <w:rPr>
                <w:rFonts w:hint="default" w:ascii="Times New Roman" w:hAnsi="Times New Roman" w:eastAsia="宋体" w:cs="Times New Roman"/>
                <w:color w:val="auto"/>
                <w:kern w:val="2"/>
                <w:sz w:val="21"/>
                <w:szCs w:val="21"/>
                <w:highlight w:val="none"/>
                <w:vertAlign w:val="superscript"/>
                <w:lang w:val="en-US" w:eastAsia="zh-CN" w:bidi="ar-SA"/>
              </w:rPr>
              <w:t>-6</w:t>
            </w:r>
            <w:r>
              <w:rPr>
                <w:rFonts w:hint="default" w:ascii="Times New Roman" w:hAnsi="Times New Roman" w:eastAsia="宋体" w:cs="Times New Roman"/>
                <w:color w:val="auto"/>
                <w:kern w:val="2"/>
                <w:sz w:val="21"/>
                <w:szCs w:val="21"/>
                <w:highlight w:val="none"/>
                <w:lang w:val="en-US" w:eastAsia="zh-CN" w:bidi="ar-SA"/>
              </w:rPr>
              <w:t>cm/s，且分布连续、稳定</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93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中</w:t>
            </w:r>
          </w:p>
        </w:tc>
        <w:tc>
          <w:tcPr>
            <w:tcW w:w="406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6" w:lineRule="exact"/>
              <w:ind w:left="0" w:right="-15"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岩（土）层单层厚度 0.5m≤Mb＜1.0m，渗透系数K≤1×10</w:t>
            </w:r>
            <w:r>
              <w:rPr>
                <w:rFonts w:hint="default" w:ascii="Times New Roman" w:hAnsi="Times New Roman" w:eastAsia="宋体" w:cs="Times New Roman"/>
                <w:color w:val="auto"/>
                <w:kern w:val="2"/>
                <w:sz w:val="21"/>
                <w:szCs w:val="21"/>
                <w:highlight w:val="none"/>
                <w:vertAlign w:val="superscript"/>
                <w:lang w:val="en-US" w:eastAsia="zh-CN" w:bidi="ar-SA"/>
              </w:rPr>
              <w:t>-6</w:t>
            </w:r>
            <w:r>
              <w:rPr>
                <w:rFonts w:hint="default" w:ascii="Times New Roman" w:hAnsi="Times New Roman" w:eastAsia="宋体" w:cs="Times New Roman"/>
                <w:color w:val="auto"/>
                <w:kern w:val="2"/>
                <w:sz w:val="21"/>
                <w:szCs w:val="21"/>
                <w:highlight w:val="none"/>
                <w:lang w:val="en-US" w:eastAsia="zh-CN" w:bidi="ar-SA"/>
              </w:rPr>
              <w:t>cm/s，且分布连续、稳定。岩（土）层单层厚度 Mb≥1.0m，渗透系数1×10</w:t>
            </w:r>
            <w:r>
              <w:rPr>
                <w:rFonts w:hint="default" w:ascii="Times New Roman" w:hAnsi="Times New Roman" w:eastAsia="宋体" w:cs="Times New Roman"/>
                <w:color w:val="auto"/>
                <w:kern w:val="2"/>
                <w:sz w:val="21"/>
                <w:szCs w:val="21"/>
                <w:highlight w:val="none"/>
                <w:vertAlign w:val="superscript"/>
                <w:lang w:val="en-US" w:eastAsia="zh-CN" w:bidi="ar-SA"/>
              </w:rPr>
              <w:t>-6</w:t>
            </w:r>
            <w:r>
              <w:rPr>
                <w:rFonts w:hint="default" w:ascii="Times New Roman" w:hAnsi="Times New Roman" w:eastAsia="宋体" w:cs="Times New Roman"/>
                <w:color w:val="auto"/>
                <w:kern w:val="2"/>
                <w:sz w:val="21"/>
                <w:szCs w:val="21"/>
                <w:highlight w:val="none"/>
                <w:lang w:val="en-US" w:eastAsia="zh-CN" w:bidi="ar-SA"/>
              </w:rPr>
              <w:t>cm/s＜K≤1×10-4cm/s，且分布连续、稳定。</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c>
          <w:tcPr>
            <w:tcW w:w="93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74"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弱</w:t>
            </w:r>
          </w:p>
        </w:tc>
        <w:tc>
          <w:tcPr>
            <w:tcW w:w="406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9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岩（土）层不满足上述“强”和“中”条件</w:t>
            </w:r>
          </w:p>
        </w:tc>
      </w:tr>
    </w:tbl>
    <w:p>
      <w:pPr>
        <w:pStyle w:val="2504"/>
        <w:numPr>
          <w:ilvl w:val="0"/>
          <w:numId w:val="25"/>
        </w:numPr>
        <w:spacing w:before="120"/>
        <w:ind w:left="0" w:leftChars="0" w:firstLine="403" w:firstLineChars="0"/>
        <w:rPr>
          <w:rFonts w:ascii="Times New Roman" w:hAnsi="Times New Roman" w:eastAsia="宋体" w:cs="Times New Roman"/>
          <w:b/>
          <w:color w:val="auto"/>
          <w:kern w:val="2"/>
          <w:sz w:val="21"/>
          <w:szCs w:val="24"/>
          <w:highlight w:val="none"/>
          <w:lang w:val="en-US" w:eastAsia="zh-CN" w:bidi="ar-SA"/>
        </w:rPr>
      </w:pPr>
      <w:r>
        <w:rPr>
          <w:rFonts w:hint="eastAsia" w:ascii="Times New Roman" w:hAnsi="Times New Roman" w:eastAsia="宋体" w:cs="Times New Roman"/>
          <w:b/>
          <w:color w:val="auto"/>
          <w:kern w:val="2"/>
          <w:sz w:val="21"/>
          <w:szCs w:val="24"/>
          <w:highlight w:val="none"/>
          <w:lang w:val="en-US" w:eastAsia="zh-CN" w:bidi="ar-SA"/>
        </w:rPr>
        <w:t xml:space="preserve">   </w:t>
      </w:r>
      <w:r>
        <w:rPr>
          <w:rFonts w:ascii="Times New Roman" w:hAnsi="Times New Roman" w:eastAsia="宋体" w:cs="Times New Roman"/>
          <w:b/>
          <w:color w:val="auto"/>
          <w:kern w:val="2"/>
          <w:sz w:val="21"/>
          <w:szCs w:val="24"/>
          <w:highlight w:val="none"/>
          <w:lang w:val="en-US" w:eastAsia="zh-CN" w:bidi="ar-SA"/>
        </w:rPr>
        <w:t>地下水污染防渗分区参照表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158"/>
        <w:gridCol w:w="1984"/>
        <w:gridCol w:w="1716"/>
        <w:gridCol w:w="1585"/>
        <w:gridCol w:w="1860"/>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c>
          <w:tcPr>
            <w:tcW w:w="697"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防渗分区</w:t>
            </w:r>
          </w:p>
        </w:tc>
        <w:tc>
          <w:tcPr>
            <w:tcW w:w="1194"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天然包气带防污性能</w:t>
            </w:r>
          </w:p>
        </w:tc>
        <w:tc>
          <w:tcPr>
            <w:tcW w:w="1033"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污染控制难易程度</w:t>
            </w:r>
          </w:p>
        </w:tc>
        <w:tc>
          <w:tcPr>
            <w:tcW w:w="954"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污染物类型</w:t>
            </w:r>
          </w:p>
        </w:tc>
        <w:tc>
          <w:tcPr>
            <w:tcW w:w="1119"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防渗技术要求</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697" w:type="pct"/>
            <w:vMerge w:val="restar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1194"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弱</w:t>
            </w:r>
          </w:p>
        </w:tc>
        <w:tc>
          <w:tcPr>
            <w:tcW w:w="1033"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难</w:t>
            </w:r>
          </w:p>
        </w:tc>
        <w:tc>
          <w:tcPr>
            <w:tcW w:w="954" w:type="pct"/>
            <w:vMerge w:val="restar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3"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重金属、持久性有机污染物</w:t>
            </w:r>
          </w:p>
        </w:tc>
        <w:tc>
          <w:tcPr>
            <w:tcW w:w="1119" w:type="pct"/>
            <w:vMerge w:val="restar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等效黏土防渗层Mb≥6.0m</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K≤1×10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cm/s；或参照GB18598执行</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c>
          <w:tcPr>
            <w:tcW w:w="697"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8"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194"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中-强</w:t>
            </w:r>
          </w:p>
        </w:tc>
        <w:tc>
          <w:tcPr>
            <w:tcW w:w="1033"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难</w:t>
            </w:r>
          </w:p>
        </w:tc>
        <w:tc>
          <w:tcPr>
            <w:tcW w:w="954"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119"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c>
          <w:tcPr>
            <w:tcW w:w="697"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194"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弱</w:t>
            </w:r>
          </w:p>
        </w:tc>
        <w:tc>
          <w:tcPr>
            <w:tcW w:w="1033"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易</w:t>
            </w:r>
          </w:p>
        </w:tc>
        <w:tc>
          <w:tcPr>
            <w:tcW w:w="954"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119"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c>
          <w:tcPr>
            <w:tcW w:w="697" w:type="pct"/>
            <w:vMerge w:val="restar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一般防渗区</w:t>
            </w:r>
          </w:p>
        </w:tc>
        <w:tc>
          <w:tcPr>
            <w:tcW w:w="1194"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弱</w:t>
            </w:r>
          </w:p>
        </w:tc>
        <w:tc>
          <w:tcPr>
            <w:tcW w:w="1033"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难-易</w:t>
            </w:r>
          </w:p>
        </w:tc>
        <w:tc>
          <w:tcPr>
            <w:tcW w:w="954" w:type="pct"/>
            <w:vMerge w:val="restar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其他类型</w:t>
            </w:r>
          </w:p>
        </w:tc>
        <w:tc>
          <w:tcPr>
            <w:tcW w:w="1119" w:type="pct"/>
            <w:vMerge w:val="restar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等效黏土防渗层Mb≥1.5m，K≤1×10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cm/s；或参照GB18598 执行</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697"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8"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194"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中-强</w:t>
            </w:r>
          </w:p>
        </w:tc>
        <w:tc>
          <w:tcPr>
            <w:tcW w:w="1033"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难</w:t>
            </w:r>
          </w:p>
        </w:tc>
        <w:tc>
          <w:tcPr>
            <w:tcW w:w="954"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119"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c>
          <w:tcPr>
            <w:tcW w:w="697"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194"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中</w:t>
            </w:r>
          </w:p>
        </w:tc>
        <w:tc>
          <w:tcPr>
            <w:tcW w:w="1033"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易</w:t>
            </w:r>
          </w:p>
        </w:tc>
        <w:tc>
          <w:tcPr>
            <w:tcW w:w="954" w:type="pct"/>
            <w:vMerge w:val="restar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3"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重金属、持久性有机污染物</w:t>
            </w:r>
          </w:p>
        </w:tc>
        <w:tc>
          <w:tcPr>
            <w:tcW w:w="1119"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424" w:right="-3"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697"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424" w:right="-3"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194"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强</w:t>
            </w:r>
          </w:p>
        </w:tc>
        <w:tc>
          <w:tcPr>
            <w:tcW w:w="1033"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易</w:t>
            </w:r>
          </w:p>
        </w:tc>
        <w:tc>
          <w:tcPr>
            <w:tcW w:w="954"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119" w:type="pct"/>
            <w:vMerge w:val="continue"/>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34"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697"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简单防渗区</w:t>
            </w:r>
          </w:p>
        </w:tc>
        <w:tc>
          <w:tcPr>
            <w:tcW w:w="1194"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中-强</w:t>
            </w:r>
          </w:p>
        </w:tc>
        <w:tc>
          <w:tcPr>
            <w:tcW w:w="1033"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易</w:t>
            </w:r>
          </w:p>
        </w:tc>
        <w:tc>
          <w:tcPr>
            <w:tcW w:w="954"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其他类型</w:t>
            </w:r>
          </w:p>
        </w:tc>
        <w:tc>
          <w:tcPr>
            <w:tcW w:w="1119" w:type="pct"/>
            <w:noWrap w:val="0"/>
            <w:vAlign w:val="center"/>
          </w:tcPr>
          <w:p>
            <w:pPr>
              <w:keepNext w:val="0"/>
              <w:keepLines w:val="0"/>
              <w:widowControl w:val="0"/>
              <w:suppressLineNumbers w:val="0"/>
              <w:kinsoku w:val="0"/>
              <w:wordWrap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一般地面硬化</w:t>
            </w:r>
          </w:p>
        </w:tc>
      </w:tr>
    </w:tbl>
    <w:p>
      <w:pPr>
        <w:spacing w:line="440" w:lineRule="exact"/>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①</w:t>
      </w:r>
      <w:r>
        <w:rPr>
          <w:rFonts w:ascii="Times New Roman" w:hAnsi="Times New Roman" w:eastAsia="宋体" w:cs="Times New Roman"/>
          <w:color w:val="auto"/>
          <w:sz w:val="24"/>
          <w:szCs w:val="24"/>
          <w:highlight w:val="none"/>
        </w:rPr>
        <w:t>重点</w:t>
      </w:r>
      <w:r>
        <w:rPr>
          <w:rFonts w:hint="eastAsia" w:ascii="Times New Roman" w:hAnsi="Times New Roman" w:eastAsia="宋体" w:cs="Times New Roman"/>
          <w:color w:val="auto"/>
          <w:sz w:val="24"/>
          <w:szCs w:val="24"/>
          <w:highlight w:val="none"/>
        </w:rPr>
        <w:t>防渗</w:t>
      </w:r>
      <w:r>
        <w:rPr>
          <w:rFonts w:ascii="Times New Roman" w:hAnsi="Times New Roman" w:eastAsia="宋体" w:cs="Times New Roman"/>
          <w:color w:val="auto"/>
          <w:sz w:val="24"/>
          <w:szCs w:val="24"/>
          <w:highlight w:val="none"/>
        </w:rPr>
        <w:t>区防渗措施：</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厂区粪污输送全部采用管道输送，管道材料应视输送介质的不同选择合适材质并做表面的防腐、防锈蚀处理，减轻管道腐蚀造成的渗漏，并进行定期检查，防止跑冒漏滴的现象发生。</w:t>
      </w:r>
      <w:r>
        <w:rPr>
          <w:rFonts w:hint="eastAsia" w:ascii="Times New Roman" w:hAnsi="Times New Roman" w:eastAsia="宋体" w:cs="Times New Roman"/>
          <w:color w:val="auto"/>
          <w:sz w:val="24"/>
          <w:szCs w:val="24"/>
          <w:highlight w:val="none"/>
          <w:lang w:eastAsia="zh-CN"/>
        </w:rPr>
        <w:t>隔油池、</w:t>
      </w:r>
      <w:r>
        <w:rPr>
          <w:rFonts w:ascii="Times New Roman" w:hAnsi="Times New Roman" w:eastAsia="宋体" w:cs="Times New Roman"/>
          <w:color w:val="auto"/>
          <w:sz w:val="24"/>
          <w:szCs w:val="24"/>
          <w:highlight w:val="none"/>
        </w:rPr>
        <w:t>污水处理设施池体、地面采用钢筋混凝土加防渗剂的防渗地坪+人工材料（HDPE）防渗层，确保等效黏土防渗层Mb≥6.0m，K≤1×10</w:t>
      </w:r>
      <w:r>
        <w:rPr>
          <w:rFonts w:ascii="Times New Roman" w:hAnsi="Times New Roman" w:eastAsia="宋体" w:cs="Times New Roman"/>
          <w:color w:val="auto"/>
          <w:sz w:val="24"/>
          <w:szCs w:val="24"/>
          <w:highlight w:val="none"/>
          <w:vertAlign w:val="superscript"/>
        </w:rPr>
        <w:t>-7</w:t>
      </w:r>
      <w:r>
        <w:rPr>
          <w:rFonts w:ascii="Times New Roman" w:hAnsi="Times New Roman" w:eastAsia="宋体" w:cs="Times New Roman"/>
          <w:color w:val="auto"/>
          <w:sz w:val="24"/>
          <w:szCs w:val="24"/>
          <w:highlight w:val="none"/>
        </w:rPr>
        <w:t>cm/s。</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bCs/>
          <w:color w:val="auto"/>
          <w:sz w:val="24"/>
          <w:szCs w:val="24"/>
          <w:highlight w:val="none"/>
        </w:rPr>
        <w:t>干粪棚、机修车间、</w:t>
      </w:r>
      <w:r>
        <w:rPr>
          <w:rFonts w:ascii="Times New Roman" w:hAnsi="Times New Roman" w:eastAsia="宋体" w:cs="Times New Roman"/>
          <w:bCs/>
          <w:color w:val="auto"/>
          <w:sz w:val="24"/>
          <w:szCs w:val="24"/>
          <w:highlight w:val="none"/>
        </w:rPr>
        <w:t>污水处理站、生活废水处理设施</w:t>
      </w:r>
      <w:r>
        <w:rPr>
          <w:rFonts w:hint="eastAsia" w:ascii="Times New Roman" w:hAnsi="Times New Roman" w:eastAsia="宋体" w:cs="Times New Roman"/>
          <w:bCs/>
          <w:color w:val="auto"/>
          <w:sz w:val="24"/>
          <w:szCs w:val="24"/>
          <w:highlight w:val="none"/>
          <w:lang w:eastAsia="zh-CN"/>
        </w:rPr>
        <w:t>（含</w:t>
      </w:r>
      <w:r>
        <w:rPr>
          <w:rFonts w:ascii="Times New Roman" w:hAnsi="Times New Roman" w:eastAsia="宋体" w:cs="Times New Roman"/>
          <w:bCs/>
          <w:color w:val="auto"/>
          <w:sz w:val="24"/>
          <w:szCs w:val="24"/>
          <w:highlight w:val="none"/>
        </w:rPr>
        <w:t>集污池</w:t>
      </w:r>
      <w:r>
        <w:rPr>
          <w:rFonts w:hint="eastAsia" w:ascii="Times New Roman" w:hAnsi="Times New Roman" w:eastAsia="宋体" w:cs="Times New Roman"/>
          <w:bCs/>
          <w:color w:val="auto"/>
          <w:sz w:val="24"/>
          <w:szCs w:val="24"/>
          <w:highlight w:val="none"/>
          <w:lang w:eastAsia="zh-CN"/>
        </w:rPr>
        <w:t>）</w:t>
      </w:r>
      <w:r>
        <w:rPr>
          <w:rFonts w:ascii="Times New Roman" w:hAnsi="Times New Roman" w:eastAsia="宋体" w:cs="Times New Roman"/>
          <w:bCs/>
          <w:color w:val="auto"/>
          <w:sz w:val="24"/>
          <w:szCs w:val="24"/>
          <w:highlight w:val="none"/>
        </w:rPr>
        <w:t>、尾水储存池、</w:t>
      </w:r>
      <w:r>
        <w:rPr>
          <w:rFonts w:hint="eastAsia" w:ascii="Times New Roman" w:hAnsi="Times New Roman" w:eastAsia="宋体" w:cs="Times New Roman"/>
          <w:bCs/>
          <w:color w:val="auto"/>
          <w:sz w:val="24"/>
          <w:szCs w:val="24"/>
          <w:highlight w:val="none"/>
        </w:rPr>
        <w:t>事故应急池</w:t>
      </w:r>
      <w:r>
        <w:rPr>
          <w:rFonts w:ascii="Times New Roman" w:hAnsi="Times New Roman" w:eastAsia="宋体" w:cs="Times New Roman"/>
          <w:color w:val="auto"/>
          <w:sz w:val="24"/>
          <w:szCs w:val="24"/>
          <w:highlight w:val="none"/>
        </w:rPr>
        <w:t>用钢筋混凝土加防渗剂的防渗地坪+人工材料（HDPE）防渗层，确保等效黏土防渗层Mb≥6.0m，K≤1×10</w:t>
      </w:r>
      <w:r>
        <w:rPr>
          <w:rFonts w:ascii="Times New Roman" w:hAnsi="Times New Roman" w:eastAsia="宋体" w:cs="Times New Roman"/>
          <w:color w:val="auto"/>
          <w:sz w:val="24"/>
          <w:szCs w:val="24"/>
          <w:highlight w:val="none"/>
          <w:vertAlign w:val="superscript"/>
        </w:rPr>
        <w:t>-7</w:t>
      </w:r>
      <w:r>
        <w:rPr>
          <w:rFonts w:ascii="Times New Roman" w:hAnsi="Times New Roman" w:eastAsia="宋体" w:cs="Times New Roman"/>
          <w:color w:val="auto"/>
          <w:sz w:val="24"/>
          <w:szCs w:val="24"/>
          <w:highlight w:val="none"/>
        </w:rPr>
        <w:t>cm/s。</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危险废物暂存间</w:t>
      </w:r>
      <w:r>
        <w:rPr>
          <w:rFonts w:ascii="Times New Roman" w:hAnsi="Times New Roman" w:eastAsia="宋体" w:cs="Times New Roman"/>
          <w:color w:val="auto"/>
          <w:sz w:val="24"/>
          <w:szCs w:val="24"/>
          <w:highlight w:val="none"/>
        </w:rPr>
        <w:t>混凝土地面加铺防渗剂和人工材料（HDPE）防渗层，确保K≤1×10</w:t>
      </w:r>
      <w:r>
        <w:rPr>
          <w:rFonts w:ascii="Times New Roman" w:hAnsi="Times New Roman" w:eastAsia="宋体" w:cs="Times New Roman"/>
          <w:color w:val="auto"/>
          <w:sz w:val="24"/>
          <w:szCs w:val="24"/>
          <w:highlight w:val="none"/>
          <w:vertAlign w:val="superscript"/>
        </w:rPr>
        <w:t>-10</w:t>
      </w:r>
      <w:r>
        <w:rPr>
          <w:rFonts w:ascii="Times New Roman" w:hAnsi="Times New Roman" w:eastAsia="宋体" w:cs="Times New Roman"/>
          <w:color w:val="auto"/>
          <w:sz w:val="24"/>
          <w:szCs w:val="24"/>
          <w:highlight w:val="none"/>
        </w:rPr>
        <w:t>cm/s。</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②</w:t>
      </w:r>
      <w:r>
        <w:rPr>
          <w:rFonts w:ascii="Times New Roman" w:hAnsi="Times New Roman" w:eastAsia="宋体" w:cs="Times New Roman"/>
          <w:color w:val="auto"/>
          <w:sz w:val="24"/>
          <w:szCs w:val="24"/>
          <w:highlight w:val="none"/>
        </w:rPr>
        <w:t>一般</w:t>
      </w:r>
      <w:r>
        <w:rPr>
          <w:rFonts w:hint="eastAsia" w:ascii="Times New Roman" w:hAnsi="Times New Roman" w:eastAsia="宋体" w:cs="Times New Roman"/>
          <w:color w:val="auto"/>
          <w:sz w:val="24"/>
          <w:szCs w:val="24"/>
          <w:highlight w:val="none"/>
        </w:rPr>
        <w:t>防渗</w:t>
      </w:r>
      <w:r>
        <w:rPr>
          <w:rFonts w:ascii="Times New Roman" w:hAnsi="Times New Roman" w:eastAsia="宋体" w:cs="Times New Roman"/>
          <w:color w:val="auto"/>
          <w:sz w:val="24"/>
          <w:szCs w:val="24"/>
          <w:highlight w:val="none"/>
        </w:rPr>
        <w:t>区防渗措施：</w:t>
      </w:r>
    </w:p>
    <w:p>
      <w:pPr>
        <w:spacing w:line="440" w:lineRule="exact"/>
        <w:ind w:firstLine="480" w:firstLineChars="200"/>
        <w:rPr>
          <w:rStyle w:val="2506"/>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一般防渗区域主要为牛舍</w:t>
      </w:r>
      <w:r>
        <w:rPr>
          <w:rFonts w:hint="eastAsia" w:ascii="Times New Roman" w:hAnsi="Times New Roman" w:eastAsia="宋体" w:cs="Times New Roman"/>
          <w:color w:val="auto"/>
          <w:sz w:val="24"/>
          <w:szCs w:val="24"/>
          <w:highlight w:val="none"/>
          <w:lang w:eastAsia="zh-CN"/>
        </w:rPr>
        <w:t>、青贮窖、生活垃圾暂存间及饲料</w:t>
      </w:r>
      <w:r>
        <w:rPr>
          <w:rFonts w:hint="eastAsia" w:ascii="Times New Roman" w:hAnsi="Times New Roman" w:eastAsia="宋体" w:cs="Times New Roman"/>
          <w:color w:val="auto"/>
          <w:sz w:val="24"/>
          <w:szCs w:val="24"/>
          <w:highlight w:val="none"/>
          <w:lang w:val="en-US" w:eastAsia="zh-CN"/>
        </w:rPr>
        <w:t>库、兽医室、预处理池</w:t>
      </w:r>
      <w:r>
        <w:rPr>
          <w:rFonts w:hint="eastAsia" w:ascii="Times New Roman" w:hAnsi="Times New Roman" w:eastAsia="宋体" w:cs="Times New Roman"/>
          <w:color w:val="auto"/>
          <w:sz w:val="24"/>
          <w:szCs w:val="24"/>
          <w:highlight w:val="none"/>
          <w:lang w:eastAsia="zh-CN"/>
        </w:rPr>
        <w:t>采用</w:t>
      </w:r>
      <w:r>
        <w:rPr>
          <w:rFonts w:ascii="Times New Roman" w:hAnsi="Times New Roman" w:eastAsia="宋体" w:cs="Times New Roman"/>
          <w:color w:val="auto"/>
          <w:sz w:val="24"/>
          <w:szCs w:val="24"/>
          <w:highlight w:val="none"/>
        </w:rPr>
        <w:t>一般防渗区地面采取粘土铺底，再在上层铺10~15cm的水泥进行硬化，</w:t>
      </w:r>
      <w:r>
        <w:rPr>
          <w:rStyle w:val="2506"/>
          <w:rFonts w:hint="default" w:ascii="Times New Roman" w:hAnsi="Times New Roman" w:cs="Times New Roman"/>
          <w:color w:val="auto"/>
          <w:highlight w:val="none"/>
        </w:rPr>
        <w:t>确保等效黏土防渗层Mb≥1.5m，</w:t>
      </w:r>
      <w:r>
        <w:rPr>
          <w:rFonts w:ascii="Times New Roman" w:hAnsi="Times New Roman" w:eastAsia="宋体" w:cs="Times New Roman"/>
          <w:color w:val="auto"/>
          <w:sz w:val="24"/>
          <w:szCs w:val="24"/>
          <w:highlight w:val="none"/>
        </w:rPr>
        <w:t>渗透系数</w:t>
      </w:r>
      <w:r>
        <w:rPr>
          <w:rStyle w:val="2506"/>
          <w:rFonts w:hint="default" w:ascii="Times New Roman" w:hAnsi="Times New Roman" w:cs="Times New Roman"/>
          <w:color w:val="auto"/>
          <w:highlight w:val="none"/>
        </w:rPr>
        <w:t>K≤10</w:t>
      </w:r>
      <w:r>
        <w:rPr>
          <w:rStyle w:val="2506"/>
          <w:rFonts w:hint="default" w:ascii="Times New Roman" w:hAnsi="Times New Roman" w:cs="Times New Roman"/>
          <w:color w:val="auto"/>
          <w:highlight w:val="none"/>
          <w:vertAlign w:val="superscript"/>
        </w:rPr>
        <w:t>-7</w:t>
      </w:r>
      <w:r>
        <w:rPr>
          <w:rStyle w:val="2506"/>
          <w:rFonts w:hint="default" w:ascii="Times New Roman" w:hAnsi="Times New Roman" w:cs="Times New Roman"/>
          <w:color w:val="auto"/>
          <w:highlight w:val="none"/>
        </w:rPr>
        <w:t>cm/s。</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③</w:t>
      </w:r>
      <w:r>
        <w:rPr>
          <w:rFonts w:ascii="Times New Roman" w:hAnsi="Times New Roman" w:eastAsia="宋体" w:cs="Times New Roman"/>
          <w:color w:val="auto"/>
          <w:sz w:val="24"/>
          <w:szCs w:val="24"/>
          <w:highlight w:val="none"/>
        </w:rPr>
        <w:t>简单防渗区</w:t>
      </w:r>
      <w:r>
        <w:rPr>
          <w:rFonts w:hint="eastAsia" w:ascii="Times New Roman" w:hAnsi="Times New Roman" w:eastAsia="宋体" w:cs="Times New Roman"/>
          <w:color w:val="auto"/>
          <w:sz w:val="24"/>
          <w:szCs w:val="24"/>
          <w:highlight w:val="none"/>
        </w:rPr>
        <w:t>防渗</w:t>
      </w:r>
      <w:r>
        <w:rPr>
          <w:rFonts w:ascii="Times New Roman" w:hAnsi="Times New Roman" w:eastAsia="宋体" w:cs="Times New Roman"/>
          <w:color w:val="auto"/>
          <w:sz w:val="24"/>
          <w:szCs w:val="24"/>
          <w:highlight w:val="none"/>
        </w:rPr>
        <w:t>措施：</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简单防渗区域主要为办公区、食堂地面、门卫室以及站内道路等，参照《环境影响评价技术导则 地下水环境》（HJ610-2016），简单防渗可采用一般地面硬化。评价要求管理房、场内道路等采用混凝土进行一般地面硬化。</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项目分区防渗情况一览表见表3.5-2</w:t>
      </w:r>
      <w:r>
        <w:rPr>
          <w:rFonts w:hint="eastAsia" w:ascii="Times New Roman" w:hAnsi="Times New Roman" w:eastAsia="宋体" w:cs="Times New Roman"/>
          <w:color w:val="auto"/>
          <w:sz w:val="24"/>
          <w:szCs w:val="24"/>
          <w:highlight w:val="none"/>
        </w:rPr>
        <w:t>2</w:t>
      </w:r>
      <w:r>
        <w:rPr>
          <w:rFonts w:ascii="Times New Roman" w:hAnsi="Times New Roman" w:eastAsia="宋体" w:cs="Times New Roman"/>
          <w:color w:val="auto"/>
          <w:sz w:val="24"/>
          <w:szCs w:val="24"/>
          <w:highlight w:val="none"/>
        </w:rPr>
        <w:t>。</w:t>
      </w:r>
    </w:p>
    <w:p>
      <w:pPr>
        <w:pStyle w:val="2504"/>
        <w:numPr>
          <w:ilvl w:val="0"/>
          <w:numId w:val="25"/>
        </w:numPr>
        <w:spacing w:before="120"/>
        <w:ind w:left="0" w:leftChars="0" w:firstLine="403" w:firstLineChars="0"/>
        <w:rPr>
          <w:rFonts w:ascii="Times New Roman" w:hAnsi="Times New Roman" w:eastAsia="宋体" w:cs="Times New Roman"/>
          <w:b/>
          <w:color w:val="auto"/>
          <w:kern w:val="2"/>
          <w:sz w:val="21"/>
          <w:szCs w:val="24"/>
          <w:highlight w:val="none"/>
          <w:lang w:val="en-US" w:eastAsia="zh-CN" w:bidi="ar-SA"/>
        </w:rPr>
      </w:pPr>
      <w:r>
        <w:rPr>
          <w:rFonts w:hint="default" w:ascii="Times New Roman" w:hAnsi="Times New Roman" w:cs="Times New Roman"/>
          <w:color w:val="auto"/>
          <w:highlight w:val="none"/>
          <w:lang w:val="en-US" w:eastAsia="zh-CN"/>
        </w:rPr>
        <w:t xml:space="preserve">   </w:t>
      </w:r>
      <w:r>
        <w:rPr>
          <w:rFonts w:ascii="Times New Roman" w:hAnsi="Times New Roman" w:eastAsia="宋体" w:cs="Times New Roman"/>
          <w:b/>
          <w:color w:val="auto"/>
          <w:kern w:val="2"/>
          <w:sz w:val="21"/>
          <w:szCs w:val="24"/>
          <w:highlight w:val="none"/>
          <w:lang w:val="en-US" w:eastAsia="zh-CN" w:bidi="ar-SA"/>
        </w:rPr>
        <w:t>分区防渗情况一览表</w:t>
      </w:r>
    </w:p>
    <w:tbl>
      <w:tblPr>
        <w:tblStyle w:val="91"/>
        <w:tblW w:w="4998"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25"/>
        <w:gridCol w:w="1588"/>
        <w:gridCol w:w="1188"/>
        <w:gridCol w:w="4902"/>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序号</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2"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名称</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防渗级别</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防渗要求</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粪污管道及周边粪水收集沟</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粪污输送全部采用管道输送，管道材料应视输送介质的</w:t>
            </w:r>
          </w:p>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01"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不同选择合适材质并做表面的防腐、防锈蚀处理，减轻 管道腐蚀造成的渗漏，并进行定期检查，防止跑冒漏滴 的现象发生。</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污水处理设施</w:t>
            </w:r>
            <w:r>
              <w:rPr>
                <w:rFonts w:hint="eastAsia" w:ascii="Times New Roman" w:hAnsi="Times New Roman" w:eastAsia="宋体" w:cs="Times New Roman"/>
                <w:color w:val="auto"/>
                <w:kern w:val="2"/>
                <w:sz w:val="21"/>
                <w:szCs w:val="21"/>
                <w:highlight w:val="none"/>
                <w:lang w:val="en-US" w:eastAsia="zh-CN" w:bidi="ar-SA"/>
              </w:rPr>
              <w:t>（含集污池）、粪便脱水间、</w:t>
            </w:r>
            <w:r>
              <w:rPr>
                <w:rFonts w:hint="eastAsia" w:ascii="Times New Roman" w:hAnsi="Times New Roman" w:cs="Times New Roman"/>
                <w:color w:val="auto"/>
                <w:highlight w:val="none"/>
                <w:lang w:eastAsia="zh-CN"/>
              </w:rPr>
              <w:t>尾水暂存池、</w:t>
            </w:r>
            <w:r>
              <w:rPr>
                <w:rFonts w:hint="eastAsia" w:ascii="Times New Roman" w:hAnsi="Times New Roman" w:eastAsia="宋体" w:cs="Times New Roman"/>
                <w:color w:val="auto"/>
                <w:kern w:val="2"/>
                <w:sz w:val="21"/>
                <w:szCs w:val="21"/>
                <w:highlight w:val="none"/>
                <w:lang w:val="en-US" w:eastAsia="zh-CN" w:bidi="ar-SA"/>
              </w:rPr>
              <w:t>事故应急池、隔油池</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池体、地面采用钢筋混凝土加防渗剂的防渗地坪+人工</w:t>
            </w:r>
          </w:p>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材料（HDPE）防渗层，确保等效黏土防渗层Mb≥6.0m，K≤1×10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13"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干粪棚</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地面采用钢筋混凝土加防渗剂的防渗地坪+人工材料</w:t>
            </w:r>
          </w:p>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98"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（HDPE）防渗层，确保等效黏土防渗层Mb≥6.0m， K≤1×10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2"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危险废物暂存间</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混凝土地面加铺防渗剂和人工材料（HDPE）防渗层，</w:t>
            </w:r>
          </w:p>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确保K≤1×10</w:t>
            </w:r>
            <w:r>
              <w:rPr>
                <w:rFonts w:hint="default" w:ascii="Times New Roman" w:hAnsi="Times New Roman" w:eastAsia="宋体" w:cs="Times New Roman"/>
                <w:color w:val="auto"/>
                <w:kern w:val="2"/>
                <w:sz w:val="21"/>
                <w:szCs w:val="21"/>
                <w:highlight w:val="none"/>
                <w:vertAlign w:val="superscript"/>
                <w:lang w:val="en-US" w:eastAsia="zh-CN" w:bidi="ar-SA"/>
              </w:rPr>
              <w:t>-10</w:t>
            </w:r>
            <w:r>
              <w:rPr>
                <w:rFonts w:hint="default" w:ascii="Times New Roman" w:hAnsi="Times New Roman" w:eastAsia="宋体" w:cs="Times New Roman"/>
                <w:color w:val="auto"/>
                <w:kern w:val="2"/>
                <w:sz w:val="21"/>
                <w:szCs w:val="21"/>
                <w:highlight w:val="none"/>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11"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机修车间</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柴油储存于发电机房油缸间的液压油缸内，油缸为防渗油缸，地面采用钢筋混凝土+人工材料（HDPE）防渗层，确保等效黏土防渗层Mb≥6.0m，K≤1×10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兽医室</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一般防渗</w:t>
            </w:r>
          </w:p>
        </w:tc>
        <w:tc>
          <w:tcPr>
            <w:tcW w:w="2951" w:type="pct"/>
            <w:vMerge w:val="restar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01" w:rightChars="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地面采取钢筋混凝土并涂覆防渗涂料，可使一般防渗区域的等效黏土防渗层Mb≥1.5m，K≤1×10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7</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2"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牛舍</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一般防渗区</w:t>
            </w:r>
          </w:p>
        </w:tc>
        <w:tc>
          <w:tcPr>
            <w:tcW w:w="2951" w:type="pct"/>
            <w:vMerge w:val="continue"/>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01" w:rightChars="0" w:firstLine="0" w:firstLineChars="0"/>
              <w:jc w:val="both"/>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生活垃圾暂存间</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一般防渗区</w:t>
            </w:r>
          </w:p>
        </w:tc>
        <w:tc>
          <w:tcPr>
            <w:tcW w:w="2951" w:type="pct"/>
            <w:vMerge w:val="continue"/>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7"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预处理池</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一般防渗区</w:t>
            </w:r>
          </w:p>
        </w:tc>
        <w:tc>
          <w:tcPr>
            <w:tcW w:w="2951" w:type="pct"/>
            <w:vMerge w:val="continue"/>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7"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饲料库</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一般防渗区</w:t>
            </w:r>
          </w:p>
        </w:tc>
        <w:tc>
          <w:tcPr>
            <w:tcW w:w="2951" w:type="pct"/>
            <w:vMerge w:val="continue"/>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7"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11</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办公区、食堂地面、门卫室以及站内道路路</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简单防渗</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7"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一般地面硬化</w:t>
            </w:r>
          </w:p>
        </w:tc>
      </w:tr>
    </w:tbl>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综上，本项目拟采取的各项地下水防护措施合理，不会对周围地下水产生污染性影响。</w:t>
      </w:r>
    </w:p>
    <w:p>
      <w:pPr>
        <w:pStyle w:val="8"/>
        <w:spacing w:before="0" w:after="0" w:line="360" w:lineRule="auto"/>
        <w:ind w:left="0" w:firstLine="0"/>
        <w:rPr>
          <w:rFonts w:hint="eastAsia" w:ascii="Times New Roman" w:hAnsi="Times New Roman" w:cs="Times New Roman"/>
          <w:color w:val="auto"/>
          <w:highlight w:val="none"/>
          <w:lang w:val="en-US" w:eastAsia="zh-CN"/>
        </w:rPr>
      </w:pPr>
      <w:bookmarkStart w:id="186" w:name="_Toc18869"/>
      <w:r>
        <w:rPr>
          <w:rFonts w:hint="eastAsia" w:ascii="Times New Roman" w:hAnsi="Times New Roman" w:cs="Times New Roman"/>
          <w:color w:val="auto"/>
          <w:highlight w:val="none"/>
          <w:lang w:val="en-US" w:eastAsia="zh-CN"/>
        </w:rPr>
        <w:t>非正常排放及防范措施</w:t>
      </w:r>
      <w:bookmarkEnd w:id="186"/>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1、废水事故排放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由于</w:t>
      </w:r>
      <w:r>
        <w:rPr>
          <w:rFonts w:hint="eastAsia" w:ascii="Times New Roman" w:hAnsi="Times New Roman" w:eastAsia="宋体" w:cs="Times New Roman"/>
          <w:color w:val="auto"/>
          <w:sz w:val="24"/>
          <w:szCs w:val="24"/>
          <w:highlight w:val="none"/>
          <w:lang w:eastAsia="zh-CN"/>
        </w:rPr>
        <w:t>养殖场</w:t>
      </w:r>
      <w:r>
        <w:rPr>
          <w:rFonts w:ascii="Times New Roman" w:hAnsi="Times New Roman" w:eastAsia="宋体" w:cs="Times New Roman"/>
          <w:color w:val="auto"/>
          <w:sz w:val="24"/>
          <w:szCs w:val="24"/>
          <w:highlight w:val="none"/>
        </w:rPr>
        <w:t>废水含有大量的有机物、氨氮、病原体细菌等，若出现项目废水未经处理直接排入沟渠，会造成水体发臭，大量滋生细菌、臭虫等，近而影响周围家畜、家禽和人群健康。若遇雨水冲刷，污染地表水体。另一方面，若废水不经处理而排入项目附近的水塘，长此以往，水塘污水通过渗透会污染地下水环境，可能会污染</w:t>
      </w:r>
      <w:r>
        <w:rPr>
          <w:rFonts w:hint="eastAsia" w:ascii="Times New Roman" w:hAnsi="Times New Roman" w:eastAsia="宋体" w:cs="Times New Roman"/>
          <w:color w:val="auto"/>
          <w:sz w:val="24"/>
          <w:szCs w:val="24"/>
          <w:highlight w:val="none"/>
          <w:lang w:eastAsia="zh-CN"/>
        </w:rPr>
        <w:t>养殖</w:t>
      </w:r>
      <w:r>
        <w:rPr>
          <w:rFonts w:ascii="Times New Roman" w:hAnsi="Times New Roman" w:eastAsia="宋体" w:cs="Times New Roman"/>
          <w:color w:val="auto"/>
          <w:sz w:val="24"/>
          <w:szCs w:val="24"/>
          <w:highlight w:val="none"/>
        </w:rPr>
        <w:t>场区域内地下井水和周边地下水。</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2、恶臭非正常排放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若</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舍粪便做不到日产日清，将导致种</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场臭气浓度显著增加，并影响到周边区域，影响周围人群感受，影响到</w:t>
      </w:r>
      <w:r>
        <w:rPr>
          <w:rFonts w:hint="eastAsia" w:ascii="Times New Roman" w:hAnsi="Times New Roman" w:eastAsia="宋体" w:cs="Times New Roman"/>
          <w:color w:val="auto"/>
          <w:sz w:val="24"/>
          <w:szCs w:val="24"/>
          <w:highlight w:val="none"/>
          <w:lang w:eastAsia="zh-CN"/>
        </w:rPr>
        <w:t>牛群</w:t>
      </w:r>
      <w:r>
        <w:rPr>
          <w:rFonts w:ascii="Times New Roman" w:hAnsi="Times New Roman" w:eastAsia="宋体" w:cs="Times New Roman"/>
          <w:color w:val="auto"/>
          <w:sz w:val="24"/>
          <w:szCs w:val="24"/>
          <w:highlight w:val="none"/>
        </w:rPr>
        <w:t>和人群的生长和健康。预防这一影响最有效的措施是</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粪便必须日产日清。</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3、环境事故防范对策和建议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为杜绝污水排入厂外周边水体，建议应采取以下措施来确保废水不排放：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①</w:t>
      </w:r>
      <w:r>
        <w:rPr>
          <w:rFonts w:ascii="Times New Roman" w:hAnsi="Times New Roman" w:eastAsia="宋体" w:cs="Times New Roman"/>
          <w:color w:val="auto"/>
          <w:sz w:val="24"/>
          <w:szCs w:val="24"/>
          <w:highlight w:val="none"/>
        </w:rPr>
        <w:t>派专人对废水处理设施进行维护，及时发现处理设备的隐患，确保处理系统正常运行；开、停、检修要有预案，有严密周全的计划，确保不发生非正常排放，或使影响最小；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②</w:t>
      </w:r>
      <w:r>
        <w:rPr>
          <w:rFonts w:ascii="Times New Roman" w:hAnsi="Times New Roman" w:eastAsia="宋体" w:cs="Times New Roman"/>
          <w:color w:val="auto"/>
          <w:sz w:val="24"/>
          <w:szCs w:val="24"/>
          <w:highlight w:val="none"/>
        </w:rPr>
        <w:t>应设有备用电源和备用处理设备和零件，以备停电或设备出现故障时保障及时更换使废水全部做到达标排放；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③</w:t>
      </w:r>
      <w:r>
        <w:rPr>
          <w:rFonts w:ascii="Times New Roman" w:hAnsi="Times New Roman" w:eastAsia="宋体" w:cs="Times New Roman"/>
          <w:color w:val="auto"/>
          <w:sz w:val="24"/>
          <w:szCs w:val="24"/>
          <w:highlight w:val="none"/>
        </w:rPr>
        <w:t>对员工进行岗位培训，持证上岗。经常性监测并做好值班记录，实行岗位责任制；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④</w:t>
      </w:r>
      <w:r>
        <w:rPr>
          <w:rFonts w:ascii="Times New Roman" w:hAnsi="Times New Roman" w:eastAsia="宋体" w:cs="Times New Roman"/>
          <w:color w:val="auto"/>
          <w:sz w:val="24"/>
          <w:szCs w:val="24"/>
          <w:highlight w:val="none"/>
        </w:rPr>
        <w:t>保持</w:t>
      </w:r>
      <w:r>
        <w:rPr>
          <w:rFonts w:hint="eastAsia" w:ascii="Times New Roman" w:hAnsi="Times New Roman" w:eastAsia="宋体" w:cs="Times New Roman"/>
          <w:color w:val="auto"/>
          <w:sz w:val="24"/>
          <w:szCs w:val="24"/>
          <w:highlight w:val="none"/>
          <w:lang w:eastAsia="zh-CN"/>
        </w:rPr>
        <w:t>养殖场</w:t>
      </w:r>
      <w:r>
        <w:rPr>
          <w:rFonts w:ascii="Times New Roman" w:hAnsi="Times New Roman" w:eastAsia="宋体" w:cs="Times New Roman"/>
          <w:color w:val="auto"/>
          <w:sz w:val="24"/>
          <w:szCs w:val="24"/>
          <w:highlight w:val="none"/>
        </w:rPr>
        <w:t>内管网的畅通，防止各污水池内污水泄漏。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⑤</w:t>
      </w:r>
      <w:r>
        <w:rPr>
          <w:rFonts w:ascii="Times New Roman" w:hAnsi="Times New Roman" w:eastAsia="宋体" w:cs="Times New Roman"/>
          <w:color w:val="auto"/>
          <w:sz w:val="24"/>
          <w:szCs w:val="24"/>
          <w:highlight w:val="none"/>
        </w:rPr>
        <w:t>本次环评要求场址内设事故池1座，</w:t>
      </w:r>
      <w:r>
        <w:rPr>
          <w:rFonts w:ascii="Times New Roman" w:hAnsi="Times New Roman" w:eastAsia="宋体" w:cs="Times New Roman"/>
          <w:b/>
          <w:color w:val="auto"/>
          <w:sz w:val="24"/>
          <w:szCs w:val="24"/>
          <w:highlight w:val="none"/>
        </w:rPr>
        <w:t>本项目拟建一座有效容积</w:t>
      </w:r>
      <w:r>
        <w:rPr>
          <w:rFonts w:hint="eastAsia" w:ascii="Times New Roman" w:hAnsi="Times New Roman" w:eastAsia="宋体" w:cs="Times New Roman"/>
          <w:b/>
          <w:color w:val="auto"/>
          <w:sz w:val="24"/>
          <w:szCs w:val="24"/>
          <w:highlight w:val="none"/>
          <w:lang w:val="en-US" w:eastAsia="zh-CN"/>
        </w:rPr>
        <w:t>20</w:t>
      </w:r>
      <w:r>
        <w:rPr>
          <w:rFonts w:ascii="Times New Roman" w:hAnsi="Times New Roman" w:eastAsia="宋体" w:cs="Times New Roman"/>
          <w:b/>
          <w:color w:val="auto"/>
          <w:sz w:val="24"/>
          <w:szCs w:val="24"/>
          <w:highlight w:val="none"/>
        </w:rPr>
        <w:t>00m</w:t>
      </w:r>
      <w:r>
        <w:rPr>
          <w:rFonts w:ascii="Times New Roman" w:hAnsi="Times New Roman" w:eastAsia="宋体" w:cs="Times New Roman"/>
          <w:b/>
          <w:color w:val="auto"/>
          <w:sz w:val="24"/>
          <w:szCs w:val="24"/>
          <w:highlight w:val="none"/>
          <w:vertAlign w:val="superscript"/>
        </w:rPr>
        <w:t>3</w:t>
      </w:r>
      <w:r>
        <w:rPr>
          <w:rFonts w:ascii="Times New Roman" w:hAnsi="Times New Roman" w:eastAsia="宋体" w:cs="Times New Roman"/>
          <w:b/>
          <w:color w:val="auto"/>
          <w:sz w:val="24"/>
          <w:szCs w:val="24"/>
          <w:highlight w:val="none"/>
        </w:rPr>
        <w:t>的事故应急池位于污水处理区，</w:t>
      </w:r>
      <w:r>
        <w:rPr>
          <w:rFonts w:ascii="Times New Roman" w:hAnsi="Times New Roman" w:eastAsia="宋体" w:cs="Times New Roman"/>
          <w:color w:val="auto"/>
          <w:sz w:val="24"/>
          <w:szCs w:val="24"/>
          <w:highlight w:val="none"/>
        </w:rPr>
        <w:t>在污水处理设施发生事故时，将废水导入并暂存，不得直接排放。</w:t>
      </w:r>
    </w:p>
    <w:p>
      <w:pPr>
        <w:widowControl w:val="0"/>
        <w:spacing w:line="460" w:lineRule="exact"/>
        <w:ind w:firstLine="480" w:firstLineChars="200"/>
        <w:jc w:val="both"/>
        <w:rPr>
          <w:rFonts w:ascii="Times New Roman" w:hAnsi="Times New Roman" w:eastAsia="宋体" w:cs="Times New Roman"/>
          <w:color w:val="auto"/>
          <w:kern w:val="2"/>
          <w:sz w:val="24"/>
          <w:szCs w:val="20"/>
          <w:highlight w:val="none"/>
          <w:lang w:val="en-US" w:eastAsia="zh-CN" w:bidi="ar-SA"/>
        </w:rPr>
        <w:sectPr>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8"/>
        <w:spacing w:before="0" w:after="0" w:line="360" w:lineRule="auto"/>
        <w:ind w:left="0" w:firstLine="0"/>
        <w:rPr>
          <w:rFonts w:hint="eastAsia" w:ascii="Times New Roman" w:hAnsi="Times New Roman" w:cs="Times New Roman"/>
          <w:color w:val="auto"/>
          <w:highlight w:val="none"/>
          <w:lang w:val="en-US" w:eastAsia="zh-CN"/>
        </w:rPr>
      </w:pPr>
      <w:bookmarkStart w:id="187" w:name="_Toc16743"/>
      <w:r>
        <w:rPr>
          <w:rFonts w:hint="eastAsia" w:ascii="Times New Roman" w:hAnsi="Times New Roman" w:cs="Times New Roman"/>
          <w:color w:val="auto"/>
          <w:highlight w:val="none"/>
          <w:lang w:val="en-US" w:eastAsia="zh-CN"/>
        </w:rPr>
        <w:t>项目主要污染物排放量汇总</w:t>
      </w:r>
      <w:bookmarkEnd w:id="187"/>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本项目主要污染物产生及排放情况统计见表3.</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33</w:t>
      </w:r>
      <w:r>
        <w:rPr>
          <w:rFonts w:hint="default" w:ascii="Times New Roman" w:hAnsi="Times New Roman" w:eastAsia="宋体" w:cs="Times New Roman"/>
          <w:color w:val="auto"/>
          <w:sz w:val="24"/>
          <w:szCs w:val="24"/>
          <w:highlight w:val="none"/>
        </w:rPr>
        <w:t>。</w:t>
      </w:r>
    </w:p>
    <w:p>
      <w:pPr>
        <w:pStyle w:val="2504"/>
        <w:numPr>
          <w:ilvl w:val="0"/>
          <w:numId w:val="25"/>
        </w:numPr>
        <w:spacing w:before="120"/>
        <w:ind w:left="0" w:leftChars="0" w:firstLine="403" w:firstLineChars="0"/>
        <w:rPr>
          <w:color w:val="auto"/>
          <w:highlight w:val="none"/>
        </w:rPr>
      </w:pPr>
      <w:r>
        <w:rPr>
          <w:rFonts w:hint="default" w:ascii="Times New Roman" w:hAnsi="Times New Roman" w:eastAsia="宋体" w:cs="Times New Roman"/>
          <w:color w:val="auto"/>
          <w:sz w:val="21"/>
          <w:szCs w:val="21"/>
          <w:highlight w:val="none"/>
          <w:lang w:val="en-US" w:eastAsia="zh-CN"/>
        </w:rPr>
        <w:t xml:space="preserve">    </w:t>
      </w:r>
      <w:r>
        <w:rPr>
          <w:color w:val="auto"/>
          <w:highlight w:val="none"/>
        </w:rPr>
        <w:t>工程“三废”排放量统计表</w:t>
      </w:r>
    </w:p>
    <w:tbl>
      <w:tblPr>
        <w:tblStyle w:val="91"/>
        <w:tblW w:w="0" w:type="auto"/>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637"/>
        <w:gridCol w:w="604"/>
        <w:gridCol w:w="1339"/>
        <w:gridCol w:w="2668"/>
        <w:gridCol w:w="3645"/>
        <w:gridCol w:w="519"/>
        <w:gridCol w:w="2201"/>
        <w:gridCol w:w="2111"/>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color w:val="auto"/>
                <w:kern w:val="2"/>
                <w:sz w:val="21"/>
                <w:szCs w:val="21"/>
                <w:highlight w:val="none"/>
              </w:rPr>
              <w:t>种类</w:t>
            </w:r>
          </w:p>
        </w:tc>
        <w:tc>
          <w:tcPr>
            <w:tcW w:w="1943"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color w:val="auto"/>
                <w:kern w:val="2"/>
                <w:sz w:val="21"/>
                <w:szCs w:val="21"/>
                <w:highlight w:val="none"/>
              </w:rPr>
              <w:t>污染源</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color w:val="auto"/>
                <w:kern w:val="2"/>
                <w:sz w:val="21"/>
                <w:szCs w:val="21"/>
                <w:highlight w:val="none"/>
              </w:rPr>
              <w:t>处理前产生量及浓度</w:t>
            </w:r>
          </w:p>
        </w:tc>
        <w:tc>
          <w:tcPr>
            <w:tcW w:w="3645"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color w:val="auto"/>
                <w:kern w:val="2"/>
                <w:sz w:val="21"/>
                <w:szCs w:val="21"/>
                <w:highlight w:val="none"/>
              </w:rPr>
              <w:t>处置方式</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color w:val="auto"/>
                <w:kern w:val="2"/>
                <w:sz w:val="21"/>
                <w:szCs w:val="21"/>
                <w:highlight w:val="none"/>
              </w:rPr>
              <w:t>处理后排放量及浓度</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color w:val="auto"/>
                <w:kern w:val="2"/>
                <w:sz w:val="21"/>
                <w:szCs w:val="21"/>
                <w:highlight w:val="none"/>
              </w:rPr>
              <w:t>处理效率及排放去向</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废水</w:t>
            </w:r>
          </w:p>
        </w:tc>
        <w:tc>
          <w:tcPr>
            <w:tcW w:w="604"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施工期</w:t>
            </w: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施工作业废水</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3</w:t>
            </w:r>
            <w:r>
              <w:rPr>
                <w:rFonts w:hint="default" w:ascii="Times New Roman" w:hAnsi="Times New Roman" w:eastAsia="宋体" w:cs="Times New Roman"/>
                <w:color w:val="auto"/>
                <w:kern w:val="2"/>
                <w:sz w:val="21"/>
                <w:szCs w:val="21"/>
                <w:highlight w:val="none"/>
              </w:rPr>
              <w:t>m</w:t>
            </w:r>
            <w:r>
              <w:rPr>
                <w:rFonts w:hint="default" w:ascii="Times New Roman" w:hAnsi="Times New Roman" w:eastAsia="宋体" w:cs="Times New Roman"/>
                <w:color w:val="auto"/>
                <w:kern w:val="2"/>
                <w:sz w:val="21"/>
                <w:szCs w:val="21"/>
                <w:highlight w:val="none"/>
                <w:vertAlign w:val="superscript"/>
              </w:rPr>
              <w:t>3</w:t>
            </w:r>
            <w:r>
              <w:rPr>
                <w:rFonts w:hint="default" w:ascii="Times New Roman" w:hAnsi="Times New Roman" w:eastAsia="宋体" w:cs="Times New Roman"/>
                <w:color w:val="auto"/>
                <w:kern w:val="2"/>
                <w:sz w:val="21"/>
                <w:szCs w:val="21"/>
                <w:highlight w:val="none"/>
              </w:rPr>
              <w:t>/d</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1"/>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经沉淀后回用</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1"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沉淀后回用</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施工人员生活污水</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4.0m</w:t>
            </w:r>
            <w:r>
              <w:rPr>
                <w:rFonts w:hint="default" w:ascii="Times New Roman" w:hAnsi="Times New Roman" w:eastAsia="宋体" w:cs="Times New Roman"/>
                <w:color w:val="auto"/>
                <w:kern w:val="2"/>
                <w:sz w:val="21"/>
                <w:szCs w:val="21"/>
                <w:highlight w:val="none"/>
                <w:vertAlign w:val="superscript"/>
              </w:rPr>
              <w:t>3</w:t>
            </w:r>
            <w:r>
              <w:rPr>
                <w:rFonts w:hint="default" w:ascii="Times New Roman" w:hAnsi="Times New Roman" w:eastAsia="宋体" w:cs="Times New Roman"/>
                <w:color w:val="auto"/>
                <w:kern w:val="2"/>
                <w:sz w:val="21"/>
                <w:szCs w:val="21"/>
                <w:highlight w:val="none"/>
              </w:rPr>
              <w:t>/d</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经临时简易</w:t>
            </w:r>
            <w:r>
              <w:rPr>
                <w:rFonts w:hint="eastAsia" w:ascii="Times New Roman" w:hAnsi="Times New Roman" w:cs="Times New Roman"/>
                <w:color w:val="auto"/>
                <w:kern w:val="2"/>
                <w:sz w:val="21"/>
                <w:szCs w:val="21"/>
                <w:highlight w:val="none"/>
                <w:lang w:eastAsia="zh-CN"/>
              </w:rPr>
              <w:t>预处理池</w:t>
            </w:r>
            <w:r>
              <w:rPr>
                <w:rFonts w:hint="default" w:ascii="Times New Roman" w:hAnsi="Times New Roman" w:eastAsia="宋体" w:cs="Times New Roman"/>
                <w:color w:val="auto"/>
                <w:kern w:val="2"/>
                <w:sz w:val="21"/>
                <w:szCs w:val="21"/>
                <w:highlight w:val="none"/>
              </w:rPr>
              <w:t>收集用作农肥</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用作农肥，不外排</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757" w:hRule="atLeast"/>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604" w:type="dxa"/>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营运期</w:t>
            </w: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生活污水</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养殖废水</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 w:val="21"/>
                <w:szCs w:val="21"/>
                <w:highlight w:val="none"/>
                <w:lang w:val="en-US" w:eastAsia="zh-CN"/>
              </w:rPr>
              <w:t>90797.4</w:t>
            </w:r>
            <w:r>
              <w:rPr>
                <w:rFonts w:hint="default" w:ascii="Times New Roman" w:hAnsi="Times New Roman" w:eastAsia="宋体" w:cs="Times New Roman"/>
                <w:color w:val="auto"/>
                <w:kern w:val="2"/>
                <w:sz w:val="21"/>
                <w:szCs w:val="21"/>
                <w:highlight w:val="none"/>
              </w:rPr>
              <w:t>m</w:t>
            </w:r>
            <w:r>
              <w:rPr>
                <w:rFonts w:hint="default" w:ascii="Times New Roman" w:hAnsi="Times New Roman" w:eastAsia="宋体" w:cs="Times New Roman"/>
                <w:color w:val="auto"/>
                <w:kern w:val="2"/>
                <w:sz w:val="21"/>
                <w:szCs w:val="21"/>
                <w:highlight w:val="none"/>
                <w:vertAlign w:val="superscript"/>
              </w:rPr>
              <w:t>3</w:t>
            </w:r>
            <w:r>
              <w:rPr>
                <w:rFonts w:hint="default" w:ascii="Times New Roman" w:hAnsi="Times New Roman" w:eastAsia="宋体" w:cs="Times New Roman"/>
                <w:color w:val="auto"/>
                <w:kern w:val="2"/>
                <w:sz w:val="21"/>
                <w:szCs w:val="21"/>
                <w:highlight w:val="none"/>
              </w:rPr>
              <w:t>/a</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COD:</w:t>
            </w:r>
            <w:r>
              <w:rPr>
                <w:rFonts w:hint="eastAsia" w:ascii="Times New Roman" w:hAnsi="Times New Roman" w:cs="Times New Roman"/>
                <w:color w:val="auto"/>
                <w:kern w:val="2"/>
                <w:sz w:val="21"/>
                <w:szCs w:val="21"/>
                <w:highlight w:val="none"/>
                <w:lang w:val="en-US" w:eastAsia="zh-CN"/>
              </w:rPr>
              <w:t>862.8</w:t>
            </w:r>
            <w:r>
              <w:rPr>
                <w:rFonts w:hint="default" w:ascii="Times New Roman" w:hAnsi="Times New Roman" w:eastAsia="宋体" w:cs="Times New Roman"/>
                <w:color w:val="auto"/>
                <w:kern w:val="2"/>
                <w:sz w:val="21"/>
                <w:szCs w:val="21"/>
                <w:highlight w:val="none"/>
              </w:rPr>
              <w:t>mg/L;</w:t>
            </w:r>
            <w:r>
              <w:rPr>
                <w:rFonts w:hint="eastAsia" w:ascii="Times New Roman" w:hAnsi="Times New Roman" w:cs="Times New Roman"/>
                <w:color w:val="auto"/>
                <w:kern w:val="2"/>
                <w:sz w:val="21"/>
                <w:szCs w:val="21"/>
                <w:highlight w:val="none"/>
                <w:lang w:val="en-US" w:eastAsia="zh-CN"/>
              </w:rPr>
              <w:t>78.80</w:t>
            </w:r>
            <w:r>
              <w:rPr>
                <w:rFonts w:hint="default" w:ascii="Times New Roman" w:hAnsi="Times New Roman" w:eastAsia="宋体" w:cs="Times New Roman"/>
                <w:color w:val="auto"/>
                <w:kern w:val="2"/>
                <w:sz w:val="21"/>
                <w:szCs w:val="21"/>
                <w:highlight w:val="none"/>
              </w:rPr>
              <w:t>t/a</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BOD:</w:t>
            </w:r>
            <w:r>
              <w:rPr>
                <w:rFonts w:hint="eastAsia" w:ascii="Times New Roman" w:hAnsi="Times New Roman" w:cs="Times New Roman"/>
                <w:color w:val="auto"/>
                <w:kern w:val="2"/>
                <w:sz w:val="21"/>
                <w:szCs w:val="21"/>
                <w:highlight w:val="none"/>
                <w:lang w:val="en-US" w:eastAsia="zh-CN"/>
              </w:rPr>
              <w:t>260.69</w:t>
            </w:r>
            <w:r>
              <w:rPr>
                <w:rFonts w:hint="default" w:ascii="Times New Roman" w:hAnsi="Times New Roman" w:eastAsia="宋体" w:cs="Times New Roman"/>
                <w:color w:val="auto"/>
                <w:kern w:val="2"/>
                <w:sz w:val="21"/>
                <w:szCs w:val="21"/>
                <w:highlight w:val="none"/>
              </w:rPr>
              <w:t>mg/L;</w:t>
            </w:r>
            <w:r>
              <w:rPr>
                <w:rFonts w:hint="eastAsia" w:ascii="Times New Roman" w:hAnsi="Times New Roman" w:cs="Times New Roman"/>
                <w:color w:val="auto"/>
                <w:kern w:val="2"/>
                <w:sz w:val="21"/>
                <w:szCs w:val="21"/>
                <w:highlight w:val="none"/>
                <w:lang w:val="en-US" w:eastAsia="zh-CN"/>
              </w:rPr>
              <w:t>23.67</w:t>
            </w:r>
            <w:r>
              <w:rPr>
                <w:rFonts w:hint="default" w:ascii="Times New Roman" w:hAnsi="Times New Roman" w:eastAsia="宋体" w:cs="Times New Roman"/>
                <w:color w:val="auto"/>
                <w:kern w:val="2"/>
                <w:sz w:val="21"/>
                <w:szCs w:val="21"/>
                <w:highlight w:val="none"/>
              </w:rPr>
              <w:t>t/a</w:t>
            </w:r>
          </w:p>
          <w:p>
            <w:pPr>
              <w:pStyle w:val="167"/>
              <w:keepNext w:val="0"/>
              <w:keepLines w:val="0"/>
              <w:suppressLineNumbers w:val="0"/>
              <w:kinsoku w:val="0"/>
              <w:wordWrap w:val="0"/>
              <w:overflowPunct w:val="0"/>
              <w:spacing w:before="0" w:beforeAutospacing="0" w:after="0" w:afterAutospacing="0"/>
              <w:ind w:left="0" w:right="144"/>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SS:</w:t>
            </w:r>
            <w:r>
              <w:rPr>
                <w:rFonts w:hint="eastAsia" w:ascii="Times New Roman" w:hAnsi="Times New Roman" w:cs="Times New Roman"/>
                <w:color w:val="auto"/>
                <w:kern w:val="2"/>
                <w:sz w:val="21"/>
                <w:szCs w:val="21"/>
                <w:highlight w:val="none"/>
                <w:lang w:val="en-US" w:eastAsia="zh-CN"/>
              </w:rPr>
              <w:t>393.18</w:t>
            </w:r>
            <w:r>
              <w:rPr>
                <w:rFonts w:hint="default" w:ascii="Times New Roman" w:hAnsi="Times New Roman" w:eastAsia="宋体" w:cs="Times New Roman"/>
                <w:color w:val="auto"/>
                <w:kern w:val="2"/>
                <w:sz w:val="21"/>
                <w:szCs w:val="21"/>
                <w:highlight w:val="none"/>
              </w:rPr>
              <w:t>mg/L;</w:t>
            </w:r>
            <w:r>
              <w:rPr>
                <w:rFonts w:hint="eastAsia" w:ascii="Times New Roman" w:hAnsi="Times New Roman" w:cs="Times New Roman"/>
                <w:color w:val="auto"/>
                <w:kern w:val="2"/>
                <w:sz w:val="21"/>
                <w:szCs w:val="21"/>
                <w:highlight w:val="none"/>
                <w:lang w:val="en-US" w:eastAsia="zh-CN"/>
              </w:rPr>
              <w:t>35.18</w:t>
            </w:r>
            <w:r>
              <w:rPr>
                <w:rFonts w:hint="default" w:ascii="Times New Roman" w:hAnsi="Times New Roman" w:eastAsia="宋体" w:cs="Times New Roman"/>
                <w:color w:val="auto"/>
                <w:kern w:val="2"/>
                <w:sz w:val="21"/>
                <w:szCs w:val="21"/>
                <w:highlight w:val="none"/>
              </w:rPr>
              <w:t>t/a</w:t>
            </w:r>
          </w:p>
          <w:p>
            <w:pPr>
              <w:pStyle w:val="167"/>
              <w:keepNext w:val="0"/>
              <w:keepLines w:val="0"/>
              <w:suppressLineNumbers w:val="0"/>
              <w:kinsoku w:val="0"/>
              <w:wordWrap w:val="0"/>
              <w:overflowPunct w:val="0"/>
              <w:spacing w:before="0" w:beforeAutospacing="0" w:after="0" w:afterAutospacing="0"/>
              <w:ind w:left="0" w:right="144"/>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-N:</w:t>
            </w:r>
            <w:r>
              <w:rPr>
                <w:rFonts w:hint="eastAsia" w:ascii="Times New Roman" w:hAnsi="Times New Roman" w:cs="Times New Roman"/>
                <w:color w:val="auto"/>
                <w:kern w:val="2"/>
                <w:sz w:val="21"/>
                <w:szCs w:val="21"/>
                <w:highlight w:val="none"/>
                <w:lang w:val="en-US" w:eastAsia="zh-CN"/>
              </w:rPr>
              <w:t>22.25</w:t>
            </w:r>
            <w:r>
              <w:rPr>
                <w:rFonts w:hint="default" w:ascii="Times New Roman" w:hAnsi="Times New Roman" w:eastAsia="宋体" w:cs="Times New Roman"/>
                <w:color w:val="auto"/>
                <w:kern w:val="2"/>
                <w:sz w:val="21"/>
                <w:szCs w:val="21"/>
                <w:highlight w:val="none"/>
              </w:rPr>
              <w:t>mg/L;</w:t>
            </w:r>
            <w:r>
              <w:rPr>
                <w:rFonts w:hint="eastAsia" w:ascii="Times New Roman" w:hAnsi="Times New Roman" w:cs="Times New Roman"/>
                <w:color w:val="auto"/>
                <w:kern w:val="2"/>
                <w:sz w:val="21"/>
                <w:szCs w:val="21"/>
                <w:highlight w:val="none"/>
                <w:lang w:val="en-US" w:eastAsia="zh-CN"/>
              </w:rPr>
              <w:t>2.02</w:t>
            </w:r>
            <w:r>
              <w:rPr>
                <w:rFonts w:hint="default" w:ascii="Times New Roman" w:hAnsi="Times New Roman" w:eastAsia="宋体" w:cs="Times New Roman"/>
                <w:color w:val="auto"/>
                <w:kern w:val="2"/>
                <w:sz w:val="21"/>
                <w:szCs w:val="21"/>
                <w:highlight w:val="none"/>
              </w:rPr>
              <w:t>t/a</w:t>
            </w:r>
          </w:p>
        </w:tc>
        <w:tc>
          <w:tcPr>
            <w:tcW w:w="3645"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经项目自建的污水处理设施（“</w:t>
            </w:r>
            <w:r>
              <w:rPr>
                <w:rFonts w:hint="eastAsia" w:ascii="Times New Roman" w:hAnsi="Times New Roman" w:cs="Times New Roman"/>
                <w:color w:val="auto"/>
                <w:kern w:val="2"/>
                <w:sz w:val="21"/>
                <w:szCs w:val="21"/>
                <w:highlight w:val="none"/>
                <w:lang w:eastAsia="zh-CN"/>
              </w:rPr>
              <w:t>固液分离+UASB厌氧+絮凝沉淀+两级A/O系统+混凝絮凝沉淀+消毒</w:t>
            </w:r>
            <w:r>
              <w:rPr>
                <w:rFonts w:hint="default" w:ascii="Times New Roman" w:hAnsi="Times New Roman" w:eastAsia="宋体" w:cs="Times New Roman"/>
                <w:color w:val="auto"/>
                <w:kern w:val="2"/>
                <w:sz w:val="21"/>
                <w:szCs w:val="21"/>
                <w:highlight w:val="none"/>
              </w:rPr>
              <w:t>”污水处理设施处理达《农田灌溉水质标准》（</w:t>
            </w:r>
            <w:r>
              <w:rPr>
                <w:rFonts w:hint="eastAsia" w:ascii="Times New Roman" w:hAnsi="Times New Roman" w:cs="Times New Roman"/>
                <w:color w:val="auto"/>
                <w:kern w:val="2"/>
                <w:sz w:val="21"/>
                <w:szCs w:val="21"/>
                <w:highlight w:val="none"/>
                <w:lang w:eastAsia="zh-CN"/>
              </w:rPr>
              <w:t>GB5084-2021</w:t>
            </w:r>
            <w:r>
              <w:rPr>
                <w:rFonts w:hint="default" w:ascii="Times New Roman" w:hAnsi="Times New Roman" w:eastAsia="宋体" w:cs="Times New Roman"/>
                <w:color w:val="auto"/>
                <w:kern w:val="2"/>
                <w:sz w:val="21"/>
                <w:szCs w:val="21"/>
                <w:highlight w:val="none"/>
              </w:rPr>
              <w:t>）中</w:t>
            </w:r>
            <w:r>
              <w:rPr>
                <w:rFonts w:hint="eastAsia" w:ascii="Times New Roman" w:hAnsi="Times New Roman" w:cs="Times New Roman"/>
                <w:color w:val="auto"/>
                <w:kern w:val="2"/>
                <w:sz w:val="21"/>
                <w:szCs w:val="21"/>
                <w:highlight w:val="none"/>
                <w:lang w:eastAsia="zh-CN"/>
              </w:rPr>
              <w:t>蔬菜</w:t>
            </w:r>
            <w:r>
              <w:rPr>
                <w:rFonts w:hint="default" w:ascii="Times New Roman" w:hAnsi="Times New Roman" w:eastAsia="宋体" w:cs="Times New Roman"/>
                <w:color w:val="auto"/>
                <w:kern w:val="2"/>
                <w:sz w:val="21"/>
                <w:szCs w:val="21"/>
                <w:highlight w:val="none"/>
              </w:rPr>
              <w:t>标准后暂存于储存池内，</w:t>
            </w:r>
            <w:r>
              <w:rPr>
                <w:rFonts w:hint="eastAsia" w:ascii="Times New Roman" w:hAnsi="Times New Roman" w:cs="Times New Roman"/>
                <w:color w:val="auto"/>
                <w:kern w:val="2"/>
                <w:sz w:val="21"/>
                <w:szCs w:val="21"/>
                <w:highlight w:val="none"/>
                <w:lang w:eastAsia="zh-CN"/>
              </w:rPr>
              <w:t>用于周围林地灌溉，不外排</w:t>
            </w:r>
            <w:r>
              <w:rPr>
                <w:rFonts w:hint="default" w:ascii="Times New Roman" w:hAnsi="Times New Roman" w:eastAsia="宋体" w:cs="Times New Roman"/>
                <w:color w:val="auto"/>
                <w:kern w:val="2"/>
                <w:sz w:val="21"/>
                <w:szCs w:val="21"/>
                <w:highlight w:val="none"/>
              </w:rPr>
              <w:t>。</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 w:val="21"/>
                <w:szCs w:val="21"/>
                <w:highlight w:val="none"/>
                <w:lang w:val="en-US" w:eastAsia="zh-CN"/>
              </w:rPr>
              <w:t>90797.4</w:t>
            </w:r>
            <w:r>
              <w:rPr>
                <w:rFonts w:hint="default" w:ascii="Times New Roman" w:hAnsi="Times New Roman" w:eastAsia="宋体" w:cs="Times New Roman"/>
                <w:color w:val="auto"/>
                <w:kern w:val="2"/>
                <w:sz w:val="21"/>
                <w:szCs w:val="21"/>
                <w:highlight w:val="none"/>
              </w:rPr>
              <w:t>m</w:t>
            </w:r>
            <w:r>
              <w:rPr>
                <w:rFonts w:hint="default" w:ascii="Times New Roman" w:hAnsi="Times New Roman" w:eastAsia="宋体" w:cs="Times New Roman"/>
                <w:color w:val="auto"/>
                <w:kern w:val="2"/>
                <w:sz w:val="21"/>
                <w:szCs w:val="21"/>
                <w:highlight w:val="none"/>
                <w:vertAlign w:val="superscript"/>
              </w:rPr>
              <w:t>3</w:t>
            </w:r>
            <w:r>
              <w:rPr>
                <w:rFonts w:hint="default" w:ascii="Times New Roman" w:hAnsi="Times New Roman" w:eastAsia="宋体" w:cs="Times New Roman"/>
                <w:color w:val="auto"/>
                <w:kern w:val="2"/>
                <w:sz w:val="21"/>
                <w:szCs w:val="21"/>
                <w:highlight w:val="none"/>
              </w:rPr>
              <w:t>/a</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COD:200mg/L;</w:t>
            </w:r>
            <w:r>
              <w:rPr>
                <w:rFonts w:hint="eastAsia" w:ascii="Times New Roman" w:hAnsi="Times New Roman" w:cs="Times New Roman"/>
                <w:color w:val="auto"/>
                <w:kern w:val="2"/>
                <w:sz w:val="21"/>
                <w:szCs w:val="21"/>
                <w:highlight w:val="none"/>
                <w:lang w:val="en-US" w:eastAsia="zh-CN"/>
              </w:rPr>
              <w:t>18.16</w:t>
            </w:r>
            <w:r>
              <w:rPr>
                <w:rFonts w:hint="default" w:ascii="Times New Roman" w:hAnsi="Times New Roman" w:eastAsia="宋体" w:cs="Times New Roman"/>
                <w:color w:val="auto"/>
                <w:kern w:val="2"/>
                <w:sz w:val="21"/>
                <w:szCs w:val="21"/>
                <w:highlight w:val="none"/>
              </w:rPr>
              <w:t>t/a</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BOD:100mg/L;</w:t>
            </w:r>
            <w:r>
              <w:rPr>
                <w:rFonts w:hint="eastAsia" w:ascii="Times New Roman" w:hAnsi="Times New Roman" w:cs="Times New Roman"/>
                <w:color w:val="auto"/>
                <w:kern w:val="2"/>
                <w:sz w:val="21"/>
                <w:szCs w:val="21"/>
                <w:highlight w:val="none"/>
                <w:lang w:val="en-US" w:eastAsia="zh-CN"/>
              </w:rPr>
              <w:t>9.08</w:t>
            </w:r>
            <w:r>
              <w:rPr>
                <w:rFonts w:hint="default" w:ascii="Times New Roman" w:hAnsi="Times New Roman" w:eastAsia="宋体" w:cs="Times New Roman"/>
                <w:color w:val="auto"/>
                <w:kern w:val="2"/>
                <w:sz w:val="21"/>
                <w:szCs w:val="21"/>
                <w:highlight w:val="none"/>
              </w:rPr>
              <w:t>t/a</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SS:100mg/L;</w:t>
            </w:r>
            <w:r>
              <w:rPr>
                <w:rFonts w:hint="eastAsia" w:ascii="Times New Roman" w:hAnsi="Times New Roman" w:cs="Times New Roman"/>
                <w:color w:val="auto"/>
                <w:kern w:val="2"/>
                <w:sz w:val="21"/>
                <w:szCs w:val="21"/>
                <w:highlight w:val="none"/>
                <w:lang w:val="en-US" w:eastAsia="zh-CN"/>
              </w:rPr>
              <w:t>9.08</w:t>
            </w:r>
            <w:r>
              <w:rPr>
                <w:rFonts w:hint="default" w:ascii="Times New Roman" w:hAnsi="Times New Roman" w:eastAsia="宋体" w:cs="Times New Roman"/>
                <w:color w:val="auto"/>
                <w:kern w:val="2"/>
                <w:sz w:val="21"/>
                <w:szCs w:val="21"/>
                <w:highlight w:val="none"/>
              </w:rPr>
              <w:t>t/a</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-N:</w:t>
            </w:r>
            <w:r>
              <w:rPr>
                <w:rFonts w:hint="eastAsia" w:ascii="Times New Roman" w:hAnsi="Times New Roman" w:cs="Times New Roman"/>
                <w:color w:val="auto"/>
                <w:kern w:val="2"/>
                <w:sz w:val="21"/>
                <w:szCs w:val="21"/>
                <w:highlight w:val="none"/>
                <w:lang w:val="en-US" w:eastAsia="zh-CN"/>
              </w:rPr>
              <w:t>15</w:t>
            </w:r>
            <w:r>
              <w:rPr>
                <w:rFonts w:hint="default" w:ascii="Times New Roman" w:hAnsi="Times New Roman" w:eastAsia="宋体" w:cs="Times New Roman"/>
                <w:color w:val="auto"/>
                <w:kern w:val="2"/>
                <w:sz w:val="21"/>
                <w:szCs w:val="21"/>
                <w:highlight w:val="none"/>
              </w:rPr>
              <w:t>mg/L;</w:t>
            </w:r>
            <w:r>
              <w:rPr>
                <w:rFonts w:hint="eastAsia" w:ascii="Times New Roman" w:hAnsi="Times New Roman" w:cs="Times New Roman"/>
                <w:color w:val="auto"/>
                <w:kern w:val="2"/>
                <w:sz w:val="21"/>
                <w:szCs w:val="21"/>
                <w:highlight w:val="none"/>
                <w:lang w:val="en-US" w:eastAsia="zh-CN"/>
              </w:rPr>
              <w:t>1.36</w:t>
            </w:r>
            <w:r>
              <w:rPr>
                <w:rFonts w:hint="default" w:ascii="Times New Roman" w:hAnsi="Times New Roman" w:eastAsia="宋体" w:cs="Times New Roman"/>
                <w:color w:val="auto"/>
                <w:kern w:val="2"/>
                <w:sz w:val="21"/>
                <w:szCs w:val="21"/>
                <w:highlight w:val="none"/>
              </w:rPr>
              <w:t>t/a</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有效利用，不外排</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废气</w:t>
            </w:r>
          </w:p>
        </w:tc>
        <w:tc>
          <w:tcPr>
            <w:tcW w:w="604" w:type="dxa"/>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施工期</w:t>
            </w: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施工扬尘</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3.5mg/m</w:t>
            </w:r>
            <w:r>
              <w:rPr>
                <w:rFonts w:hint="default" w:ascii="Times New Roman" w:hAnsi="Times New Roman" w:eastAsia="宋体" w:cs="Times New Roman"/>
                <w:color w:val="auto"/>
                <w:kern w:val="2"/>
                <w:sz w:val="21"/>
                <w:szCs w:val="21"/>
                <w:highlight w:val="none"/>
                <w:vertAlign w:val="superscript"/>
              </w:rPr>
              <w:t>3</w:t>
            </w:r>
            <w:r>
              <w:rPr>
                <w:rFonts w:hint="default" w:ascii="Times New Roman" w:hAnsi="Times New Roman" w:eastAsia="宋体" w:cs="Times New Roman"/>
                <w:color w:val="auto"/>
                <w:kern w:val="2"/>
                <w:sz w:val="21"/>
                <w:szCs w:val="21"/>
                <w:highlight w:val="none"/>
              </w:rPr>
              <w:t>(平均浓度)</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洒水降尘、设置围挡、加强管理</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&lt;1.0mg/m</w:t>
            </w:r>
            <w:r>
              <w:rPr>
                <w:rFonts w:hint="default" w:ascii="Times New Roman" w:hAnsi="Times New Roman" w:eastAsia="宋体" w:cs="Times New Roman"/>
                <w:color w:val="auto"/>
                <w:kern w:val="2"/>
                <w:sz w:val="21"/>
                <w:szCs w:val="21"/>
                <w:highlight w:val="none"/>
                <w:vertAlign w:val="superscript"/>
              </w:rPr>
              <w:t>3</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无组织排放</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78" w:hRule="atLeast"/>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604"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营运期</w:t>
            </w:r>
          </w:p>
        </w:tc>
        <w:tc>
          <w:tcPr>
            <w:tcW w:w="1339" w:type="dxa"/>
            <w:tcBorders>
              <w:bottom w:val="single" w:color="auto" w:sz="4" w:space="0"/>
            </w:tcBorders>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eastAsia="zh-CN"/>
              </w:rPr>
              <w:t>牛</w:t>
            </w:r>
            <w:r>
              <w:rPr>
                <w:rFonts w:hint="default" w:ascii="Times New Roman" w:hAnsi="Times New Roman" w:eastAsia="宋体" w:cs="Times New Roman"/>
                <w:color w:val="auto"/>
                <w:kern w:val="2"/>
                <w:sz w:val="21"/>
                <w:szCs w:val="21"/>
                <w:highlight w:val="none"/>
              </w:rPr>
              <w:t>舍恶臭</w:t>
            </w:r>
          </w:p>
        </w:tc>
        <w:tc>
          <w:tcPr>
            <w:tcW w:w="2668" w:type="dxa"/>
            <w:tcBorders>
              <w:bottom w:val="single" w:color="auto" w:sz="4" w:space="0"/>
            </w:tcBorders>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w:t>
            </w:r>
            <w:r>
              <w:rPr>
                <w:rFonts w:hint="eastAsia" w:ascii="Times New Roman" w:hAnsi="Times New Roman" w:cs="Times New Roman"/>
                <w:color w:val="auto"/>
                <w:kern w:val="2"/>
                <w:sz w:val="21"/>
                <w:szCs w:val="21"/>
                <w:highlight w:val="none"/>
                <w:lang w:val="en-US" w:eastAsia="zh-CN"/>
              </w:rPr>
              <w:t>0.018</w:t>
            </w:r>
            <w:r>
              <w:rPr>
                <w:rFonts w:hint="default" w:ascii="Times New Roman" w:hAnsi="Times New Roman" w:eastAsia="宋体" w:cs="Times New Roman"/>
                <w:color w:val="auto"/>
                <w:kern w:val="2"/>
                <w:sz w:val="21"/>
                <w:szCs w:val="21"/>
                <w:highlight w:val="none"/>
              </w:rPr>
              <w:t>kg/h</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H</w:t>
            </w:r>
            <w:r>
              <w:rPr>
                <w:rFonts w:hint="default" w:ascii="Times New Roman" w:hAnsi="Times New Roman" w:eastAsia="宋体" w:cs="Times New Roman"/>
                <w:color w:val="auto"/>
                <w:kern w:val="2"/>
                <w:sz w:val="21"/>
                <w:szCs w:val="21"/>
                <w:highlight w:val="none"/>
                <w:vertAlign w:val="subscript"/>
              </w:rPr>
              <w:t>2</w:t>
            </w:r>
            <w:r>
              <w:rPr>
                <w:rFonts w:hint="default" w:ascii="Times New Roman" w:hAnsi="Times New Roman" w:eastAsia="宋体" w:cs="Times New Roman"/>
                <w:color w:val="auto"/>
                <w:kern w:val="2"/>
                <w:sz w:val="21"/>
                <w:szCs w:val="21"/>
                <w:highlight w:val="none"/>
              </w:rPr>
              <w:t>S：</w:t>
            </w:r>
            <w:r>
              <w:rPr>
                <w:rFonts w:hint="eastAsia" w:ascii="Times New Roman" w:hAnsi="Times New Roman" w:cs="Times New Roman"/>
                <w:color w:val="auto"/>
                <w:kern w:val="2"/>
                <w:sz w:val="21"/>
                <w:szCs w:val="21"/>
                <w:highlight w:val="none"/>
                <w:lang w:val="en-US" w:eastAsia="zh-CN"/>
              </w:rPr>
              <w:t>0.0068</w:t>
            </w:r>
            <w:r>
              <w:rPr>
                <w:rFonts w:hint="default" w:ascii="Times New Roman" w:hAnsi="Times New Roman" w:eastAsia="宋体" w:cs="Times New Roman"/>
                <w:color w:val="auto"/>
                <w:kern w:val="2"/>
                <w:sz w:val="21"/>
                <w:szCs w:val="21"/>
                <w:highlight w:val="none"/>
              </w:rPr>
              <w:t>kg/h</w:t>
            </w:r>
          </w:p>
        </w:tc>
        <w:tc>
          <w:tcPr>
            <w:tcW w:w="3645" w:type="dxa"/>
            <w:tcBorders>
              <w:bottom w:val="single" w:color="auto" w:sz="4" w:space="0"/>
            </w:tcBorders>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①科学设计日粮，提高饲料利用率，合理使用饲料添加剂；②加强圈舍管理，采用干清粪工艺；③对牛舍定期喷洒除臭剂；④加强牛舍消毒措施；⑤合理种植绿化隔离带。</w:t>
            </w:r>
          </w:p>
        </w:tc>
        <w:tc>
          <w:tcPr>
            <w:tcW w:w="2720" w:type="dxa"/>
            <w:gridSpan w:val="2"/>
            <w:tcBorders>
              <w:bottom w:val="single" w:color="auto" w:sz="4" w:space="0"/>
            </w:tcBorders>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w:t>
            </w:r>
            <w:r>
              <w:rPr>
                <w:rFonts w:hint="eastAsia" w:ascii="Times New Roman" w:hAnsi="Times New Roman" w:cs="Times New Roman"/>
                <w:color w:val="auto"/>
                <w:kern w:val="2"/>
                <w:sz w:val="21"/>
                <w:szCs w:val="21"/>
                <w:highlight w:val="none"/>
                <w:lang w:val="en-US" w:eastAsia="zh-CN"/>
              </w:rPr>
              <w:t>0.0036</w:t>
            </w:r>
            <w:r>
              <w:rPr>
                <w:rFonts w:hint="default" w:ascii="Times New Roman" w:hAnsi="Times New Roman" w:eastAsia="宋体" w:cs="Times New Roman"/>
                <w:color w:val="auto"/>
                <w:kern w:val="2"/>
                <w:sz w:val="21"/>
                <w:szCs w:val="21"/>
                <w:highlight w:val="none"/>
              </w:rPr>
              <w:t>kg/h</w:t>
            </w:r>
          </w:p>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H</w:t>
            </w:r>
            <w:r>
              <w:rPr>
                <w:rFonts w:hint="default" w:ascii="Times New Roman" w:hAnsi="Times New Roman" w:eastAsia="宋体" w:cs="Times New Roman"/>
                <w:color w:val="auto"/>
                <w:kern w:val="2"/>
                <w:sz w:val="21"/>
                <w:szCs w:val="21"/>
                <w:highlight w:val="none"/>
                <w:vertAlign w:val="subscript"/>
              </w:rPr>
              <w:t>2</w:t>
            </w:r>
            <w:r>
              <w:rPr>
                <w:rFonts w:hint="default" w:ascii="Times New Roman" w:hAnsi="Times New Roman" w:eastAsia="宋体" w:cs="Times New Roman"/>
                <w:color w:val="auto"/>
                <w:kern w:val="2"/>
                <w:sz w:val="21"/>
                <w:szCs w:val="21"/>
                <w:highlight w:val="none"/>
              </w:rPr>
              <w:t>S</w:t>
            </w:r>
            <w:r>
              <w:rPr>
                <w:rFonts w:hint="eastAsia" w:ascii="Times New Roman" w:hAnsi="Times New Roman" w:cs="Times New Roman"/>
                <w:color w:val="auto"/>
                <w:kern w:val="2"/>
                <w:sz w:val="21"/>
                <w:szCs w:val="21"/>
                <w:highlight w:val="none"/>
                <w:lang w:eastAsia="zh-CN"/>
              </w:rPr>
              <w:t>：</w:t>
            </w:r>
            <w:r>
              <w:rPr>
                <w:rFonts w:hint="eastAsia" w:ascii="Times New Roman" w:hAnsi="Times New Roman" w:cs="Times New Roman"/>
                <w:color w:val="auto"/>
                <w:kern w:val="2"/>
                <w:sz w:val="21"/>
                <w:szCs w:val="21"/>
                <w:highlight w:val="none"/>
                <w:lang w:val="en-US" w:eastAsia="zh-CN"/>
              </w:rPr>
              <w:t>0.0014</w:t>
            </w:r>
            <w:r>
              <w:rPr>
                <w:rFonts w:hint="default" w:ascii="Times New Roman" w:hAnsi="Times New Roman" w:eastAsia="宋体" w:cs="Times New Roman"/>
                <w:color w:val="auto"/>
                <w:kern w:val="2"/>
                <w:sz w:val="21"/>
                <w:szCs w:val="21"/>
                <w:highlight w:val="none"/>
              </w:rPr>
              <w:t>kg/h</w:t>
            </w:r>
          </w:p>
        </w:tc>
        <w:tc>
          <w:tcPr>
            <w:tcW w:w="2111"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厂界臭气浓度均能够满足《畜禽养殖业污染物排放标准》中的规定值，H</w:t>
            </w:r>
            <w:r>
              <w:rPr>
                <w:rFonts w:hint="default" w:ascii="Times New Roman" w:hAnsi="Times New Roman" w:eastAsia="宋体" w:cs="Times New Roman"/>
                <w:color w:val="auto"/>
                <w:kern w:val="2"/>
                <w:sz w:val="21"/>
                <w:szCs w:val="21"/>
                <w:highlight w:val="none"/>
                <w:vertAlign w:val="subscript"/>
              </w:rPr>
              <w:t>2</w:t>
            </w:r>
            <w:r>
              <w:rPr>
                <w:rFonts w:hint="default" w:ascii="Times New Roman" w:hAnsi="Times New Roman" w:eastAsia="宋体" w:cs="Times New Roman"/>
                <w:color w:val="auto"/>
                <w:kern w:val="2"/>
                <w:sz w:val="21"/>
                <w:szCs w:val="21"/>
                <w:highlight w:val="none"/>
              </w:rPr>
              <w:t>S、NH</w:t>
            </w:r>
            <w:r>
              <w:rPr>
                <w:rFonts w:hint="default" w:ascii="Times New Roman" w:hAnsi="Times New Roman" w:eastAsia="宋体" w:cs="Times New Roman"/>
                <w:color w:val="auto"/>
                <w:kern w:val="2"/>
                <w:sz w:val="21"/>
                <w:szCs w:val="21"/>
                <w:highlight w:val="none"/>
                <w:vertAlign w:val="subscript"/>
              </w:rPr>
              <w:t>3</w:t>
            </w:r>
            <w:r>
              <w:rPr>
                <w:rFonts w:hint="eastAsia" w:ascii="Times New Roman" w:hAnsi="Times New Roman" w:cs="Times New Roman"/>
                <w:color w:val="auto"/>
                <w:kern w:val="2"/>
                <w:sz w:val="21"/>
                <w:szCs w:val="21"/>
                <w:highlight w:val="none"/>
                <w:lang w:eastAsia="zh-CN"/>
              </w:rPr>
              <w:t>满足</w:t>
            </w:r>
            <w:r>
              <w:rPr>
                <w:rFonts w:hint="default" w:ascii="Times New Roman" w:hAnsi="Times New Roman" w:eastAsia="宋体" w:cs="Times New Roman"/>
                <w:color w:val="auto"/>
                <w:kern w:val="2"/>
                <w:sz w:val="21"/>
                <w:szCs w:val="21"/>
                <w:highlight w:val="none"/>
              </w:rPr>
              <w:t>《恶臭污染物排放标准》（GB14554-93）二级标准</w:t>
            </w:r>
            <w:r>
              <w:rPr>
                <w:rFonts w:hint="eastAsia" w:ascii="Times New Roman" w:hAnsi="Times New Roman"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对厂界外空气质量影响很小</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53" w:hRule="atLeast"/>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1339" w:type="dxa"/>
            <w:vMerge w:val="restart"/>
            <w:tcBorders>
              <w:top w:val="single" w:color="auto" w:sz="4" w:space="0"/>
            </w:tcBorders>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eastAsia" w:ascii="Times New Roman" w:hAnsi="Times New Roman" w:eastAsia="宋体" w:cs="Times New Roman"/>
                <w:color w:val="auto"/>
                <w:kern w:val="2"/>
                <w:sz w:val="21"/>
                <w:szCs w:val="21"/>
                <w:highlight w:val="none"/>
                <w:lang w:eastAsia="zh-CN"/>
              </w:rPr>
            </w:pPr>
            <w:r>
              <w:rPr>
                <w:rFonts w:hint="default" w:ascii="Times New Roman" w:hAnsi="Times New Roman" w:eastAsia="宋体" w:cs="Times New Roman"/>
                <w:color w:val="auto"/>
                <w:kern w:val="0"/>
                <w:sz w:val="21"/>
                <w:szCs w:val="21"/>
                <w:highlight w:val="none"/>
                <w:lang w:val="en-US" w:eastAsia="zh-CN" w:bidi="ar-SA"/>
              </w:rPr>
              <w:t>干粪棚</w:t>
            </w:r>
          </w:p>
        </w:tc>
        <w:tc>
          <w:tcPr>
            <w:tcW w:w="2668" w:type="dxa"/>
            <w:vMerge w:val="restart"/>
            <w:tcBorders>
              <w:top w:val="single" w:color="auto" w:sz="4" w:space="0"/>
            </w:tcBorders>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：0.25kg/h</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H</w:t>
            </w:r>
            <w:r>
              <w:rPr>
                <w:rFonts w:hint="default" w:ascii="Times New Roman" w:hAnsi="Times New Roman" w:eastAsia="宋体" w:cs="Times New Roman"/>
                <w:color w:val="auto"/>
                <w:kern w:val="2"/>
                <w:sz w:val="21"/>
                <w:szCs w:val="21"/>
                <w:highlight w:val="none"/>
                <w:vertAlign w:val="subscript"/>
              </w:rPr>
              <w:t>2</w:t>
            </w:r>
            <w:r>
              <w:rPr>
                <w:rFonts w:hint="default" w:ascii="Times New Roman" w:hAnsi="Times New Roman" w:eastAsia="宋体" w:cs="Times New Roman"/>
                <w:color w:val="auto"/>
                <w:kern w:val="2"/>
                <w:sz w:val="21"/>
                <w:szCs w:val="21"/>
                <w:highlight w:val="none"/>
              </w:rPr>
              <w:t>S：0.025kg/h</w:t>
            </w:r>
          </w:p>
        </w:tc>
        <w:tc>
          <w:tcPr>
            <w:tcW w:w="3645" w:type="dxa"/>
            <w:tcBorders>
              <w:top w:val="single" w:color="auto" w:sz="4" w:space="0"/>
              <w:bottom w:val="single" w:color="000000" w:sz="8" w:space="0"/>
            </w:tcBorders>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lang w:val="en-US" w:eastAsia="zh-CN"/>
              </w:rPr>
              <w:t>负压收集后的废气经生物滤池处理后经15m高排气筒</w:t>
            </w:r>
            <w:r>
              <w:rPr>
                <w:rFonts w:hint="default" w:ascii="Times New Roman" w:hAnsi="Times New Roman" w:eastAsia="宋体" w:cs="Times New Roman"/>
                <w:color w:val="auto"/>
                <w:sz w:val="21"/>
                <w:szCs w:val="21"/>
                <w:highlight w:val="none"/>
                <w:lang w:eastAsia="zh-CN"/>
              </w:rPr>
              <w:t>（DA00</w:t>
            </w:r>
            <w:r>
              <w:rPr>
                <w:rFonts w:hint="default" w:ascii="Times New Roman" w:hAnsi="Times New Roman" w:eastAsia="宋体" w:cs="Times New Roman"/>
                <w:color w:val="auto"/>
                <w:sz w:val="21"/>
                <w:szCs w:val="21"/>
                <w:highlight w:val="none"/>
                <w:lang w:val="en-US" w:eastAsia="zh-CN"/>
              </w:rPr>
              <w:t>1）排放</w:t>
            </w:r>
          </w:p>
        </w:tc>
        <w:tc>
          <w:tcPr>
            <w:tcW w:w="519" w:type="dxa"/>
            <w:tcBorders>
              <w:top w:val="single" w:color="auto" w:sz="4" w:space="0"/>
              <w:bottom w:val="single" w:color="000000" w:sz="8" w:space="0"/>
              <w:right w:val="single" w:color="000000" w:sz="8" w:space="0"/>
            </w:tcBorders>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eastAsia" w:ascii="Times New Roman" w:hAnsi="Times New Roman" w:eastAsia="宋体" w:cs="Times New Roman"/>
                <w:color w:val="auto"/>
                <w:kern w:val="2"/>
                <w:sz w:val="21"/>
                <w:szCs w:val="21"/>
                <w:highlight w:val="none"/>
                <w:lang w:eastAsia="zh-CN"/>
              </w:rPr>
            </w:pPr>
            <w:r>
              <w:rPr>
                <w:rFonts w:hint="eastAsia" w:ascii="Times New Roman" w:hAnsi="Times New Roman" w:cs="Times New Roman"/>
                <w:color w:val="auto"/>
                <w:kern w:val="2"/>
                <w:sz w:val="21"/>
                <w:szCs w:val="21"/>
                <w:highlight w:val="none"/>
                <w:lang w:eastAsia="zh-CN"/>
              </w:rPr>
              <w:t>有组织</w:t>
            </w:r>
          </w:p>
        </w:tc>
        <w:tc>
          <w:tcPr>
            <w:tcW w:w="2201" w:type="dxa"/>
            <w:tcBorders>
              <w:top w:val="single" w:color="auto" w:sz="4" w:space="0"/>
              <w:left w:val="single" w:color="000000" w:sz="8" w:space="0"/>
              <w:bottom w:val="single" w:color="000000" w:sz="8" w:space="0"/>
            </w:tcBorders>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w:t>
            </w:r>
            <w:r>
              <w:rPr>
                <w:rFonts w:hint="eastAsia" w:ascii="Times New Roman" w:hAnsi="Times New Roman" w:cs="Times New Roman"/>
                <w:color w:val="auto"/>
                <w:kern w:val="2"/>
                <w:sz w:val="21"/>
                <w:szCs w:val="21"/>
                <w:highlight w:val="none"/>
                <w:lang w:val="en-US" w:eastAsia="zh-CN"/>
              </w:rPr>
              <w:t>0.0012</w:t>
            </w:r>
            <w:r>
              <w:rPr>
                <w:rFonts w:hint="default" w:ascii="Times New Roman" w:hAnsi="Times New Roman" w:eastAsia="宋体" w:cs="Times New Roman"/>
                <w:color w:val="auto"/>
                <w:kern w:val="2"/>
                <w:sz w:val="21"/>
                <w:szCs w:val="21"/>
                <w:highlight w:val="none"/>
              </w:rPr>
              <w:t>kg/h</w:t>
            </w:r>
          </w:p>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H</w:t>
            </w:r>
            <w:r>
              <w:rPr>
                <w:rFonts w:hint="default" w:ascii="Times New Roman" w:hAnsi="Times New Roman" w:eastAsia="宋体" w:cs="Times New Roman"/>
                <w:color w:val="auto"/>
                <w:kern w:val="2"/>
                <w:sz w:val="21"/>
                <w:szCs w:val="21"/>
                <w:highlight w:val="none"/>
                <w:vertAlign w:val="subscript"/>
              </w:rPr>
              <w:t>2</w:t>
            </w:r>
            <w:r>
              <w:rPr>
                <w:rFonts w:hint="default" w:ascii="Times New Roman" w:hAnsi="Times New Roman" w:eastAsia="宋体" w:cs="Times New Roman"/>
                <w:color w:val="auto"/>
                <w:kern w:val="2"/>
                <w:sz w:val="21"/>
                <w:szCs w:val="21"/>
                <w:highlight w:val="none"/>
              </w:rPr>
              <w:t>S</w:t>
            </w:r>
            <w:r>
              <w:rPr>
                <w:rFonts w:hint="eastAsia" w:ascii="Times New Roman" w:hAnsi="Times New Roman" w:cs="Times New Roman"/>
                <w:color w:val="auto"/>
                <w:kern w:val="2"/>
                <w:sz w:val="21"/>
                <w:szCs w:val="21"/>
                <w:highlight w:val="none"/>
                <w:lang w:eastAsia="zh-CN"/>
              </w:rPr>
              <w:t>：</w:t>
            </w:r>
            <w:r>
              <w:rPr>
                <w:rFonts w:hint="eastAsia" w:ascii="Times New Roman" w:hAnsi="Times New Roman" w:cs="Times New Roman"/>
                <w:color w:val="auto"/>
                <w:kern w:val="2"/>
                <w:sz w:val="21"/>
                <w:szCs w:val="21"/>
                <w:highlight w:val="none"/>
                <w:lang w:val="en-US" w:eastAsia="zh-CN"/>
              </w:rPr>
              <w:t>0.0002</w:t>
            </w:r>
            <w:r>
              <w:rPr>
                <w:rFonts w:hint="default" w:ascii="Times New Roman" w:hAnsi="Times New Roman" w:eastAsia="宋体" w:cs="Times New Roman"/>
                <w:color w:val="auto"/>
                <w:kern w:val="2"/>
                <w:sz w:val="21"/>
                <w:szCs w:val="21"/>
                <w:highlight w:val="none"/>
              </w:rPr>
              <w:t>kg/h</w:t>
            </w:r>
          </w:p>
        </w:tc>
        <w:tc>
          <w:tcPr>
            <w:tcW w:w="2111"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1" w:hRule="atLeast"/>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1339" w:type="dxa"/>
            <w:vMerge w:val="continue"/>
            <w:tcBorders>
              <w:bottom w:val="single" w:color="000000" w:sz="8" w:space="0"/>
            </w:tcBorders>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eastAsia" w:ascii="Times New Roman" w:hAnsi="Times New Roman" w:cs="Times New Roman"/>
                <w:color w:val="auto"/>
                <w:kern w:val="2"/>
                <w:sz w:val="21"/>
                <w:szCs w:val="21"/>
                <w:highlight w:val="none"/>
                <w:lang w:eastAsia="zh-CN"/>
              </w:rPr>
            </w:pPr>
          </w:p>
        </w:tc>
        <w:tc>
          <w:tcPr>
            <w:tcW w:w="2668"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3645" w:type="dxa"/>
            <w:tcBorders>
              <w:top w:val="single" w:color="000000" w:sz="8" w:space="0"/>
              <w:bottom w:val="single" w:color="000000" w:sz="8" w:space="0"/>
            </w:tcBorders>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①产生的干粪日产日清，保持干粪棚的清洁和干燥；②加强消毒；③夏季在干粪棚内投放吸附剂、除臭剂；④对不能及时清运的干粪，投洒除臭剂、EM菌液；⑤加强周边绿化等。</w:t>
            </w:r>
          </w:p>
        </w:tc>
        <w:tc>
          <w:tcPr>
            <w:tcW w:w="519" w:type="dxa"/>
            <w:tcBorders>
              <w:top w:val="single" w:color="000000" w:sz="8" w:space="0"/>
              <w:bottom w:val="single" w:color="000000" w:sz="8" w:space="0"/>
              <w:right w:val="single" w:color="000000" w:sz="8" w:space="0"/>
            </w:tcBorders>
            <w:noWrap w:val="0"/>
            <w:vAlign w:val="center"/>
          </w:tcPr>
          <w:p>
            <w:pPr>
              <w:pStyle w:val="167"/>
              <w:keepNext w:val="0"/>
              <w:keepLines w:val="0"/>
              <w:suppressLineNumbers w:val="0"/>
              <w:kinsoku w:val="0"/>
              <w:wordWrap w:val="0"/>
              <w:overflowPunct w:val="0"/>
              <w:spacing w:before="0" w:beforeAutospacing="0" w:after="0" w:afterAutospacing="0"/>
              <w:ind w:left="0" w:leftChars="0" w:right="3"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eastAsia="zh-CN"/>
              </w:rPr>
              <w:t>无组织</w:t>
            </w:r>
          </w:p>
        </w:tc>
        <w:tc>
          <w:tcPr>
            <w:tcW w:w="2201" w:type="dxa"/>
            <w:tcBorders>
              <w:top w:val="single" w:color="000000" w:sz="8" w:space="0"/>
              <w:left w:val="single" w:color="000000" w:sz="8" w:space="0"/>
              <w:bottom w:val="single" w:color="000000" w:sz="8" w:space="0"/>
            </w:tcBorders>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w:t>
            </w:r>
            <w:r>
              <w:rPr>
                <w:rFonts w:hint="eastAsia" w:ascii="Times New Roman" w:hAnsi="Times New Roman" w:cs="Times New Roman"/>
                <w:color w:val="auto"/>
                <w:kern w:val="2"/>
                <w:sz w:val="21"/>
                <w:szCs w:val="21"/>
                <w:highlight w:val="none"/>
                <w:lang w:val="en-US" w:eastAsia="zh-CN"/>
              </w:rPr>
              <w:t>:0.00175</w:t>
            </w:r>
            <w:r>
              <w:rPr>
                <w:rFonts w:hint="default" w:ascii="Times New Roman" w:hAnsi="Times New Roman" w:eastAsia="宋体" w:cs="Times New Roman"/>
                <w:color w:val="auto"/>
                <w:kern w:val="2"/>
                <w:sz w:val="21"/>
                <w:szCs w:val="21"/>
                <w:highlight w:val="none"/>
              </w:rPr>
              <w:t>kg/h</w:t>
            </w:r>
          </w:p>
          <w:p>
            <w:pPr>
              <w:pStyle w:val="167"/>
              <w:keepNext w:val="0"/>
              <w:keepLines w:val="0"/>
              <w:suppressLineNumbers w:val="0"/>
              <w:kinsoku w:val="0"/>
              <w:wordWrap w:val="0"/>
              <w:overflowPunct w:val="0"/>
              <w:spacing w:before="0" w:beforeAutospacing="0" w:after="0" w:afterAutospacing="0"/>
              <w:ind w:left="0" w:leftChars="0" w:right="3" w:rightChars="0"/>
              <w:jc w:val="center"/>
              <w:rPr>
                <w:rFonts w:hint="default" w:ascii="Times New Roman" w:hAnsi="Times New Roman" w:eastAsia="宋体" w:cs="Times New Roman"/>
                <w:color w:val="auto"/>
                <w:kern w:val="2"/>
                <w:sz w:val="21"/>
                <w:szCs w:val="21"/>
                <w:highlight w:val="none"/>
                <w:lang w:val="en-US" w:eastAsia="en-US" w:bidi="ar-SA"/>
              </w:rPr>
            </w:pPr>
            <w:r>
              <w:rPr>
                <w:rFonts w:hint="default" w:ascii="Times New Roman" w:hAnsi="Times New Roman" w:eastAsia="宋体" w:cs="Times New Roman"/>
                <w:color w:val="auto"/>
                <w:kern w:val="2"/>
                <w:sz w:val="21"/>
                <w:szCs w:val="21"/>
                <w:highlight w:val="none"/>
              </w:rPr>
              <w:t>H</w:t>
            </w:r>
            <w:r>
              <w:rPr>
                <w:rFonts w:hint="default" w:ascii="Times New Roman" w:hAnsi="Times New Roman" w:eastAsia="宋体" w:cs="Times New Roman"/>
                <w:color w:val="auto"/>
                <w:kern w:val="2"/>
                <w:sz w:val="21"/>
                <w:szCs w:val="21"/>
                <w:highlight w:val="none"/>
                <w:vertAlign w:val="subscript"/>
              </w:rPr>
              <w:t>2</w:t>
            </w:r>
            <w:r>
              <w:rPr>
                <w:rFonts w:hint="default" w:ascii="Times New Roman" w:hAnsi="Times New Roman" w:eastAsia="宋体" w:cs="Times New Roman"/>
                <w:color w:val="auto"/>
                <w:kern w:val="2"/>
                <w:sz w:val="21"/>
                <w:szCs w:val="21"/>
                <w:highlight w:val="none"/>
              </w:rPr>
              <w:t>S：</w:t>
            </w:r>
            <w:r>
              <w:rPr>
                <w:rFonts w:hint="eastAsia" w:ascii="Times New Roman" w:hAnsi="Times New Roman" w:cs="Times New Roman"/>
                <w:color w:val="auto"/>
                <w:kern w:val="2"/>
                <w:sz w:val="21"/>
                <w:szCs w:val="21"/>
                <w:highlight w:val="none"/>
                <w:lang w:val="en-US" w:eastAsia="zh-CN"/>
              </w:rPr>
              <w:t>0.0001</w:t>
            </w:r>
            <w:r>
              <w:rPr>
                <w:rFonts w:hint="default" w:ascii="Times New Roman" w:hAnsi="Times New Roman" w:eastAsia="宋体" w:cs="Times New Roman"/>
                <w:color w:val="auto"/>
                <w:kern w:val="2"/>
                <w:sz w:val="21"/>
                <w:szCs w:val="21"/>
                <w:highlight w:val="none"/>
              </w:rPr>
              <w:t>kg/h</w:t>
            </w:r>
          </w:p>
        </w:tc>
        <w:tc>
          <w:tcPr>
            <w:tcW w:w="2111"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82" w:hRule="atLeast"/>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1339"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eastAsia" w:ascii="Times New Roman" w:hAnsi="Times New Roman" w:cs="Times New Roman"/>
                <w:color w:val="auto"/>
                <w:kern w:val="2"/>
                <w:sz w:val="21"/>
                <w:szCs w:val="21"/>
                <w:highlight w:val="none"/>
                <w:lang w:eastAsia="zh-CN"/>
              </w:rPr>
            </w:pPr>
            <w:r>
              <w:rPr>
                <w:rFonts w:hint="default" w:ascii="Times New Roman" w:hAnsi="Times New Roman" w:eastAsia="宋体" w:cs="Times New Roman"/>
                <w:color w:val="auto"/>
                <w:kern w:val="0"/>
                <w:sz w:val="21"/>
                <w:szCs w:val="21"/>
                <w:highlight w:val="none"/>
                <w:lang w:val="en-US" w:eastAsia="zh-CN" w:bidi="ar-SA"/>
              </w:rPr>
              <w:t>污水处理站恶臭</w:t>
            </w:r>
          </w:p>
        </w:tc>
        <w:tc>
          <w:tcPr>
            <w:tcW w:w="2668"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w:t>
            </w:r>
            <w:r>
              <w:rPr>
                <w:rFonts w:hint="eastAsia" w:ascii="Times New Roman" w:hAnsi="Times New Roman" w:cs="Times New Roman"/>
                <w:color w:val="auto"/>
                <w:kern w:val="2"/>
                <w:sz w:val="21"/>
                <w:szCs w:val="21"/>
                <w:highlight w:val="none"/>
                <w:lang w:val="en-US" w:eastAsia="zh-CN"/>
              </w:rPr>
              <w:t>0.0051</w:t>
            </w:r>
            <w:r>
              <w:rPr>
                <w:rFonts w:hint="default" w:ascii="Times New Roman" w:hAnsi="Times New Roman" w:eastAsia="宋体" w:cs="Times New Roman"/>
                <w:color w:val="auto"/>
                <w:kern w:val="2"/>
                <w:sz w:val="21"/>
                <w:szCs w:val="21"/>
                <w:highlight w:val="none"/>
              </w:rPr>
              <w:t>kg/h</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H</w:t>
            </w:r>
            <w:r>
              <w:rPr>
                <w:rFonts w:hint="default" w:ascii="Times New Roman" w:hAnsi="Times New Roman" w:eastAsia="宋体" w:cs="Times New Roman"/>
                <w:color w:val="auto"/>
                <w:kern w:val="2"/>
                <w:sz w:val="21"/>
                <w:szCs w:val="21"/>
                <w:highlight w:val="none"/>
                <w:vertAlign w:val="subscript"/>
              </w:rPr>
              <w:t>2</w:t>
            </w:r>
            <w:r>
              <w:rPr>
                <w:rFonts w:hint="default" w:ascii="Times New Roman" w:hAnsi="Times New Roman" w:eastAsia="宋体" w:cs="Times New Roman"/>
                <w:color w:val="auto"/>
                <w:kern w:val="2"/>
                <w:sz w:val="21"/>
                <w:szCs w:val="21"/>
                <w:highlight w:val="none"/>
              </w:rPr>
              <w:t>S：</w:t>
            </w:r>
            <w:r>
              <w:rPr>
                <w:rFonts w:hint="eastAsia" w:ascii="Times New Roman" w:hAnsi="Times New Roman" w:cs="Times New Roman"/>
                <w:color w:val="auto"/>
                <w:kern w:val="2"/>
                <w:sz w:val="21"/>
                <w:szCs w:val="21"/>
                <w:highlight w:val="none"/>
                <w:lang w:val="en-US" w:eastAsia="zh-CN"/>
              </w:rPr>
              <w:t>0.0002</w:t>
            </w:r>
            <w:r>
              <w:rPr>
                <w:rFonts w:hint="default" w:ascii="Times New Roman" w:hAnsi="Times New Roman" w:eastAsia="宋体" w:cs="Times New Roman"/>
                <w:color w:val="auto"/>
                <w:kern w:val="2"/>
                <w:sz w:val="21"/>
                <w:szCs w:val="21"/>
                <w:highlight w:val="none"/>
              </w:rPr>
              <w:t>kg/h</w:t>
            </w:r>
          </w:p>
        </w:tc>
        <w:tc>
          <w:tcPr>
            <w:tcW w:w="3645" w:type="dxa"/>
            <w:tcBorders>
              <w:top w:val="single" w:color="000000" w:sz="8" w:space="0"/>
              <w:bottom w:val="single" w:color="000000" w:sz="8" w:space="0"/>
            </w:tcBorders>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“碱液喷淋+生物过滤法”处理后经15m高排气筒</w:t>
            </w:r>
            <w:r>
              <w:rPr>
                <w:rFonts w:hint="default" w:ascii="Times New Roman" w:hAnsi="Times New Roman" w:eastAsia="宋体" w:cs="Times New Roman"/>
                <w:color w:val="auto"/>
                <w:sz w:val="21"/>
                <w:szCs w:val="21"/>
                <w:highlight w:val="none"/>
                <w:lang w:eastAsia="zh-CN"/>
              </w:rPr>
              <w:t>（DA002</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排放</w:t>
            </w:r>
          </w:p>
        </w:tc>
        <w:tc>
          <w:tcPr>
            <w:tcW w:w="519" w:type="dxa"/>
            <w:tcBorders>
              <w:top w:val="single" w:color="000000" w:sz="8" w:space="0"/>
              <w:bottom w:val="single" w:color="000000" w:sz="8" w:space="0"/>
              <w:right w:val="single" w:color="000000" w:sz="8" w:space="0"/>
            </w:tcBorders>
            <w:noWrap w:val="0"/>
            <w:vAlign w:val="center"/>
          </w:tcPr>
          <w:p>
            <w:pPr>
              <w:pStyle w:val="167"/>
              <w:keepNext w:val="0"/>
              <w:keepLines w:val="0"/>
              <w:suppressLineNumbers w:val="0"/>
              <w:kinsoku w:val="0"/>
              <w:wordWrap w:val="0"/>
              <w:overflowPunct w:val="0"/>
              <w:spacing w:before="0" w:beforeAutospacing="0" w:after="0" w:afterAutospacing="0"/>
              <w:ind w:left="0" w:leftChars="0" w:right="3" w:rightChars="0"/>
              <w:jc w:val="center"/>
              <w:rPr>
                <w:rFonts w:hint="eastAsia" w:ascii="Times New Roman" w:hAnsi="Times New Roman" w:cs="Times New Roman"/>
                <w:color w:val="auto"/>
                <w:kern w:val="2"/>
                <w:sz w:val="21"/>
                <w:szCs w:val="21"/>
                <w:highlight w:val="none"/>
                <w:lang w:eastAsia="zh-CN"/>
              </w:rPr>
            </w:pPr>
            <w:r>
              <w:rPr>
                <w:rFonts w:hint="eastAsia" w:ascii="Times New Roman" w:hAnsi="Times New Roman" w:cs="Times New Roman"/>
                <w:color w:val="auto"/>
                <w:kern w:val="2"/>
                <w:sz w:val="21"/>
                <w:szCs w:val="21"/>
                <w:highlight w:val="none"/>
                <w:lang w:eastAsia="zh-CN"/>
              </w:rPr>
              <w:t>有组织</w:t>
            </w:r>
          </w:p>
        </w:tc>
        <w:tc>
          <w:tcPr>
            <w:tcW w:w="2201" w:type="dxa"/>
            <w:tcBorders>
              <w:top w:val="single" w:color="000000" w:sz="8" w:space="0"/>
              <w:left w:val="single" w:color="000000" w:sz="8" w:space="0"/>
              <w:bottom w:val="single" w:color="000000" w:sz="8" w:space="0"/>
            </w:tcBorders>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w:t>
            </w:r>
            <w:r>
              <w:rPr>
                <w:rFonts w:hint="default" w:ascii="Times New Roman" w:hAnsi="Times New Roman" w:eastAsia="宋体" w:cs="Times New Roman"/>
                <w:i w:val="0"/>
                <w:iCs w:val="0"/>
                <w:color w:val="auto"/>
                <w:kern w:val="0"/>
                <w:sz w:val="21"/>
                <w:szCs w:val="21"/>
                <w:highlight w:val="none"/>
                <w:u w:val="none"/>
                <w:lang w:val="en-US" w:eastAsia="zh-CN" w:bidi="ar"/>
              </w:rPr>
              <w:t>2.56849E-05</w:t>
            </w:r>
            <w:r>
              <w:rPr>
                <w:rFonts w:hint="default" w:ascii="Times New Roman" w:hAnsi="Times New Roman" w:eastAsia="宋体" w:cs="Times New Roman"/>
                <w:color w:val="auto"/>
                <w:kern w:val="2"/>
                <w:sz w:val="21"/>
                <w:szCs w:val="21"/>
                <w:highlight w:val="none"/>
              </w:rPr>
              <w:t>kg/h</w:t>
            </w:r>
          </w:p>
          <w:p>
            <w:pPr>
              <w:pStyle w:val="167"/>
              <w:keepNext w:val="0"/>
              <w:keepLines w:val="0"/>
              <w:suppressLineNumbers w:val="0"/>
              <w:kinsoku w:val="0"/>
              <w:wordWrap w:val="0"/>
              <w:overflowPunct w:val="0"/>
              <w:spacing w:before="0" w:beforeAutospacing="0" w:after="0" w:afterAutospacing="0"/>
              <w:ind w:left="0" w:leftChars="0" w:right="3" w:right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H</w:t>
            </w:r>
            <w:r>
              <w:rPr>
                <w:rFonts w:hint="default" w:ascii="Times New Roman" w:hAnsi="Times New Roman" w:eastAsia="宋体" w:cs="Times New Roman"/>
                <w:color w:val="auto"/>
                <w:kern w:val="2"/>
                <w:sz w:val="21"/>
                <w:szCs w:val="21"/>
                <w:highlight w:val="none"/>
                <w:vertAlign w:val="subscript"/>
              </w:rPr>
              <w:t>2</w:t>
            </w:r>
            <w:r>
              <w:rPr>
                <w:rFonts w:hint="default" w:ascii="Times New Roman" w:hAnsi="Times New Roman" w:eastAsia="宋体" w:cs="Times New Roman"/>
                <w:color w:val="auto"/>
                <w:kern w:val="2"/>
                <w:sz w:val="21"/>
                <w:szCs w:val="21"/>
                <w:highlight w:val="none"/>
              </w:rPr>
              <w:t>S</w:t>
            </w:r>
            <w:r>
              <w:rPr>
                <w:rFonts w:hint="eastAsia" w:ascii="Times New Roman" w:hAnsi="Times New Roman" w:cs="Times New Roman"/>
                <w:color w:val="auto"/>
                <w:kern w:val="2"/>
                <w:sz w:val="21"/>
                <w:szCs w:val="21"/>
                <w:highlight w:val="none"/>
                <w:lang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1.02740E-06</w:t>
            </w:r>
            <w:r>
              <w:rPr>
                <w:rFonts w:hint="default" w:ascii="Times New Roman" w:hAnsi="Times New Roman" w:eastAsia="宋体" w:cs="Times New Roman"/>
                <w:color w:val="auto"/>
                <w:kern w:val="2"/>
                <w:sz w:val="21"/>
                <w:szCs w:val="21"/>
                <w:highlight w:val="none"/>
              </w:rPr>
              <w:t>kg/h</w:t>
            </w:r>
          </w:p>
        </w:tc>
        <w:tc>
          <w:tcPr>
            <w:tcW w:w="2111"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厂界臭气浓度均能够满足《畜禽养殖业污染物排放标准》中的规定值，对厂界外空气质量影响很小</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87" w:hRule="atLeast"/>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1339" w:type="dxa"/>
            <w:vMerge w:val="continue"/>
            <w:tcBorders>
              <w:bottom w:val="single" w:color="000000" w:sz="8" w:space="0"/>
            </w:tcBorders>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eastAsia" w:ascii="Times New Roman" w:hAnsi="Times New Roman" w:cs="Times New Roman"/>
                <w:color w:val="auto"/>
                <w:kern w:val="2"/>
                <w:sz w:val="21"/>
                <w:szCs w:val="21"/>
                <w:highlight w:val="none"/>
                <w:lang w:eastAsia="zh-CN"/>
              </w:rPr>
            </w:pPr>
          </w:p>
        </w:tc>
        <w:tc>
          <w:tcPr>
            <w:tcW w:w="2668"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3645" w:type="dxa"/>
            <w:tcBorders>
              <w:top w:val="single" w:color="000000" w:sz="8" w:space="0"/>
              <w:bottom w:val="single" w:color="000000" w:sz="8" w:space="0"/>
            </w:tcBorders>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①选用合适设备，并进行密闭；②设置于场地地势较低处，利用地势高差减少废水在圈舍及集污池的停留时间；③投放吸附剂、除臭剂，定期进行杀虫灭蝇工作；④加强污水处理系统周边的绿化</w:t>
            </w:r>
          </w:p>
        </w:tc>
        <w:tc>
          <w:tcPr>
            <w:tcW w:w="519" w:type="dxa"/>
            <w:tcBorders>
              <w:top w:val="single" w:color="000000" w:sz="8" w:space="0"/>
              <w:bottom w:val="single" w:color="000000" w:sz="8" w:space="0"/>
              <w:right w:val="single" w:color="000000" w:sz="8" w:space="0"/>
            </w:tcBorders>
            <w:noWrap w:val="0"/>
            <w:vAlign w:val="center"/>
          </w:tcPr>
          <w:p>
            <w:pPr>
              <w:pStyle w:val="167"/>
              <w:keepNext w:val="0"/>
              <w:keepLines w:val="0"/>
              <w:suppressLineNumbers w:val="0"/>
              <w:kinsoku w:val="0"/>
              <w:wordWrap w:val="0"/>
              <w:overflowPunct w:val="0"/>
              <w:spacing w:before="0" w:beforeAutospacing="0" w:after="0" w:afterAutospacing="0"/>
              <w:ind w:left="0" w:leftChars="0" w:right="3" w:rightChars="0"/>
              <w:jc w:val="center"/>
              <w:rPr>
                <w:rFonts w:hint="eastAsia" w:ascii="Times New Roman" w:hAnsi="Times New Roman" w:cs="Times New Roman"/>
                <w:color w:val="auto"/>
                <w:kern w:val="2"/>
                <w:sz w:val="21"/>
                <w:szCs w:val="21"/>
                <w:highlight w:val="none"/>
                <w:lang w:eastAsia="zh-CN"/>
              </w:rPr>
            </w:pPr>
            <w:r>
              <w:rPr>
                <w:rFonts w:hint="eastAsia" w:ascii="Times New Roman" w:hAnsi="Times New Roman" w:cs="Times New Roman"/>
                <w:color w:val="auto"/>
                <w:kern w:val="2"/>
                <w:sz w:val="21"/>
                <w:szCs w:val="21"/>
                <w:highlight w:val="none"/>
                <w:lang w:eastAsia="zh-CN"/>
              </w:rPr>
              <w:t>无组织</w:t>
            </w:r>
          </w:p>
        </w:tc>
        <w:tc>
          <w:tcPr>
            <w:tcW w:w="2201" w:type="dxa"/>
            <w:tcBorders>
              <w:top w:val="single" w:color="000000" w:sz="8" w:space="0"/>
              <w:left w:val="single" w:color="000000" w:sz="8" w:space="0"/>
              <w:bottom w:val="single" w:color="000000" w:sz="8" w:space="0"/>
            </w:tcBorders>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w:t>
            </w:r>
            <w:r>
              <w:rPr>
                <w:rFonts w:hint="eastAsia" w:ascii="Times New Roman" w:hAnsi="Times New Roman" w:cs="Times New Roman"/>
                <w:color w:val="auto"/>
                <w:kern w:val="2"/>
                <w:sz w:val="21"/>
                <w:szCs w:val="21"/>
                <w:highlight w:val="none"/>
                <w:lang w:val="en-US" w:eastAsia="zh-CN"/>
              </w:rPr>
              <w:t>:0.00003</w:t>
            </w:r>
            <w:r>
              <w:rPr>
                <w:rFonts w:hint="default" w:ascii="Times New Roman" w:hAnsi="Times New Roman" w:eastAsia="宋体" w:cs="Times New Roman"/>
                <w:color w:val="auto"/>
                <w:kern w:val="2"/>
                <w:sz w:val="21"/>
                <w:szCs w:val="21"/>
                <w:highlight w:val="none"/>
              </w:rPr>
              <w:t>kg/h</w:t>
            </w:r>
          </w:p>
          <w:p>
            <w:pPr>
              <w:pStyle w:val="167"/>
              <w:keepNext w:val="0"/>
              <w:keepLines w:val="0"/>
              <w:suppressLineNumbers w:val="0"/>
              <w:kinsoku w:val="0"/>
              <w:wordWrap w:val="0"/>
              <w:overflowPunct w:val="0"/>
              <w:spacing w:before="0" w:beforeAutospacing="0" w:after="0" w:afterAutospacing="0"/>
              <w:ind w:left="0" w:leftChars="0" w:right="3" w:right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H</w:t>
            </w:r>
            <w:r>
              <w:rPr>
                <w:rFonts w:hint="default" w:ascii="Times New Roman" w:hAnsi="Times New Roman" w:eastAsia="宋体" w:cs="Times New Roman"/>
                <w:color w:val="auto"/>
                <w:kern w:val="2"/>
                <w:sz w:val="21"/>
                <w:szCs w:val="21"/>
                <w:highlight w:val="none"/>
                <w:vertAlign w:val="subscript"/>
              </w:rPr>
              <w:t>2</w:t>
            </w:r>
            <w:r>
              <w:rPr>
                <w:rFonts w:hint="default" w:ascii="Times New Roman" w:hAnsi="Times New Roman" w:eastAsia="宋体" w:cs="Times New Roman"/>
                <w:color w:val="auto"/>
                <w:kern w:val="2"/>
                <w:sz w:val="21"/>
                <w:szCs w:val="21"/>
                <w:highlight w:val="none"/>
              </w:rPr>
              <w:t>S：</w:t>
            </w:r>
            <w:r>
              <w:rPr>
                <w:rFonts w:hint="eastAsia" w:ascii="Times New Roman" w:hAnsi="Times New Roman" w:cs="Times New Roman"/>
                <w:color w:val="auto"/>
                <w:kern w:val="2"/>
                <w:sz w:val="21"/>
                <w:szCs w:val="21"/>
                <w:highlight w:val="none"/>
                <w:lang w:val="en-US" w:eastAsia="zh-CN"/>
              </w:rPr>
              <w:t>0.000001</w:t>
            </w:r>
            <w:r>
              <w:rPr>
                <w:rFonts w:hint="default" w:ascii="Times New Roman" w:hAnsi="Times New Roman" w:eastAsia="宋体" w:cs="Times New Roman"/>
                <w:color w:val="auto"/>
                <w:kern w:val="2"/>
                <w:sz w:val="21"/>
                <w:szCs w:val="21"/>
                <w:highlight w:val="none"/>
              </w:rPr>
              <w:t>kg/h</w:t>
            </w:r>
          </w:p>
        </w:tc>
        <w:tc>
          <w:tcPr>
            <w:tcW w:w="2111"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16" w:hRule="atLeast"/>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16" w:right="-12"/>
              <w:jc w:val="center"/>
              <w:rPr>
                <w:rFonts w:hint="default" w:ascii="Times New Roman" w:hAnsi="Times New Roman" w:eastAsia="宋体" w:cs="Times New Roman"/>
                <w:color w:val="auto"/>
                <w:kern w:val="2"/>
                <w:sz w:val="21"/>
                <w:szCs w:val="21"/>
                <w:highlight w:val="none"/>
              </w:rPr>
            </w:pPr>
          </w:p>
        </w:tc>
        <w:tc>
          <w:tcPr>
            <w:tcW w:w="1339" w:type="dxa"/>
            <w:tcBorders>
              <w:top w:val="single" w:color="auto" w:sz="4" w:space="0"/>
            </w:tcBorders>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病死</w:t>
            </w:r>
            <w:r>
              <w:rPr>
                <w:rFonts w:hint="eastAsia" w:ascii="Times New Roman" w:hAnsi="Times New Roman" w:cs="Times New Roman"/>
                <w:color w:val="auto"/>
                <w:kern w:val="2"/>
                <w:sz w:val="21"/>
                <w:szCs w:val="21"/>
                <w:highlight w:val="none"/>
                <w:lang w:eastAsia="zh-CN"/>
              </w:rPr>
              <w:t>牛</w:t>
            </w:r>
            <w:r>
              <w:rPr>
                <w:rFonts w:hint="default" w:ascii="Times New Roman" w:hAnsi="Times New Roman" w:eastAsia="宋体" w:cs="Times New Roman"/>
                <w:color w:val="auto"/>
                <w:kern w:val="2"/>
                <w:sz w:val="21"/>
                <w:szCs w:val="21"/>
                <w:highlight w:val="none"/>
              </w:rPr>
              <w:t>处理车间</w:t>
            </w:r>
          </w:p>
        </w:tc>
        <w:tc>
          <w:tcPr>
            <w:tcW w:w="2668" w:type="dxa"/>
            <w:tcBorders>
              <w:top w:val="single" w:color="auto" w:sz="4" w:space="0"/>
            </w:tcBorders>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eastAsia="zh-CN"/>
              </w:rPr>
              <w:t>少量</w:t>
            </w: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eastAsia"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H</w:t>
            </w:r>
            <w:r>
              <w:rPr>
                <w:rFonts w:hint="default" w:ascii="Times New Roman" w:hAnsi="Times New Roman" w:eastAsia="宋体" w:cs="Times New Roman"/>
                <w:color w:val="auto"/>
                <w:kern w:val="2"/>
                <w:sz w:val="21"/>
                <w:szCs w:val="21"/>
                <w:highlight w:val="none"/>
                <w:vertAlign w:val="subscript"/>
              </w:rPr>
              <w:t>2</w:t>
            </w:r>
            <w:r>
              <w:rPr>
                <w:rFonts w:hint="default" w:ascii="Times New Roman" w:hAnsi="Times New Roman" w:eastAsia="宋体" w:cs="Times New Roman"/>
                <w:color w:val="auto"/>
                <w:kern w:val="2"/>
                <w:sz w:val="21"/>
                <w:szCs w:val="21"/>
                <w:highlight w:val="none"/>
              </w:rPr>
              <w:t>S</w:t>
            </w:r>
          </w:p>
        </w:tc>
        <w:tc>
          <w:tcPr>
            <w:tcW w:w="3645"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eastAsia" w:ascii="Times New Roman" w:hAnsi="Times New Roman" w:eastAsia="宋体" w:cs="Times New Roman"/>
                <w:color w:val="auto"/>
                <w:kern w:val="2"/>
                <w:sz w:val="21"/>
                <w:szCs w:val="21"/>
                <w:highlight w:val="none"/>
                <w:lang w:eastAsia="zh-CN"/>
              </w:rPr>
            </w:pPr>
            <w:r>
              <w:rPr>
                <w:rFonts w:hint="eastAsia" w:ascii="Times New Roman" w:hAnsi="Times New Roman" w:cs="Times New Roman"/>
                <w:color w:val="auto"/>
                <w:kern w:val="2"/>
                <w:sz w:val="21"/>
                <w:szCs w:val="21"/>
                <w:highlight w:val="none"/>
                <w:lang w:eastAsia="zh-CN"/>
              </w:rPr>
              <w:t>恶臭净化器净化后排放</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w:t>
            </w:r>
            <w:r>
              <w:rPr>
                <w:rFonts w:hint="eastAsia" w:ascii="Times New Roman" w:hAnsi="Times New Roman" w:eastAsia="宋体" w:cs="Times New Roman"/>
                <w:color w:val="auto"/>
                <w:kern w:val="2"/>
                <w:sz w:val="21"/>
                <w:szCs w:val="21"/>
                <w:highlight w:val="none"/>
                <w:lang w:val="en-US" w:eastAsia="zh-CN"/>
              </w:rPr>
              <w:t>0.13</w:t>
            </w:r>
            <w:r>
              <w:rPr>
                <w:rFonts w:hint="default" w:ascii="Times New Roman" w:hAnsi="Times New Roman" w:cs="Times New Roman"/>
                <w:color w:val="auto"/>
                <w:highlight w:val="none"/>
              </w:rPr>
              <w:t>mg/m³</w:t>
            </w:r>
          </w:p>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rPr>
              <w:t>H</w:t>
            </w:r>
            <w:r>
              <w:rPr>
                <w:rFonts w:hint="default" w:ascii="Times New Roman" w:hAnsi="Times New Roman" w:eastAsia="宋体" w:cs="Times New Roman"/>
                <w:color w:val="auto"/>
                <w:kern w:val="2"/>
                <w:sz w:val="21"/>
                <w:szCs w:val="21"/>
                <w:highlight w:val="none"/>
                <w:vertAlign w:val="subscript"/>
              </w:rPr>
              <w:t>2</w:t>
            </w:r>
            <w:r>
              <w:rPr>
                <w:rFonts w:hint="default" w:ascii="Times New Roman" w:hAnsi="Times New Roman" w:eastAsia="宋体" w:cs="Times New Roman"/>
                <w:color w:val="auto"/>
                <w:kern w:val="2"/>
                <w:sz w:val="21"/>
                <w:szCs w:val="21"/>
                <w:highlight w:val="none"/>
              </w:rPr>
              <w:t>S：</w:t>
            </w:r>
            <w:r>
              <w:rPr>
                <w:rFonts w:hint="eastAsia" w:ascii="Times New Roman" w:hAnsi="Times New Roman" w:eastAsia="宋体" w:cs="Times New Roman"/>
                <w:color w:val="auto"/>
                <w:kern w:val="2"/>
                <w:sz w:val="21"/>
                <w:szCs w:val="21"/>
                <w:highlight w:val="none"/>
                <w:lang w:val="en-US" w:eastAsia="zh-CN"/>
              </w:rPr>
              <w:t>0.04</w:t>
            </w:r>
            <w:r>
              <w:rPr>
                <w:rFonts w:hint="default" w:ascii="Times New Roman" w:hAnsi="Times New Roman" w:cs="Times New Roman"/>
                <w:color w:val="auto"/>
                <w:highlight w:val="none"/>
              </w:rPr>
              <w:t>mg/m³</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eastAsia" w:ascii="Times New Roman" w:hAnsi="Times New Roman" w:eastAsia="宋体" w:cs="Times New Roman"/>
                <w:color w:val="auto"/>
                <w:kern w:val="2"/>
                <w:sz w:val="21"/>
                <w:szCs w:val="21"/>
                <w:highlight w:val="none"/>
                <w:lang w:eastAsia="zh-CN"/>
              </w:rPr>
            </w:pPr>
            <w:r>
              <w:rPr>
                <w:rFonts w:hint="eastAsia" w:ascii="Times New Roman" w:hAnsi="Times New Roman" w:cs="Times New Roman"/>
                <w:color w:val="auto"/>
                <w:kern w:val="2"/>
                <w:sz w:val="21"/>
                <w:szCs w:val="21"/>
                <w:highlight w:val="none"/>
                <w:lang w:eastAsia="zh-CN"/>
              </w:rPr>
              <w:t>无组织排放</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沼气</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b w:val="0"/>
                <w:bCs w:val="0"/>
                <w:color w:val="auto"/>
                <w:kern w:val="2"/>
                <w:sz w:val="21"/>
                <w:szCs w:val="21"/>
                <w:highlight w:val="none"/>
                <w:lang w:val="en-US" w:eastAsia="zh-CN" w:bidi="ar-SA"/>
              </w:rPr>
              <w:t>57.71</w:t>
            </w:r>
            <w:r>
              <w:rPr>
                <w:rFonts w:hint="default" w:ascii="Times New Roman" w:hAnsi="Times New Roman" w:eastAsia="宋体" w:cs="Times New Roman"/>
                <w:color w:val="auto"/>
                <w:kern w:val="2"/>
                <w:sz w:val="21"/>
                <w:szCs w:val="21"/>
                <w:highlight w:val="none"/>
              </w:rPr>
              <w:t>m</w:t>
            </w:r>
            <w:r>
              <w:rPr>
                <w:rFonts w:hint="default" w:ascii="Times New Roman" w:hAnsi="Times New Roman" w:eastAsia="宋体" w:cs="Times New Roman"/>
                <w:color w:val="auto"/>
                <w:kern w:val="2"/>
                <w:sz w:val="21"/>
                <w:szCs w:val="21"/>
                <w:highlight w:val="none"/>
                <w:vertAlign w:val="superscript"/>
              </w:rPr>
              <w:t>3</w:t>
            </w:r>
            <w:r>
              <w:rPr>
                <w:rFonts w:hint="default" w:ascii="Times New Roman" w:hAnsi="Times New Roman" w:eastAsia="宋体" w:cs="Times New Roman"/>
                <w:color w:val="auto"/>
                <w:kern w:val="2"/>
                <w:sz w:val="21"/>
                <w:szCs w:val="21"/>
                <w:highlight w:val="none"/>
              </w:rPr>
              <w:t>/d</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净化后</w:t>
            </w:r>
            <w:r>
              <w:rPr>
                <w:rFonts w:hint="eastAsia" w:ascii="Times New Roman" w:hAnsi="Times New Roman" w:cs="Times New Roman"/>
                <w:color w:val="auto"/>
                <w:kern w:val="2"/>
                <w:sz w:val="21"/>
                <w:szCs w:val="21"/>
                <w:highlight w:val="none"/>
                <w:lang w:val="en-US" w:eastAsia="zh-CN"/>
              </w:rPr>
              <w:t>生活用气</w:t>
            </w:r>
            <w:r>
              <w:rPr>
                <w:rFonts w:hint="eastAsia" w:ascii="Times New Roman" w:hAnsi="Times New Roman" w:cs="Times New Roman"/>
                <w:color w:val="auto"/>
                <w:kern w:val="2"/>
                <w:sz w:val="21"/>
                <w:szCs w:val="21"/>
                <w:highlight w:val="none"/>
                <w:lang w:eastAsia="zh-CN"/>
              </w:rPr>
              <w:t>或</w:t>
            </w:r>
            <w:r>
              <w:rPr>
                <w:rFonts w:hint="eastAsia" w:ascii="Times New Roman" w:hAnsi="Times New Roman" w:cs="Times New Roman"/>
                <w:color w:val="auto"/>
                <w:kern w:val="2"/>
                <w:sz w:val="21"/>
                <w:szCs w:val="21"/>
                <w:highlight w:val="none"/>
                <w:lang w:val="en-US" w:eastAsia="zh-CN"/>
              </w:rPr>
              <w:t>照明</w:t>
            </w:r>
            <w:r>
              <w:rPr>
                <w:rFonts w:hint="default" w:ascii="Times New Roman" w:hAnsi="Times New Roman" w:eastAsia="宋体" w:cs="Times New Roman"/>
                <w:color w:val="auto"/>
                <w:kern w:val="2"/>
                <w:sz w:val="21"/>
                <w:szCs w:val="21"/>
                <w:highlight w:val="none"/>
              </w:rPr>
              <w:t>使用</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清洁能源，燃烧废气对外环境无明显影响</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食堂油烟</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0.0</w:t>
            </w:r>
            <w:r>
              <w:rPr>
                <w:rFonts w:hint="eastAsia" w:ascii="Times New Roman" w:hAnsi="Times New Roman" w:cs="Times New Roman"/>
                <w:color w:val="auto"/>
                <w:kern w:val="2"/>
                <w:sz w:val="21"/>
                <w:szCs w:val="21"/>
                <w:highlight w:val="none"/>
                <w:lang w:val="en-US" w:eastAsia="zh-CN"/>
              </w:rPr>
              <w:t>03</w:t>
            </w:r>
            <w:r>
              <w:rPr>
                <w:rFonts w:hint="default" w:ascii="Times New Roman" w:hAnsi="Times New Roman" w:eastAsia="宋体" w:cs="Times New Roman"/>
                <w:color w:val="auto"/>
                <w:kern w:val="2"/>
                <w:sz w:val="21"/>
                <w:szCs w:val="21"/>
                <w:highlight w:val="none"/>
              </w:rPr>
              <w:t>kg/h</w:t>
            </w:r>
          </w:p>
        </w:tc>
        <w:tc>
          <w:tcPr>
            <w:tcW w:w="3645"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经油烟罩收集后，再经油烟净化设备处 理，油烟的净化率可达75%以上，治理后油烟引至食堂楼顶排入大气</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0.00</w:t>
            </w:r>
            <w:r>
              <w:rPr>
                <w:rFonts w:hint="eastAsia" w:ascii="Times New Roman" w:hAnsi="Times New Roman" w:cs="Times New Roman"/>
                <w:color w:val="auto"/>
                <w:kern w:val="2"/>
                <w:sz w:val="21"/>
                <w:szCs w:val="21"/>
                <w:highlight w:val="none"/>
                <w:lang w:val="en-US" w:eastAsia="zh-CN"/>
              </w:rPr>
              <w:t>075</w:t>
            </w:r>
            <w:r>
              <w:rPr>
                <w:rFonts w:hint="default" w:ascii="Times New Roman" w:hAnsi="Times New Roman" w:eastAsia="宋体" w:cs="Times New Roman"/>
                <w:color w:val="auto"/>
                <w:kern w:val="2"/>
                <w:sz w:val="21"/>
                <w:szCs w:val="21"/>
                <w:highlight w:val="none"/>
              </w:rPr>
              <w:t>kg/h</w:t>
            </w:r>
          </w:p>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0.</w:t>
            </w:r>
            <w:r>
              <w:rPr>
                <w:rFonts w:hint="eastAsia" w:ascii="Times New Roman" w:hAnsi="Times New Roman" w:cs="Times New Roman"/>
                <w:color w:val="auto"/>
                <w:kern w:val="2"/>
                <w:sz w:val="21"/>
                <w:szCs w:val="21"/>
                <w:highlight w:val="none"/>
                <w:lang w:val="en-US" w:eastAsia="zh-CN"/>
              </w:rPr>
              <w:t>15</w:t>
            </w:r>
            <w:r>
              <w:rPr>
                <w:rFonts w:hint="default" w:ascii="Times New Roman" w:hAnsi="Times New Roman" w:eastAsia="宋体" w:cs="Times New Roman"/>
                <w:color w:val="auto"/>
                <w:kern w:val="2"/>
                <w:sz w:val="21"/>
                <w:szCs w:val="21"/>
                <w:highlight w:val="none"/>
              </w:rPr>
              <w:t>mg/m</w:t>
            </w:r>
            <w:r>
              <w:rPr>
                <w:rFonts w:hint="default" w:ascii="Times New Roman" w:hAnsi="Times New Roman" w:eastAsia="宋体" w:cs="Times New Roman"/>
                <w:color w:val="auto"/>
                <w:kern w:val="2"/>
                <w:sz w:val="21"/>
                <w:szCs w:val="21"/>
                <w:highlight w:val="none"/>
                <w:vertAlign w:val="superscript"/>
              </w:rPr>
              <w:t>3</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排放浓度能达到《饮食业油烟排放标准》(GB18483-2001)小型规模标准</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发电机废气</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少量CO、HC、NOx</w:t>
            </w:r>
          </w:p>
        </w:tc>
        <w:tc>
          <w:tcPr>
            <w:tcW w:w="3645" w:type="dxa"/>
            <w:noWrap w:val="0"/>
            <w:vAlign w:val="center"/>
          </w:tcPr>
          <w:p>
            <w:pPr>
              <w:pStyle w:val="167"/>
              <w:keepNext w:val="0"/>
              <w:keepLines w:val="0"/>
              <w:suppressLineNumbers w:val="0"/>
              <w:kinsoku w:val="0"/>
              <w:overflowPunct w:val="0"/>
              <w:spacing w:before="0" w:beforeAutospacing="0" w:after="0" w:afterAutospacing="0"/>
              <w:ind w:left="106"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由自身携带的废气净化装置处理，处理后经抽排风系统抽至排风口处排放</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少量</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达标排放</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固体</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废弃</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物</w:t>
            </w:r>
          </w:p>
        </w:tc>
        <w:tc>
          <w:tcPr>
            <w:tcW w:w="604"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施工期</w:t>
            </w: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开挖弃土方</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31000m</w:t>
            </w:r>
            <w:r>
              <w:rPr>
                <w:rFonts w:hint="default" w:ascii="Times New Roman" w:hAnsi="Times New Roman" w:eastAsia="宋体" w:cs="Times New Roman"/>
                <w:color w:val="auto"/>
                <w:kern w:val="2"/>
                <w:sz w:val="21"/>
                <w:szCs w:val="21"/>
                <w:highlight w:val="none"/>
                <w:vertAlign w:val="superscript"/>
              </w:rPr>
              <w:t>3</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绿化覆土</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建筑垃圾</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375.275</w:t>
            </w:r>
            <w:r>
              <w:rPr>
                <w:rFonts w:hint="default" w:ascii="Times New Roman" w:hAnsi="Times New Roman" w:eastAsia="宋体" w:cs="Times New Roman"/>
                <w:color w:val="auto"/>
                <w:kern w:val="2"/>
                <w:sz w:val="21"/>
                <w:szCs w:val="21"/>
                <w:highlight w:val="none"/>
              </w:rPr>
              <w:t>t</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外运至城建部门制定地点堆放</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外运</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生活垃圾</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50kg/d</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交由环卫部门统一收集清运</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50kg/d</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营运期</w:t>
            </w: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lang w:val="en-US" w:eastAsia="zh-CN" w:bidi="ar-SA"/>
              </w:rPr>
              <w:t>牛</w:t>
            </w:r>
            <w:r>
              <w:rPr>
                <w:rFonts w:hint="default" w:ascii="Times New Roman" w:hAnsi="Times New Roman" w:eastAsia="宋体" w:cs="Times New Roman"/>
                <w:color w:val="auto"/>
                <w:kern w:val="2"/>
                <w:sz w:val="21"/>
                <w:szCs w:val="21"/>
                <w:highlight w:val="none"/>
                <w:lang w:val="en-US" w:eastAsia="zh-CN" w:bidi="ar-SA"/>
              </w:rPr>
              <w:t>粪</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26805.6</w:t>
            </w:r>
            <w:r>
              <w:rPr>
                <w:rFonts w:hint="default" w:ascii="Times New Roman" w:hAnsi="Times New Roman" w:eastAsia="宋体" w:cs="Times New Roman"/>
                <w:color w:val="auto"/>
                <w:kern w:val="2"/>
                <w:sz w:val="21"/>
                <w:szCs w:val="21"/>
                <w:highlight w:val="none"/>
              </w:rPr>
              <w:t>t/a</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SA"/>
              </w:rPr>
              <w:t>运输至</w:t>
            </w:r>
            <w:r>
              <w:rPr>
                <w:rFonts w:hint="eastAsia" w:ascii="Times New Roman" w:hAnsi="Times New Roman" w:cs="Times New Roman"/>
                <w:color w:val="auto"/>
                <w:kern w:val="2"/>
                <w:sz w:val="21"/>
                <w:szCs w:val="21"/>
                <w:highlight w:val="none"/>
                <w:lang w:val="en-US" w:eastAsia="zh-CN" w:bidi="ar-SA"/>
              </w:rPr>
              <w:t>南江县万事康生物科技有限公司</w:t>
            </w:r>
            <w:r>
              <w:rPr>
                <w:rFonts w:hint="default" w:ascii="Times New Roman" w:hAnsi="Times New Roman" w:eastAsia="宋体" w:cs="Times New Roman"/>
                <w:color w:val="auto"/>
                <w:kern w:val="2"/>
                <w:sz w:val="21"/>
                <w:szCs w:val="21"/>
                <w:highlight w:val="none"/>
                <w:lang w:val="en-US" w:eastAsia="zh-CN" w:bidi="ar-SA"/>
              </w:rPr>
              <w:t>用作生产有机肥原料使用</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26805.6</w:t>
            </w:r>
            <w:r>
              <w:rPr>
                <w:rFonts w:hint="default" w:ascii="Times New Roman" w:hAnsi="Times New Roman" w:eastAsia="宋体" w:cs="Times New Roman"/>
                <w:color w:val="auto"/>
                <w:kern w:val="2"/>
                <w:sz w:val="21"/>
                <w:szCs w:val="21"/>
                <w:highlight w:val="none"/>
              </w:rPr>
              <w:t>t/a</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资源化利用</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沼渣、污泥</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56.84</w:t>
            </w:r>
            <w:r>
              <w:rPr>
                <w:rFonts w:hint="default" w:ascii="Times New Roman" w:hAnsi="Times New Roman" w:eastAsia="宋体" w:cs="Times New Roman"/>
                <w:color w:val="auto"/>
                <w:kern w:val="2"/>
                <w:sz w:val="21"/>
                <w:szCs w:val="21"/>
                <w:highlight w:val="none"/>
              </w:rPr>
              <w:t>/a</w:t>
            </w:r>
          </w:p>
        </w:tc>
        <w:tc>
          <w:tcPr>
            <w:tcW w:w="3645" w:type="dxa"/>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SA"/>
              </w:rPr>
              <w:t>运输至</w:t>
            </w:r>
            <w:r>
              <w:rPr>
                <w:rFonts w:hint="eastAsia" w:ascii="Times New Roman" w:hAnsi="Times New Roman" w:cs="Times New Roman"/>
                <w:color w:val="auto"/>
                <w:kern w:val="2"/>
                <w:sz w:val="21"/>
                <w:szCs w:val="21"/>
                <w:highlight w:val="none"/>
                <w:lang w:val="en-US" w:eastAsia="zh-CN" w:bidi="ar-SA"/>
              </w:rPr>
              <w:t>南江县万事康生物科技有限公司</w:t>
            </w:r>
            <w:r>
              <w:rPr>
                <w:rFonts w:hint="default" w:ascii="Times New Roman" w:hAnsi="Times New Roman" w:eastAsia="宋体" w:cs="Times New Roman"/>
                <w:color w:val="auto"/>
                <w:kern w:val="2"/>
                <w:sz w:val="21"/>
                <w:szCs w:val="21"/>
                <w:highlight w:val="none"/>
                <w:lang w:val="en-US" w:eastAsia="zh-CN" w:bidi="ar-SA"/>
              </w:rPr>
              <w:t>用作生产有机肥原料使用</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56.84</w:t>
            </w:r>
            <w:r>
              <w:rPr>
                <w:rFonts w:hint="default" w:ascii="Times New Roman" w:hAnsi="Times New Roman" w:eastAsia="宋体" w:cs="Times New Roman"/>
                <w:color w:val="auto"/>
                <w:kern w:val="2"/>
                <w:sz w:val="21"/>
                <w:szCs w:val="21"/>
                <w:highlight w:val="none"/>
              </w:rPr>
              <w:t>t/a</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资源化利用</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病死</w:t>
            </w:r>
            <w:r>
              <w:rPr>
                <w:rFonts w:hint="eastAsia" w:ascii="Times New Roman" w:hAnsi="Times New Roman" w:cs="Times New Roman"/>
                <w:color w:val="auto"/>
                <w:kern w:val="2"/>
                <w:sz w:val="21"/>
                <w:szCs w:val="21"/>
                <w:highlight w:val="none"/>
                <w:lang w:eastAsia="zh-CN"/>
              </w:rPr>
              <w:t>牛</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3.75</w:t>
            </w:r>
            <w:r>
              <w:rPr>
                <w:rFonts w:hint="default" w:ascii="Times New Roman" w:hAnsi="Times New Roman" w:eastAsia="宋体" w:cs="Times New Roman"/>
                <w:color w:val="auto"/>
                <w:kern w:val="2"/>
                <w:sz w:val="21"/>
                <w:szCs w:val="21"/>
                <w:highlight w:val="none"/>
              </w:rPr>
              <w:t>t/a</w:t>
            </w:r>
          </w:p>
        </w:tc>
        <w:tc>
          <w:tcPr>
            <w:tcW w:w="3645" w:type="dxa"/>
            <w:noWrap w:val="0"/>
            <w:vAlign w:val="center"/>
          </w:tcPr>
          <w:p>
            <w:pPr>
              <w:pStyle w:val="172"/>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2"/>
                <w:sz w:val="21"/>
                <w:szCs w:val="21"/>
                <w:highlight w:val="none"/>
                <w:lang w:val="en-US" w:eastAsia="zh-CN" w:bidi="ar-SA"/>
              </w:rPr>
              <w:t>采用</w:t>
            </w:r>
            <w:r>
              <w:rPr>
                <w:rFonts w:hint="eastAsia" w:ascii="Times New Roman" w:hAnsi="Times New Roman" w:eastAsia="宋体" w:cs="Times New Roman"/>
                <w:color w:val="auto"/>
                <w:kern w:val="2"/>
                <w:sz w:val="21"/>
                <w:szCs w:val="21"/>
                <w:highlight w:val="none"/>
                <w:lang w:val="en-US" w:eastAsia="zh-CN" w:bidi="ar-SA"/>
              </w:rPr>
              <w:t>无害化降解处理机</w:t>
            </w:r>
            <w:r>
              <w:rPr>
                <w:rFonts w:hint="default" w:ascii="Times New Roman" w:hAnsi="Times New Roman" w:eastAsia="宋体" w:cs="Times New Roman"/>
                <w:color w:val="auto"/>
                <w:kern w:val="2"/>
                <w:sz w:val="21"/>
                <w:szCs w:val="21"/>
                <w:highlight w:val="none"/>
                <w:lang w:val="en-US" w:eastAsia="zh-CN" w:bidi="ar-SA"/>
              </w:rPr>
              <w:t>处理，处理后运输至</w:t>
            </w:r>
            <w:r>
              <w:rPr>
                <w:rFonts w:hint="eastAsia" w:cs="Times New Roman"/>
                <w:color w:val="auto"/>
                <w:kern w:val="2"/>
                <w:sz w:val="21"/>
                <w:szCs w:val="21"/>
                <w:highlight w:val="none"/>
                <w:lang w:val="en-US" w:eastAsia="zh-CN" w:bidi="ar-SA"/>
              </w:rPr>
              <w:t>南江县万事康生物科技有限公司</w:t>
            </w:r>
            <w:r>
              <w:rPr>
                <w:rFonts w:hint="default" w:ascii="Times New Roman" w:hAnsi="Times New Roman" w:eastAsia="宋体" w:cs="Times New Roman"/>
                <w:color w:val="auto"/>
                <w:kern w:val="2"/>
                <w:sz w:val="21"/>
                <w:szCs w:val="21"/>
                <w:highlight w:val="none"/>
                <w:lang w:val="en-US" w:eastAsia="zh-CN" w:bidi="ar-SA"/>
              </w:rPr>
              <w:t>用作生产有机肥原料使用</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3.75</w:t>
            </w:r>
            <w:r>
              <w:rPr>
                <w:rFonts w:hint="default" w:ascii="Times New Roman" w:hAnsi="Times New Roman" w:eastAsia="宋体" w:cs="Times New Roman"/>
                <w:color w:val="auto"/>
                <w:kern w:val="2"/>
                <w:sz w:val="21"/>
                <w:szCs w:val="21"/>
                <w:highlight w:val="none"/>
              </w:rPr>
              <w:t>t/a</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资源化利用</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畜禽医疗废物</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1</w:t>
            </w:r>
            <w:r>
              <w:rPr>
                <w:rFonts w:hint="default" w:ascii="Times New Roman" w:hAnsi="Times New Roman" w:eastAsia="宋体" w:cs="Times New Roman"/>
                <w:color w:val="auto"/>
                <w:kern w:val="2"/>
                <w:sz w:val="21"/>
                <w:szCs w:val="21"/>
                <w:highlight w:val="none"/>
              </w:rPr>
              <w:t>t/a</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rPr>
              <w:t>暂存于危险废物暂存间，交由危险废物处置单位进行处置</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1</w:t>
            </w:r>
            <w:r>
              <w:rPr>
                <w:rFonts w:hint="default" w:ascii="Times New Roman" w:hAnsi="Times New Roman" w:eastAsia="宋体" w:cs="Times New Roman"/>
                <w:color w:val="auto"/>
                <w:kern w:val="2"/>
                <w:sz w:val="21"/>
                <w:szCs w:val="21"/>
                <w:highlight w:val="none"/>
              </w:rPr>
              <w:t>t/a</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无害化处置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废包装材料</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1.5</w:t>
            </w:r>
            <w:r>
              <w:rPr>
                <w:rFonts w:hint="default" w:ascii="Times New Roman" w:hAnsi="Times New Roman" w:eastAsia="宋体" w:cs="Times New Roman"/>
                <w:color w:val="auto"/>
                <w:kern w:val="2"/>
                <w:sz w:val="21"/>
                <w:szCs w:val="21"/>
                <w:highlight w:val="none"/>
              </w:rPr>
              <w:t>t/a</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rPr>
              <w:t>统一收集后送至废品回收站收购</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1.5</w:t>
            </w:r>
            <w:r>
              <w:rPr>
                <w:rFonts w:hint="default" w:ascii="Times New Roman" w:hAnsi="Times New Roman" w:eastAsia="宋体" w:cs="Times New Roman"/>
                <w:color w:val="auto"/>
                <w:kern w:val="2"/>
                <w:sz w:val="21"/>
                <w:szCs w:val="21"/>
                <w:highlight w:val="none"/>
              </w:rPr>
              <w:t>t/a</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资源化利用</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生活垃圾</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14.6</w:t>
            </w:r>
            <w:r>
              <w:rPr>
                <w:rFonts w:hint="default" w:ascii="Times New Roman" w:hAnsi="Times New Roman" w:eastAsia="宋体" w:cs="Times New Roman"/>
                <w:color w:val="auto"/>
                <w:kern w:val="2"/>
                <w:sz w:val="21"/>
                <w:szCs w:val="21"/>
                <w:highlight w:val="none"/>
              </w:rPr>
              <w:t>t/a</w:t>
            </w:r>
          </w:p>
        </w:tc>
        <w:tc>
          <w:tcPr>
            <w:tcW w:w="3645"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rPr>
              <w:t>袋装收集后暂存于生活垃圾暂存间，及时运往垃圾中转站，由环卫部门统一清运处置</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14.6</w:t>
            </w:r>
            <w:r>
              <w:rPr>
                <w:rFonts w:hint="default" w:ascii="Times New Roman" w:hAnsi="Times New Roman" w:eastAsia="宋体" w:cs="Times New Roman"/>
                <w:color w:val="auto"/>
                <w:kern w:val="2"/>
                <w:sz w:val="21"/>
                <w:szCs w:val="21"/>
                <w:highlight w:val="none"/>
              </w:rPr>
              <w:t>t/a</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餐厨垃圾（含隔油池油脂）</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leftChars="0" w:right="0" w:rightChars="0"/>
              <w:jc w:val="center"/>
              <w:rPr>
                <w:rFonts w:hint="eastAsia"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2.92</w:t>
            </w:r>
            <w:r>
              <w:rPr>
                <w:rFonts w:hint="default" w:ascii="Times New Roman" w:hAnsi="Times New Roman" w:eastAsia="宋体" w:cs="Times New Roman"/>
                <w:color w:val="auto"/>
                <w:kern w:val="2"/>
                <w:sz w:val="21"/>
                <w:szCs w:val="21"/>
                <w:highlight w:val="none"/>
              </w:rPr>
              <w:t>t/a</w:t>
            </w:r>
          </w:p>
        </w:tc>
        <w:tc>
          <w:tcPr>
            <w:tcW w:w="3645" w:type="dxa"/>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kern w:val="2"/>
                <w:sz w:val="21"/>
                <w:szCs w:val="21"/>
                <w:highlight w:val="none"/>
                <w:lang w:val="en-US" w:eastAsia="zh-CN" w:bidi="ar-SA"/>
              </w:rPr>
              <w:t>收集后交由餐厨垃圾收运单位清运处置。</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leftChars="0" w:right="0" w:rightChars="0"/>
              <w:jc w:val="center"/>
              <w:rPr>
                <w:rFonts w:hint="eastAsia"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2.92</w:t>
            </w:r>
            <w:r>
              <w:rPr>
                <w:rFonts w:hint="default" w:ascii="Times New Roman" w:hAnsi="Times New Roman" w:eastAsia="宋体" w:cs="Times New Roman"/>
                <w:color w:val="auto"/>
                <w:kern w:val="2"/>
                <w:sz w:val="21"/>
                <w:szCs w:val="21"/>
                <w:highlight w:val="none"/>
              </w:rPr>
              <w:t>t/a</w:t>
            </w:r>
          </w:p>
        </w:tc>
        <w:tc>
          <w:tcPr>
            <w:tcW w:w="2111" w:type="dxa"/>
            <w:noWrap w:val="0"/>
            <w:vAlign w:val="center"/>
          </w:tcPr>
          <w:p>
            <w:pPr>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化粪池污泥</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leftChars="0" w:right="0" w:rightChars="0"/>
              <w:jc w:val="center"/>
              <w:rPr>
                <w:rFonts w:hint="eastAsia"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0.327</w:t>
            </w:r>
            <w:r>
              <w:rPr>
                <w:rFonts w:hint="default" w:ascii="Times New Roman" w:hAnsi="Times New Roman" w:eastAsia="宋体" w:cs="Times New Roman"/>
                <w:color w:val="auto"/>
                <w:kern w:val="2"/>
                <w:sz w:val="21"/>
                <w:szCs w:val="21"/>
                <w:highlight w:val="none"/>
              </w:rPr>
              <w:t>t/a</w:t>
            </w:r>
          </w:p>
        </w:tc>
        <w:tc>
          <w:tcPr>
            <w:tcW w:w="3645" w:type="dxa"/>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定期清掏，清掏后运输至南江县万事康生物科技有限公司用作生产有机肥原料使用。</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leftChars="0" w:right="0" w:rightChars="0"/>
              <w:jc w:val="center"/>
              <w:rPr>
                <w:rFonts w:hint="eastAsia"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0.327</w:t>
            </w:r>
            <w:r>
              <w:rPr>
                <w:rFonts w:hint="default" w:ascii="Times New Roman" w:hAnsi="Times New Roman" w:eastAsia="宋体" w:cs="Times New Roman"/>
                <w:color w:val="auto"/>
                <w:kern w:val="2"/>
                <w:sz w:val="21"/>
                <w:szCs w:val="21"/>
                <w:highlight w:val="none"/>
              </w:rPr>
              <w:t>t/a</w:t>
            </w:r>
          </w:p>
        </w:tc>
        <w:tc>
          <w:tcPr>
            <w:tcW w:w="2111" w:type="dxa"/>
            <w:noWrap w:val="0"/>
            <w:vAlign w:val="center"/>
          </w:tcPr>
          <w:p>
            <w:pPr>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废脱硫剂</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1.05</w:t>
            </w:r>
            <w:r>
              <w:rPr>
                <w:rFonts w:hint="default" w:ascii="Times New Roman" w:hAnsi="Times New Roman" w:eastAsia="宋体" w:cs="Times New Roman"/>
                <w:color w:val="auto"/>
                <w:kern w:val="2"/>
                <w:sz w:val="21"/>
                <w:szCs w:val="21"/>
                <w:highlight w:val="none"/>
              </w:rPr>
              <w:t>t/a</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rPr>
              <w:t>集中收集后交由原厂家回收再生利用</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val="en-US" w:eastAsia="zh-CN"/>
              </w:rPr>
              <w:t>1.05</w:t>
            </w:r>
            <w:r>
              <w:rPr>
                <w:rFonts w:hint="default" w:ascii="Times New Roman" w:hAnsi="Times New Roman" w:eastAsia="宋体" w:cs="Times New Roman"/>
                <w:color w:val="auto"/>
                <w:kern w:val="2"/>
                <w:sz w:val="21"/>
                <w:szCs w:val="21"/>
                <w:highlight w:val="none"/>
              </w:rPr>
              <w:t>t/a</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restart"/>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噪声</w:t>
            </w:r>
          </w:p>
        </w:tc>
        <w:tc>
          <w:tcPr>
            <w:tcW w:w="604"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施工期</w:t>
            </w: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施工机械及运输车辆</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施工期间各类噪声源强在75~105dB(A)之间</w:t>
            </w:r>
          </w:p>
        </w:tc>
        <w:tc>
          <w:tcPr>
            <w:tcW w:w="3645"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合理布设高噪声设备、设置施工围挡、合 理安排施工时间</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施工机械噪声非连续，满足《建筑施工场界环境噪声排放标准》（GB12523-2011）中限值要求</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噪声达标排放</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p>
        </w:tc>
        <w:tc>
          <w:tcPr>
            <w:tcW w:w="604"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营运期</w:t>
            </w:r>
          </w:p>
        </w:tc>
        <w:tc>
          <w:tcPr>
            <w:tcW w:w="1339"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设备运行噪声</w:t>
            </w:r>
          </w:p>
        </w:tc>
        <w:tc>
          <w:tcPr>
            <w:tcW w:w="2668"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kern w:val="2"/>
                <w:sz w:val="21"/>
                <w:szCs w:val="21"/>
                <w:highlight w:val="none"/>
                <w:lang w:eastAsia="zh-CN"/>
              </w:rPr>
              <w:t>牛</w:t>
            </w:r>
            <w:r>
              <w:rPr>
                <w:rFonts w:hint="default" w:ascii="Times New Roman" w:hAnsi="Times New Roman" w:eastAsia="宋体" w:cs="Times New Roman"/>
                <w:color w:val="auto"/>
                <w:kern w:val="2"/>
                <w:sz w:val="21"/>
                <w:szCs w:val="21"/>
                <w:highlight w:val="none"/>
              </w:rPr>
              <w:t>叫声：80dB(A)</w:t>
            </w:r>
          </w:p>
          <w:p>
            <w:pPr>
              <w:pStyle w:val="167"/>
              <w:keepNext w:val="0"/>
              <w:keepLines w:val="0"/>
              <w:suppressLineNumbers w:val="0"/>
              <w:kinsoku w:val="0"/>
              <w:wordWrap w:val="0"/>
              <w:overflowPunct w:val="0"/>
              <w:spacing w:before="0" w:beforeAutospacing="0" w:after="0" w:afterAutospacing="0"/>
              <w:ind w:left="0" w:right="105"/>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 xml:space="preserve">水泵：80dB(A) </w:t>
            </w:r>
          </w:p>
          <w:p>
            <w:pPr>
              <w:pStyle w:val="167"/>
              <w:keepNext w:val="0"/>
              <w:keepLines w:val="0"/>
              <w:suppressLineNumbers w:val="0"/>
              <w:kinsoku w:val="0"/>
              <w:wordWrap w:val="0"/>
              <w:overflowPunct w:val="0"/>
              <w:spacing w:before="0" w:beforeAutospacing="0" w:after="0" w:afterAutospacing="0"/>
              <w:ind w:left="0" w:right="105"/>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柴油发电机：85dB(A)</w:t>
            </w:r>
          </w:p>
          <w:p>
            <w:pPr>
              <w:pStyle w:val="167"/>
              <w:keepNext w:val="0"/>
              <w:keepLines w:val="0"/>
              <w:suppressLineNumbers w:val="0"/>
              <w:kinsoku w:val="0"/>
              <w:wordWrap w:val="0"/>
              <w:overflowPunct w:val="0"/>
              <w:spacing w:before="0" w:beforeAutospacing="0" w:after="0" w:afterAutospacing="0"/>
              <w:ind w:left="0" w:right="105"/>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污水处理系统：85dB(A)</w:t>
            </w:r>
          </w:p>
          <w:p>
            <w:pPr>
              <w:pStyle w:val="167"/>
              <w:keepNext w:val="0"/>
              <w:keepLines w:val="0"/>
              <w:suppressLineNumbers w:val="0"/>
              <w:kinsoku w:val="0"/>
              <w:wordWrap w:val="0"/>
              <w:overflowPunct w:val="0"/>
              <w:spacing w:before="0" w:beforeAutospacing="0" w:after="0" w:afterAutospacing="0"/>
              <w:ind w:left="0" w:right="105"/>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运输车辆：70dB(A)</w:t>
            </w:r>
          </w:p>
        </w:tc>
        <w:tc>
          <w:tcPr>
            <w:tcW w:w="3645"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加装减振垫、墙体隔声、距离衰减；对于 运输车辆</w:t>
            </w:r>
            <w:r>
              <w:rPr>
                <w:rFonts w:hint="default" w:ascii="Times New Roman" w:hAnsi="Times New Roman" w:eastAsia="宋体" w:cs="Times New Roman"/>
                <w:color w:val="auto"/>
                <w:sz w:val="21"/>
                <w:szCs w:val="21"/>
                <w:highlight w:val="none"/>
              </w:rPr>
              <w:t>合理安排行驶路线，</w:t>
            </w:r>
            <w:r>
              <w:rPr>
                <w:rFonts w:hint="default" w:ascii="Times New Roman" w:hAnsi="Times New Roman" w:eastAsia="宋体" w:cs="Times New Roman"/>
                <w:color w:val="auto"/>
                <w:kern w:val="2"/>
                <w:sz w:val="21"/>
                <w:szCs w:val="21"/>
                <w:highlight w:val="none"/>
              </w:rPr>
              <w:t>减速慢行、严禁鸣笛</w:t>
            </w:r>
          </w:p>
        </w:tc>
        <w:tc>
          <w:tcPr>
            <w:tcW w:w="2720" w:type="dxa"/>
            <w:gridSpan w:val="2"/>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rPr>
              <w:t>厂界噪声达标，</w:t>
            </w:r>
            <w:r>
              <w:rPr>
                <w:rFonts w:hint="default" w:ascii="Times New Roman" w:hAnsi="Times New Roman" w:eastAsia="宋体" w:cs="Times New Roman"/>
                <w:color w:val="auto"/>
                <w:kern w:val="2"/>
                <w:sz w:val="21"/>
                <w:szCs w:val="21"/>
                <w:highlight w:val="none"/>
              </w:rPr>
              <w:t>满足《工业企业厂界噪声排 放标准》（GB12348-2008）2类标准限值：昼间≤60dB(A) 夜间≤50dB(A)</w:t>
            </w:r>
          </w:p>
        </w:tc>
        <w:tc>
          <w:tcPr>
            <w:tcW w:w="2111" w:type="dxa"/>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噪声达标排放</w:t>
            </w:r>
          </w:p>
        </w:tc>
      </w:tr>
      <w:bookmarkEnd w:id="130"/>
    </w:tbl>
    <w:p>
      <w:pPr>
        <w:widowControl w:val="0"/>
        <w:spacing w:line="460" w:lineRule="exact"/>
        <w:ind w:firstLine="480" w:firstLineChars="200"/>
        <w:jc w:val="both"/>
        <w:rPr>
          <w:rFonts w:ascii="Times New Roman" w:hAnsi="Times New Roman" w:eastAsia="宋体" w:cs="Times New Roman"/>
          <w:color w:val="auto"/>
          <w:kern w:val="2"/>
          <w:sz w:val="24"/>
          <w:szCs w:val="20"/>
          <w:highlight w:val="none"/>
          <w:lang w:val="en-US" w:eastAsia="zh-CN" w:bidi="ar-SA"/>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6"/>
        <w:rPr>
          <w:color w:val="auto"/>
          <w:sz w:val="24"/>
          <w:highlight w:val="none"/>
        </w:rPr>
      </w:pPr>
      <w:bookmarkStart w:id="188" w:name="_Toc3170"/>
      <w:r>
        <w:rPr>
          <w:rFonts w:hint="default" w:ascii="Times New Roman" w:hAnsi="Times New Roman" w:eastAsia="宋体" w:cs="Times New Roman"/>
          <w:color w:val="auto"/>
          <w:highlight w:val="none"/>
        </w:rPr>
        <w:t>环境现状调查与评价</w:t>
      </w:r>
      <w:bookmarkEnd w:id="188"/>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default" w:ascii="Times New Roman" w:hAnsi="Times New Roman" w:eastAsia="宋体" w:cs="Times New Roman"/>
          <w:color w:val="auto"/>
          <w:highlight w:val="none"/>
        </w:rPr>
      </w:pPr>
      <w:bookmarkStart w:id="189" w:name="_Toc19179"/>
      <w:r>
        <w:rPr>
          <w:rFonts w:hint="default" w:ascii="Times New Roman" w:hAnsi="Times New Roman" w:eastAsia="宋体" w:cs="Times New Roman"/>
          <w:color w:val="auto"/>
          <w:highlight w:val="none"/>
        </w:rPr>
        <w:t>自然环境现状调查与评价</w:t>
      </w:r>
      <w:bookmarkEnd w:id="189"/>
    </w:p>
    <w:p>
      <w:pPr>
        <w:pStyle w:val="8"/>
        <w:spacing w:before="0" w:after="0" w:line="360" w:lineRule="auto"/>
        <w:ind w:left="0" w:firstLine="0"/>
        <w:rPr>
          <w:rFonts w:hint="default"/>
          <w:color w:val="auto"/>
          <w:highlight w:val="none"/>
        </w:rPr>
      </w:pPr>
      <w:bookmarkStart w:id="190" w:name="_Toc29221868"/>
      <w:bookmarkStart w:id="191" w:name="_Toc20431"/>
      <w:r>
        <w:rPr>
          <w:rFonts w:hint="eastAsia" w:cs="Times New Roman"/>
          <w:color w:val="auto"/>
          <w:highlight w:val="none"/>
          <w:lang w:eastAsia="zh-CN"/>
        </w:rPr>
        <w:t>自然环境概况</w:t>
      </w:r>
      <w:bookmarkEnd w:id="190"/>
      <w:bookmarkEnd w:id="191"/>
    </w:p>
    <w:p>
      <w:pPr>
        <w:pStyle w:val="9"/>
        <w:bidi w:val="0"/>
        <w:spacing w:line="360" w:lineRule="auto"/>
        <w:rPr>
          <w:rFonts w:hint="eastAsia" w:eastAsia="宋体" w:cs="Times New Roman"/>
          <w:color w:val="auto"/>
          <w:sz w:val="24"/>
          <w:szCs w:val="24"/>
          <w:highlight w:val="none"/>
          <w:lang w:val="en-US" w:eastAsia="zh-CN"/>
        </w:rPr>
      </w:pPr>
      <w:r>
        <w:rPr>
          <w:rFonts w:hint="eastAsia" w:eastAsia="宋体" w:cs="Times New Roman"/>
          <w:color w:val="auto"/>
          <w:sz w:val="24"/>
          <w:szCs w:val="24"/>
          <w:highlight w:val="none"/>
          <w:lang w:val="en-US" w:eastAsia="zh-CN"/>
        </w:rPr>
        <w:t>地理位置</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巴中是四川与陕西的交界地区，四川东北部门户。地处北纬31°15′~32°45′，东经106°21′~107°45′之间。东邻达州，南接南充，西抵广元，北接陕西汉中。位于中国第二大苏区-川陕革命根据地的中心和首府，处于南北旅游圈最佳对接带和成都、重庆、西安的旅游</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金三角</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枢纽位置。市政府所在地西距成都308公里，北距西安650公里，距重庆498公里，与相邻的达州、南充、汉中及宝成铁路、襄渝铁路距离都在200公里左右，全市幅员面积122930.3平方公里。</w:t>
      </w:r>
    </w:p>
    <w:p>
      <w:pPr>
        <w:pStyle w:val="2"/>
        <w:ind w:left="0" w:leftChars="0"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巴州区，隶属于四川省巴中市，地处四川省东北部，是四川与陕西的交界地区，西距成都400公里，北距西安650公里，南距重庆498公里，与相邻的达州、南充、汉中及宝成铁路、襄渝铁路的距离都在200公里左右。介于东经106°21′～107°7′，北纬31°31′～32°4′之间，东接通江县、平昌县，南邻南充市仪陇县，西连恩阳区，北界南江县。巴州区幅员面积1294.91平方公里，辖6个街道、14个镇、2个乡，属盆北低山区，地势北高南低；属亚热带湿润性季风气候，年平均气温17℃。</w:t>
      </w:r>
    </w:p>
    <w:p>
      <w:pPr>
        <w:spacing w:line="360" w:lineRule="auto"/>
        <w:ind w:firstLine="480"/>
        <w:rPr>
          <w:rFonts w:hint="default" w:ascii="Times New Roman" w:hAnsi="Times New Roman" w:cs="Times New Roman"/>
          <w:bCs/>
          <w:color w:val="auto"/>
          <w:kern w:val="0"/>
          <w:sz w:val="24"/>
          <w:highlight w:val="none"/>
        </w:rPr>
      </w:pPr>
      <w:r>
        <w:rPr>
          <w:rFonts w:hint="default" w:ascii="Times New Roman" w:hAnsi="Times New Roman" w:cs="Times New Roman"/>
          <w:bCs/>
          <w:color w:val="auto"/>
          <w:kern w:val="0"/>
          <w:sz w:val="24"/>
          <w:highlight w:val="none"/>
        </w:rPr>
        <w:t>拟建项目选址位于</w:t>
      </w:r>
      <w:r>
        <w:rPr>
          <w:rFonts w:hint="default" w:ascii="Times New Roman" w:hAnsi="Times New Roman" w:cs="Times New Roman"/>
          <w:bCs/>
          <w:color w:val="auto"/>
          <w:kern w:val="0"/>
          <w:sz w:val="24"/>
          <w:highlight w:val="none"/>
          <w:lang w:eastAsia="zh-CN"/>
        </w:rPr>
        <w:t>巴州区鼎山镇首市村</w:t>
      </w:r>
      <w:r>
        <w:rPr>
          <w:rFonts w:hint="default" w:ascii="Times New Roman" w:hAnsi="Times New Roman" w:cs="Times New Roman"/>
          <w:bCs/>
          <w:color w:val="auto"/>
          <w:kern w:val="0"/>
          <w:sz w:val="24"/>
          <w:highlight w:val="none"/>
        </w:rPr>
        <w:t>，项目地理位置图见附图1。</w:t>
      </w:r>
    </w:p>
    <w:p>
      <w:pPr>
        <w:pStyle w:val="8"/>
        <w:numPr>
          <w:ilvl w:val="2"/>
          <w:numId w:val="0"/>
        </w:numPr>
        <w:spacing w:before="0" w:after="0" w:line="360" w:lineRule="auto"/>
        <w:ind w:leftChars="0"/>
        <w:rPr>
          <w:rFonts w:hint="eastAsia" w:cs="Times New Roman"/>
          <w:color w:val="auto"/>
          <w:highlight w:val="none"/>
          <w:lang w:val="en-US" w:eastAsia="zh-CN"/>
        </w:rPr>
      </w:pPr>
      <w:bookmarkStart w:id="192" w:name="_Toc25303"/>
      <w:r>
        <w:rPr>
          <w:rFonts w:hint="eastAsia" w:cs="Times New Roman"/>
          <w:color w:val="auto"/>
          <w:highlight w:val="none"/>
          <w:lang w:val="en-US" w:eastAsia="zh-CN"/>
        </w:rPr>
        <w:t>4.1.2 地形地貌地质</w:t>
      </w:r>
      <w:bookmarkEnd w:id="192"/>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巴中属典型的盆周山区，地势北高南低，由北向南倾斜。北部为深切割中山，中切割中山，中部为中切割低山、浅切割低山；南部为丘陵，沿河两岸及台状山顶有平坝。丘陵、平坝面积约为1243平方公里，占幅员面积的10%；山地占90%。最高海拔在北西部的南江县光雾山，为2507.0m；最低海拔在南部的平昌县黄梅溪，为268.3m，高差2238.7m。中北部山地，低、中山界线明显。中切割中山一般700～900m，多窄谷；深切割中山切割高达1200m以上，多峡谷；中切割低山切割一般600m，多</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V</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形谷、平底谷，称山区平坝。三级阶梯状构造，从北到南逐渐降低。北部深切割中山海拔1500～2000m，中切割中山海拔1300～1500m，中部中切割低山海拔800～1000m。中部低山，大多海拔400～800m；南部丘陵分布在海拔350～600m之间；平坝分布在海拔268.3～400m之间。另外，境内还有流水侵蚀、沉积、扇形地貌和重力堆积、残积地貌及喀斯特地貌。境内地质构造跨及米仓山台穹、大巴山弧形、川北台(坳)陷及川东新华夏四个二级构造单元。构造形迹以褶皱为主，断裂不发育</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褶皱曲线呈弧形，岩层倾角变化频繁且有扭曲现象。境内西北为龙门山北东向褶皱带，北部是米仓山东西向褶皱带，东北与大巴山西向褶皱带相连，东南部邻华蓥山北东向褶皱带，南西是川中北西西向褶皱带。由于地处上述结构之中，并受其控制和影响，故越近中心，构造力愈微弱，褶皱呈环状排列，形成莲花状。褶皱由北向南形成30多个向(背)斜褶皱带。</w:t>
      </w:r>
    </w:p>
    <w:p>
      <w:pPr>
        <w:pStyle w:val="8"/>
        <w:numPr>
          <w:ilvl w:val="2"/>
          <w:numId w:val="0"/>
        </w:numPr>
        <w:spacing w:before="0" w:after="0" w:line="360" w:lineRule="auto"/>
        <w:ind w:leftChars="0"/>
        <w:rPr>
          <w:rFonts w:hint="eastAsia" w:cs="Times New Roman"/>
          <w:color w:val="auto"/>
          <w:highlight w:val="none"/>
          <w:lang w:val="en-US" w:eastAsia="zh-CN"/>
        </w:rPr>
      </w:pPr>
      <w:bookmarkStart w:id="193" w:name="_Toc23319"/>
      <w:r>
        <w:rPr>
          <w:rFonts w:hint="eastAsia" w:cs="Times New Roman"/>
          <w:color w:val="auto"/>
          <w:highlight w:val="none"/>
          <w:lang w:val="en-US" w:eastAsia="zh-CN"/>
        </w:rPr>
        <w:t>4.1.3 气候气象</w:t>
      </w:r>
      <w:bookmarkEnd w:id="193"/>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巴州区地处四川省东北部，大巴山南麓，属亚热带大陆性湿润季风气候，气候温和，四季分明，雨量充沛，无霜期长，季风气候显著。春季气温回暖早，但不够稳定，春末夏初易出现大风、冰雹等强对流天气；夏季旱、涝交替，雨热同季，常出现高温少雨的夏伏旱天气；秋季常出现秋涝和秋绵雨天气；冬季多雾和霜，降水较少。</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常年主要气象参数：年平均气温17.0℃，历年极端最高气温40.6℃，极端最低气温-3.6℃。雨量充沛，分布不均，年平均降雨量1100.9mm，其中5-9 月降雨量占76.6%。年平均相对湿度77%，日最小相对湿度8%。无霜期长，年平均无霜期276天。全年日照1363.5h，占可照时数的31%。巴州区年平均风速0.9m/s，根据风玫瑰图，当地主导风向为北风以及西南风（NNW-N-NNE风频和约10%、SW-SSW-S风频和约10%），静风频率为60.2%。</w:t>
      </w:r>
    </w:p>
    <w:p>
      <w:pPr>
        <w:jc w:val="center"/>
        <w:rPr>
          <w:rFonts w:hint="eastAsia"/>
          <w:color w:val="auto"/>
          <w:highlight w:val="none"/>
          <w:lang w:eastAsia="zh-CN"/>
        </w:rPr>
      </w:pPr>
      <w:r>
        <w:rPr>
          <w:rFonts w:hint="eastAsia"/>
          <w:color w:val="auto"/>
          <w:highlight w:val="none"/>
          <w:lang w:eastAsia="zh-CN"/>
        </w:rPr>
        <w:drawing>
          <wp:inline distT="0" distB="0" distL="114300" distR="114300">
            <wp:extent cx="2066925" cy="1837690"/>
            <wp:effectExtent l="0" t="0" r="9525" b="10160"/>
            <wp:docPr id="6" name="图片 6" descr="16020507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02050758(1)"/>
                    <pic:cNvPicPr>
                      <a:picLocks noChangeAspect="1"/>
                    </pic:cNvPicPr>
                  </pic:nvPicPr>
                  <pic:blipFill>
                    <a:blip r:embed="rId38"/>
                    <a:stretch>
                      <a:fillRect/>
                    </a:stretch>
                  </pic:blipFill>
                  <pic:spPr>
                    <a:xfrm>
                      <a:off x="0" y="0"/>
                      <a:ext cx="2066925" cy="1837690"/>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158" w:firstLineChars="75"/>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图4.1-1  </w:t>
      </w:r>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val="en-US" w:eastAsia="zh-CN"/>
        </w:rPr>
        <w:t>巴州区风玫瑰图</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地面风场特征：年日平均总云量&lt;2成（晴天）日数28天，出现频率8%，年日平均总云量&gt;8成（阴天）日数181天，出现频率50%；年日平均低云量&lt;2成（晴天）日数238天，出现频率65%，年日平均低云量&gt;8成（阴天）日数3天，出现频率1%。</w:t>
      </w:r>
    </w:p>
    <w:p>
      <w:pPr>
        <w:pStyle w:val="8"/>
        <w:numPr>
          <w:ilvl w:val="2"/>
          <w:numId w:val="0"/>
        </w:numPr>
        <w:spacing w:before="0" w:after="0" w:line="360" w:lineRule="auto"/>
        <w:ind w:leftChars="0"/>
        <w:rPr>
          <w:rFonts w:hint="eastAsia" w:cs="Times New Roman"/>
          <w:color w:val="auto"/>
          <w:highlight w:val="none"/>
          <w:lang w:val="en-US" w:eastAsia="zh-CN"/>
        </w:rPr>
      </w:pPr>
      <w:bookmarkStart w:id="194" w:name="_Toc23296"/>
      <w:r>
        <w:rPr>
          <w:rFonts w:hint="eastAsia" w:cs="Times New Roman"/>
          <w:color w:val="auto"/>
          <w:highlight w:val="none"/>
          <w:lang w:val="en-US" w:eastAsia="zh-CN"/>
        </w:rPr>
        <w:t>4.1.4 水文特征</w:t>
      </w:r>
      <w:bookmarkEnd w:id="194"/>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1、地表水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全市大小河流共有1100多条，流域面积在1000km</w:t>
      </w:r>
      <w:r>
        <w:rPr>
          <w:rFonts w:hint="default" w:ascii="Times New Roman" w:hAnsi="Times New Roman" w:eastAsia="宋体"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lang w:val="en-US" w:eastAsia="zh-CN"/>
        </w:rPr>
        <w:t>以上的主要河流有巴河、南江河、恩阳河和通江河等7条，100km</w:t>
      </w:r>
      <w:r>
        <w:rPr>
          <w:rFonts w:hint="default" w:ascii="Times New Roman" w:hAnsi="Times New Roman" w:eastAsia="宋体"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lang w:val="en-US" w:eastAsia="zh-CN"/>
        </w:rPr>
        <w:t>以上的有45条，50km</w:t>
      </w:r>
      <w:r>
        <w:rPr>
          <w:rFonts w:hint="default" w:ascii="Times New Roman" w:hAnsi="Times New Roman" w:eastAsia="宋体"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lang w:val="en-US" w:eastAsia="zh-CN"/>
        </w:rPr>
        <w:t>以上的有138条，河流总长4342km，河网密度达0.33km/ km</w:t>
      </w:r>
      <w:r>
        <w:rPr>
          <w:rFonts w:hint="default" w:ascii="Times New Roman" w:hAnsi="Times New Roman" w:eastAsia="宋体"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lang w:val="en-US" w:eastAsia="zh-CN"/>
        </w:rPr>
        <w:t>。河流均呈南北流向，树枝状分布，水位洪枯变幅大，部分溪河在枯水期有断流的现象。除南江县北部的焦家河属嘉陵江一级支流外，其余均属渠江水系巴河流域。全市多年平均降雨198.9mm，多年平均水资源量为71.68亿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，其中地表水资源量64.13亿m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，人均1996m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略低于全国、全省平均水平。巴河流域属山溪性河流，调蓄能力较小，暴雨洪水特征明显，流程短，汇流快，易形成大洪水或特大洪水，峰高量大，陡涨陡落。水位流量关系比较稳定，高水为绳套，中、低水为单一关系，水位变幅大部份站都在10～23m，一次洪水历时一般6～24小时，峰顶历时0.1～1.5小时。据巴河流域主要控制站---风滩水文站，实测最高水位297.95m，最大流量26700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/s，水位涨幅18～23m。水系图详见附图4.1-2。</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2.地下水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巴中市位于川北红层，构造平缓，岩层倾角大都在5度以下。地貌以低山-丘陵地形。由于大气环流的改变和认为因素的影响，年降雨总量逐渐下降，而蒸发量却在不断增加。上述自然条件不利于地下水的形成和富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巴中市分布有松散层孔隙水、碎屑岩空隙裂隙水（层间水）和基岩裂隙水（包括构造裂隙水和风化网状裂隙水）三大类型，以基岩裂隙水为主。70%的泉点出露在砂岩或泥质粉砂岩的底部或泥岩的顶面，钻孔也多是砂岩顶部发现水位上升或涌水，可见砂岩是主要的含水层。以此为基础，在裂隙较多的地段，地形低洼，有利于降雨渗入补给、汇集时，将促进地下水的进一步富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巴中市巴州区属于中生界白垩系下统白龙组K1b。青灰色砂岩和砖红色泥质粉砂岩夹砖红色泥岩，底部有一层不稳定的钙质砾岩。砂岩和泥质粉砂岩与泥岩之比为3:1。胶结物中碳酸盐含量占4.5-21.96%，砂岩单层厚10-40m，裂隙2-4%。</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泉流量大于0.1L/s，地下径流模数0.1-1L/s•km</w:t>
      </w:r>
      <w:r>
        <w:rPr>
          <w:rFonts w:hint="default" w:ascii="Times New Roman" w:hAnsi="Times New Roman" w:eastAsia="宋体"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lang w:val="en-US" w:eastAsia="zh-CN"/>
        </w:rPr>
        <w:t>，钻孔涌水量100-200t/d。地下水属于构造裂隙水孔隙水。地下水流向与巴河、恩阳河流向近似，大体由北向南。上层含水层主要受大气降水影响。</w:t>
      </w:r>
    </w:p>
    <w:p>
      <w:pPr>
        <w:rPr>
          <w:rFonts w:ascii="Calibri" w:hAnsi="Calibri" w:eastAsia="宋体" w:cs="Times New Roman"/>
          <w:color w:val="auto"/>
          <w:sz w:val="21"/>
          <w:highlight w:val="none"/>
          <w:lang w:eastAsia="zh-CN"/>
        </w:rPr>
      </w:pPr>
      <w:r>
        <w:rPr>
          <w:color w:val="auto"/>
          <w:highlight w:val="none"/>
        </w:rPr>
        <w:drawing>
          <wp:inline distT="0" distB="0" distL="114300" distR="114300">
            <wp:extent cx="5271770" cy="3931285"/>
            <wp:effectExtent l="0" t="0" r="5080" b="12065"/>
            <wp:docPr id="3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3"/>
                    <pic:cNvPicPr>
                      <a:picLocks noChangeAspect="1"/>
                    </pic:cNvPicPr>
                  </pic:nvPicPr>
                  <pic:blipFill>
                    <a:blip r:embed="rId39"/>
                    <a:stretch>
                      <a:fillRect/>
                    </a:stretch>
                  </pic:blipFill>
                  <pic:spPr>
                    <a:xfrm>
                      <a:off x="0" y="0"/>
                      <a:ext cx="5271770" cy="3931285"/>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158" w:firstLineChars="75"/>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图4.1-2    巴中市水系图</w:t>
      </w:r>
    </w:p>
    <w:p>
      <w:pPr>
        <w:pStyle w:val="8"/>
        <w:numPr>
          <w:ilvl w:val="2"/>
          <w:numId w:val="0"/>
        </w:numPr>
        <w:spacing w:before="0" w:after="0" w:line="360" w:lineRule="auto"/>
        <w:ind w:leftChars="0"/>
        <w:rPr>
          <w:rFonts w:hint="default" w:cs="Times New Roman"/>
          <w:color w:val="auto"/>
          <w:highlight w:val="none"/>
          <w:lang w:val="en-US" w:eastAsia="zh-CN"/>
        </w:rPr>
      </w:pPr>
      <w:bookmarkStart w:id="195" w:name="_Toc27448"/>
      <w:r>
        <w:rPr>
          <w:rFonts w:hint="default" w:cs="Times New Roman"/>
          <w:color w:val="auto"/>
          <w:highlight w:val="none"/>
          <w:lang w:val="en-US" w:eastAsia="zh-CN"/>
        </w:rPr>
        <w:t>4.1.5 土壤</w:t>
      </w:r>
      <w:bookmarkEnd w:id="195"/>
    </w:p>
    <w:p>
      <w:pPr>
        <w:ind w:firstLine="48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巴中市土壤主要由侏罗系莱镇组、白垩系城墙岩群砂页风化物和河流冲积物母质发育而成，共分4个土类，7个亚类，9个土属，42个土种。所形成的土壤具有以下特征：土层较薄，土壤肥力中等偏下，中低产田面积较大。</w:t>
      </w:r>
    </w:p>
    <w:p>
      <w:pPr>
        <w:pStyle w:val="8"/>
        <w:numPr>
          <w:ilvl w:val="2"/>
          <w:numId w:val="0"/>
        </w:numPr>
        <w:spacing w:before="0" w:after="0" w:line="360" w:lineRule="auto"/>
        <w:ind w:leftChars="0"/>
        <w:rPr>
          <w:rFonts w:hint="default" w:cs="Times New Roman"/>
          <w:color w:val="auto"/>
          <w:highlight w:val="none"/>
          <w:lang w:val="en-US" w:eastAsia="zh-CN"/>
        </w:rPr>
      </w:pPr>
      <w:bookmarkStart w:id="196" w:name="_Toc27879"/>
      <w:r>
        <w:rPr>
          <w:rFonts w:hint="default" w:cs="Times New Roman"/>
          <w:color w:val="auto"/>
          <w:highlight w:val="none"/>
          <w:lang w:val="en-US" w:eastAsia="zh-CN"/>
        </w:rPr>
        <w:t>4.1.6 生态环境</w:t>
      </w:r>
      <w:bookmarkEnd w:id="196"/>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植物资源</w:t>
      </w:r>
      <w:r>
        <w:rPr>
          <w:rFonts w:hint="default" w:ascii="Times New Roman" w:hAnsi="Times New Roman" w:eastAsia="宋体" w:cs="Times New Roman"/>
          <w:color w:val="auto"/>
          <w:highlight w:val="none"/>
          <w:lang w:val="en-US" w:eastAsia="zh-CN"/>
        </w:rPr>
        <w:t>：境域植物资源丰富，尤以北部为最。计有乔、灌木308种，草、藤本421种。源于植物的中草药(含家种、野生，根、茎、叶、花、果)1386种。根据植物的生长性能及自然环境，广泛分布在境域各地。乔、灌木林区多分布在北部山地，中部、南部亦零星分布。中药材资源最多的是通江、南江两县；牧草资源遍及境域。境域中部和南部，森林层次结构不明显，林相单纯，林下伴生马桑、黄荆、沙棘藤蔓、杜鹃等植物；北部森林成片的较多，但因砍伐过度，曾使森林面积锐减，后经</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停耕还林、还草</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等政策的落实，现正处于恢复阶段。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动物资源</w:t>
      </w:r>
      <w:r>
        <w:rPr>
          <w:rFonts w:hint="default" w:ascii="Times New Roman" w:hAnsi="Times New Roman" w:eastAsia="宋体" w:cs="Times New Roman"/>
          <w:color w:val="auto"/>
          <w:highlight w:val="none"/>
          <w:lang w:val="en-US" w:eastAsia="zh-CN"/>
        </w:rPr>
        <w:t>：巴中市家养动物有生猪、黄牛、水牛、火羊、南江黄羊、各类鸡、各类鸭、鹅、马、驴、蜂、蚕、犬、猫、各类兔等。野生动物多分布在森林密布的北部，中、南部很少。在森林面积的逐年减少、猎杀频繁、酷捞滥捕的情况下，境内动物资源遭到破坏。虎、豹濒于绝迹，珍稀动物遗留不多，其它动物逐年减少。经20世纪80年代调查，境内北部共有野生动物670种。其中鱼类4目、11科、44属、47种；两栖类2目、7科、9属、20种，爬行类3目、7科、14属、21种，鸟类16目、41科、120属、176种，兽类7目、21科、52属、67种，昆虫类50科、170种，其它类169种。中南部地区尚存野生动物290余种，其中兽类22种、禽类49种、水族及两栖爬行类43种，昆虫类170余种。</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根据现场实际调查，项目周围植被均为常见种，无珍稀野生动、植物。</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cs="Times New Roman"/>
          <w:color w:val="auto"/>
          <w:highlight w:val="none"/>
        </w:rPr>
      </w:pPr>
      <w:bookmarkStart w:id="197" w:name="_Toc27203"/>
      <w:r>
        <w:rPr>
          <w:rFonts w:cs="Times New Roman"/>
          <w:color w:val="auto"/>
          <w:highlight w:val="none"/>
        </w:rPr>
        <w:t>环境质量现状调查与评价</w:t>
      </w:r>
      <w:bookmarkEnd w:id="197"/>
    </w:p>
    <w:p>
      <w:pPr>
        <w:pStyle w:val="8"/>
        <w:spacing w:before="0" w:after="0" w:line="360" w:lineRule="auto"/>
        <w:ind w:left="0" w:firstLine="0"/>
        <w:rPr>
          <w:rFonts w:cs="Times New Roman"/>
          <w:color w:val="auto"/>
          <w:highlight w:val="none"/>
        </w:rPr>
      </w:pPr>
      <w:bookmarkStart w:id="198" w:name="_Toc470789067"/>
      <w:bookmarkStart w:id="199" w:name="_Toc214714285"/>
      <w:bookmarkStart w:id="200" w:name="_Toc261592242"/>
      <w:bookmarkStart w:id="201" w:name="_Toc241784472"/>
      <w:bookmarkStart w:id="202" w:name="_Toc369668195"/>
      <w:bookmarkStart w:id="203" w:name="_Toc295386562"/>
      <w:bookmarkStart w:id="204" w:name="_Toc24229"/>
      <w:bookmarkStart w:id="205" w:name="_Toc362744200"/>
      <w:r>
        <w:rPr>
          <w:rFonts w:cs="Times New Roman"/>
          <w:color w:val="auto"/>
          <w:highlight w:val="none"/>
        </w:rPr>
        <w:t>环境空气质量现状调查与评价</w:t>
      </w:r>
      <w:bookmarkEnd w:id="198"/>
      <w:bookmarkEnd w:id="199"/>
      <w:bookmarkEnd w:id="200"/>
      <w:bookmarkEnd w:id="201"/>
      <w:bookmarkEnd w:id="202"/>
      <w:bookmarkEnd w:id="203"/>
      <w:bookmarkEnd w:id="204"/>
      <w:bookmarkEnd w:id="205"/>
    </w:p>
    <w:p>
      <w:pPr>
        <w:pStyle w:val="9"/>
        <w:numPr>
          <w:ilvl w:val="3"/>
          <w:numId w:val="31"/>
        </w:numPr>
        <w:spacing w:line="374" w:lineRule="auto"/>
        <w:rPr>
          <w:rFonts w:cs="Times New Roman"/>
          <w:color w:val="auto"/>
          <w:highlight w:val="none"/>
        </w:rPr>
      </w:pPr>
      <w:r>
        <w:rPr>
          <w:rFonts w:hint="eastAsia" w:cs="Times New Roman"/>
          <w:color w:val="auto"/>
          <w:highlight w:val="none"/>
        </w:rPr>
        <w:t>项目所在区域达标区</w:t>
      </w:r>
      <w:r>
        <w:rPr>
          <w:rFonts w:cs="Times New Roman"/>
          <w:color w:val="auto"/>
          <w:highlight w:val="none"/>
        </w:rPr>
        <w:t>判断</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根据《环境影响评价技术导则 大气环境》（HJ2.2-2018）中6.2.11规定</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项目所在区域达标判定，优先采用国家或地方生态环境主管部门公开发布的评价基准年环境质量公告或环境质量报告中的数据或结论。</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本项目位于巴州区鼎山镇首市村，项目区域行政区划属于巴中市巴州区</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根据《环境影响评价导则</w:t>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大气环境》（HJ 2.2-2018）中有关基本污染物环境质量现状数据的规定，可优先采用国家或地方生态环境主管部门公布的评价基准年（近3年中1个完整日历年）环境质量公告或环境质量报告中的数据或结论。本次评价采用巴中市生态环境局发布的《202</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年巴中市生态环境状况公报》中的数据。根据《202</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年巴中市生态环境状况公报》可知，本项目所在区域巴中市6项基本污染物均达到空气质量二级标准要求。因此，</w:t>
      </w:r>
      <w:r>
        <w:rPr>
          <w:rFonts w:hint="default" w:ascii="Times New Roman" w:hAnsi="Times New Roman" w:eastAsia="宋体" w:cs="Times New Roman"/>
          <w:b/>
          <w:bCs/>
          <w:color w:val="auto"/>
          <w:sz w:val="24"/>
          <w:szCs w:val="24"/>
          <w:highlight w:val="none"/>
        </w:rPr>
        <w:t>本项目所在区域属于达标区。</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158" w:firstLineChars="75"/>
        <w:jc w:val="center"/>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表4.2-1  2021年巴中市空气质量状况</w:t>
      </w:r>
    </w:p>
    <w:tbl>
      <w:tblPr>
        <w:tblStyle w:val="91"/>
        <w:tblW w:w="5000" w:type="pct"/>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1042"/>
        <w:gridCol w:w="1554"/>
        <w:gridCol w:w="1687"/>
        <w:gridCol w:w="1687"/>
        <w:gridCol w:w="1556"/>
        <w:gridCol w:w="996"/>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6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评价因子</w:t>
            </w:r>
          </w:p>
        </w:tc>
        <w:tc>
          <w:tcPr>
            <w:tcW w:w="9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平均时段</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lang w:eastAsia="zh-CN"/>
              </w:rPr>
              <w:t>现状浓度</w:t>
            </w:r>
            <w:r>
              <w:rPr>
                <w:rFonts w:hint="default" w:ascii="Times New Roman" w:hAnsi="Times New Roman" w:cs="Times New Roman" w:eastAsiaTheme="minorEastAsia"/>
                <w:b w:val="0"/>
                <w:bCs w:val="0"/>
                <w:color w:val="auto"/>
                <w:sz w:val="21"/>
                <w:szCs w:val="21"/>
                <w:highlight w:val="none"/>
              </w:rPr>
              <w:t>（ug/m</w:t>
            </w:r>
            <w:r>
              <w:rPr>
                <w:rFonts w:hint="default" w:ascii="Times New Roman" w:hAnsi="Times New Roman" w:cs="Times New Roman" w:eastAsiaTheme="minorEastAsia"/>
                <w:b w:val="0"/>
                <w:bCs w:val="0"/>
                <w:color w:val="auto"/>
                <w:sz w:val="21"/>
                <w:szCs w:val="21"/>
                <w:highlight w:val="none"/>
                <w:vertAlign w:val="superscript"/>
              </w:rPr>
              <w:t>3</w:t>
            </w:r>
            <w:r>
              <w:rPr>
                <w:rFonts w:hint="default" w:ascii="Times New Roman" w:hAnsi="Times New Roman" w:cs="Times New Roman" w:eastAsiaTheme="minorEastAsia"/>
                <w:b w:val="0"/>
                <w:bCs w:val="0"/>
                <w:color w:val="auto"/>
                <w:sz w:val="21"/>
                <w:szCs w:val="21"/>
                <w:highlight w:val="none"/>
              </w:rPr>
              <w:t>）</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标准限值/（ug/m</w:t>
            </w:r>
            <w:r>
              <w:rPr>
                <w:rFonts w:hint="default" w:ascii="Times New Roman" w:hAnsi="Times New Roman" w:cs="Times New Roman" w:eastAsiaTheme="minorEastAsia"/>
                <w:b w:val="0"/>
                <w:bCs w:val="0"/>
                <w:color w:val="auto"/>
                <w:sz w:val="21"/>
                <w:szCs w:val="21"/>
                <w:highlight w:val="none"/>
                <w:vertAlign w:val="superscript"/>
              </w:rPr>
              <w:t>3</w:t>
            </w:r>
            <w:r>
              <w:rPr>
                <w:rFonts w:hint="default" w:ascii="Times New Roman" w:hAnsi="Times New Roman" w:cs="Times New Roman" w:eastAsiaTheme="minorEastAsia"/>
                <w:b w:val="0"/>
                <w:bCs w:val="0"/>
                <w:color w:val="auto"/>
                <w:sz w:val="21"/>
                <w:szCs w:val="21"/>
                <w:highlight w:val="none"/>
              </w:rPr>
              <w:t>）</w:t>
            </w:r>
          </w:p>
        </w:tc>
        <w:tc>
          <w:tcPr>
            <w:tcW w:w="912"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lang w:eastAsia="zh-CN"/>
              </w:rPr>
              <w:t>最大浓度占标率（%）</w:t>
            </w:r>
          </w:p>
        </w:tc>
        <w:tc>
          <w:tcPr>
            <w:tcW w:w="584"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lang w:eastAsia="zh-CN"/>
              </w:rPr>
              <w:t>达标情况</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6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SO</w:t>
            </w:r>
            <w:r>
              <w:rPr>
                <w:rFonts w:hint="default" w:ascii="Times New Roman" w:hAnsi="Times New Roman" w:cs="Times New Roman" w:eastAsiaTheme="minorEastAsia"/>
                <w:b w:val="0"/>
                <w:bCs w:val="0"/>
                <w:color w:val="auto"/>
                <w:sz w:val="21"/>
                <w:szCs w:val="21"/>
                <w:highlight w:val="none"/>
                <w:vertAlign w:val="subscript"/>
              </w:rPr>
              <w:t>2</w:t>
            </w:r>
          </w:p>
        </w:tc>
        <w:tc>
          <w:tcPr>
            <w:tcW w:w="9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年平均浓度</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eastAsia="zh-CN"/>
              </w:rPr>
              <w:t>4.</w:t>
            </w:r>
            <w:r>
              <w:rPr>
                <w:rFonts w:hint="default" w:ascii="Times New Roman" w:hAnsi="Times New Roman" w:cs="Times New Roman"/>
                <w:b w:val="0"/>
                <w:bCs w:val="0"/>
                <w:color w:val="auto"/>
                <w:sz w:val="21"/>
                <w:szCs w:val="21"/>
                <w:highlight w:val="none"/>
                <w:lang w:val="en-US" w:eastAsia="zh-CN"/>
              </w:rPr>
              <w:t>3</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60</w:t>
            </w:r>
          </w:p>
        </w:tc>
        <w:tc>
          <w:tcPr>
            <w:tcW w:w="155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7.17</w:t>
            </w:r>
          </w:p>
        </w:tc>
        <w:tc>
          <w:tcPr>
            <w:tcW w:w="584"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lang w:eastAsia="zh-CN"/>
              </w:rPr>
              <w:t>达标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6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NO</w:t>
            </w:r>
            <w:r>
              <w:rPr>
                <w:rFonts w:hint="default" w:ascii="Times New Roman" w:hAnsi="Times New Roman" w:cs="Times New Roman" w:eastAsiaTheme="minorEastAsia"/>
                <w:b w:val="0"/>
                <w:bCs w:val="0"/>
                <w:color w:val="auto"/>
                <w:sz w:val="21"/>
                <w:szCs w:val="21"/>
                <w:highlight w:val="none"/>
                <w:vertAlign w:val="subscript"/>
              </w:rPr>
              <w:t>2</w:t>
            </w:r>
          </w:p>
        </w:tc>
        <w:tc>
          <w:tcPr>
            <w:tcW w:w="9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年平均浓度</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eastAsia="zh-CN"/>
              </w:rPr>
              <w:t>23.</w:t>
            </w:r>
            <w:r>
              <w:rPr>
                <w:rFonts w:hint="default" w:ascii="Times New Roman" w:hAnsi="Times New Roman" w:cs="Times New Roman"/>
                <w:b w:val="0"/>
                <w:bCs w:val="0"/>
                <w:color w:val="auto"/>
                <w:sz w:val="21"/>
                <w:szCs w:val="21"/>
                <w:highlight w:val="none"/>
                <w:lang w:val="en-US" w:eastAsia="zh-CN"/>
              </w:rPr>
              <w:t>5</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40</w:t>
            </w:r>
          </w:p>
        </w:tc>
        <w:tc>
          <w:tcPr>
            <w:tcW w:w="155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58.75</w:t>
            </w:r>
          </w:p>
        </w:tc>
        <w:tc>
          <w:tcPr>
            <w:tcW w:w="584"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lang w:eastAsia="zh-CN"/>
              </w:rPr>
              <w:t>达标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6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PM</w:t>
            </w:r>
            <w:r>
              <w:rPr>
                <w:rFonts w:hint="default" w:ascii="Times New Roman" w:hAnsi="Times New Roman" w:cs="Times New Roman" w:eastAsiaTheme="minorEastAsia"/>
                <w:b w:val="0"/>
                <w:bCs w:val="0"/>
                <w:color w:val="auto"/>
                <w:sz w:val="21"/>
                <w:szCs w:val="21"/>
                <w:highlight w:val="none"/>
                <w:vertAlign w:val="subscript"/>
              </w:rPr>
              <w:t>10</w:t>
            </w:r>
          </w:p>
        </w:tc>
        <w:tc>
          <w:tcPr>
            <w:tcW w:w="9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年平均浓度</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46.3</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70</w:t>
            </w:r>
          </w:p>
        </w:tc>
        <w:tc>
          <w:tcPr>
            <w:tcW w:w="155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66.14</w:t>
            </w:r>
          </w:p>
        </w:tc>
        <w:tc>
          <w:tcPr>
            <w:tcW w:w="584"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lang w:eastAsia="zh-CN"/>
              </w:rPr>
              <w:t>达标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6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PM</w:t>
            </w:r>
            <w:r>
              <w:rPr>
                <w:rFonts w:hint="default" w:ascii="Times New Roman" w:hAnsi="Times New Roman" w:cs="Times New Roman" w:eastAsiaTheme="minorEastAsia"/>
                <w:b w:val="0"/>
                <w:bCs w:val="0"/>
                <w:color w:val="auto"/>
                <w:sz w:val="21"/>
                <w:szCs w:val="21"/>
                <w:highlight w:val="none"/>
                <w:vertAlign w:val="subscript"/>
              </w:rPr>
              <w:t>2.5</w:t>
            </w:r>
          </w:p>
        </w:tc>
        <w:tc>
          <w:tcPr>
            <w:tcW w:w="9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年平均浓度</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eastAsia="zh-CN"/>
              </w:rPr>
              <w:t>28.</w:t>
            </w:r>
            <w:r>
              <w:rPr>
                <w:rFonts w:hint="default" w:ascii="Times New Roman" w:hAnsi="Times New Roman" w:cs="Times New Roman"/>
                <w:b w:val="0"/>
                <w:bCs w:val="0"/>
                <w:color w:val="auto"/>
                <w:sz w:val="21"/>
                <w:szCs w:val="21"/>
                <w:highlight w:val="none"/>
                <w:lang w:val="en-US" w:eastAsia="zh-CN"/>
              </w:rPr>
              <w:t>3</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35</w:t>
            </w:r>
          </w:p>
        </w:tc>
        <w:tc>
          <w:tcPr>
            <w:tcW w:w="155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80.86</w:t>
            </w:r>
          </w:p>
        </w:tc>
        <w:tc>
          <w:tcPr>
            <w:tcW w:w="584"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lang w:eastAsia="zh-CN"/>
              </w:rPr>
              <w:t>达标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6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CO</w:t>
            </w:r>
          </w:p>
        </w:tc>
        <w:tc>
          <w:tcPr>
            <w:tcW w:w="9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24h平均</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cs="Times New Roman" w:eastAsiaTheme="minorEastAsia"/>
                <w:b w:val="0"/>
                <w:bCs w:val="0"/>
                <w:color w:val="auto"/>
                <w:sz w:val="21"/>
                <w:szCs w:val="21"/>
                <w:highlight w:val="none"/>
                <w:lang w:eastAsia="zh-CN"/>
              </w:rPr>
              <w:t>1000.0</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4000</w:t>
            </w:r>
          </w:p>
        </w:tc>
        <w:tc>
          <w:tcPr>
            <w:tcW w:w="155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25.00</w:t>
            </w:r>
          </w:p>
        </w:tc>
        <w:tc>
          <w:tcPr>
            <w:tcW w:w="584"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lang w:eastAsia="zh-CN"/>
              </w:rPr>
              <w:t>达标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6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O</w:t>
            </w:r>
            <w:r>
              <w:rPr>
                <w:rFonts w:hint="default" w:ascii="Times New Roman" w:hAnsi="Times New Roman" w:cs="Times New Roman" w:eastAsiaTheme="minorEastAsia"/>
                <w:b w:val="0"/>
                <w:bCs w:val="0"/>
                <w:color w:val="auto"/>
                <w:sz w:val="21"/>
                <w:szCs w:val="21"/>
                <w:highlight w:val="none"/>
                <w:vertAlign w:val="subscript"/>
              </w:rPr>
              <w:t>3</w:t>
            </w:r>
          </w:p>
        </w:tc>
        <w:tc>
          <w:tcPr>
            <w:tcW w:w="911"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8h平均</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eastAsia="zh-CN"/>
              </w:rPr>
              <w:t>1</w:t>
            </w:r>
            <w:r>
              <w:rPr>
                <w:rFonts w:hint="default" w:ascii="Times New Roman" w:hAnsi="Times New Roman" w:cs="Times New Roman"/>
                <w:b w:val="0"/>
                <w:bCs w:val="0"/>
                <w:color w:val="auto"/>
                <w:sz w:val="21"/>
                <w:szCs w:val="21"/>
                <w:highlight w:val="none"/>
                <w:lang w:val="en-US" w:eastAsia="zh-CN"/>
              </w:rPr>
              <w:t>08</w:t>
            </w:r>
          </w:p>
        </w:tc>
        <w:tc>
          <w:tcPr>
            <w:tcW w:w="989"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rPr>
              <w:t>160</w:t>
            </w:r>
          </w:p>
        </w:tc>
        <w:tc>
          <w:tcPr>
            <w:tcW w:w="1556"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eastAsiaTheme="minorEastAsia"/>
                <w:b w:val="0"/>
                <w:bCs w:val="0"/>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67.50</w:t>
            </w:r>
          </w:p>
        </w:tc>
        <w:tc>
          <w:tcPr>
            <w:tcW w:w="584" w:type="pct"/>
            <w:tcBorders>
              <w:tl2br w:val="nil"/>
              <w:tr2bl w:val="nil"/>
            </w:tcBorders>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sz w:val="21"/>
                <w:szCs w:val="21"/>
                <w:highlight w:val="none"/>
                <w:lang w:eastAsia="zh-CN"/>
              </w:rPr>
              <w:t>达标</w:t>
            </w:r>
          </w:p>
        </w:tc>
      </w:tr>
    </w:tbl>
    <w:p>
      <w:pPr>
        <w:pStyle w:val="9"/>
        <w:numPr>
          <w:ilvl w:val="3"/>
          <w:numId w:val="31"/>
        </w:numPr>
        <w:spacing w:line="374" w:lineRule="auto"/>
        <w:rPr>
          <w:rFonts w:hint="eastAsia"/>
          <w:b/>
          <w:color w:val="auto"/>
          <w:highlight w:val="none"/>
        </w:rPr>
      </w:pPr>
      <w:r>
        <w:rPr>
          <w:rFonts w:hint="eastAsia"/>
          <w:b/>
          <w:color w:val="auto"/>
          <w:highlight w:val="none"/>
        </w:rPr>
        <w:t>其他污染物环境质量现状</w:t>
      </w:r>
    </w:p>
    <w:p>
      <w:pPr>
        <w:ind w:firstLine="480"/>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1、监测点位</w:t>
      </w:r>
    </w:p>
    <w:p>
      <w:pPr>
        <w:ind w:firstLine="480"/>
        <w:rPr>
          <w:color w:val="auto"/>
          <w:highlight w:val="none"/>
        </w:rPr>
      </w:pPr>
      <w:r>
        <w:rPr>
          <w:rFonts w:hint="eastAsia" w:ascii="Times New Roman" w:hAnsi="Times New Roman" w:eastAsia="宋体" w:cs="Times New Roman"/>
          <w:color w:val="auto"/>
          <w:kern w:val="2"/>
          <w:sz w:val="24"/>
          <w:szCs w:val="24"/>
          <w:highlight w:val="none"/>
          <w:lang w:val="en-US" w:eastAsia="zh-CN" w:bidi="ar-SA"/>
        </w:rPr>
        <w:t>为掌握区域内其他污染物环境空气质量现状情况，本次评价委托成都翌达环境保护检测有限公司进行实地监测，设置2个监测点位，分别位于项目场地内和项目东侧居民点，其他污染物补充监测点位基本信息见下表。</w:t>
      </w:r>
    </w:p>
    <w:p>
      <w:pPr>
        <w:pStyle w:val="2504"/>
        <w:numPr>
          <w:ilvl w:val="0"/>
          <w:numId w:val="0"/>
        </w:numPr>
        <w:spacing w:before="120"/>
        <w:ind w:leftChars="0"/>
        <w:jc w:val="center"/>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4.2-2</w:t>
      </w:r>
      <w:r>
        <w:rPr>
          <w:rFonts w:hint="eastAsia" w:ascii="Times New Roman" w:hAnsi="Times New Roman" w:eastAsia="宋体" w:cs="Times New Roman"/>
          <w:color w:val="auto"/>
          <w:highlight w:val="none"/>
        </w:rPr>
        <w:t xml:space="preserve"> </w:t>
      </w:r>
      <w:r>
        <w:rPr>
          <w:rFonts w:hint="default"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其他污染物补充监测点位基本信息</w:t>
      </w:r>
    </w:p>
    <w:tbl>
      <w:tblPr>
        <w:tblStyle w:val="91"/>
        <w:tblW w:w="4998" w:type="pct"/>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1837"/>
        <w:gridCol w:w="2088"/>
        <w:gridCol w:w="2043"/>
        <w:gridCol w:w="1392"/>
        <w:gridCol w:w="943"/>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1106" w:type="pct"/>
            <w:vMerge w:val="restart"/>
            <w:noWrap w:val="0"/>
            <w:vAlign w:val="center"/>
          </w:tcPr>
          <w:p>
            <w:pPr>
              <w:pStyle w:val="172"/>
              <w:keepNext w:val="0"/>
              <w:keepLines w:val="0"/>
              <w:suppressLineNumbers w:val="0"/>
              <w:spacing w:before="0" w:beforeAutospacing="0" w:after="0" w:afterAutospacing="0"/>
              <w:ind w:left="0" w:right="0"/>
              <w:rPr>
                <w:rFonts w:hint="default"/>
                <w:b/>
                <w:color w:val="auto"/>
                <w:sz w:val="21"/>
                <w:szCs w:val="21"/>
                <w:highlight w:val="none"/>
              </w:rPr>
            </w:pPr>
            <w:r>
              <w:rPr>
                <w:rFonts w:hint="default"/>
                <w:b/>
                <w:color w:val="auto"/>
                <w:sz w:val="21"/>
                <w:szCs w:val="21"/>
                <w:highlight w:val="none"/>
              </w:rPr>
              <w:t>监测点名称</w:t>
            </w:r>
          </w:p>
        </w:tc>
        <w:tc>
          <w:tcPr>
            <w:tcW w:w="1257" w:type="pct"/>
            <w:vMerge w:val="restart"/>
            <w:noWrap w:val="0"/>
            <w:vAlign w:val="center"/>
          </w:tcPr>
          <w:p>
            <w:pPr>
              <w:pStyle w:val="172"/>
              <w:keepNext w:val="0"/>
              <w:keepLines w:val="0"/>
              <w:suppressLineNumbers w:val="0"/>
              <w:spacing w:before="0" w:beforeAutospacing="0" w:after="0" w:afterAutospacing="0"/>
              <w:ind w:left="0" w:right="0"/>
              <w:rPr>
                <w:rFonts w:hint="default"/>
                <w:b/>
                <w:color w:val="auto"/>
                <w:sz w:val="21"/>
                <w:szCs w:val="21"/>
                <w:highlight w:val="none"/>
              </w:rPr>
            </w:pPr>
            <w:r>
              <w:rPr>
                <w:rFonts w:hint="default"/>
                <w:b/>
                <w:color w:val="auto"/>
                <w:sz w:val="21"/>
                <w:szCs w:val="21"/>
                <w:highlight w:val="none"/>
              </w:rPr>
              <w:t>监测因子</w:t>
            </w:r>
          </w:p>
        </w:tc>
        <w:tc>
          <w:tcPr>
            <w:tcW w:w="1230" w:type="pct"/>
            <w:vMerge w:val="restart"/>
            <w:noWrap w:val="0"/>
            <w:vAlign w:val="center"/>
          </w:tcPr>
          <w:p>
            <w:pPr>
              <w:pStyle w:val="172"/>
              <w:keepNext w:val="0"/>
              <w:keepLines w:val="0"/>
              <w:suppressLineNumbers w:val="0"/>
              <w:spacing w:before="0" w:beforeAutospacing="0" w:after="0" w:afterAutospacing="0"/>
              <w:ind w:left="0" w:right="0"/>
              <w:rPr>
                <w:rFonts w:hint="default"/>
                <w:b/>
                <w:color w:val="auto"/>
                <w:sz w:val="21"/>
                <w:szCs w:val="21"/>
                <w:highlight w:val="none"/>
              </w:rPr>
            </w:pPr>
            <w:r>
              <w:rPr>
                <w:rFonts w:hint="default"/>
                <w:b/>
                <w:color w:val="auto"/>
                <w:sz w:val="21"/>
                <w:szCs w:val="21"/>
                <w:highlight w:val="none"/>
              </w:rPr>
              <w:t>监测时段</w:t>
            </w:r>
          </w:p>
        </w:tc>
        <w:tc>
          <w:tcPr>
            <w:tcW w:w="838" w:type="pct"/>
            <w:vMerge w:val="restart"/>
            <w:noWrap w:val="0"/>
            <w:vAlign w:val="center"/>
          </w:tcPr>
          <w:p>
            <w:pPr>
              <w:pStyle w:val="172"/>
              <w:keepNext w:val="0"/>
              <w:keepLines w:val="0"/>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相对厂址方位</w:t>
            </w:r>
          </w:p>
        </w:tc>
        <w:tc>
          <w:tcPr>
            <w:tcW w:w="567" w:type="pct"/>
            <w:vMerge w:val="restart"/>
            <w:noWrap w:val="0"/>
            <w:vAlign w:val="center"/>
          </w:tcPr>
          <w:p>
            <w:pPr>
              <w:pStyle w:val="172"/>
              <w:keepNext w:val="0"/>
              <w:keepLines w:val="0"/>
              <w:suppressLineNumbers w:val="0"/>
              <w:spacing w:before="0" w:beforeAutospacing="0" w:after="0" w:afterAutospacing="0"/>
              <w:ind w:left="0" w:right="0"/>
              <w:rPr>
                <w:rFonts w:hint="eastAsia" w:ascii="Times New Roman" w:hAnsi="Times New Roman" w:eastAsia="宋体" w:cs="Times New Roman"/>
                <w:b/>
                <w:color w:val="auto"/>
                <w:sz w:val="21"/>
                <w:szCs w:val="21"/>
                <w:highlight w:val="none"/>
                <w:lang w:val="en-US" w:eastAsia="zh-CN"/>
              </w:rPr>
            </w:pPr>
            <w:r>
              <w:rPr>
                <w:rFonts w:hint="eastAsia" w:cs="Times New Roman"/>
                <w:b/>
                <w:color w:val="auto"/>
                <w:sz w:val="21"/>
                <w:szCs w:val="21"/>
                <w:highlight w:val="none"/>
                <w:lang w:val="en-US" w:eastAsia="zh-CN"/>
              </w:rPr>
              <w:t>备注</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1106" w:type="pct"/>
            <w:vMerge w:val="continue"/>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p>
        </w:tc>
        <w:tc>
          <w:tcPr>
            <w:tcW w:w="1257" w:type="pct"/>
            <w:vMerge w:val="continue"/>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p>
        </w:tc>
        <w:tc>
          <w:tcPr>
            <w:tcW w:w="1230" w:type="pct"/>
            <w:vMerge w:val="continue"/>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p>
        </w:tc>
        <w:tc>
          <w:tcPr>
            <w:tcW w:w="838" w:type="pct"/>
            <w:vMerge w:val="continue"/>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p>
        </w:tc>
        <w:tc>
          <w:tcPr>
            <w:tcW w:w="567" w:type="pct"/>
            <w:vMerge w:val="continue"/>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106" w:type="pct"/>
            <w:noWrap w:val="0"/>
            <w:vAlign w:val="center"/>
          </w:tcPr>
          <w:p>
            <w:pPr>
              <w:pStyle w:val="172"/>
              <w:keepNext w:val="0"/>
              <w:keepLines w:val="0"/>
              <w:suppressLineNumbers w:val="0"/>
              <w:spacing w:before="0" w:beforeAutospacing="0" w:after="0" w:afterAutospacing="0"/>
              <w:ind w:left="0" w:right="0"/>
              <w:rPr>
                <w:rFonts w:hint="eastAsia" w:eastAsia="宋体"/>
                <w:color w:val="auto"/>
                <w:sz w:val="21"/>
                <w:szCs w:val="21"/>
                <w:highlight w:val="none"/>
                <w:lang w:eastAsia="zh-CN"/>
              </w:rPr>
            </w:pPr>
            <w:r>
              <w:rPr>
                <w:rFonts w:hint="default"/>
                <w:color w:val="auto"/>
                <w:sz w:val="21"/>
                <w:szCs w:val="21"/>
                <w:highlight w:val="none"/>
              </w:rPr>
              <w:t>1#</w:t>
            </w:r>
            <w:r>
              <w:rPr>
                <w:rFonts w:hint="eastAsia"/>
                <w:color w:val="auto"/>
                <w:sz w:val="21"/>
                <w:szCs w:val="21"/>
                <w:highlight w:val="none"/>
                <w:lang w:eastAsia="zh-CN"/>
              </w:rPr>
              <w:t>项目场地内</w:t>
            </w:r>
          </w:p>
        </w:tc>
        <w:tc>
          <w:tcPr>
            <w:tcW w:w="1257" w:type="pct"/>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r>
              <w:rPr>
                <w:rFonts w:hint="eastAsia"/>
                <w:color w:val="auto"/>
                <w:sz w:val="21"/>
                <w:szCs w:val="21"/>
                <w:highlight w:val="none"/>
                <w:lang w:val="en-US" w:eastAsia="zh-CN"/>
              </w:rPr>
              <w:t>臭气浓度、</w:t>
            </w:r>
            <w:r>
              <w:rPr>
                <w:rFonts w:hint="default"/>
                <w:color w:val="auto"/>
                <w:sz w:val="21"/>
                <w:szCs w:val="21"/>
                <w:highlight w:val="none"/>
              </w:rPr>
              <w:t>NH</w:t>
            </w:r>
            <w:r>
              <w:rPr>
                <w:rFonts w:hint="default"/>
                <w:color w:val="auto"/>
                <w:sz w:val="21"/>
                <w:szCs w:val="21"/>
                <w:highlight w:val="none"/>
                <w:vertAlign w:val="subscript"/>
              </w:rPr>
              <w:t>3</w:t>
            </w:r>
            <w:r>
              <w:rPr>
                <w:rFonts w:hint="default"/>
                <w:color w:val="auto"/>
                <w:sz w:val="21"/>
                <w:szCs w:val="21"/>
                <w:highlight w:val="none"/>
              </w:rPr>
              <w:t>、H</w:t>
            </w:r>
            <w:r>
              <w:rPr>
                <w:rFonts w:hint="default"/>
                <w:color w:val="auto"/>
                <w:sz w:val="21"/>
                <w:szCs w:val="21"/>
                <w:highlight w:val="none"/>
                <w:vertAlign w:val="subscript"/>
              </w:rPr>
              <w:t>2</w:t>
            </w:r>
            <w:r>
              <w:rPr>
                <w:rFonts w:hint="default"/>
                <w:color w:val="auto"/>
                <w:sz w:val="21"/>
                <w:szCs w:val="21"/>
                <w:highlight w:val="none"/>
              </w:rPr>
              <w:t>S</w:t>
            </w:r>
          </w:p>
        </w:tc>
        <w:tc>
          <w:tcPr>
            <w:tcW w:w="1230" w:type="pct"/>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lang w:val="en-US"/>
              </w:rPr>
            </w:pPr>
            <w:r>
              <w:rPr>
                <w:rFonts w:hint="default"/>
                <w:color w:val="auto"/>
                <w:sz w:val="21"/>
                <w:szCs w:val="21"/>
                <w:highlight w:val="none"/>
              </w:rPr>
              <w:t>20</w:t>
            </w:r>
            <w:r>
              <w:rPr>
                <w:rFonts w:hint="eastAsia"/>
                <w:color w:val="auto"/>
                <w:sz w:val="21"/>
                <w:szCs w:val="21"/>
                <w:highlight w:val="none"/>
                <w:lang w:val="en-US" w:eastAsia="zh-CN"/>
              </w:rPr>
              <w:t>22</w:t>
            </w:r>
            <w:r>
              <w:rPr>
                <w:rFonts w:hint="default"/>
                <w:color w:val="auto"/>
                <w:sz w:val="21"/>
                <w:szCs w:val="21"/>
                <w:highlight w:val="none"/>
              </w:rPr>
              <w:t>.</w:t>
            </w:r>
            <w:r>
              <w:rPr>
                <w:rFonts w:hint="eastAsia"/>
                <w:color w:val="auto"/>
                <w:sz w:val="21"/>
                <w:szCs w:val="21"/>
                <w:highlight w:val="none"/>
                <w:lang w:val="en-US" w:eastAsia="zh-CN"/>
              </w:rPr>
              <w:t>6</w:t>
            </w:r>
            <w:r>
              <w:rPr>
                <w:rFonts w:hint="eastAsia"/>
                <w:color w:val="auto"/>
                <w:sz w:val="21"/>
                <w:szCs w:val="21"/>
                <w:highlight w:val="none"/>
              </w:rPr>
              <w:t>.</w:t>
            </w:r>
            <w:r>
              <w:rPr>
                <w:rFonts w:hint="eastAsia"/>
                <w:color w:val="auto"/>
                <w:sz w:val="21"/>
                <w:szCs w:val="21"/>
                <w:highlight w:val="none"/>
                <w:lang w:val="en-US" w:eastAsia="zh-CN"/>
              </w:rPr>
              <w:t>20</w:t>
            </w:r>
            <w:r>
              <w:rPr>
                <w:rFonts w:hint="default"/>
                <w:color w:val="auto"/>
                <w:sz w:val="21"/>
                <w:szCs w:val="21"/>
                <w:highlight w:val="none"/>
              </w:rPr>
              <w:t>~20</w:t>
            </w:r>
            <w:r>
              <w:rPr>
                <w:rFonts w:hint="eastAsia"/>
                <w:color w:val="auto"/>
                <w:sz w:val="21"/>
                <w:szCs w:val="21"/>
                <w:highlight w:val="none"/>
                <w:lang w:val="en-US" w:eastAsia="zh-CN"/>
              </w:rPr>
              <w:t>22</w:t>
            </w:r>
            <w:r>
              <w:rPr>
                <w:rFonts w:hint="default"/>
                <w:color w:val="auto"/>
                <w:sz w:val="21"/>
                <w:szCs w:val="21"/>
                <w:highlight w:val="none"/>
              </w:rPr>
              <w:t>.</w:t>
            </w:r>
            <w:r>
              <w:rPr>
                <w:rFonts w:hint="eastAsia"/>
                <w:color w:val="auto"/>
                <w:sz w:val="21"/>
                <w:szCs w:val="21"/>
                <w:highlight w:val="none"/>
                <w:lang w:val="en-US" w:eastAsia="zh-CN"/>
              </w:rPr>
              <w:t>6</w:t>
            </w:r>
            <w:r>
              <w:rPr>
                <w:rFonts w:hint="eastAsia"/>
                <w:color w:val="auto"/>
                <w:sz w:val="21"/>
                <w:szCs w:val="21"/>
                <w:highlight w:val="none"/>
              </w:rPr>
              <w:t>.</w:t>
            </w:r>
            <w:r>
              <w:rPr>
                <w:rFonts w:hint="eastAsia"/>
                <w:color w:val="auto"/>
                <w:sz w:val="21"/>
                <w:szCs w:val="21"/>
                <w:highlight w:val="none"/>
                <w:lang w:val="en-US" w:eastAsia="zh-CN"/>
              </w:rPr>
              <w:t>26</w:t>
            </w:r>
          </w:p>
        </w:tc>
        <w:tc>
          <w:tcPr>
            <w:tcW w:w="838" w:type="pct"/>
            <w:noWrap w:val="0"/>
            <w:vAlign w:val="center"/>
          </w:tcPr>
          <w:p>
            <w:pPr>
              <w:pStyle w:val="175"/>
              <w:keepNext w:val="0"/>
              <w:keepLines w:val="0"/>
              <w:suppressLineNumbers w:val="0"/>
              <w:spacing w:before="24" w:beforeAutospacing="0" w:after="0" w:afterAutospacing="0"/>
              <w:ind w:left="0" w:right="0"/>
              <w:rPr>
                <w:rFonts w:hint="default" w:eastAsia="宋体"/>
                <w:color w:val="auto"/>
                <w:sz w:val="21"/>
                <w:szCs w:val="21"/>
                <w:highlight w:val="none"/>
                <w:lang w:val="en-US" w:eastAsia="zh-CN"/>
              </w:rPr>
            </w:pPr>
            <w:r>
              <w:rPr>
                <w:rFonts w:hint="eastAsia"/>
                <w:color w:val="auto"/>
                <w:sz w:val="21"/>
                <w:szCs w:val="21"/>
                <w:highlight w:val="none"/>
                <w:lang w:val="en-US" w:eastAsia="zh-CN"/>
              </w:rPr>
              <w:t>厂区内部</w:t>
            </w:r>
          </w:p>
        </w:tc>
        <w:tc>
          <w:tcPr>
            <w:tcW w:w="567" w:type="pct"/>
            <w:noWrap w:val="0"/>
            <w:vAlign w:val="center"/>
          </w:tcPr>
          <w:p>
            <w:pPr>
              <w:pStyle w:val="175"/>
              <w:keepNext w:val="0"/>
              <w:keepLines w:val="0"/>
              <w:suppressLineNumbers w:val="0"/>
              <w:spacing w:before="24" w:beforeAutospacing="0" w:after="0" w:afterAutospacing="0"/>
              <w:ind w:left="0" w:right="0"/>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1106" w:type="pct"/>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r>
              <w:rPr>
                <w:rFonts w:hint="eastAsia"/>
                <w:color w:val="auto"/>
                <w:sz w:val="21"/>
                <w:szCs w:val="21"/>
                <w:highlight w:val="none"/>
                <w:lang w:val="en-US" w:eastAsia="zh-CN"/>
              </w:rPr>
              <w:t>2</w:t>
            </w:r>
            <w:r>
              <w:rPr>
                <w:rFonts w:hint="default"/>
                <w:color w:val="auto"/>
                <w:sz w:val="21"/>
                <w:szCs w:val="21"/>
                <w:highlight w:val="none"/>
              </w:rPr>
              <w:t>#</w:t>
            </w:r>
            <w:r>
              <w:rPr>
                <w:rFonts w:hint="eastAsia"/>
                <w:color w:val="auto"/>
                <w:sz w:val="21"/>
                <w:szCs w:val="21"/>
                <w:highlight w:val="none"/>
                <w:lang w:eastAsia="zh-CN"/>
              </w:rPr>
              <w:t>项目东侧居民点</w:t>
            </w:r>
          </w:p>
        </w:tc>
        <w:tc>
          <w:tcPr>
            <w:tcW w:w="1257" w:type="pct"/>
            <w:noWrap w:val="0"/>
            <w:vAlign w:val="center"/>
          </w:tcPr>
          <w:p>
            <w:pPr>
              <w:pStyle w:val="172"/>
              <w:keepNext w:val="0"/>
              <w:keepLines w:val="0"/>
              <w:suppressLineNumbers w:val="0"/>
              <w:spacing w:before="0" w:beforeAutospacing="0" w:after="0" w:afterAutospacing="0"/>
              <w:ind w:left="0" w:right="0"/>
              <w:rPr>
                <w:rFonts w:hint="eastAsia"/>
                <w:color w:val="auto"/>
                <w:sz w:val="21"/>
                <w:szCs w:val="21"/>
                <w:highlight w:val="none"/>
                <w:lang w:val="en-US" w:eastAsia="zh-CN"/>
              </w:rPr>
            </w:pPr>
            <w:r>
              <w:rPr>
                <w:rFonts w:hint="eastAsia"/>
                <w:color w:val="auto"/>
                <w:sz w:val="21"/>
                <w:szCs w:val="21"/>
                <w:highlight w:val="none"/>
                <w:lang w:val="en-US" w:eastAsia="zh-CN"/>
              </w:rPr>
              <w:t>臭气浓度、NH</w:t>
            </w:r>
            <w:r>
              <w:rPr>
                <w:rFonts w:hint="eastAsia"/>
                <w:color w:val="auto"/>
                <w:sz w:val="21"/>
                <w:szCs w:val="21"/>
                <w:highlight w:val="none"/>
                <w:vertAlign w:val="subscript"/>
                <w:lang w:val="en-US" w:eastAsia="zh-CN"/>
              </w:rPr>
              <w:t>3</w:t>
            </w:r>
            <w:r>
              <w:rPr>
                <w:rFonts w:hint="eastAsia"/>
                <w:color w:val="auto"/>
                <w:sz w:val="21"/>
                <w:szCs w:val="21"/>
                <w:highlight w:val="none"/>
                <w:lang w:val="en-US" w:eastAsia="zh-CN"/>
              </w:rPr>
              <w:t>、H</w:t>
            </w:r>
            <w:r>
              <w:rPr>
                <w:rFonts w:hint="eastAsia"/>
                <w:color w:val="auto"/>
                <w:sz w:val="21"/>
                <w:szCs w:val="21"/>
                <w:highlight w:val="none"/>
                <w:vertAlign w:val="subscript"/>
                <w:lang w:val="en-US" w:eastAsia="zh-CN"/>
              </w:rPr>
              <w:t>2</w:t>
            </w:r>
            <w:r>
              <w:rPr>
                <w:rFonts w:hint="eastAsia"/>
                <w:color w:val="auto"/>
                <w:sz w:val="21"/>
                <w:szCs w:val="21"/>
                <w:highlight w:val="none"/>
                <w:lang w:val="en-US" w:eastAsia="zh-CN"/>
              </w:rPr>
              <w:t>S</w:t>
            </w:r>
          </w:p>
        </w:tc>
        <w:tc>
          <w:tcPr>
            <w:tcW w:w="1230" w:type="pct"/>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r>
              <w:rPr>
                <w:rFonts w:hint="default"/>
                <w:color w:val="auto"/>
                <w:sz w:val="21"/>
                <w:szCs w:val="21"/>
                <w:highlight w:val="none"/>
              </w:rPr>
              <w:t>20</w:t>
            </w:r>
            <w:r>
              <w:rPr>
                <w:rFonts w:hint="eastAsia"/>
                <w:color w:val="auto"/>
                <w:sz w:val="21"/>
                <w:szCs w:val="21"/>
                <w:highlight w:val="none"/>
                <w:lang w:val="en-US" w:eastAsia="zh-CN"/>
              </w:rPr>
              <w:t>22</w:t>
            </w:r>
            <w:r>
              <w:rPr>
                <w:rFonts w:hint="default"/>
                <w:color w:val="auto"/>
                <w:sz w:val="21"/>
                <w:szCs w:val="21"/>
                <w:highlight w:val="none"/>
              </w:rPr>
              <w:t>.</w:t>
            </w:r>
            <w:r>
              <w:rPr>
                <w:rFonts w:hint="eastAsia"/>
                <w:color w:val="auto"/>
                <w:sz w:val="21"/>
                <w:szCs w:val="21"/>
                <w:highlight w:val="none"/>
                <w:lang w:val="en-US" w:eastAsia="zh-CN"/>
              </w:rPr>
              <w:t>6</w:t>
            </w:r>
            <w:r>
              <w:rPr>
                <w:rFonts w:hint="eastAsia"/>
                <w:color w:val="auto"/>
                <w:sz w:val="21"/>
                <w:szCs w:val="21"/>
                <w:highlight w:val="none"/>
              </w:rPr>
              <w:t>.</w:t>
            </w:r>
            <w:r>
              <w:rPr>
                <w:rFonts w:hint="eastAsia"/>
                <w:color w:val="auto"/>
                <w:sz w:val="21"/>
                <w:szCs w:val="21"/>
                <w:highlight w:val="none"/>
                <w:lang w:val="en-US" w:eastAsia="zh-CN"/>
              </w:rPr>
              <w:t>20</w:t>
            </w:r>
            <w:r>
              <w:rPr>
                <w:rFonts w:hint="default"/>
                <w:color w:val="auto"/>
                <w:sz w:val="21"/>
                <w:szCs w:val="21"/>
                <w:highlight w:val="none"/>
              </w:rPr>
              <w:t>~20</w:t>
            </w:r>
            <w:r>
              <w:rPr>
                <w:rFonts w:hint="eastAsia"/>
                <w:color w:val="auto"/>
                <w:sz w:val="21"/>
                <w:szCs w:val="21"/>
                <w:highlight w:val="none"/>
                <w:lang w:val="en-US" w:eastAsia="zh-CN"/>
              </w:rPr>
              <w:t>22</w:t>
            </w:r>
            <w:r>
              <w:rPr>
                <w:rFonts w:hint="default"/>
                <w:color w:val="auto"/>
                <w:sz w:val="21"/>
                <w:szCs w:val="21"/>
                <w:highlight w:val="none"/>
              </w:rPr>
              <w:t>.</w:t>
            </w:r>
            <w:r>
              <w:rPr>
                <w:rFonts w:hint="eastAsia"/>
                <w:color w:val="auto"/>
                <w:sz w:val="21"/>
                <w:szCs w:val="21"/>
                <w:highlight w:val="none"/>
                <w:lang w:val="en-US" w:eastAsia="zh-CN"/>
              </w:rPr>
              <w:t>6</w:t>
            </w:r>
            <w:r>
              <w:rPr>
                <w:rFonts w:hint="eastAsia"/>
                <w:color w:val="auto"/>
                <w:sz w:val="21"/>
                <w:szCs w:val="21"/>
                <w:highlight w:val="none"/>
              </w:rPr>
              <w:t>.</w:t>
            </w:r>
            <w:r>
              <w:rPr>
                <w:rFonts w:hint="eastAsia"/>
                <w:color w:val="auto"/>
                <w:sz w:val="21"/>
                <w:szCs w:val="21"/>
                <w:highlight w:val="none"/>
                <w:lang w:val="en-US" w:eastAsia="zh-CN"/>
              </w:rPr>
              <w:t>26</w:t>
            </w:r>
          </w:p>
        </w:tc>
        <w:tc>
          <w:tcPr>
            <w:tcW w:w="838" w:type="pct"/>
            <w:noWrap w:val="0"/>
            <w:vAlign w:val="center"/>
          </w:tcPr>
          <w:p>
            <w:pPr>
              <w:pStyle w:val="175"/>
              <w:keepNext w:val="0"/>
              <w:keepLines w:val="0"/>
              <w:suppressLineNumbers w:val="0"/>
              <w:spacing w:before="24"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厂区东侧</w:t>
            </w:r>
          </w:p>
        </w:tc>
        <w:tc>
          <w:tcPr>
            <w:tcW w:w="567" w:type="pct"/>
            <w:noWrap w:val="0"/>
            <w:vAlign w:val="center"/>
          </w:tcPr>
          <w:p>
            <w:pPr>
              <w:pStyle w:val="175"/>
              <w:keepNext w:val="0"/>
              <w:keepLines w:val="0"/>
              <w:suppressLineNumbers w:val="0"/>
              <w:spacing w:before="24" w:beforeAutospacing="0" w:after="0" w:afterAutospacing="0"/>
              <w:ind w:left="0" w:right="0"/>
              <w:rPr>
                <w:rFonts w:hint="default" w:eastAsia="宋体"/>
                <w:color w:val="auto"/>
                <w:highlight w:val="none"/>
                <w:lang w:val="en-US" w:eastAsia="zh-CN"/>
              </w:rPr>
            </w:pPr>
            <w:r>
              <w:rPr>
                <w:rFonts w:hint="eastAsia" w:eastAsia="宋体"/>
                <w:color w:val="auto"/>
                <w:highlight w:val="none"/>
                <w:lang w:val="en-US" w:eastAsia="zh-CN"/>
              </w:rPr>
              <w:t>/</w:t>
            </w:r>
          </w:p>
        </w:tc>
      </w:tr>
    </w:tbl>
    <w:p>
      <w:pPr>
        <w:pStyle w:val="114"/>
        <w:rPr>
          <w:rFonts w:hint="default" w:ascii="Times New Roman" w:hAnsi="Times New Roman" w:eastAsia="宋体" w:cs="Times New Roman"/>
          <w:b/>
          <w:bCs/>
          <w:color w:val="auto"/>
          <w:highlight w:val="none"/>
        </w:rPr>
      </w:pPr>
      <w:r>
        <w:rPr>
          <w:rFonts w:hint="eastAsia" w:ascii="Times New Roman" w:hAnsi="Times New Roman" w:cs="Times New Roman"/>
          <w:b/>
          <w:bCs/>
          <w:color w:val="auto"/>
          <w:highlight w:val="none"/>
          <w:lang w:val="en-US" w:eastAsia="zh-CN"/>
        </w:rPr>
        <w:t>2、</w:t>
      </w:r>
      <w:r>
        <w:rPr>
          <w:rFonts w:hint="default" w:ascii="Times New Roman" w:hAnsi="Times New Roman" w:eastAsia="宋体" w:cs="Times New Roman"/>
          <w:b/>
          <w:bCs/>
          <w:color w:val="auto"/>
          <w:highlight w:val="none"/>
        </w:rPr>
        <w:t>监测项目</w:t>
      </w:r>
    </w:p>
    <w:p>
      <w:pPr>
        <w:pStyle w:val="114"/>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臭气浓度</w:t>
      </w:r>
      <w:r>
        <w:rPr>
          <w:rFonts w:hint="eastAsia" w:ascii="Times New Roman" w:hAnsi="Times New Roman" w:cs="Times New Roman"/>
          <w:color w:val="auto"/>
          <w:highlight w:val="none"/>
          <w:lang w:eastAsia="zh-CN"/>
        </w:rPr>
        <w:t>、</w:t>
      </w:r>
      <w:r>
        <w:rPr>
          <w:rFonts w:hint="default" w:ascii="Times New Roman" w:hAnsi="Times New Roman" w:eastAsia="宋体" w:cs="Times New Roman"/>
          <w:color w:val="auto"/>
          <w:highlight w:val="none"/>
        </w:rPr>
        <w:t>NH</w:t>
      </w:r>
      <w:r>
        <w:rPr>
          <w:rFonts w:hint="default" w:ascii="Times New Roman" w:hAnsi="Times New Roman" w:eastAsia="宋体" w:cs="Times New Roman"/>
          <w:color w:val="auto"/>
          <w:highlight w:val="none"/>
          <w:vertAlign w:val="subscript"/>
        </w:rPr>
        <w:t>3</w:t>
      </w:r>
      <w:r>
        <w:rPr>
          <w:rFonts w:hint="default" w:ascii="Times New Roman" w:hAnsi="Times New Roman" w:eastAsia="宋体" w:cs="Times New Roman"/>
          <w:color w:val="auto"/>
          <w:highlight w:val="none"/>
        </w:rPr>
        <w:t>、H</w:t>
      </w:r>
      <w:r>
        <w:rPr>
          <w:rFonts w:hint="default" w:ascii="Times New Roman" w:hAnsi="Times New Roman" w:eastAsia="宋体" w:cs="Times New Roman"/>
          <w:color w:val="auto"/>
          <w:highlight w:val="none"/>
          <w:vertAlign w:val="subscript"/>
        </w:rPr>
        <w:t>2</w:t>
      </w:r>
      <w:r>
        <w:rPr>
          <w:rFonts w:hint="default" w:ascii="Times New Roman" w:hAnsi="Times New Roman" w:eastAsia="宋体" w:cs="Times New Roman"/>
          <w:color w:val="auto"/>
          <w:highlight w:val="none"/>
        </w:rPr>
        <w:t>S。</w:t>
      </w:r>
    </w:p>
    <w:p>
      <w:pPr>
        <w:pStyle w:val="114"/>
        <w:numPr>
          <w:ilvl w:val="0"/>
          <w:numId w:val="32"/>
        </w:numP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监测频次及时间</w:t>
      </w:r>
    </w:p>
    <w:p>
      <w:pPr>
        <w:pStyle w:val="114"/>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臭气浓度</w:t>
      </w:r>
      <w:r>
        <w:rPr>
          <w:rFonts w:hint="eastAsia" w:ascii="Times New Roman" w:hAnsi="Times New Roman" w:cs="Times New Roman"/>
          <w:color w:val="auto"/>
          <w:highlight w:val="none"/>
          <w:lang w:eastAsia="zh-CN"/>
        </w:rPr>
        <w:t>、</w:t>
      </w:r>
      <w:r>
        <w:rPr>
          <w:rFonts w:hint="default" w:ascii="Times New Roman" w:hAnsi="Times New Roman" w:eastAsia="宋体" w:cs="Times New Roman"/>
          <w:color w:val="auto"/>
          <w:highlight w:val="none"/>
        </w:rPr>
        <w:t>NH</w:t>
      </w:r>
      <w:r>
        <w:rPr>
          <w:rFonts w:hint="default" w:ascii="Times New Roman" w:hAnsi="Times New Roman" w:eastAsia="宋体" w:cs="Times New Roman"/>
          <w:color w:val="auto"/>
          <w:highlight w:val="none"/>
          <w:vertAlign w:val="subscript"/>
        </w:rPr>
        <w:t>3</w:t>
      </w:r>
      <w:r>
        <w:rPr>
          <w:rFonts w:hint="default" w:ascii="Times New Roman" w:hAnsi="Times New Roman" w:eastAsia="宋体" w:cs="Times New Roman"/>
          <w:color w:val="auto"/>
          <w:highlight w:val="none"/>
        </w:rPr>
        <w:t>、H</w:t>
      </w:r>
      <w:r>
        <w:rPr>
          <w:rFonts w:hint="default" w:ascii="Times New Roman" w:hAnsi="Times New Roman" w:eastAsia="宋体" w:cs="Times New Roman"/>
          <w:color w:val="auto"/>
          <w:highlight w:val="none"/>
          <w:vertAlign w:val="subscript"/>
        </w:rPr>
        <w:t>2</w:t>
      </w:r>
      <w:r>
        <w:rPr>
          <w:rFonts w:hint="default" w:ascii="Times New Roman" w:hAnsi="Times New Roman" w:eastAsia="宋体" w:cs="Times New Roman"/>
          <w:color w:val="auto"/>
          <w:highlight w:val="none"/>
        </w:rPr>
        <w:t>S检测时间为20</w:t>
      </w:r>
      <w:r>
        <w:rPr>
          <w:rFonts w:hint="eastAsia" w:ascii="Times New Roman" w:hAnsi="Times New Roman" w:eastAsia="宋体" w:cs="Times New Roman"/>
          <w:color w:val="auto"/>
          <w:highlight w:val="none"/>
          <w:lang w:val="en-US" w:eastAsia="zh-CN"/>
        </w:rPr>
        <w:t>2</w:t>
      </w:r>
      <w:r>
        <w:rPr>
          <w:rFonts w:hint="eastAsia" w:ascii="Times New Roman" w:hAnsi="Times New Roman" w:cs="Times New Roman"/>
          <w:color w:val="auto"/>
          <w:highlight w:val="none"/>
          <w:lang w:val="en-US" w:eastAsia="zh-CN"/>
        </w:rPr>
        <w:t>2</w:t>
      </w:r>
      <w:r>
        <w:rPr>
          <w:rFonts w:hint="default" w:ascii="Times New Roman" w:hAnsi="Times New Roman" w:eastAsia="宋体" w:cs="Times New Roman"/>
          <w:color w:val="auto"/>
          <w:highlight w:val="none"/>
        </w:rPr>
        <w:t>年</w:t>
      </w:r>
      <w:r>
        <w:rPr>
          <w:rFonts w:hint="eastAsia" w:ascii="Times New Roman" w:hAnsi="Times New Roman" w:cs="Times New Roman"/>
          <w:color w:val="auto"/>
          <w:highlight w:val="none"/>
          <w:lang w:val="en-US" w:eastAsia="zh-CN"/>
        </w:rPr>
        <w:t>6</w:t>
      </w:r>
      <w:r>
        <w:rPr>
          <w:rFonts w:hint="default" w:ascii="Times New Roman" w:hAnsi="Times New Roman" w:eastAsia="宋体" w:cs="Times New Roman"/>
          <w:color w:val="auto"/>
          <w:highlight w:val="none"/>
        </w:rPr>
        <w:t>月</w:t>
      </w:r>
      <w:r>
        <w:rPr>
          <w:rFonts w:hint="eastAsia" w:ascii="Times New Roman" w:hAnsi="Times New Roman" w:eastAsia="宋体" w:cs="Times New Roman"/>
          <w:color w:val="auto"/>
          <w:highlight w:val="none"/>
          <w:lang w:val="en-US" w:eastAsia="zh-CN"/>
        </w:rPr>
        <w:t>2</w:t>
      </w:r>
      <w:r>
        <w:rPr>
          <w:rFonts w:hint="eastAsia" w:ascii="Times New Roman" w:hAnsi="Times New Roman" w:cs="Times New Roman"/>
          <w:color w:val="auto"/>
          <w:highlight w:val="none"/>
          <w:lang w:val="en-US" w:eastAsia="zh-CN"/>
        </w:rPr>
        <w:t>0</w:t>
      </w:r>
      <w:r>
        <w:rPr>
          <w:rFonts w:hint="default" w:ascii="Times New Roman" w:hAnsi="Times New Roman" w:eastAsia="宋体" w:cs="Times New Roman"/>
          <w:color w:val="auto"/>
          <w:highlight w:val="none"/>
        </w:rPr>
        <w:t>日~</w:t>
      </w:r>
      <w:r>
        <w:rPr>
          <w:rFonts w:hint="eastAsia" w:ascii="Times New Roman" w:hAnsi="Times New Roman" w:cs="Times New Roman"/>
          <w:color w:val="auto"/>
          <w:highlight w:val="none"/>
          <w:lang w:val="en-US" w:eastAsia="zh-CN"/>
        </w:rPr>
        <w:t>6</w:t>
      </w:r>
      <w:r>
        <w:rPr>
          <w:rFonts w:hint="default" w:ascii="Times New Roman" w:hAnsi="Times New Roman" w:eastAsia="宋体" w:cs="Times New Roman"/>
          <w:color w:val="auto"/>
          <w:highlight w:val="none"/>
        </w:rPr>
        <w:t>月</w:t>
      </w:r>
      <w:r>
        <w:rPr>
          <w:rFonts w:hint="eastAsia" w:ascii="Times New Roman" w:hAnsi="Times New Roman" w:cs="Times New Roman"/>
          <w:color w:val="auto"/>
          <w:highlight w:val="none"/>
          <w:lang w:val="en-US" w:eastAsia="zh-CN"/>
        </w:rPr>
        <w:t>26</w:t>
      </w:r>
      <w:r>
        <w:rPr>
          <w:rFonts w:hint="default" w:ascii="Times New Roman" w:hAnsi="Times New Roman" w:eastAsia="宋体" w:cs="Times New Roman"/>
          <w:color w:val="auto"/>
          <w:highlight w:val="none"/>
        </w:rPr>
        <w:t>日，臭气浓度</w:t>
      </w:r>
      <w:r>
        <w:rPr>
          <w:rFonts w:hint="eastAsia" w:ascii="Times New Roman" w:hAnsi="Times New Roman" w:cs="Times New Roman"/>
          <w:color w:val="auto"/>
          <w:highlight w:val="none"/>
          <w:lang w:eastAsia="zh-CN"/>
        </w:rPr>
        <w:t>、</w:t>
      </w:r>
      <w:r>
        <w:rPr>
          <w:color w:val="auto"/>
          <w:sz w:val="24"/>
          <w:szCs w:val="24"/>
          <w:highlight w:val="none"/>
        </w:rPr>
        <w:t>氨、硫化氢</w:t>
      </w:r>
      <w:r>
        <w:rPr>
          <w:color w:val="auto"/>
          <w:sz w:val="24"/>
          <w:highlight w:val="none"/>
        </w:rPr>
        <w:t>为小时平均浓度</w:t>
      </w:r>
      <w:r>
        <w:rPr>
          <w:rFonts w:hint="eastAsia"/>
          <w:color w:val="auto"/>
          <w:sz w:val="24"/>
          <w:highlight w:val="none"/>
          <w:vertAlign w:val="baseline"/>
          <w:lang w:val="en-US" w:eastAsia="zh-CN"/>
        </w:rPr>
        <w:t>，</w:t>
      </w:r>
      <w:r>
        <w:rPr>
          <w:rFonts w:hint="eastAsia"/>
          <w:color w:val="auto"/>
          <w:sz w:val="24"/>
          <w:highlight w:val="none"/>
          <w:lang w:val="en-US" w:eastAsia="zh-CN"/>
        </w:rPr>
        <w:t>连续</w:t>
      </w:r>
      <w:r>
        <w:rPr>
          <w:rFonts w:hint="eastAsia"/>
          <w:color w:val="auto"/>
          <w:sz w:val="24"/>
          <w:highlight w:val="none"/>
        </w:rPr>
        <w:t>监测</w:t>
      </w:r>
      <w:r>
        <w:rPr>
          <w:rFonts w:hint="eastAsia"/>
          <w:color w:val="auto"/>
          <w:sz w:val="24"/>
          <w:highlight w:val="none"/>
          <w:lang w:val="en-US" w:eastAsia="zh-CN"/>
        </w:rPr>
        <w:t>7</w:t>
      </w:r>
      <w:r>
        <w:rPr>
          <w:rFonts w:hint="eastAsia"/>
          <w:color w:val="auto"/>
          <w:sz w:val="24"/>
          <w:highlight w:val="none"/>
        </w:rPr>
        <w:t>天</w:t>
      </w:r>
      <w:r>
        <w:rPr>
          <w:rFonts w:hint="eastAsia"/>
          <w:color w:val="auto"/>
          <w:sz w:val="24"/>
          <w:highlight w:val="none"/>
          <w:lang w:eastAsia="zh-CN"/>
        </w:rPr>
        <w:t>，每天监测</w:t>
      </w:r>
      <w:r>
        <w:rPr>
          <w:rFonts w:hint="eastAsia"/>
          <w:color w:val="auto"/>
          <w:sz w:val="24"/>
          <w:highlight w:val="none"/>
          <w:lang w:val="en-US" w:eastAsia="zh-CN"/>
        </w:rPr>
        <w:t>4次</w:t>
      </w:r>
      <w:r>
        <w:rPr>
          <w:rFonts w:hint="default" w:ascii="Times New Roman" w:hAnsi="Times New Roman" w:eastAsia="宋体" w:cs="Times New Roman"/>
          <w:color w:val="auto"/>
          <w:highlight w:val="none"/>
        </w:rPr>
        <w:t>。</w:t>
      </w:r>
    </w:p>
    <w:p>
      <w:pPr>
        <w:pStyle w:val="114"/>
        <w:rPr>
          <w:rFonts w:hint="default" w:ascii="Times New Roman" w:hAnsi="Times New Roman" w:eastAsia="宋体" w:cs="Times New Roman"/>
          <w:b/>
          <w:bCs/>
          <w:color w:val="auto"/>
          <w:highlight w:val="none"/>
        </w:rPr>
      </w:pPr>
      <w:r>
        <w:rPr>
          <w:rFonts w:hint="eastAsia" w:ascii="Times New Roman" w:hAnsi="Times New Roman" w:cs="Times New Roman"/>
          <w:b/>
          <w:bCs/>
          <w:color w:val="auto"/>
          <w:highlight w:val="none"/>
          <w:lang w:val="en-US" w:eastAsia="zh-CN"/>
        </w:rPr>
        <w:t>4、</w:t>
      </w:r>
      <w:r>
        <w:rPr>
          <w:rFonts w:hint="default" w:ascii="Times New Roman" w:hAnsi="Times New Roman" w:eastAsia="宋体" w:cs="Times New Roman"/>
          <w:b/>
          <w:bCs/>
          <w:color w:val="auto"/>
          <w:highlight w:val="none"/>
        </w:rPr>
        <w:t>采样与分析方法</w:t>
      </w:r>
    </w:p>
    <w:p>
      <w:pPr>
        <w:pStyle w:val="114"/>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按国家标准方法和推荐方法进行。</w:t>
      </w:r>
    </w:p>
    <w:p>
      <w:pPr>
        <w:pStyle w:val="114"/>
        <w:numPr>
          <w:ilvl w:val="0"/>
          <w:numId w:val="30"/>
        </w:numPr>
        <w:ind w:left="0" w:leftChars="0"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现状监测结果</w:t>
      </w:r>
    </w:p>
    <w:p>
      <w:pPr>
        <w:pStyle w:val="2504"/>
        <w:numPr>
          <w:ilvl w:val="0"/>
          <w:numId w:val="0"/>
        </w:numPr>
        <w:spacing w:before="120"/>
        <w:ind w:leftChars="0"/>
        <w:jc w:val="center"/>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 xml:space="preserve">4.2-3  </w:t>
      </w:r>
      <w:r>
        <w:rPr>
          <w:rFonts w:hint="eastAsia" w:ascii="Times New Roman" w:hAnsi="Times New Roman" w:eastAsia="宋体" w:cs="Times New Roman"/>
          <w:color w:val="auto"/>
          <w:highlight w:val="none"/>
          <w:lang w:eastAsia="zh-CN"/>
        </w:rPr>
        <w:t>环境空气</w:t>
      </w:r>
      <w:r>
        <w:rPr>
          <w:rFonts w:hint="default" w:ascii="Times New Roman" w:hAnsi="Times New Roman" w:eastAsia="宋体" w:cs="Times New Roman"/>
          <w:color w:val="auto"/>
          <w:highlight w:val="none"/>
        </w:rPr>
        <w:t>监测结果表</w:t>
      </w:r>
    </w:p>
    <w:tbl>
      <w:tblPr>
        <w:tblStyle w:val="91"/>
        <w:tblW w:w="7952" w:type="dxa"/>
        <w:tblInd w:w="93" w:type="dxa"/>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Layout w:type="autofit"/>
        <w:tblCellMar>
          <w:top w:w="0" w:type="dxa"/>
          <w:left w:w="108" w:type="dxa"/>
          <w:bottom w:w="0" w:type="dxa"/>
          <w:right w:w="108" w:type="dxa"/>
        </w:tblCellMar>
      </w:tblPr>
      <w:tblGrid>
        <w:gridCol w:w="1063"/>
        <w:gridCol w:w="1308"/>
        <w:gridCol w:w="1200"/>
        <w:gridCol w:w="1056"/>
        <w:gridCol w:w="1125"/>
        <w:gridCol w:w="1062"/>
        <w:gridCol w:w="1138"/>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571"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测点信息</w:t>
            </w:r>
          </w:p>
        </w:tc>
        <w:tc>
          <w:tcPr>
            <w:tcW w:w="4381" w:type="dxa"/>
            <w:gridSpan w:val="4"/>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检测结果(mg/m³)</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340" w:hRule="atLeast"/>
        </w:trPr>
        <w:tc>
          <w:tcPr>
            <w:tcW w:w="106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检测项目</w:t>
            </w:r>
          </w:p>
        </w:tc>
        <w:tc>
          <w:tcPr>
            <w:tcW w:w="130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测点位置</w:t>
            </w: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采样日期</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第一次</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第二次</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第三次</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第四次</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300" w:hRule="atLeast"/>
        </w:trPr>
        <w:tc>
          <w:tcPr>
            <w:tcW w:w="106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氨(mg/m³)</w:t>
            </w:r>
          </w:p>
        </w:tc>
        <w:tc>
          <w:tcPr>
            <w:tcW w:w="1308"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H01</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项目场地内</w:t>
            </w: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6月20日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300"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6月21日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300"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6月22日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0.02</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300"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6月23日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300"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6月24日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300"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6月25日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300"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6月26日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氨(mg/m³)</w:t>
            </w:r>
          </w:p>
        </w:tc>
        <w:tc>
          <w:tcPr>
            <w:tcW w:w="1308"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HO2</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项目东侧居民点</w:t>
            </w: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6月20日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0.06</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0.06</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0.06</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6月21日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0.06</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6月22日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6月23日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6月24日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6月25日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6月26日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硫化氢(mg/m³)</w:t>
            </w:r>
          </w:p>
        </w:tc>
        <w:tc>
          <w:tcPr>
            <w:tcW w:w="1308"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H01</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项目场地内</w:t>
            </w: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6月20日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6月21日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6月22日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6月23日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6月24日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6月25日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6月26日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HO2</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项目东侧居民点</w:t>
            </w: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6月20日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6月21日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6月22日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6月23日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6月24日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6月25日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6月26日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臭气浓度(无量纲)</w:t>
            </w:r>
          </w:p>
        </w:tc>
        <w:tc>
          <w:tcPr>
            <w:tcW w:w="1308"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HO1</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项目场地内</w:t>
            </w: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6月20日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6月21日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6月22日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6月23日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6月24日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6月25日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6月26日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HO2</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项目东侧居民点</w:t>
            </w: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6月20日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6月21日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6月22日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6月23日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shd w:val="clear" w:color="auto" w:fill="auto"/>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6月24日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6月25日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108" w:type="dxa"/>
            <w:bottom w:w="0" w:type="dxa"/>
            <w:right w:w="108" w:type="dxa"/>
          </w:tblCellMar>
        </w:tblPrEx>
        <w:trPr>
          <w:trHeight w:val="255" w:hRule="atLeast"/>
        </w:trPr>
        <w:tc>
          <w:tcPr>
            <w:tcW w:w="106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308"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i w:val="0"/>
                <w:iCs w:val="0"/>
                <w:color w:val="auto"/>
                <w:sz w:val="21"/>
                <w:szCs w:val="21"/>
                <w:highlight w:val="none"/>
                <w:u w:val="none"/>
              </w:rPr>
            </w:pPr>
          </w:p>
        </w:tc>
        <w:tc>
          <w:tcPr>
            <w:tcW w:w="120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6月26日</w:t>
            </w:r>
          </w:p>
        </w:tc>
        <w:tc>
          <w:tcPr>
            <w:tcW w:w="10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2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06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c>
          <w:tcPr>
            <w:tcW w:w="113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&lt;10</w:t>
            </w:r>
          </w:p>
        </w:tc>
      </w:tr>
    </w:tbl>
    <w:p>
      <w:pPr>
        <w:pStyle w:val="9"/>
        <w:numPr>
          <w:ilvl w:val="3"/>
          <w:numId w:val="31"/>
        </w:numPr>
        <w:spacing w:line="374" w:lineRule="auto"/>
        <w:rPr>
          <w:rFonts w:hint="eastAsia" w:ascii="Times New Roman" w:hAnsi="Times New Roman" w:cs="Times New Roman"/>
          <w:b/>
          <w:bCs/>
          <w:color w:val="auto"/>
          <w:highlight w:val="none"/>
          <w:lang w:val="en-US" w:eastAsia="zh-CN"/>
        </w:rPr>
      </w:pPr>
      <w:r>
        <w:rPr>
          <w:rFonts w:hint="eastAsia"/>
          <w:b/>
          <w:color w:val="auto"/>
          <w:highlight w:val="none"/>
        </w:rPr>
        <w:t>其他污染物环境质量现状</w:t>
      </w:r>
      <w:r>
        <w:rPr>
          <w:rFonts w:hint="eastAsia"/>
          <w:b/>
          <w:color w:val="auto"/>
          <w:highlight w:val="none"/>
          <w:lang w:eastAsia="zh-CN"/>
        </w:rPr>
        <w:t>评价</w:t>
      </w:r>
    </w:p>
    <w:p>
      <w:pPr>
        <w:pStyle w:val="114"/>
        <w:rPr>
          <w:rFonts w:hint="default" w:ascii="Times New Roman" w:hAnsi="Times New Roman" w:eastAsia="宋体" w:cs="Times New Roman"/>
          <w:b/>
          <w:bCs/>
          <w:color w:val="auto"/>
          <w:highlight w:val="none"/>
        </w:rPr>
      </w:pPr>
      <w:r>
        <w:rPr>
          <w:rFonts w:hint="eastAsia" w:ascii="Times New Roman" w:hAnsi="Times New Roman" w:cs="Times New Roman"/>
          <w:b/>
          <w:bCs/>
          <w:color w:val="auto"/>
          <w:highlight w:val="none"/>
          <w:lang w:val="en-US" w:eastAsia="zh-CN"/>
        </w:rPr>
        <w:t>1、</w:t>
      </w:r>
      <w:r>
        <w:rPr>
          <w:rFonts w:hint="default" w:ascii="Times New Roman" w:hAnsi="Times New Roman" w:eastAsia="宋体" w:cs="Times New Roman"/>
          <w:b/>
          <w:bCs/>
          <w:color w:val="auto"/>
          <w:highlight w:val="none"/>
        </w:rPr>
        <w:t>评价方法</w:t>
      </w:r>
    </w:p>
    <w:p>
      <w:pPr>
        <w:pStyle w:val="114"/>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环境空气质量现状评价采用单因子污染指数法，其评价公式为：</w:t>
      </w:r>
    </w:p>
    <w:p>
      <w:pPr>
        <w:pStyle w:val="114"/>
        <w:jc w:val="center"/>
        <w:rPr>
          <w:rFonts w:hint="default" w:ascii="Times New Roman" w:hAnsi="Times New Roman" w:eastAsia="宋体" w:cs="Times New Roman"/>
          <w:color w:val="auto"/>
          <w:highlight w:val="none"/>
        </w:rPr>
      </w:pPr>
      <w:r>
        <w:rPr>
          <w:rFonts w:hint="eastAsia"/>
          <w:color w:val="auto"/>
          <w:highlight w:val="none"/>
        </w:rPr>
        <w:t>I</w:t>
      </w:r>
      <w:r>
        <w:rPr>
          <w:rFonts w:hint="eastAsia"/>
          <w:color w:val="auto"/>
          <w:highlight w:val="none"/>
          <w:vertAlign w:val="subscript"/>
        </w:rPr>
        <w:t>i</w:t>
      </w:r>
      <w:r>
        <w:rPr>
          <w:rFonts w:hint="eastAsia"/>
          <w:color w:val="auto"/>
          <w:highlight w:val="none"/>
        </w:rPr>
        <w:t>=Ci/C0×100%</w:t>
      </w:r>
    </w:p>
    <w:p>
      <w:pPr>
        <w:pStyle w:val="114"/>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式中：C0——污染因子 i 的环境质量标准（mg/m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w:t>
      </w:r>
    </w:p>
    <w:p>
      <w:pPr>
        <w:pStyle w:val="114"/>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Ci——污染因子i的实测浓度（mg/m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w:t>
      </w:r>
    </w:p>
    <w:p>
      <w:pPr>
        <w:pStyle w:val="114"/>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I</w:t>
      </w:r>
      <w:r>
        <w:rPr>
          <w:rFonts w:hint="default" w:ascii="Times New Roman" w:hAnsi="Times New Roman" w:eastAsia="宋体" w:cs="Times New Roman"/>
          <w:color w:val="auto"/>
          <w:highlight w:val="none"/>
          <w:vertAlign w:val="subscript"/>
        </w:rPr>
        <w:t>i</w:t>
      </w:r>
      <w:r>
        <w:rPr>
          <w:rFonts w:hint="default" w:ascii="Times New Roman" w:hAnsi="Times New Roman" w:eastAsia="宋体" w:cs="Times New Roman"/>
          <w:color w:val="auto"/>
          <w:highlight w:val="none"/>
        </w:rPr>
        <w:t>——污染因子i的占标率，</w:t>
      </w:r>
      <w:r>
        <w:rPr>
          <w:rFonts w:hint="eastAsia" w:ascii="Times New Roman" w:hAnsi="Times New Roman" w:cs="Times New Roman"/>
          <w:color w:val="auto"/>
          <w:highlight w:val="none"/>
          <w:lang w:eastAsia="zh-CN"/>
        </w:rPr>
        <w:t>“</w:t>
      </w:r>
      <w:r>
        <w:rPr>
          <w:rFonts w:hint="default" w:ascii="Times New Roman" w:hAnsi="Times New Roman" w:eastAsia="宋体" w:cs="Times New Roman"/>
          <w:color w:val="auto"/>
          <w:highlight w:val="none"/>
        </w:rPr>
        <w:t>0～1”满足标准，&gt;1为超标。当Pi≥1.0时，表明大气环境已经受到该项评价因子所表征的污染物的污染，Pi值越大，受污染程度越重。</w:t>
      </w:r>
    </w:p>
    <w:p>
      <w:pPr>
        <w:pStyle w:val="114"/>
        <w:numPr>
          <w:ilvl w:val="0"/>
          <w:numId w:val="0"/>
        </w:numPr>
        <w:ind w:leftChars="200"/>
        <w:rPr>
          <w:rFonts w:hint="default" w:ascii="Times New Roman" w:hAnsi="Times New Roman" w:eastAsia="宋体" w:cs="Times New Roman"/>
          <w:b/>
          <w:bCs/>
          <w:color w:val="auto"/>
          <w:highlight w:val="none"/>
        </w:rPr>
      </w:pPr>
      <w:r>
        <w:rPr>
          <w:rFonts w:hint="eastAsia" w:ascii="Times New Roman" w:hAnsi="Times New Roman" w:cs="Times New Roman"/>
          <w:b/>
          <w:bCs/>
          <w:color w:val="auto"/>
          <w:highlight w:val="none"/>
          <w:lang w:val="en-US" w:eastAsia="zh-CN"/>
        </w:rPr>
        <w:t>2、</w:t>
      </w:r>
      <w:r>
        <w:rPr>
          <w:rFonts w:hint="default" w:ascii="Times New Roman" w:hAnsi="Times New Roman" w:eastAsia="宋体" w:cs="Times New Roman"/>
          <w:b/>
          <w:bCs/>
          <w:color w:val="auto"/>
          <w:highlight w:val="none"/>
        </w:rPr>
        <w:t>评价标准</w:t>
      </w:r>
    </w:p>
    <w:p>
      <w:pPr>
        <w:pStyle w:val="114"/>
        <w:rPr>
          <w:color w:val="auto"/>
          <w:highlight w:val="none"/>
        </w:rPr>
      </w:pPr>
      <w:r>
        <w:rPr>
          <w:rFonts w:hint="default" w:ascii="Times New Roman" w:hAnsi="Times New Roman" w:eastAsia="宋体" w:cs="Times New Roman"/>
          <w:color w:val="auto"/>
          <w:highlight w:val="none"/>
        </w:rPr>
        <w:t>H</w:t>
      </w:r>
      <w:r>
        <w:rPr>
          <w:rFonts w:hint="default" w:ascii="Times New Roman" w:hAnsi="Times New Roman" w:eastAsia="宋体" w:cs="Times New Roman"/>
          <w:color w:val="auto"/>
          <w:highlight w:val="none"/>
          <w:vertAlign w:val="subscript"/>
        </w:rPr>
        <w:t>2</w:t>
      </w:r>
      <w:r>
        <w:rPr>
          <w:rFonts w:hint="default" w:ascii="Times New Roman" w:hAnsi="Times New Roman" w:eastAsia="宋体" w:cs="Times New Roman"/>
          <w:color w:val="auto"/>
          <w:highlight w:val="none"/>
        </w:rPr>
        <w:t>S、NH</w:t>
      </w:r>
      <w:r>
        <w:rPr>
          <w:rFonts w:hint="default" w:ascii="Times New Roman" w:hAnsi="Times New Roman" w:eastAsia="宋体" w:cs="Times New Roman"/>
          <w:color w:val="auto"/>
          <w:highlight w:val="none"/>
          <w:vertAlign w:val="subscript"/>
        </w:rPr>
        <w:t>3</w:t>
      </w:r>
      <w:r>
        <w:rPr>
          <w:rFonts w:hint="default" w:ascii="Times New Roman" w:hAnsi="Times New Roman" w:eastAsia="宋体" w:cs="Times New Roman"/>
          <w:color w:val="auto"/>
          <w:highlight w:val="none"/>
        </w:rPr>
        <w:t>执行《环境影响评价技术导则-大气环境》（HJ2.2-2018）附录 D其它污染物空气质量浓度参考限值。</w:t>
      </w:r>
    </w:p>
    <w:p>
      <w:pPr>
        <w:spacing w:line="440" w:lineRule="exact"/>
        <w:ind w:firstLine="482" w:firstLineChars="200"/>
        <w:rPr>
          <w:rFonts w:hint="eastAsia" w:ascii="Times New Roman" w:hAnsi="Times New Roman" w:eastAsia="宋体" w:cs="Times New Roman"/>
          <w:b/>
          <w:color w:val="auto"/>
          <w:sz w:val="24"/>
          <w:szCs w:val="24"/>
          <w:highlight w:val="none"/>
          <w:lang w:val="en-US" w:eastAsia="zh-CN"/>
        </w:rPr>
      </w:pPr>
      <w:r>
        <w:rPr>
          <w:rFonts w:hint="eastAsia" w:ascii="Times New Roman" w:hAnsi="Times New Roman" w:eastAsia="宋体" w:cs="Times New Roman"/>
          <w:b/>
          <w:color w:val="auto"/>
          <w:sz w:val="24"/>
          <w:szCs w:val="24"/>
          <w:highlight w:val="none"/>
          <w:lang w:val="en-US" w:eastAsia="zh-CN"/>
        </w:rPr>
        <w:t>3、评价结果</w:t>
      </w:r>
    </w:p>
    <w:p>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采用上述单因子污染指数法，本项目大气环境评价结果见下表。</w:t>
      </w:r>
    </w:p>
    <w:p>
      <w:pPr>
        <w:pStyle w:val="2504"/>
        <w:numPr>
          <w:ilvl w:val="0"/>
          <w:numId w:val="0"/>
        </w:numPr>
        <w:spacing w:before="120"/>
        <w:ind w:left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4.2-4    其他污染物环境质量现状评价结果</w:t>
      </w:r>
    </w:p>
    <w:tbl>
      <w:tblPr>
        <w:tblStyle w:val="91"/>
        <w:tblW w:w="4995" w:type="pct"/>
        <w:tblInd w:w="0" w:type="dxa"/>
        <w:tblLayout w:type="autofit"/>
        <w:tblCellMar>
          <w:top w:w="0" w:type="dxa"/>
          <w:left w:w="0" w:type="dxa"/>
          <w:bottom w:w="0" w:type="dxa"/>
          <w:right w:w="0" w:type="dxa"/>
        </w:tblCellMar>
      </w:tblPr>
      <w:tblGrid>
        <w:gridCol w:w="537"/>
        <w:gridCol w:w="1188"/>
        <w:gridCol w:w="635"/>
        <w:gridCol w:w="510"/>
        <w:gridCol w:w="1179"/>
        <w:gridCol w:w="1317"/>
        <w:gridCol w:w="1158"/>
        <w:gridCol w:w="948"/>
        <w:gridCol w:w="826"/>
      </w:tblGrid>
      <w:tr>
        <w:tblPrEx>
          <w:tblCellMar>
            <w:top w:w="0" w:type="dxa"/>
            <w:left w:w="0" w:type="dxa"/>
            <w:bottom w:w="0" w:type="dxa"/>
            <w:right w:w="0" w:type="dxa"/>
          </w:tblCellMar>
        </w:tblPrEx>
        <w:trPr>
          <w:trHeight w:val="1218" w:hRule="atLeast"/>
        </w:trPr>
        <w:tc>
          <w:tcPr>
            <w:tcW w:w="324" w:type="pct"/>
            <w:tcBorders>
              <w:top w:val="single" w:color="auto" w:sz="12"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监测 点位</w:t>
            </w:r>
          </w:p>
        </w:tc>
        <w:tc>
          <w:tcPr>
            <w:tcW w:w="715" w:type="pct"/>
            <w:tcBorders>
              <w:top w:val="single" w:color="auto" w:sz="12"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color w:val="auto"/>
                <w:sz w:val="21"/>
                <w:szCs w:val="21"/>
                <w:highlight w:val="none"/>
                <w:lang w:val="en-US" w:eastAsia="zh-CN"/>
              </w:rPr>
            </w:pPr>
            <w:r>
              <w:rPr>
                <w:rFonts w:hint="eastAsia" w:ascii="Times New Roman" w:hAnsi="Times New Roman" w:eastAsia="宋体" w:cs="Times New Roman"/>
                <w:b/>
                <w:color w:val="auto"/>
                <w:sz w:val="21"/>
                <w:szCs w:val="21"/>
                <w:highlight w:val="none"/>
                <w:lang w:val="en-US" w:eastAsia="zh-CN"/>
              </w:rPr>
              <w:t>取样点位置</w:t>
            </w:r>
          </w:p>
        </w:tc>
        <w:tc>
          <w:tcPr>
            <w:tcW w:w="382" w:type="pct"/>
            <w:tcBorders>
              <w:top w:val="single" w:color="auto" w:sz="12"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污染物</w:t>
            </w:r>
          </w:p>
        </w:tc>
        <w:tc>
          <w:tcPr>
            <w:tcW w:w="307" w:type="pct"/>
            <w:tcBorders>
              <w:top w:val="single" w:color="auto" w:sz="12"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平均 时间</w:t>
            </w:r>
          </w:p>
        </w:tc>
        <w:tc>
          <w:tcPr>
            <w:tcW w:w="710" w:type="pct"/>
            <w:tcBorders>
              <w:top w:val="single" w:color="auto" w:sz="12"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评价标准/（</w:t>
            </w:r>
            <w:r>
              <w:rPr>
                <w:rFonts w:hint="default" w:ascii="Times New Roman" w:hAnsi="Times New Roman" w:eastAsia="宋体" w:cs="Times New Roman"/>
                <w:b/>
                <w:color w:val="auto"/>
                <w:sz w:val="21"/>
                <w:szCs w:val="21"/>
                <w:highlight w:val="none"/>
                <w:lang w:val="en-US" w:eastAsia="zh-CN"/>
              </w:rPr>
              <w:t>m</w:t>
            </w:r>
            <w:r>
              <w:rPr>
                <w:rFonts w:hint="default" w:ascii="Times New Roman" w:hAnsi="Times New Roman" w:eastAsia="宋体" w:cs="Times New Roman"/>
                <w:b/>
                <w:color w:val="auto"/>
                <w:sz w:val="21"/>
                <w:szCs w:val="21"/>
                <w:highlight w:val="none"/>
              </w:rPr>
              <w:t>g/m</w:t>
            </w:r>
            <w:r>
              <w:rPr>
                <w:rFonts w:hint="default" w:ascii="Times New Roman" w:hAnsi="Times New Roman" w:eastAsia="宋体" w:cs="Times New Roman"/>
                <w:b/>
                <w:color w:val="auto"/>
                <w:sz w:val="21"/>
                <w:szCs w:val="21"/>
                <w:highlight w:val="none"/>
                <w:vertAlign w:val="superscript"/>
              </w:rPr>
              <w:t>3</w:t>
            </w:r>
            <w:r>
              <w:rPr>
                <w:rFonts w:hint="default" w:ascii="Times New Roman" w:hAnsi="Times New Roman" w:eastAsia="宋体" w:cs="Times New Roman"/>
                <w:b/>
                <w:color w:val="auto"/>
                <w:sz w:val="21"/>
                <w:szCs w:val="21"/>
                <w:highlight w:val="none"/>
              </w:rPr>
              <w:t>）</w:t>
            </w:r>
          </w:p>
        </w:tc>
        <w:tc>
          <w:tcPr>
            <w:tcW w:w="793" w:type="pct"/>
            <w:tcBorders>
              <w:top w:val="single" w:color="auto" w:sz="12"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监测浓度范围/（</w:t>
            </w:r>
            <w:r>
              <w:rPr>
                <w:rFonts w:hint="default" w:ascii="Times New Roman" w:hAnsi="Times New Roman" w:eastAsia="宋体" w:cs="Times New Roman"/>
                <w:b/>
                <w:color w:val="auto"/>
                <w:sz w:val="21"/>
                <w:szCs w:val="21"/>
                <w:highlight w:val="none"/>
                <w:lang w:val="en-US" w:eastAsia="zh-CN"/>
              </w:rPr>
              <w:t>m</w:t>
            </w:r>
            <w:r>
              <w:rPr>
                <w:rFonts w:hint="default" w:ascii="Times New Roman" w:hAnsi="Times New Roman" w:eastAsia="宋体" w:cs="Times New Roman"/>
                <w:b/>
                <w:color w:val="auto"/>
                <w:sz w:val="21"/>
                <w:szCs w:val="21"/>
                <w:highlight w:val="none"/>
              </w:rPr>
              <w:t>g/m</w:t>
            </w:r>
            <w:r>
              <w:rPr>
                <w:rFonts w:hint="default" w:ascii="Times New Roman" w:hAnsi="Times New Roman" w:eastAsia="宋体" w:cs="Times New Roman"/>
                <w:b/>
                <w:color w:val="auto"/>
                <w:sz w:val="21"/>
                <w:szCs w:val="21"/>
                <w:highlight w:val="none"/>
                <w:vertAlign w:val="superscript"/>
              </w:rPr>
              <w:t>3</w:t>
            </w:r>
            <w:r>
              <w:rPr>
                <w:rFonts w:hint="default" w:ascii="Times New Roman" w:hAnsi="Times New Roman" w:eastAsia="宋体" w:cs="Times New Roman"/>
                <w:b/>
                <w:color w:val="auto"/>
                <w:sz w:val="21"/>
                <w:szCs w:val="21"/>
                <w:highlight w:val="none"/>
              </w:rPr>
              <w:t>）</w:t>
            </w:r>
          </w:p>
        </w:tc>
        <w:tc>
          <w:tcPr>
            <w:tcW w:w="697" w:type="pct"/>
            <w:tcBorders>
              <w:top w:val="single" w:color="auto" w:sz="12"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最大浓度占标率/%</w:t>
            </w:r>
          </w:p>
        </w:tc>
        <w:tc>
          <w:tcPr>
            <w:tcW w:w="571" w:type="pct"/>
            <w:tcBorders>
              <w:top w:val="single" w:color="auto" w:sz="12"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超标率/%</w:t>
            </w:r>
          </w:p>
        </w:tc>
        <w:tc>
          <w:tcPr>
            <w:tcW w:w="497" w:type="pct"/>
            <w:tcBorders>
              <w:top w:val="single" w:color="auto" w:sz="12" w:space="0"/>
              <w:left w:val="single" w:color="000000" w:sz="6" w:space="0"/>
              <w:bottom w:val="single" w:color="000000" w:sz="4"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达标情况</w:t>
            </w:r>
          </w:p>
        </w:tc>
      </w:tr>
      <w:tr>
        <w:tblPrEx>
          <w:tblCellMar>
            <w:top w:w="0" w:type="dxa"/>
            <w:left w:w="0" w:type="dxa"/>
            <w:bottom w:w="0" w:type="dxa"/>
            <w:right w:w="0" w:type="dxa"/>
          </w:tblCellMar>
        </w:tblPrEx>
        <w:tc>
          <w:tcPr>
            <w:tcW w:w="324" w:type="pct"/>
            <w:vMerge w:val="restart"/>
            <w:tcBorders>
              <w:top w:val="single" w:color="000000" w:sz="4"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1#</w:t>
            </w:r>
          </w:p>
        </w:tc>
        <w:tc>
          <w:tcPr>
            <w:tcW w:w="715" w:type="pct"/>
            <w:vMerge w:val="restart"/>
            <w:tcBorders>
              <w:top w:val="single" w:color="000000" w:sz="4" w:space="0"/>
              <w:left w:val="single" w:color="000000" w:sz="6" w:space="0"/>
              <w:bottom w:val="single" w:color="000000" w:sz="4" w:space="0"/>
              <w:right w:val="single" w:color="000000" w:sz="6" w:space="0"/>
            </w:tcBorders>
            <w:noWrap w:val="0"/>
            <w:vAlign w:val="center"/>
          </w:tcPr>
          <w:p>
            <w:pPr>
              <w:pStyle w:val="172"/>
              <w:keepNext w:val="0"/>
              <w:keepLines w:val="0"/>
              <w:pageBreakBefore w:val="0"/>
              <w:suppressLineNumbers w:val="0"/>
              <w:kinsoku/>
              <w:wordWrap/>
              <w:overflowPunct/>
              <w:topLinePunct w:val="0"/>
              <w:bidi w:val="0"/>
              <w:snapToGrid/>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color w:val="auto"/>
                <w:sz w:val="21"/>
                <w:szCs w:val="21"/>
                <w:highlight w:val="none"/>
              </w:rPr>
              <w:t>项目场地内</w:t>
            </w:r>
          </w:p>
        </w:tc>
        <w:tc>
          <w:tcPr>
            <w:tcW w:w="382"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NH</w:t>
            </w:r>
            <w:r>
              <w:rPr>
                <w:rFonts w:hint="default" w:ascii="Times New Roman" w:hAnsi="Times New Roman" w:eastAsia="宋体" w:cs="Times New Roman"/>
                <w:b w:val="0"/>
                <w:bCs/>
                <w:color w:val="auto"/>
                <w:sz w:val="21"/>
                <w:szCs w:val="21"/>
                <w:highlight w:val="none"/>
                <w:vertAlign w:val="subscript"/>
              </w:rPr>
              <w:t>3</w:t>
            </w:r>
          </w:p>
        </w:tc>
        <w:tc>
          <w:tcPr>
            <w:tcW w:w="30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7d</w:t>
            </w:r>
          </w:p>
        </w:tc>
        <w:tc>
          <w:tcPr>
            <w:tcW w:w="710"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0.2</w:t>
            </w:r>
          </w:p>
        </w:tc>
        <w:tc>
          <w:tcPr>
            <w:tcW w:w="793"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0.02</w:t>
            </w:r>
            <w:r>
              <w:rPr>
                <w:rFonts w:hint="default" w:ascii="Times New Roman" w:hAnsi="Times New Roman" w:eastAsia="宋体" w:cs="Times New Roman"/>
                <w:b w:val="0"/>
                <w:bCs/>
                <w:color w:val="auto"/>
                <w:sz w:val="21"/>
                <w:szCs w:val="21"/>
                <w:highlight w:val="none"/>
              </w:rPr>
              <w:t>~</w:t>
            </w:r>
            <w:r>
              <w:rPr>
                <w:rFonts w:hint="default" w:ascii="Times New Roman" w:hAnsi="Times New Roman" w:eastAsia="宋体" w:cs="Times New Roman"/>
                <w:b w:val="0"/>
                <w:bCs/>
                <w:color w:val="auto"/>
                <w:sz w:val="21"/>
                <w:szCs w:val="21"/>
                <w:highlight w:val="none"/>
                <w:lang w:val="en-US" w:eastAsia="zh-CN"/>
              </w:rPr>
              <w:t>0.05</w:t>
            </w:r>
          </w:p>
        </w:tc>
        <w:tc>
          <w:tcPr>
            <w:tcW w:w="69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25</w:t>
            </w:r>
          </w:p>
        </w:tc>
        <w:tc>
          <w:tcPr>
            <w:tcW w:w="571"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0</w:t>
            </w:r>
          </w:p>
        </w:tc>
        <w:tc>
          <w:tcPr>
            <w:tcW w:w="497" w:type="pct"/>
            <w:tcBorders>
              <w:top w:val="single" w:color="000000" w:sz="4" w:space="0"/>
              <w:left w:val="single" w:color="000000" w:sz="6" w:space="0"/>
              <w:bottom w:val="single" w:color="000000"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达标</w:t>
            </w:r>
          </w:p>
        </w:tc>
      </w:tr>
      <w:tr>
        <w:tblPrEx>
          <w:tblCellMar>
            <w:top w:w="0" w:type="dxa"/>
            <w:left w:w="0" w:type="dxa"/>
            <w:bottom w:w="0" w:type="dxa"/>
            <w:right w:w="0" w:type="dxa"/>
          </w:tblCellMar>
        </w:tblPrEx>
        <w:tc>
          <w:tcPr>
            <w:tcW w:w="324" w:type="pct"/>
            <w:vMerge w:val="continue"/>
            <w:tcBorders>
              <w:top w:val="single" w:color="000000" w:sz="4"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p>
        </w:tc>
        <w:tc>
          <w:tcPr>
            <w:tcW w:w="715" w:type="pct"/>
            <w:vMerge w:val="continue"/>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p>
        </w:tc>
        <w:tc>
          <w:tcPr>
            <w:tcW w:w="382"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b w:val="0"/>
                <w:bCs/>
                <w:color w:val="auto"/>
                <w:sz w:val="21"/>
                <w:szCs w:val="21"/>
                <w:highlight w:val="none"/>
              </w:rPr>
              <w:t>H</w:t>
            </w:r>
            <w:r>
              <w:rPr>
                <w:rFonts w:hint="default" w:ascii="Times New Roman" w:hAnsi="Times New Roman" w:eastAsia="宋体" w:cs="Times New Roman"/>
                <w:b w:val="0"/>
                <w:bCs/>
                <w:color w:val="auto"/>
                <w:sz w:val="21"/>
                <w:szCs w:val="21"/>
                <w:highlight w:val="none"/>
                <w:vertAlign w:val="subscript"/>
              </w:rPr>
              <w:t>2</w:t>
            </w:r>
            <w:r>
              <w:rPr>
                <w:rFonts w:hint="default" w:ascii="Times New Roman" w:hAnsi="Times New Roman" w:eastAsia="宋体" w:cs="Times New Roman"/>
                <w:b w:val="0"/>
                <w:bCs/>
                <w:color w:val="auto"/>
                <w:sz w:val="21"/>
                <w:szCs w:val="21"/>
                <w:highlight w:val="none"/>
              </w:rPr>
              <w:t>S</w:t>
            </w:r>
          </w:p>
        </w:tc>
        <w:tc>
          <w:tcPr>
            <w:tcW w:w="30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b w:val="0"/>
                <w:bCs/>
                <w:color w:val="auto"/>
                <w:sz w:val="21"/>
                <w:szCs w:val="21"/>
                <w:highlight w:val="none"/>
              </w:rPr>
              <w:t>7d</w:t>
            </w:r>
          </w:p>
        </w:tc>
        <w:tc>
          <w:tcPr>
            <w:tcW w:w="710"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0.01</w:t>
            </w:r>
          </w:p>
        </w:tc>
        <w:tc>
          <w:tcPr>
            <w:tcW w:w="793"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bidi="ar-SA"/>
              </w:rPr>
              <w:t>ND</w:t>
            </w:r>
          </w:p>
        </w:tc>
        <w:tc>
          <w:tcPr>
            <w:tcW w:w="69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bidi="ar-SA"/>
              </w:rPr>
              <w:t>/</w:t>
            </w:r>
          </w:p>
        </w:tc>
        <w:tc>
          <w:tcPr>
            <w:tcW w:w="571"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b w:val="0"/>
                <w:bCs/>
                <w:color w:val="auto"/>
                <w:sz w:val="21"/>
                <w:szCs w:val="21"/>
                <w:highlight w:val="none"/>
              </w:rPr>
              <w:t>0</w:t>
            </w:r>
          </w:p>
        </w:tc>
        <w:tc>
          <w:tcPr>
            <w:tcW w:w="497" w:type="pct"/>
            <w:tcBorders>
              <w:top w:val="single" w:color="000000" w:sz="4" w:space="0"/>
              <w:left w:val="single" w:color="000000" w:sz="6" w:space="0"/>
              <w:bottom w:val="single" w:color="000000"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b w:val="0"/>
                <w:bCs/>
                <w:color w:val="auto"/>
                <w:sz w:val="21"/>
                <w:szCs w:val="21"/>
                <w:highlight w:val="none"/>
              </w:rPr>
              <w:t>达标</w:t>
            </w:r>
          </w:p>
        </w:tc>
      </w:tr>
      <w:tr>
        <w:tblPrEx>
          <w:tblCellMar>
            <w:top w:w="0" w:type="dxa"/>
            <w:left w:w="0" w:type="dxa"/>
            <w:bottom w:w="0" w:type="dxa"/>
            <w:right w:w="0" w:type="dxa"/>
          </w:tblCellMar>
        </w:tblPrEx>
        <w:tc>
          <w:tcPr>
            <w:tcW w:w="324" w:type="pct"/>
            <w:vMerge w:val="continue"/>
            <w:tcBorders>
              <w:top w:val="single" w:color="000000" w:sz="4"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p>
        </w:tc>
        <w:tc>
          <w:tcPr>
            <w:tcW w:w="715" w:type="pct"/>
            <w:vMerge w:val="continue"/>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p>
        </w:tc>
        <w:tc>
          <w:tcPr>
            <w:tcW w:w="382"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臭气浓度</w:t>
            </w:r>
          </w:p>
        </w:tc>
        <w:tc>
          <w:tcPr>
            <w:tcW w:w="30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7d</w:t>
            </w:r>
          </w:p>
        </w:tc>
        <w:tc>
          <w:tcPr>
            <w:tcW w:w="710"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w:t>
            </w:r>
          </w:p>
        </w:tc>
        <w:tc>
          <w:tcPr>
            <w:tcW w:w="793"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lang w:val="en-US" w:eastAsia="zh-CN"/>
              </w:rPr>
              <w:t>&lt;10（无量纲）</w:t>
            </w:r>
          </w:p>
        </w:tc>
        <w:tc>
          <w:tcPr>
            <w:tcW w:w="69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kern w:val="0"/>
                <w:sz w:val="21"/>
                <w:szCs w:val="21"/>
                <w:highlight w:val="none"/>
                <w:lang w:val="en-US" w:eastAsia="zh-CN" w:bidi="ar-SA"/>
              </w:rPr>
              <w:t>/</w:t>
            </w:r>
          </w:p>
        </w:tc>
        <w:tc>
          <w:tcPr>
            <w:tcW w:w="571"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0</w:t>
            </w:r>
          </w:p>
        </w:tc>
        <w:tc>
          <w:tcPr>
            <w:tcW w:w="497" w:type="pct"/>
            <w:tcBorders>
              <w:top w:val="single" w:color="000000" w:sz="4" w:space="0"/>
              <w:left w:val="single" w:color="000000" w:sz="6" w:space="0"/>
              <w:bottom w:val="single" w:color="000000"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right="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达标</w:t>
            </w:r>
          </w:p>
        </w:tc>
      </w:tr>
      <w:tr>
        <w:tblPrEx>
          <w:tblCellMar>
            <w:top w:w="0" w:type="dxa"/>
            <w:left w:w="0" w:type="dxa"/>
            <w:bottom w:w="0" w:type="dxa"/>
            <w:right w:w="0" w:type="dxa"/>
          </w:tblCellMar>
        </w:tblPrEx>
        <w:tc>
          <w:tcPr>
            <w:tcW w:w="324" w:type="pct"/>
            <w:vMerge w:val="restart"/>
            <w:tcBorders>
              <w:top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lang w:val="en-US" w:eastAsia="zh-CN"/>
              </w:rPr>
              <w:t>2</w:t>
            </w:r>
            <w:r>
              <w:rPr>
                <w:rFonts w:hint="default" w:ascii="Times New Roman" w:hAnsi="Times New Roman" w:eastAsia="宋体" w:cs="Times New Roman"/>
                <w:b w:val="0"/>
                <w:bCs/>
                <w:color w:val="auto"/>
                <w:sz w:val="21"/>
                <w:szCs w:val="21"/>
                <w:highlight w:val="none"/>
              </w:rPr>
              <w:t>#</w:t>
            </w:r>
          </w:p>
        </w:tc>
        <w:tc>
          <w:tcPr>
            <w:tcW w:w="715" w:type="pct"/>
            <w:vMerge w:val="restart"/>
            <w:tcBorders>
              <w:top w:val="single" w:color="000000" w:sz="4" w:space="0"/>
              <w:left w:val="single" w:color="000000" w:sz="6" w:space="0"/>
              <w:right w:val="single" w:color="000000" w:sz="6" w:space="0"/>
            </w:tcBorders>
            <w:noWrap w:val="0"/>
            <w:vAlign w:val="center"/>
          </w:tcPr>
          <w:p>
            <w:pPr>
              <w:pStyle w:val="172"/>
              <w:keepNext w:val="0"/>
              <w:keepLines w:val="0"/>
              <w:pageBreakBefore w:val="0"/>
              <w:suppressLineNumbers w:val="0"/>
              <w:kinsoku/>
              <w:wordWrap/>
              <w:overflowPunct/>
              <w:topLinePunct w:val="0"/>
              <w:bidi w:val="0"/>
              <w:snapToGrid/>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项目东侧居民点</w:t>
            </w:r>
          </w:p>
        </w:tc>
        <w:tc>
          <w:tcPr>
            <w:tcW w:w="382"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NH</w:t>
            </w:r>
            <w:r>
              <w:rPr>
                <w:rFonts w:hint="default" w:ascii="Times New Roman" w:hAnsi="Times New Roman" w:eastAsia="宋体" w:cs="Times New Roman"/>
                <w:b w:val="0"/>
                <w:bCs/>
                <w:color w:val="auto"/>
                <w:sz w:val="21"/>
                <w:szCs w:val="21"/>
                <w:highlight w:val="none"/>
                <w:vertAlign w:val="subscript"/>
              </w:rPr>
              <w:t>3</w:t>
            </w:r>
          </w:p>
        </w:tc>
        <w:tc>
          <w:tcPr>
            <w:tcW w:w="30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7d</w:t>
            </w:r>
          </w:p>
        </w:tc>
        <w:tc>
          <w:tcPr>
            <w:tcW w:w="710"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0.2</w:t>
            </w:r>
          </w:p>
        </w:tc>
        <w:tc>
          <w:tcPr>
            <w:tcW w:w="793"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lang w:val="en-US"/>
              </w:rPr>
            </w:pPr>
            <w:r>
              <w:rPr>
                <w:rFonts w:hint="default" w:ascii="Times New Roman" w:hAnsi="Times New Roman" w:eastAsia="宋体" w:cs="Times New Roman"/>
                <w:b w:val="0"/>
                <w:bCs/>
                <w:color w:val="auto"/>
                <w:sz w:val="21"/>
                <w:szCs w:val="21"/>
                <w:highlight w:val="none"/>
                <w:lang w:val="en-US" w:eastAsia="zh-CN"/>
              </w:rPr>
              <w:t>0.04</w:t>
            </w:r>
            <w:r>
              <w:rPr>
                <w:rFonts w:hint="default" w:ascii="Times New Roman" w:hAnsi="Times New Roman" w:eastAsia="宋体" w:cs="Times New Roman"/>
                <w:b w:val="0"/>
                <w:bCs/>
                <w:color w:val="auto"/>
                <w:sz w:val="21"/>
                <w:szCs w:val="21"/>
                <w:highlight w:val="none"/>
              </w:rPr>
              <w:t>~</w:t>
            </w:r>
            <w:r>
              <w:rPr>
                <w:rFonts w:hint="default" w:ascii="Times New Roman" w:hAnsi="Times New Roman" w:eastAsia="宋体" w:cs="Times New Roman"/>
                <w:b w:val="0"/>
                <w:bCs/>
                <w:color w:val="auto"/>
                <w:sz w:val="21"/>
                <w:szCs w:val="21"/>
                <w:highlight w:val="none"/>
                <w:lang w:val="en-US" w:eastAsia="zh-CN"/>
              </w:rPr>
              <w:t>0.06</w:t>
            </w:r>
          </w:p>
        </w:tc>
        <w:tc>
          <w:tcPr>
            <w:tcW w:w="69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30</w:t>
            </w:r>
          </w:p>
        </w:tc>
        <w:tc>
          <w:tcPr>
            <w:tcW w:w="571"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0</w:t>
            </w:r>
          </w:p>
        </w:tc>
        <w:tc>
          <w:tcPr>
            <w:tcW w:w="497" w:type="pct"/>
            <w:tcBorders>
              <w:top w:val="single" w:color="000000" w:sz="4" w:space="0"/>
              <w:left w:val="single" w:color="000000" w:sz="6" w:space="0"/>
              <w:bottom w:val="single" w:color="000000"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达标</w:t>
            </w:r>
          </w:p>
        </w:tc>
      </w:tr>
      <w:tr>
        <w:tc>
          <w:tcPr>
            <w:tcW w:w="324" w:type="pct"/>
            <w:vMerge w:val="continue"/>
            <w:tcBorders>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p>
        </w:tc>
        <w:tc>
          <w:tcPr>
            <w:tcW w:w="715" w:type="pct"/>
            <w:vMerge w:val="continue"/>
            <w:tcBorders>
              <w:left w:val="single" w:color="000000" w:sz="6" w:space="0"/>
              <w:right w:val="single" w:color="000000" w:sz="6" w:space="0"/>
            </w:tcBorders>
            <w:noWrap w:val="0"/>
            <w:vAlign w:val="center"/>
          </w:tcPr>
          <w:p>
            <w:pPr>
              <w:pStyle w:val="172"/>
              <w:keepNext w:val="0"/>
              <w:keepLines w:val="0"/>
              <w:pageBreakBefore w:val="0"/>
              <w:suppressLineNumbers w:val="0"/>
              <w:kinsoku/>
              <w:wordWrap/>
              <w:overflowPunct/>
              <w:topLinePunct w:val="0"/>
              <w:bidi w:val="0"/>
              <w:snapToGrid/>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382"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H</w:t>
            </w:r>
            <w:r>
              <w:rPr>
                <w:rFonts w:hint="default" w:ascii="Times New Roman" w:hAnsi="Times New Roman" w:eastAsia="宋体" w:cs="Times New Roman"/>
                <w:b w:val="0"/>
                <w:bCs/>
                <w:color w:val="auto"/>
                <w:sz w:val="21"/>
                <w:szCs w:val="21"/>
                <w:highlight w:val="none"/>
                <w:vertAlign w:val="subscript"/>
              </w:rPr>
              <w:t>2</w:t>
            </w:r>
            <w:r>
              <w:rPr>
                <w:rFonts w:hint="default" w:ascii="Times New Roman" w:hAnsi="Times New Roman" w:eastAsia="宋体" w:cs="Times New Roman"/>
                <w:b w:val="0"/>
                <w:bCs/>
                <w:color w:val="auto"/>
                <w:sz w:val="21"/>
                <w:szCs w:val="21"/>
                <w:highlight w:val="none"/>
              </w:rPr>
              <w:t>S</w:t>
            </w:r>
          </w:p>
        </w:tc>
        <w:tc>
          <w:tcPr>
            <w:tcW w:w="30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7d</w:t>
            </w:r>
          </w:p>
        </w:tc>
        <w:tc>
          <w:tcPr>
            <w:tcW w:w="710"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0.01</w:t>
            </w:r>
          </w:p>
        </w:tc>
        <w:tc>
          <w:tcPr>
            <w:tcW w:w="793"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bidi="ar-SA"/>
              </w:rPr>
              <w:t>ND</w:t>
            </w:r>
          </w:p>
        </w:tc>
        <w:tc>
          <w:tcPr>
            <w:tcW w:w="69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w:t>
            </w:r>
          </w:p>
        </w:tc>
        <w:tc>
          <w:tcPr>
            <w:tcW w:w="571"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0</w:t>
            </w:r>
          </w:p>
        </w:tc>
        <w:tc>
          <w:tcPr>
            <w:tcW w:w="497" w:type="pct"/>
            <w:tcBorders>
              <w:top w:val="single" w:color="000000" w:sz="4" w:space="0"/>
              <w:left w:val="single" w:color="000000" w:sz="6" w:space="0"/>
              <w:bottom w:val="single" w:color="000000"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达标</w:t>
            </w:r>
          </w:p>
        </w:tc>
      </w:tr>
      <w:tr>
        <w:tblPrEx>
          <w:tblCellMar>
            <w:top w:w="0" w:type="dxa"/>
            <w:left w:w="0" w:type="dxa"/>
            <w:bottom w:w="0" w:type="dxa"/>
            <w:right w:w="0" w:type="dxa"/>
          </w:tblCellMar>
        </w:tblPrEx>
        <w:tc>
          <w:tcPr>
            <w:tcW w:w="324" w:type="pct"/>
            <w:vMerge w:val="continue"/>
            <w:tcBorders>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p>
        </w:tc>
        <w:tc>
          <w:tcPr>
            <w:tcW w:w="715" w:type="pct"/>
            <w:vMerge w:val="continue"/>
            <w:tcBorders>
              <w:left w:val="single" w:color="000000" w:sz="6" w:space="0"/>
              <w:bottom w:val="single" w:color="000000" w:sz="4" w:space="0"/>
              <w:right w:val="single" w:color="000000" w:sz="6" w:space="0"/>
            </w:tcBorders>
            <w:noWrap w:val="0"/>
            <w:vAlign w:val="center"/>
          </w:tcPr>
          <w:p>
            <w:pPr>
              <w:pStyle w:val="172"/>
              <w:keepNext w:val="0"/>
              <w:keepLines w:val="0"/>
              <w:pageBreakBefore w:val="0"/>
              <w:suppressLineNumbers w:val="0"/>
              <w:kinsoku/>
              <w:wordWrap/>
              <w:overflowPunct/>
              <w:topLinePunct w:val="0"/>
              <w:bidi w:val="0"/>
              <w:snapToGrid/>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382"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lang w:val="en-US" w:eastAsia="zh-CN"/>
              </w:rPr>
              <w:t>臭气浓度</w:t>
            </w:r>
          </w:p>
        </w:tc>
        <w:tc>
          <w:tcPr>
            <w:tcW w:w="30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7d</w:t>
            </w:r>
          </w:p>
        </w:tc>
        <w:tc>
          <w:tcPr>
            <w:tcW w:w="710"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w:t>
            </w:r>
          </w:p>
        </w:tc>
        <w:tc>
          <w:tcPr>
            <w:tcW w:w="793"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&lt;10（无量纲）</w:t>
            </w:r>
          </w:p>
        </w:tc>
        <w:tc>
          <w:tcPr>
            <w:tcW w:w="697"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bidi="ar-SA"/>
              </w:rPr>
              <w:t>/</w:t>
            </w:r>
          </w:p>
        </w:tc>
        <w:tc>
          <w:tcPr>
            <w:tcW w:w="571" w:type="pct"/>
            <w:tcBorders>
              <w:top w:val="single" w:color="000000" w:sz="4" w:space="0"/>
              <w:left w:val="single" w:color="000000" w:sz="6" w:space="0"/>
              <w:bottom w:val="single" w:color="000000" w:sz="4" w:space="0"/>
              <w:right w:val="single" w:color="000000" w:sz="6" w:space="0"/>
            </w:tcBorders>
            <w:noWrap w:val="0"/>
            <w:vAlign w:val="center"/>
          </w:tcPr>
          <w:p>
            <w:pPr>
              <w:pStyle w:val="1856"/>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0</w:t>
            </w:r>
          </w:p>
        </w:tc>
        <w:tc>
          <w:tcPr>
            <w:tcW w:w="497" w:type="pct"/>
            <w:tcBorders>
              <w:top w:val="single" w:color="000000" w:sz="4" w:space="0"/>
              <w:left w:val="single" w:color="000000" w:sz="6" w:space="0"/>
              <w:bottom w:val="single" w:color="000000"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达标</w:t>
            </w:r>
          </w:p>
        </w:tc>
      </w:tr>
    </w:tbl>
    <w:p>
      <w:pPr>
        <w:spacing w:line="360" w:lineRule="auto"/>
        <w:ind w:firstLine="480" w:firstLineChars="200"/>
        <w:rPr>
          <w:rFonts w:hint="default"/>
          <w:color w:val="auto"/>
          <w:highlight w:val="none"/>
          <w:lang w:val="en-US" w:eastAsia="zh-CN"/>
        </w:rPr>
      </w:pPr>
      <w:r>
        <w:rPr>
          <w:rFonts w:hint="eastAsia" w:ascii="Times New Roman" w:hAnsi="Times New Roman" w:eastAsia="宋体" w:cs="Times New Roman"/>
          <w:color w:val="auto"/>
          <w:sz w:val="24"/>
          <w:szCs w:val="24"/>
          <w:highlight w:val="none"/>
          <w:lang w:val="en-US" w:eastAsia="zh-CN"/>
        </w:rPr>
        <w:t>监测结果表明：评价区域内环境空气中的</w:t>
      </w:r>
      <w:r>
        <w:rPr>
          <w:rFonts w:hint="default" w:ascii="Times New Roman" w:hAnsi="Times New Roman" w:eastAsia="宋体" w:cs="Times New Roman"/>
          <w:color w:val="auto"/>
          <w:sz w:val="24"/>
          <w:szCs w:val="24"/>
          <w:highlight w:val="none"/>
          <w:lang w:val="en-US" w:eastAsia="zh-CN"/>
        </w:rPr>
        <w:t>NH</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H</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S</w:t>
      </w:r>
      <w:r>
        <w:rPr>
          <w:rFonts w:hint="eastAsia" w:ascii="Times New Roman" w:hAnsi="Times New Roman" w:eastAsia="宋体" w:cs="Times New Roman"/>
          <w:color w:val="auto"/>
          <w:sz w:val="24"/>
          <w:szCs w:val="24"/>
          <w:highlight w:val="none"/>
          <w:lang w:val="en-US" w:eastAsia="zh-CN"/>
        </w:rPr>
        <w:t>、臭氧的浓度值均满足《环境影响评价技术导则</w:t>
      </w:r>
      <w:r>
        <w:rPr>
          <w:rFonts w:hint="default" w:ascii="Times New Roman" w:hAnsi="Times New Roman" w:eastAsia="宋体" w:cs="Times New Roman"/>
          <w:color w:val="auto"/>
          <w:sz w:val="24"/>
          <w:szCs w:val="24"/>
          <w:highlight w:val="none"/>
          <w:lang w:val="en-US" w:eastAsia="zh-CN"/>
        </w:rPr>
        <w:t xml:space="preserve"> </w:t>
      </w:r>
      <w:r>
        <w:rPr>
          <w:rFonts w:hint="eastAsia" w:ascii="Times New Roman" w:hAnsi="Times New Roman" w:eastAsia="宋体" w:cs="Times New Roman"/>
          <w:color w:val="auto"/>
          <w:sz w:val="24"/>
          <w:szCs w:val="24"/>
          <w:highlight w:val="none"/>
          <w:lang w:val="en-US" w:eastAsia="zh-CN"/>
        </w:rPr>
        <w:t>大气环境》（HJ2.2-2018）附录</w:t>
      </w:r>
      <w:r>
        <w:rPr>
          <w:rFonts w:hint="default" w:ascii="Times New Roman" w:hAnsi="Times New Roman" w:eastAsia="宋体" w:cs="Times New Roman"/>
          <w:color w:val="auto"/>
          <w:sz w:val="24"/>
          <w:szCs w:val="24"/>
          <w:highlight w:val="none"/>
          <w:lang w:val="en-US" w:eastAsia="zh-CN"/>
        </w:rPr>
        <w:t>D中</w:t>
      </w:r>
      <w:r>
        <w:rPr>
          <w:rFonts w:hint="eastAsia" w:ascii="Times New Roman" w:hAnsi="Times New Roman" w:eastAsia="宋体" w:cs="Times New Roman"/>
          <w:color w:val="auto"/>
          <w:sz w:val="24"/>
          <w:szCs w:val="24"/>
          <w:highlight w:val="none"/>
          <w:lang w:val="en-US" w:eastAsia="zh-CN"/>
        </w:rPr>
        <w:t>其他</w:t>
      </w:r>
      <w:r>
        <w:rPr>
          <w:rFonts w:hint="default" w:ascii="Times New Roman" w:hAnsi="Times New Roman" w:eastAsia="宋体" w:cs="Times New Roman"/>
          <w:color w:val="auto"/>
          <w:sz w:val="24"/>
          <w:szCs w:val="24"/>
          <w:highlight w:val="none"/>
          <w:lang w:val="en-US" w:eastAsia="zh-CN"/>
        </w:rPr>
        <w:t>污染物空气质量浓度参考限值</w:t>
      </w:r>
      <w:r>
        <w:rPr>
          <w:rFonts w:hint="eastAsia" w:ascii="Times New Roman" w:hAnsi="Times New Roman" w:eastAsia="宋体" w:cs="Times New Roman"/>
          <w:color w:val="auto"/>
          <w:sz w:val="24"/>
          <w:szCs w:val="24"/>
          <w:highlight w:val="none"/>
          <w:lang w:val="en-US" w:eastAsia="zh-CN"/>
        </w:rPr>
        <w:t>要求。</w:t>
      </w:r>
    </w:p>
    <w:p>
      <w:pPr>
        <w:pStyle w:val="8"/>
        <w:spacing w:before="0" w:after="0" w:line="360" w:lineRule="auto"/>
        <w:ind w:left="0" w:firstLine="0"/>
        <w:rPr>
          <w:rFonts w:cs="Times New Roman"/>
          <w:color w:val="auto"/>
          <w:highlight w:val="none"/>
          <w:lang w:val="en-US" w:eastAsia="zh-CN"/>
        </w:rPr>
      </w:pPr>
      <w:bookmarkStart w:id="206" w:name="_Toc8464"/>
      <w:bookmarkStart w:id="207" w:name="_Toc360778937"/>
      <w:r>
        <w:rPr>
          <w:rFonts w:cs="Times New Roman"/>
          <w:color w:val="auto"/>
          <w:highlight w:val="none"/>
          <w:lang w:val="en-US" w:eastAsia="zh-CN"/>
        </w:rPr>
        <w:t>地表水环境质量现状监测及评价</w:t>
      </w:r>
      <w:bookmarkEnd w:id="206"/>
      <w:bookmarkEnd w:id="207"/>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根据《环境影响评价技术导则-地表水环境》（HJ2.3-2018）的要求</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应优先采用国务院生态环境保护主管部门统一发布的水环境状况信息，当现有资料不满足要求时，应按照不同等级对应的评价时段要求开展现状监测</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本项目废水不外排，项目所在地位于纸长河附近，纸长河属于巴河支流，因此纸长河的地表水评价参考巴河的水质监测断面。</w:t>
      </w:r>
      <w:r>
        <w:rPr>
          <w:rFonts w:hint="default" w:ascii="Times New Roman" w:hAnsi="Times New Roman" w:eastAsia="宋体" w:cs="Times New Roman"/>
          <w:color w:val="auto"/>
          <w:sz w:val="24"/>
          <w:szCs w:val="24"/>
          <w:highlight w:val="none"/>
          <w:lang w:val="en-US" w:eastAsia="zh-CN"/>
        </w:rPr>
        <w:t>根据巴中市生态环境局发布的《2020年巴中市生态环境状况公报》可知，2020年</w:t>
      </w:r>
      <w:r>
        <w:rPr>
          <w:rFonts w:hint="eastAsia" w:ascii="Times New Roman" w:hAnsi="Times New Roman" w:eastAsia="宋体" w:cs="Times New Roman"/>
          <w:color w:val="auto"/>
          <w:sz w:val="24"/>
          <w:szCs w:val="24"/>
          <w:highlight w:val="none"/>
          <w:lang w:val="en-US" w:eastAsia="zh-CN"/>
        </w:rPr>
        <w:t>巴州区巴河水傍岩控制断面水质为</w:t>
      </w:r>
      <w:r>
        <w:rPr>
          <w:rFonts w:hint="eastAsia" w:ascii="宋体" w:hAnsi="宋体" w:eastAsia="宋体" w:cs="宋体"/>
          <w:color w:val="auto"/>
          <w:sz w:val="24"/>
          <w:szCs w:val="24"/>
          <w:highlight w:val="none"/>
          <w:lang w:val="en-US" w:eastAsia="zh-CN"/>
        </w:rPr>
        <w:t>Ⅱ类</w:t>
      </w:r>
      <w:r>
        <w:rPr>
          <w:rFonts w:hint="eastAsia" w:ascii="Times New Roman" w:hAnsi="Times New Roman" w:eastAsia="宋体" w:cs="Times New Roman"/>
          <w:color w:val="auto"/>
          <w:sz w:val="24"/>
          <w:szCs w:val="24"/>
          <w:highlight w:val="none"/>
          <w:lang w:val="en-US" w:eastAsia="zh-CN"/>
        </w:rPr>
        <w:t>，2019年为</w:t>
      </w:r>
      <w:r>
        <w:rPr>
          <w:rFonts w:hint="eastAsia" w:ascii="宋体" w:hAnsi="宋体" w:eastAsia="宋体" w:cs="宋体"/>
          <w:color w:val="auto"/>
          <w:sz w:val="24"/>
          <w:szCs w:val="24"/>
          <w:highlight w:val="none"/>
          <w:lang w:val="en-US" w:eastAsia="zh-CN"/>
        </w:rPr>
        <w:t>Ⅲ</w:t>
      </w:r>
      <w:r>
        <w:rPr>
          <w:rFonts w:hint="eastAsia" w:ascii="Times New Roman" w:hAnsi="Times New Roman" w:eastAsia="宋体" w:cs="Times New Roman"/>
          <w:color w:val="auto"/>
          <w:sz w:val="24"/>
          <w:szCs w:val="24"/>
          <w:highlight w:val="none"/>
          <w:lang w:val="en-US" w:eastAsia="zh-CN"/>
        </w:rPr>
        <w:t>类，水质有所改善，能够</w:t>
      </w:r>
      <w:r>
        <w:rPr>
          <w:rFonts w:hint="default" w:ascii="Times New Roman" w:hAnsi="Times New Roman" w:eastAsia="宋体" w:cs="Times New Roman"/>
          <w:color w:val="auto"/>
          <w:sz w:val="24"/>
          <w:szCs w:val="24"/>
          <w:highlight w:val="none"/>
          <w:lang w:val="en-US" w:eastAsia="zh-CN"/>
        </w:rPr>
        <w:t>满足《地表水环境质量标准》（GB 3838-2002）中的Ⅲ类水域标准要求。</w:t>
      </w:r>
    </w:p>
    <w:p>
      <w:pPr>
        <w:pStyle w:val="8"/>
        <w:spacing w:before="0" w:after="0" w:line="360" w:lineRule="auto"/>
        <w:ind w:left="0" w:firstLine="0"/>
        <w:rPr>
          <w:rFonts w:ascii="Times New Roman" w:hAnsi="Times New Roman" w:cs="Times New Roman"/>
          <w:color w:val="auto"/>
          <w:highlight w:val="none"/>
          <w:lang w:val="en-US" w:eastAsia="zh-CN"/>
        </w:rPr>
      </w:pPr>
      <w:bookmarkStart w:id="208" w:name="_Toc3145"/>
      <w:r>
        <w:rPr>
          <w:rFonts w:ascii="Times New Roman" w:hAnsi="Times New Roman" w:cs="Times New Roman"/>
          <w:color w:val="auto"/>
          <w:highlight w:val="none"/>
          <w:lang w:val="en-US" w:eastAsia="zh-CN"/>
        </w:rPr>
        <w:t>地下水质量现状监测及评价</w:t>
      </w:r>
      <w:bookmarkEnd w:id="208"/>
    </w:p>
    <w:p>
      <w:pPr>
        <w:pStyle w:val="9"/>
        <w:numPr>
          <w:ilvl w:val="3"/>
          <w:numId w:val="31"/>
        </w:numPr>
        <w:spacing w:line="374" w:lineRule="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地下水质量现状监测</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为了解本项目所在区域地下水水质情况，本次评价委托</w:t>
      </w:r>
      <w:r>
        <w:rPr>
          <w:rFonts w:hint="eastAsia" w:ascii="Times New Roman" w:hAnsi="Times New Roman" w:eastAsia="宋体" w:cs="Times New Roman"/>
          <w:color w:val="auto"/>
          <w:sz w:val="24"/>
          <w:szCs w:val="24"/>
          <w:highlight w:val="none"/>
          <w:lang w:eastAsia="zh-CN"/>
        </w:rPr>
        <w:t>成都翌达环境保护检测有限公司</w:t>
      </w:r>
      <w:r>
        <w:rPr>
          <w:rFonts w:hint="default" w:ascii="Times New Roman" w:hAnsi="Times New Roman" w:eastAsia="宋体" w:cs="Times New Roman"/>
          <w:color w:val="auto"/>
          <w:sz w:val="24"/>
          <w:szCs w:val="24"/>
          <w:highlight w:val="none"/>
        </w:rPr>
        <w:t>于20</w:t>
      </w:r>
      <w:r>
        <w:rPr>
          <w:rFonts w:hint="eastAsia" w:ascii="Times New Roman" w:hAnsi="Times New Roman" w:eastAsia="宋体" w:cs="Times New Roman"/>
          <w:color w:val="auto"/>
          <w:sz w:val="24"/>
          <w:szCs w:val="24"/>
          <w:highlight w:val="none"/>
          <w:lang w:val="en-US" w:eastAsia="zh-CN"/>
        </w:rPr>
        <w:t>22</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日对项目周边地下水水质进行监测。</w:t>
      </w:r>
    </w:p>
    <w:p>
      <w:pPr>
        <w:ind w:firstLine="482"/>
        <w:rPr>
          <w:b/>
          <w:color w:val="auto"/>
          <w:sz w:val="24"/>
          <w:szCs w:val="24"/>
          <w:highlight w:val="none"/>
        </w:rPr>
      </w:pPr>
      <w:r>
        <w:rPr>
          <w:b/>
          <w:color w:val="auto"/>
          <w:sz w:val="24"/>
          <w:szCs w:val="24"/>
          <w:highlight w:val="none"/>
        </w:rPr>
        <w:t>1、监测断面</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本次评价共设置地下水监测点位</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个，项目地下水监测点位设置见</w:t>
      </w:r>
      <w:r>
        <w:rPr>
          <w:rFonts w:hint="eastAsia" w:ascii="Times New Roman" w:hAnsi="Times New Roman" w:eastAsia="宋体" w:cs="Times New Roman"/>
          <w:color w:val="auto"/>
          <w:sz w:val="24"/>
          <w:szCs w:val="24"/>
          <w:highlight w:val="none"/>
          <w:lang w:val="en-US" w:eastAsia="zh-CN"/>
        </w:rPr>
        <w:t>下</w:t>
      </w:r>
      <w:r>
        <w:rPr>
          <w:rFonts w:hint="default" w:ascii="Times New Roman" w:hAnsi="Times New Roman" w:eastAsia="宋体" w:cs="Times New Roman"/>
          <w:color w:val="auto"/>
          <w:sz w:val="24"/>
          <w:szCs w:val="24"/>
          <w:highlight w:val="none"/>
        </w:rPr>
        <w:t>表。</w:t>
      </w:r>
    </w:p>
    <w:p>
      <w:pPr>
        <w:pStyle w:val="2504"/>
        <w:numPr>
          <w:ilvl w:val="0"/>
          <w:numId w:val="0"/>
        </w:numPr>
        <w:spacing w:before="120"/>
        <w:ind w:left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4.2-5</w:t>
      </w:r>
      <w:r>
        <w:rPr>
          <w:rFonts w:hint="default" w:ascii="Times New Roman" w:hAnsi="Times New Roman" w:eastAsia="宋体" w:cs="Times New Roman"/>
          <w:color w:val="auto"/>
          <w:highlight w:val="none"/>
          <w:lang w:val="en-US" w:eastAsia="zh-CN"/>
        </w:rPr>
        <w:t xml:space="preserve">    </w:t>
      </w:r>
      <w:r>
        <w:rPr>
          <w:rFonts w:hint="eastAsia" w:ascii="Times New Roman" w:hAnsi="Times New Roman" w:eastAsia="宋体" w:cs="Times New Roman"/>
          <w:color w:val="auto"/>
          <w:highlight w:val="none"/>
          <w:lang w:val="en-US" w:eastAsia="zh-CN"/>
        </w:rPr>
        <w:t>地下水现状监测点位</w:t>
      </w:r>
    </w:p>
    <w:tbl>
      <w:tblPr>
        <w:tblStyle w:val="91"/>
        <w:tblW w:w="4998"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543"/>
        <w:gridCol w:w="5197"/>
        <w:gridCol w:w="1563"/>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929" w:type="pct"/>
            <w:noWrap w:val="0"/>
            <w:vAlign w:val="center"/>
          </w:tcPr>
          <w:p>
            <w:pPr>
              <w:pStyle w:val="172"/>
              <w:keepNext w:val="0"/>
              <w:keepLines w:val="0"/>
              <w:suppressLineNumbers w:val="0"/>
              <w:spacing w:before="0" w:beforeAutospacing="0" w:after="0" w:afterAutospacing="0"/>
              <w:ind w:left="0" w:right="0"/>
              <w:rPr>
                <w:rFonts w:hint="default"/>
                <w:b/>
                <w:color w:val="auto"/>
                <w:sz w:val="21"/>
                <w:szCs w:val="21"/>
                <w:highlight w:val="none"/>
              </w:rPr>
            </w:pPr>
            <w:r>
              <w:rPr>
                <w:rFonts w:hint="default"/>
                <w:b/>
                <w:color w:val="auto"/>
                <w:sz w:val="21"/>
                <w:szCs w:val="21"/>
                <w:highlight w:val="none"/>
              </w:rPr>
              <w:t>点位编号</w:t>
            </w:r>
          </w:p>
        </w:tc>
        <w:tc>
          <w:tcPr>
            <w:tcW w:w="3129" w:type="pct"/>
            <w:noWrap w:val="0"/>
            <w:vAlign w:val="center"/>
          </w:tcPr>
          <w:p>
            <w:pPr>
              <w:pStyle w:val="172"/>
              <w:keepNext w:val="0"/>
              <w:keepLines w:val="0"/>
              <w:suppressLineNumbers w:val="0"/>
              <w:spacing w:before="0" w:beforeAutospacing="0" w:after="0" w:afterAutospacing="0"/>
              <w:ind w:left="0" w:right="0"/>
              <w:rPr>
                <w:rFonts w:hint="default"/>
                <w:b/>
                <w:color w:val="auto"/>
                <w:sz w:val="21"/>
                <w:szCs w:val="21"/>
                <w:highlight w:val="none"/>
              </w:rPr>
            </w:pPr>
            <w:r>
              <w:rPr>
                <w:rFonts w:hint="default"/>
                <w:b/>
                <w:color w:val="auto"/>
                <w:sz w:val="21"/>
                <w:szCs w:val="21"/>
                <w:highlight w:val="none"/>
              </w:rPr>
              <w:t>取样点位置</w:t>
            </w:r>
          </w:p>
        </w:tc>
        <w:tc>
          <w:tcPr>
            <w:tcW w:w="941" w:type="pct"/>
            <w:noWrap w:val="0"/>
            <w:vAlign w:val="center"/>
          </w:tcPr>
          <w:p>
            <w:pPr>
              <w:pStyle w:val="172"/>
              <w:keepNext w:val="0"/>
              <w:keepLines w:val="0"/>
              <w:suppressLineNumbers w:val="0"/>
              <w:spacing w:before="0" w:beforeAutospacing="0" w:after="0" w:afterAutospacing="0"/>
              <w:ind w:left="0" w:right="0"/>
              <w:rPr>
                <w:rFonts w:hint="default"/>
                <w:b/>
                <w:color w:val="auto"/>
                <w:sz w:val="21"/>
                <w:szCs w:val="21"/>
                <w:highlight w:val="none"/>
              </w:rPr>
            </w:pPr>
            <w:r>
              <w:rPr>
                <w:rFonts w:hint="default"/>
                <w:b/>
                <w:color w:val="auto"/>
                <w:sz w:val="21"/>
                <w:szCs w:val="21"/>
                <w:highlight w:val="none"/>
              </w:rPr>
              <w:t>备注</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929" w:type="pct"/>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r>
              <w:rPr>
                <w:rFonts w:hint="default"/>
                <w:color w:val="auto"/>
                <w:sz w:val="21"/>
                <w:szCs w:val="21"/>
                <w:highlight w:val="none"/>
              </w:rPr>
              <w:t>1#</w:t>
            </w:r>
          </w:p>
        </w:tc>
        <w:tc>
          <w:tcPr>
            <w:tcW w:w="3129" w:type="pct"/>
            <w:noWrap w:val="0"/>
            <w:vAlign w:val="center"/>
          </w:tcPr>
          <w:p>
            <w:pPr>
              <w:keepNext w:val="0"/>
              <w:keepLines w:val="0"/>
              <w:widowControl/>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项目厂区东侧居民处</w:t>
            </w:r>
            <w:r>
              <w:rPr>
                <w:rFonts w:hint="eastAsia" w:ascii="宋体" w:hAnsi="宋体" w:eastAsia="宋体" w:cs="宋体"/>
                <w:color w:val="auto"/>
                <w:kern w:val="0"/>
                <w:sz w:val="19"/>
                <w:szCs w:val="19"/>
                <w:highlight w:val="none"/>
                <w:lang w:val="en-US" w:eastAsia="zh-CN" w:bidi="ar"/>
              </w:rPr>
              <w:t>（</w:t>
            </w:r>
            <w:r>
              <w:rPr>
                <w:rFonts w:hint="default" w:ascii="Times New Roman" w:hAnsi="Times New Roman" w:eastAsia="宋体" w:cs="Times New Roman"/>
                <w:color w:val="auto"/>
                <w:kern w:val="0"/>
                <w:sz w:val="19"/>
                <w:szCs w:val="19"/>
                <w:highlight w:val="none"/>
                <w:lang w:val="en-US" w:eastAsia="zh-CN" w:bidi="ar"/>
              </w:rPr>
              <w:t>E 106°50′50″</w:t>
            </w:r>
            <w:r>
              <w:rPr>
                <w:rFonts w:hint="eastAsia" w:ascii="Times New Roman" w:hAnsi="Times New Roman" w:eastAsia="宋体" w:cs="Times New Roman"/>
                <w:color w:val="auto"/>
                <w:kern w:val="0"/>
                <w:sz w:val="19"/>
                <w:szCs w:val="19"/>
                <w:highlight w:val="none"/>
                <w:lang w:val="en-US" w:eastAsia="zh-CN" w:bidi="ar"/>
              </w:rPr>
              <w:t>，</w:t>
            </w:r>
            <w:r>
              <w:rPr>
                <w:rFonts w:hint="default" w:ascii="Times New Roman" w:hAnsi="Times New Roman" w:eastAsia="宋体" w:cs="Times New Roman"/>
                <w:color w:val="auto"/>
                <w:kern w:val="0"/>
                <w:sz w:val="19"/>
                <w:szCs w:val="19"/>
                <w:highlight w:val="none"/>
                <w:lang w:val="en-US" w:eastAsia="zh-CN" w:bidi="ar"/>
              </w:rPr>
              <w:t>N 31°39′15″</w:t>
            </w:r>
            <w:r>
              <w:rPr>
                <w:rFonts w:hint="eastAsia" w:ascii="宋体" w:hAnsi="宋体" w:eastAsia="宋体" w:cs="宋体"/>
                <w:color w:val="auto"/>
                <w:kern w:val="0"/>
                <w:sz w:val="19"/>
                <w:szCs w:val="19"/>
                <w:highlight w:val="none"/>
                <w:lang w:val="en-US" w:eastAsia="zh-CN" w:bidi="ar"/>
              </w:rPr>
              <w:t>）</w:t>
            </w:r>
          </w:p>
        </w:tc>
        <w:tc>
          <w:tcPr>
            <w:tcW w:w="941" w:type="pct"/>
            <w:noWrap w:val="0"/>
            <w:vAlign w:val="center"/>
          </w:tcPr>
          <w:p>
            <w:pPr>
              <w:pStyle w:val="172"/>
              <w:keepNext w:val="0"/>
              <w:keepLines w:val="0"/>
              <w:suppressLineNumbers w:val="0"/>
              <w:spacing w:before="0" w:beforeAutospacing="0" w:after="0" w:afterAutospacing="0"/>
              <w:ind w:left="0" w:right="0"/>
              <w:rPr>
                <w:rFonts w:hint="eastAsia" w:eastAsia="宋体"/>
                <w:color w:val="auto"/>
                <w:sz w:val="21"/>
                <w:szCs w:val="21"/>
                <w:highlight w:val="none"/>
                <w:lang w:val="en-US" w:eastAsia="zh-CN"/>
              </w:rPr>
            </w:pPr>
            <w:r>
              <w:rPr>
                <w:rFonts w:hint="eastAsia"/>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929" w:type="pct"/>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r>
              <w:rPr>
                <w:rFonts w:hint="default"/>
                <w:color w:val="auto"/>
                <w:sz w:val="21"/>
                <w:szCs w:val="21"/>
                <w:highlight w:val="none"/>
              </w:rPr>
              <w:t>2#</w:t>
            </w:r>
          </w:p>
        </w:tc>
        <w:tc>
          <w:tcPr>
            <w:tcW w:w="3129" w:type="pct"/>
            <w:noWrap w:val="0"/>
            <w:vAlign w:val="center"/>
          </w:tcPr>
          <w:p>
            <w:pPr>
              <w:keepNext w:val="0"/>
              <w:keepLines w:val="0"/>
              <w:widowControl/>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lang w:eastAsia="zh-CN"/>
              </w:rPr>
              <w:t>项目厂区内</w:t>
            </w:r>
            <w:r>
              <w:rPr>
                <w:rFonts w:hint="eastAsia" w:ascii="宋体" w:hAnsi="宋体" w:eastAsia="宋体" w:cs="宋体"/>
                <w:color w:val="auto"/>
                <w:kern w:val="0"/>
                <w:sz w:val="19"/>
                <w:szCs w:val="19"/>
                <w:highlight w:val="none"/>
                <w:lang w:val="en-US" w:eastAsia="zh-CN" w:bidi="ar"/>
              </w:rPr>
              <w:t>（</w:t>
            </w:r>
            <w:r>
              <w:rPr>
                <w:rFonts w:hint="default" w:ascii="Times New Roman" w:hAnsi="Times New Roman" w:eastAsia="宋体" w:cs="Times New Roman"/>
                <w:color w:val="auto"/>
                <w:kern w:val="0"/>
                <w:sz w:val="19"/>
                <w:szCs w:val="19"/>
                <w:highlight w:val="none"/>
                <w:lang w:val="en-US" w:eastAsia="zh-CN" w:bidi="ar"/>
              </w:rPr>
              <w:t>E 106°50′41″</w:t>
            </w:r>
            <w:r>
              <w:rPr>
                <w:rFonts w:hint="eastAsia" w:ascii="Times New Roman" w:hAnsi="Times New Roman" w:eastAsia="宋体" w:cs="Times New Roman"/>
                <w:color w:val="auto"/>
                <w:kern w:val="0"/>
                <w:sz w:val="19"/>
                <w:szCs w:val="19"/>
                <w:highlight w:val="none"/>
                <w:lang w:val="en-US" w:eastAsia="zh-CN" w:bidi="ar"/>
              </w:rPr>
              <w:t>，</w:t>
            </w:r>
            <w:r>
              <w:rPr>
                <w:rFonts w:hint="default" w:ascii="Times New Roman" w:hAnsi="Times New Roman" w:eastAsia="宋体" w:cs="Times New Roman"/>
                <w:color w:val="auto"/>
                <w:kern w:val="0"/>
                <w:sz w:val="19"/>
                <w:szCs w:val="19"/>
                <w:highlight w:val="none"/>
                <w:lang w:val="en-US" w:eastAsia="zh-CN" w:bidi="ar"/>
              </w:rPr>
              <w:t>N 31°39′17″</w:t>
            </w:r>
            <w:r>
              <w:rPr>
                <w:rFonts w:hint="eastAsia" w:ascii="宋体" w:hAnsi="宋体" w:eastAsia="宋体" w:cs="宋体"/>
                <w:color w:val="auto"/>
                <w:kern w:val="0"/>
                <w:sz w:val="19"/>
                <w:szCs w:val="19"/>
                <w:highlight w:val="none"/>
                <w:lang w:val="en-US" w:eastAsia="zh-CN" w:bidi="ar"/>
              </w:rPr>
              <w:t>）</w:t>
            </w:r>
          </w:p>
        </w:tc>
        <w:tc>
          <w:tcPr>
            <w:tcW w:w="941" w:type="pct"/>
            <w:noWrap w:val="0"/>
            <w:vAlign w:val="center"/>
          </w:tcPr>
          <w:p>
            <w:pPr>
              <w:pStyle w:val="172"/>
              <w:keepNext w:val="0"/>
              <w:keepLines w:val="0"/>
              <w:suppressLineNumbers w:val="0"/>
              <w:spacing w:before="0" w:beforeAutospacing="0" w:after="0" w:afterAutospacing="0"/>
              <w:ind w:left="0" w:right="0"/>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929" w:type="pct"/>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r>
              <w:rPr>
                <w:rFonts w:hint="default"/>
                <w:color w:val="auto"/>
                <w:sz w:val="21"/>
                <w:szCs w:val="21"/>
                <w:highlight w:val="none"/>
              </w:rPr>
              <w:t>3#</w:t>
            </w:r>
          </w:p>
        </w:tc>
        <w:tc>
          <w:tcPr>
            <w:tcW w:w="3129" w:type="pct"/>
            <w:noWrap w:val="0"/>
            <w:vAlign w:val="center"/>
          </w:tcPr>
          <w:p>
            <w:pPr>
              <w:keepNext w:val="0"/>
              <w:keepLines w:val="0"/>
              <w:suppressLineNumbers w:val="0"/>
              <w:spacing w:before="0" w:beforeAutospacing="0" w:after="0" w:afterAutospacing="0" w:line="240" w:lineRule="auto"/>
              <w:ind w:left="0" w:right="0" w:firstLine="420" w:firstLineChars="0"/>
              <w:jc w:val="center"/>
              <w:rPr>
                <w:rFonts w:hint="default"/>
                <w:color w:val="auto"/>
                <w:sz w:val="21"/>
                <w:szCs w:val="21"/>
                <w:highlight w:val="none"/>
                <w:lang w:eastAsia="zh-CN"/>
              </w:rPr>
            </w:pPr>
            <w:r>
              <w:rPr>
                <w:rFonts w:hint="eastAsia"/>
                <w:color w:val="auto"/>
                <w:sz w:val="21"/>
                <w:szCs w:val="21"/>
                <w:highlight w:val="none"/>
                <w:lang w:val="en-US" w:eastAsia="zh-CN"/>
              </w:rPr>
              <w:t>项目厂区西南侧</w:t>
            </w:r>
            <w:r>
              <w:rPr>
                <w:rFonts w:hint="eastAsia" w:ascii="宋体" w:hAnsi="宋体" w:eastAsia="宋体" w:cs="宋体"/>
                <w:color w:val="auto"/>
                <w:kern w:val="0"/>
                <w:sz w:val="19"/>
                <w:szCs w:val="19"/>
                <w:highlight w:val="none"/>
                <w:lang w:val="en-US" w:eastAsia="zh-CN" w:bidi="ar"/>
              </w:rPr>
              <w:t>（</w:t>
            </w:r>
            <w:r>
              <w:rPr>
                <w:rFonts w:hint="default" w:ascii="Times New Roman" w:hAnsi="Times New Roman" w:eastAsia="宋体" w:cs="Times New Roman"/>
                <w:color w:val="auto"/>
                <w:kern w:val="0"/>
                <w:sz w:val="19"/>
                <w:szCs w:val="19"/>
                <w:highlight w:val="none"/>
                <w:lang w:val="en-US" w:eastAsia="zh-CN" w:bidi="ar"/>
              </w:rPr>
              <w:t>E</w:t>
            </w:r>
            <w:r>
              <w:rPr>
                <w:rFonts w:hint="eastAsia" w:ascii="Times New Roman" w:hAnsi="Times New Roman" w:eastAsia="宋体" w:cs="Times New Roman"/>
                <w:color w:val="auto"/>
                <w:kern w:val="0"/>
                <w:sz w:val="19"/>
                <w:szCs w:val="19"/>
                <w:highlight w:val="none"/>
                <w:lang w:val="en-US" w:eastAsia="zh-CN" w:bidi="ar"/>
              </w:rPr>
              <w:t xml:space="preserve"> </w:t>
            </w:r>
            <w:r>
              <w:rPr>
                <w:rFonts w:hint="default" w:ascii="Times New Roman" w:hAnsi="Times New Roman" w:eastAsia="宋体" w:cs="Times New Roman"/>
                <w:color w:val="auto"/>
                <w:kern w:val="0"/>
                <w:sz w:val="19"/>
                <w:szCs w:val="19"/>
                <w:highlight w:val="none"/>
                <w:lang w:val="en-US" w:eastAsia="zh-CN" w:bidi="ar"/>
              </w:rPr>
              <w:t>106°50′27″</w:t>
            </w:r>
            <w:r>
              <w:rPr>
                <w:rFonts w:hint="eastAsia" w:ascii="Times New Roman" w:hAnsi="Times New Roman" w:eastAsia="宋体" w:cs="Times New Roman"/>
                <w:color w:val="auto"/>
                <w:kern w:val="0"/>
                <w:sz w:val="19"/>
                <w:szCs w:val="19"/>
                <w:highlight w:val="none"/>
                <w:lang w:val="en-US" w:eastAsia="zh-CN" w:bidi="ar"/>
              </w:rPr>
              <w:t>，</w:t>
            </w:r>
            <w:r>
              <w:rPr>
                <w:rFonts w:hint="default" w:ascii="Times New Roman" w:hAnsi="Times New Roman" w:eastAsia="宋体" w:cs="Times New Roman"/>
                <w:color w:val="auto"/>
                <w:kern w:val="0"/>
                <w:sz w:val="19"/>
                <w:szCs w:val="19"/>
                <w:highlight w:val="none"/>
                <w:lang w:val="en-US" w:eastAsia="zh-CN" w:bidi="ar"/>
              </w:rPr>
              <w:t>N</w:t>
            </w:r>
            <w:r>
              <w:rPr>
                <w:rFonts w:hint="eastAsia" w:ascii="Times New Roman" w:hAnsi="Times New Roman" w:eastAsia="宋体" w:cs="Times New Roman"/>
                <w:color w:val="auto"/>
                <w:kern w:val="0"/>
                <w:sz w:val="19"/>
                <w:szCs w:val="19"/>
                <w:highlight w:val="none"/>
                <w:lang w:val="en-US" w:eastAsia="zh-CN" w:bidi="ar"/>
              </w:rPr>
              <w:t xml:space="preserve"> </w:t>
            </w:r>
            <w:r>
              <w:rPr>
                <w:rFonts w:hint="default" w:ascii="Times New Roman" w:hAnsi="Times New Roman" w:eastAsia="宋体" w:cs="Times New Roman"/>
                <w:color w:val="auto"/>
                <w:kern w:val="0"/>
                <w:sz w:val="19"/>
                <w:szCs w:val="19"/>
                <w:highlight w:val="none"/>
                <w:lang w:val="en-US" w:eastAsia="zh-CN" w:bidi="ar"/>
              </w:rPr>
              <w:t>31°39′24″</w:t>
            </w:r>
            <w:r>
              <w:rPr>
                <w:rFonts w:hint="eastAsia" w:ascii="宋体" w:hAnsi="宋体" w:eastAsia="宋体" w:cs="宋体"/>
                <w:color w:val="auto"/>
                <w:kern w:val="0"/>
                <w:sz w:val="19"/>
                <w:szCs w:val="19"/>
                <w:highlight w:val="none"/>
                <w:lang w:val="en-US" w:eastAsia="zh-CN" w:bidi="ar"/>
              </w:rPr>
              <w:t>）</w:t>
            </w:r>
          </w:p>
        </w:tc>
        <w:tc>
          <w:tcPr>
            <w:tcW w:w="941" w:type="pct"/>
            <w:noWrap w:val="0"/>
            <w:vAlign w:val="center"/>
          </w:tcPr>
          <w:p>
            <w:pPr>
              <w:pStyle w:val="172"/>
              <w:keepNext w:val="0"/>
              <w:keepLines w:val="0"/>
              <w:suppressLineNumbers w:val="0"/>
              <w:spacing w:before="0" w:beforeAutospacing="0" w:after="0" w:afterAutospacing="0"/>
              <w:ind w:left="0" w:right="0"/>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929" w:type="pct"/>
            <w:noWrap w:val="0"/>
            <w:vAlign w:val="center"/>
          </w:tcPr>
          <w:p>
            <w:pPr>
              <w:pStyle w:val="172"/>
              <w:keepNext w:val="0"/>
              <w:keepLines w:val="0"/>
              <w:suppressLineNumbers w:val="0"/>
              <w:spacing w:before="0" w:beforeAutospacing="0" w:after="0" w:afterAutospacing="0"/>
              <w:ind w:left="0" w:right="0"/>
              <w:rPr>
                <w:rFonts w:hint="default"/>
                <w:color w:val="auto"/>
                <w:sz w:val="21"/>
                <w:szCs w:val="21"/>
                <w:highlight w:val="none"/>
              </w:rPr>
            </w:pPr>
            <w:r>
              <w:rPr>
                <w:rFonts w:hint="eastAsia"/>
                <w:color w:val="auto"/>
                <w:sz w:val="21"/>
                <w:szCs w:val="21"/>
                <w:highlight w:val="none"/>
                <w:lang w:val="en-US" w:eastAsia="zh-CN"/>
              </w:rPr>
              <w:t>4</w:t>
            </w:r>
            <w:r>
              <w:rPr>
                <w:rFonts w:hint="default"/>
                <w:color w:val="auto"/>
                <w:sz w:val="21"/>
                <w:szCs w:val="21"/>
                <w:highlight w:val="none"/>
              </w:rPr>
              <w:t>#</w:t>
            </w:r>
          </w:p>
        </w:tc>
        <w:tc>
          <w:tcPr>
            <w:tcW w:w="3129" w:type="pct"/>
            <w:noWrap w:val="0"/>
            <w:vAlign w:val="center"/>
          </w:tcPr>
          <w:p>
            <w:pPr>
              <w:keepNext w:val="0"/>
              <w:keepLines w:val="0"/>
              <w:widowControl/>
              <w:suppressLineNumbers w:val="0"/>
              <w:spacing w:before="0" w:beforeAutospacing="0" w:after="0" w:afterAutospacing="0"/>
              <w:ind w:left="0" w:right="0"/>
              <w:jc w:val="center"/>
              <w:rPr>
                <w:rFonts w:hint="eastAsia"/>
                <w:color w:val="auto"/>
                <w:sz w:val="21"/>
                <w:szCs w:val="21"/>
                <w:highlight w:val="none"/>
                <w:lang w:eastAsia="zh-CN"/>
              </w:rPr>
            </w:pPr>
            <w:r>
              <w:rPr>
                <w:rFonts w:hint="eastAsia"/>
                <w:color w:val="auto"/>
                <w:sz w:val="21"/>
                <w:szCs w:val="21"/>
                <w:highlight w:val="none"/>
                <w:lang w:val="en-US" w:eastAsia="zh-CN"/>
              </w:rPr>
              <w:t>项目厂区北侧</w:t>
            </w:r>
            <w:r>
              <w:rPr>
                <w:rFonts w:hint="eastAsia" w:ascii="宋体" w:hAnsi="宋体" w:eastAsia="宋体" w:cs="宋体"/>
                <w:color w:val="auto"/>
                <w:kern w:val="0"/>
                <w:sz w:val="19"/>
                <w:szCs w:val="19"/>
                <w:highlight w:val="none"/>
                <w:lang w:val="en-US" w:eastAsia="zh-CN" w:bidi="ar"/>
              </w:rPr>
              <w:t>（</w:t>
            </w:r>
            <w:r>
              <w:rPr>
                <w:rFonts w:hint="default" w:ascii="Times New Roman" w:hAnsi="Times New Roman" w:eastAsia="宋体" w:cs="Times New Roman"/>
                <w:color w:val="auto"/>
                <w:kern w:val="0"/>
                <w:sz w:val="19"/>
                <w:szCs w:val="19"/>
                <w:highlight w:val="none"/>
                <w:lang w:val="en-US" w:eastAsia="zh-CN" w:bidi="ar"/>
              </w:rPr>
              <w:t>E 106°50′32″</w:t>
            </w:r>
            <w:r>
              <w:rPr>
                <w:rFonts w:hint="eastAsia" w:ascii="Times New Roman" w:hAnsi="Times New Roman" w:eastAsia="宋体" w:cs="Times New Roman"/>
                <w:color w:val="auto"/>
                <w:kern w:val="0"/>
                <w:sz w:val="19"/>
                <w:szCs w:val="19"/>
                <w:highlight w:val="none"/>
                <w:lang w:val="en-US" w:eastAsia="zh-CN" w:bidi="ar"/>
              </w:rPr>
              <w:t>，</w:t>
            </w:r>
            <w:r>
              <w:rPr>
                <w:rFonts w:hint="default" w:ascii="Times New Roman" w:hAnsi="Times New Roman" w:eastAsia="宋体" w:cs="Times New Roman"/>
                <w:color w:val="auto"/>
                <w:kern w:val="0"/>
                <w:sz w:val="19"/>
                <w:szCs w:val="19"/>
                <w:highlight w:val="none"/>
                <w:lang w:val="en-US" w:eastAsia="zh-CN" w:bidi="ar"/>
              </w:rPr>
              <w:t>N 31°39′57″</w:t>
            </w:r>
            <w:r>
              <w:rPr>
                <w:rFonts w:hint="eastAsia" w:ascii="宋体" w:hAnsi="宋体" w:eastAsia="宋体" w:cs="宋体"/>
                <w:color w:val="auto"/>
                <w:kern w:val="0"/>
                <w:sz w:val="19"/>
                <w:szCs w:val="19"/>
                <w:highlight w:val="none"/>
                <w:lang w:val="en-US" w:eastAsia="zh-CN" w:bidi="ar"/>
              </w:rPr>
              <w:t>）</w:t>
            </w:r>
          </w:p>
        </w:tc>
        <w:tc>
          <w:tcPr>
            <w:tcW w:w="941" w:type="pct"/>
            <w:noWrap w:val="0"/>
            <w:vAlign w:val="center"/>
          </w:tcPr>
          <w:p>
            <w:pPr>
              <w:pStyle w:val="172"/>
              <w:keepNext w:val="0"/>
              <w:keepLines w:val="0"/>
              <w:suppressLineNumbers w:val="0"/>
              <w:spacing w:before="0" w:beforeAutospacing="0" w:after="0" w:afterAutospacing="0"/>
              <w:ind w:left="0" w:right="0"/>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r>
    </w:tbl>
    <w:p>
      <w:pPr>
        <w:ind w:firstLine="482"/>
        <w:rPr>
          <w:b/>
          <w:color w:val="auto"/>
          <w:sz w:val="24"/>
          <w:szCs w:val="24"/>
          <w:highlight w:val="none"/>
        </w:rPr>
      </w:pPr>
      <w:r>
        <w:rPr>
          <w:rFonts w:hint="eastAsia"/>
          <w:b/>
          <w:color w:val="auto"/>
          <w:sz w:val="24"/>
          <w:szCs w:val="24"/>
          <w:highlight w:val="none"/>
        </w:rPr>
        <w:t>2、</w:t>
      </w:r>
      <w:r>
        <w:rPr>
          <w:b/>
          <w:color w:val="auto"/>
          <w:sz w:val="24"/>
          <w:szCs w:val="24"/>
          <w:highlight w:val="none"/>
        </w:rPr>
        <w:t>监测项目</w:t>
      </w:r>
    </w:p>
    <w:p>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钾、钠、钙、镁、碳酸根、重碳酸根、氯化物、硫酸盐、pH值、氨氮（以N计）、硝酸盐（以N计）、亚硝酸盐（以N计）、挥发性酚类（以苯酚计）、氰化物、总硬度（以CaCO</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计）、氟化物、溶解性总固体、耗氧量（CODMn法，以O</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计）、总大肠菌群、菌落总数</w:t>
      </w:r>
      <w:r>
        <w:rPr>
          <w:rFonts w:hint="eastAsia" w:ascii="Times New Roman" w:hAnsi="Times New Roman" w:eastAsia="宋体" w:cs="Times New Roman"/>
          <w:color w:val="auto"/>
          <w:sz w:val="24"/>
          <w:szCs w:val="24"/>
          <w:highlight w:val="none"/>
          <w:lang w:eastAsia="zh-CN"/>
        </w:rPr>
        <w:t>。</w:t>
      </w:r>
    </w:p>
    <w:p>
      <w:pPr>
        <w:ind w:firstLine="482"/>
        <w:rPr>
          <w:rFonts w:hint="eastAsia"/>
          <w:b/>
          <w:color w:val="auto"/>
          <w:sz w:val="24"/>
          <w:szCs w:val="24"/>
          <w:highlight w:val="none"/>
        </w:rPr>
      </w:pPr>
      <w:r>
        <w:rPr>
          <w:rFonts w:hint="eastAsia"/>
          <w:b/>
          <w:color w:val="auto"/>
          <w:sz w:val="24"/>
          <w:szCs w:val="24"/>
          <w:highlight w:val="none"/>
        </w:rPr>
        <w:t>3、监测周期及频率</w:t>
      </w:r>
    </w:p>
    <w:p>
      <w:pPr>
        <w:ind w:firstLine="482"/>
        <w:rPr>
          <w:rFonts w:hint="eastAsia"/>
          <w:b w:val="0"/>
          <w:bCs/>
          <w:color w:val="auto"/>
          <w:sz w:val="24"/>
          <w:szCs w:val="24"/>
          <w:highlight w:val="none"/>
        </w:rPr>
      </w:pPr>
      <w:r>
        <w:rPr>
          <w:rFonts w:hint="eastAsia"/>
          <w:b w:val="0"/>
          <w:bCs/>
          <w:color w:val="auto"/>
          <w:sz w:val="24"/>
          <w:szCs w:val="24"/>
          <w:highlight w:val="none"/>
        </w:rPr>
        <w:t>监测时间为</w:t>
      </w:r>
      <w:r>
        <w:rPr>
          <w:rFonts w:hint="default" w:ascii="Times New Roman" w:hAnsi="Times New Roman" w:eastAsia="宋体" w:cs="Times New Roman"/>
          <w:color w:val="auto"/>
          <w:sz w:val="24"/>
          <w:szCs w:val="24"/>
          <w:highlight w:val="none"/>
        </w:rPr>
        <w:t>20</w:t>
      </w:r>
      <w:r>
        <w:rPr>
          <w:rFonts w:hint="eastAsia" w:ascii="Times New Roman" w:hAnsi="Times New Roman" w:eastAsia="宋体" w:cs="Times New Roman"/>
          <w:color w:val="auto"/>
          <w:sz w:val="24"/>
          <w:szCs w:val="24"/>
          <w:highlight w:val="none"/>
          <w:lang w:val="en-US" w:eastAsia="zh-CN"/>
        </w:rPr>
        <w:t>22</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日</w:t>
      </w:r>
      <w:r>
        <w:rPr>
          <w:rFonts w:hint="eastAsia"/>
          <w:b w:val="0"/>
          <w:bCs/>
          <w:color w:val="auto"/>
          <w:sz w:val="24"/>
          <w:szCs w:val="24"/>
          <w:highlight w:val="none"/>
        </w:rPr>
        <w:t>，监测</w:t>
      </w:r>
      <w:r>
        <w:rPr>
          <w:rFonts w:hint="eastAsia"/>
          <w:b w:val="0"/>
          <w:bCs/>
          <w:color w:val="auto"/>
          <w:sz w:val="24"/>
          <w:szCs w:val="24"/>
          <w:highlight w:val="none"/>
          <w:lang w:val="en-US" w:eastAsia="zh-CN"/>
        </w:rPr>
        <w:t>1</w:t>
      </w:r>
      <w:r>
        <w:rPr>
          <w:rFonts w:hint="eastAsia"/>
          <w:b w:val="0"/>
          <w:bCs/>
          <w:color w:val="auto"/>
          <w:sz w:val="24"/>
          <w:szCs w:val="24"/>
          <w:highlight w:val="none"/>
        </w:rPr>
        <w:t>次。</w:t>
      </w:r>
    </w:p>
    <w:p>
      <w:pPr>
        <w:ind w:firstLine="482"/>
        <w:rPr>
          <w:rFonts w:hint="eastAsia"/>
          <w:b/>
          <w:color w:val="auto"/>
          <w:sz w:val="24"/>
          <w:szCs w:val="24"/>
          <w:highlight w:val="none"/>
        </w:rPr>
      </w:pPr>
      <w:r>
        <w:rPr>
          <w:rFonts w:hint="eastAsia"/>
          <w:b/>
          <w:color w:val="auto"/>
          <w:sz w:val="24"/>
          <w:szCs w:val="24"/>
          <w:highlight w:val="none"/>
        </w:rPr>
        <w:t>4、监测结果</w:t>
      </w:r>
    </w:p>
    <w:p>
      <w:pPr>
        <w:ind w:firstLine="482"/>
        <w:rPr>
          <w:rFonts w:hint="default" w:ascii="Times New Roman" w:hAnsi="Times New Roman" w:eastAsia="宋体" w:cs="Times New Roman"/>
          <w:color w:val="auto"/>
          <w:sz w:val="24"/>
          <w:szCs w:val="24"/>
          <w:highlight w:val="none"/>
        </w:rPr>
      </w:pPr>
      <w:r>
        <w:rPr>
          <w:rFonts w:hint="default" w:ascii="Times New Roman" w:hAnsi="Times New Roman" w:cs="Times New Roman"/>
          <w:b w:val="0"/>
          <w:bCs/>
          <w:color w:val="auto"/>
          <w:sz w:val="24"/>
          <w:szCs w:val="24"/>
          <w:highlight w:val="none"/>
        </w:rPr>
        <w:t>地下水质量现状监测结果见</w:t>
      </w:r>
      <w:r>
        <w:rPr>
          <w:rFonts w:hint="eastAsia" w:ascii="Times New Roman" w:hAnsi="Times New Roman" w:cs="Times New Roman"/>
          <w:b w:val="0"/>
          <w:bCs/>
          <w:color w:val="auto"/>
          <w:sz w:val="24"/>
          <w:szCs w:val="24"/>
          <w:highlight w:val="none"/>
          <w:lang w:val="en-US" w:eastAsia="zh-CN"/>
        </w:rPr>
        <w:t>下</w:t>
      </w:r>
      <w:r>
        <w:rPr>
          <w:rFonts w:hint="default" w:ascii="Times New Roman" w:hAnsi="Times New Roman" w:cs="Times New Roman"/>
          <w:b w:val="0"/>
          <w:bCs/>
          <w:color w:val="auto"/>
          <w:sz w:val="24"/>
          <w:szCs w:val="24"/>
          <w:highlight w:val="none"/>
        </w:rPr>
        <w:t>表。</w:t>
      </w:r>
    </w:p>
    <w:p>
      <w:pPr>
        <w:pStyle w:val="2504"/>
        <w:numPr>
          <w:ilvl w:val="0"/>
          <w:numId w:val="0"/>
        </w:numPr>
        <w:spacing w:before="120"/>
        <w:ind w:left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4.2-6</w:t>
      </w:r>
      <w:r>
        <w:rPr>
          <w:rFonts w:hint="default" w:ascii="Times New Roman" w:hAnsi="Times New Roman" w:eastAsia="宋体" w:cs="Times New Roman"/>
          <w:color w:val="auto"/>
          <w:highlight w:val="none"/>
          <w:lang w:val="en-US" w:eastAsia="zh-CN"/>
        </w:rPr>
        <w:t xml:space="preserve"> </w:t>
      </w:r>
      <w:r>
        <w:rPr>
          <w:rFonts w:hint="eastAsia" w:ascii="Times New Roman" w:hAnsi="Times New Roman" w:eastAsia="宋体" w:cs="Times New Roman"/>
          <w:color w:val="auto"/>
          <w:highlight w:val="none"/>
          <w:lang w:val="en-US" w:eastAsia="zh-CN"/>
        </w:rPr>
        <w:t xml:space="preserve">  </w:t>
      </w:r>
      <w:r>
        <w:rPr>
          <w:rFonts w:hint="default" w:ascii="Times New Roman" w:hAnsi="Times New Roman" w:eastAsia="宋体" w:cs="Times New Roman"/>
          <w:color w:val="auto"/>
          <w:highlight w:val="none"/>
          <w:lang w:val="en-US" w:eastAsia="zh-CN"/>
        </w:rPr>
        <w:t xml:space="preserve"> 地下水环境质量监测结果表</w:t>
      </w:r>
    </w:p>
    <w:tbl>
      <w:tblPr>
        <w:tblStyle w:val="92"/>
        <w:tblW w:w="0" w:type="auto"/>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395"/>
        <w:gridCol w:w="1837"/>
        <w:gridCol w:w="1788"/>
        <w:gridCol w:w="1737"/>
        <w:gridCol w:w="1765"/>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bCs/>
                <w:color w:val="auto"/>
                <w:highlight w:val="none"/>
                <w:vertAlign w:val="baseline"/>
                <w:lang w:val="en-US" w:eastAsia="zh-CN"/>
              </w:rPr>
            </w:pPr>
            <w:r>
              <w:rPr>
                <w:rFonts w:hint="default"/>
                <w:b/>
                <w:bCs/>
                <w:color w:val="auto"/>
                <w:sz w:val="21"/>
                <w:szCs w:val="21"/>
                <w:highlight w:val="none"/>
                <w:lang w:val="en-US" w:eastAsia="zh-CN"/>
              </w:rPr>
              <w:t>检测信息</w:t>
            </w:r>
          </w:p>
        </w:tc>
        <w:tc>
          <w:tcPr>
            <w:tcW w:w="7127" w:type="dxa"/>
            <w:gridSpan w:val="4"/>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bCs/>
                <w:color w:val="auto"/>
                <w:highlight w:val="none"/>
                <w:vertAlign w:val="baseline"/>
                <w:lang w:val="en-US" w:eastAsia="zh-CN"/>
              </w:rPr>
            </w:pPr>
            <w:r>
              <w:rPr>
                <w:rFonts w:hint="default"/>
                <w:b/>
                <w:bCs/>
                <w:color w:val="auto"/>
                <w:sz w:val="21"/>
                <w:szCs w:val="21"/>
                <w:highlight w:val="none"/>
                <w:lang w:val="en-US" w:eastAsia="zh-CN"/>
              </w:rPr>
              <w:t>检测</w:t>
            </w:r>
            <w:r>
              <w:rPr>
                <w:rFonts w:hint="eastAsia"/>
                <w:b/>
                <w:bCs/>
                <w:color w:val="auto"/>
                <w:sz w:val="21"/>
                <w:szCs w:val="21"/>
                <w:highlight w:val="none"/>
                <w:lang w:val="en-US" w:eastAsia="zh-CN"/>
              </w:rPr>
              <w:t>点位及</w:t>
            </w:r>
            <w:r>
              <w:rPr>
                <w:rFonts w:hint="default"/>
                <w:b/>
                <w:bCs/>
                <w:color w:val="auto"/>
                <w:sz w:val="21"/>
                <w:szCs w:val="21"/>
                <w:highlight w:val="none"/>
                <w:lang w:val="en-US" w:eastAsia="zh-CN"/>
              </w:rPr>
              <w:t>结果</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bCs/>
                <w:color w:val="auto"/>
                <w:highlight w:val="none"/>
                <w:vertAlign w:val="baseline"/>
                <w:lang w:val="en-US" w:eastAsia="zh-CN"/>
              </w:rPr>
            </w:pPr>
            <w:r>
              <w:rPr>
                <w:rFonts w:hint="default"/>
                <w:b/>
                <w:bCs/>
                <w:color w:val="auto"/>
                <w:sz w:val="21"/>
                <w:szCs w:val="21"/>
                <w:highlight w:val="none"/>
                <w:lang w:val="en-US" w:eastAsia="zh-CN"/>
              </w:rPr>
              <w:t>检测项目</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bCs/>
                <w:color w:val="auto"/>
                <w:highlight w:val="none"/>
                <w:vertAlign w:val="baseline"/>
                <w:lang w:val="en-US" w:eastAsia="zh-CN"/>
              </w:rPr>
            </w:pPr>
            <w:r>
              <w:rPr>
                <w:rFonts w:hint="default"/>
                <w:b/>
                <w:bCs/>
                <w:color w:val="auto"/>
                <w:sz w:val="21"/>
                <w:szCs w:val="21"/>
                <w:highlight w:val="none"/>
                <w:lang w:val="en-US" w:eastAsia="zh-CN"/>
              </w:rPr>
              <w:t>X01:项目厂区东侧居民处(E106°50'50"N31°39'15"</w:t>
            </w:r>
            <w:r>
              <w:rPr>
                <w:rFonts w:hint="eastAsia"/>
                <w:b/>
                <w:bCs/>
                <w:color w:val="auto"/>
                <w:sz w:val="21"/>
                <w:szCs w:val="21"/>
                <w:highlight w:val="none"/>
                <w:lang w:val="en-US" w:eastAsia="zh-CN"/>
              </w:rPr>
              <w:t>）</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bCs/>
                <w:color w:val="auto"/>
                <w:highlight w:val="none"/>
                <w:vertAlign w:val="baseline"/>
                <w:lang w:val="en-US" w:eastAsia="zh-CN"/>
              </w:rPr>
            </w:pPr>
            <w:r>
              <w:rPr>
                <w:rFonts w:hint="default"/>
                <w:b/>
                <w:bCs/>
                <w:color w:val="auto"/>
                <w:sz w:val="21"/>
                <w:szCs w:val="21"/>
                <w:highlight w:val="none"/>
                <w:lang w:val="en-US" w:eastAsia="zh-CN"/>
              </w:rPr>
              <w:t>XO2:项目厂区内(E 106°50'41"N 31°39'17")</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bCs/>
                <w:color w:val="auto"/>
                <w:highlight w:val="none"/>
                <w:vertAlign w:val="baseline"/>
                <w:lang w:val="en-US" w:eastAsia="zh-CN"/>
              </w:rPr>
            </w:pPr>
            <w:r>
              <w:rPr>
                <w:rFonts w:hint="default"/>
                <w:b/>
                <w:bCs/>
                <w:color w:val="auto"/>
                <w:sz w:val="21"/>
                <w:szCs w:val="21"/>
                <w:highlight w:val="none"/>
                <w:lang w:val="en-US" w:eastAsia="zh-CN"/>
              </w:rPr>
              <w:t>XO3:项目厂区西南侧(E 106°5027"N 31°39'24")</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bCs/>
                <w:color w:val="auto"/>
                <w:highlight w:val="none"/>
                <w:vertAlign w:val="baseline"/>
                <w:lang w:val="en-US" w:eastAsia="zh-CN"/>
              </w:rPr>
            </w:pPr>
            <w:r>
              <w:rPr>
                <w:rFonts w:hint="default"/>
                <w:b/>
                <w:bCs/>
                <w:color w:val="auto"/>
                <w:sz w:val="21"/>
                <w:szCs w:val="21"/>
                <w:highlight w:val="none"/>
                <w:lang w:val="en-US" w:eastAsia="zh-CN"/>
              </w:rPr>
              <w:t>X04:项目厂区北侧(E106°50'32"N 31°39'57")</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pH(无量纲)</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7.3</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7.2</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7.1</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7.3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总硬度(mg/L)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338</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360</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318</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442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溶解性总固体(mg/L)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383</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395</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325</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534</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重碳酸根(mg/L)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350</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444</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341</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484</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碳酸根(mg/L)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氟化物(mg/L)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0.53</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0.182</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0.116</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0.125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氯化物(mg/L)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28.2</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8.91</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10.9</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58.5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亚硝酸盐氮(mg/L)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硝酸盐氮(mg/L)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5.99</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1.54</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1.51</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2.39</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硫酸盐(mg/L)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22.2</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21.5</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19.1</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31.1</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铁(mg/L)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锰(mg/L)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挥发酚(mg/L)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阴离子表面活性剂(mg/L)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耗氧量(mg/L)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1.87</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0.69</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0.86</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0.75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氨氮(mg/L)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0.249</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0.061</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0.079</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0.395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钾(mg/L)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3.52</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1.02</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0.81</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2.14</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钠(mg/L)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18.2</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12.2</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9.51</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23.7</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钙(mg/L)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115</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97</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100</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140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镁(mg/L)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13</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29</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16</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36</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总大肠菌群(MPN/L)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eastAsia" w:cs="Times New Roman"/>
                <w:color w:val="auto"/>
                <w:highlight w:val="none"/>
                <w:vertAlign w:val="baseline"/>
                <w:lang w:val="en-US" w:eastAsia="zh-CN"/>
              </w:rPr>
              <w:t>10</w:t>
            </w:r>
          </w:p>
        </w:tc>
        <w:tc>
          <w:tcPr>
            <w:tcW w:w="1788"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highlight w:val="none"/>
                <w:vertAlign w:val="baseline"/>
                <w:lang w:val="en-US" w:eastAsia="zh-CN"/>
              </w:rPr>
            </w:pPr>
            <w:r>
              <w:rPr>
                <w:rFonts w:hint="eastAsia" w:ascii="Times New Roman" w:hAnsi="Times New Roman" w:eastAsia="宋体" w:cs="Times New Roman"/>
                <w:b w:val="0"/>
                <w:bCs w:val="0"/>
                <w:color w:val="auto"/>
                <w:highlight w:val="none"/>
                <w:vertAlign w:val="baseline"/>
                <w:lang w:val="en-US" w:eastAsia="zh-CN"/>
              </w:rPr>
              <w:t>20</w:t>
            </w:r>
          </w:p>
        </w:tc>
        <w:tc>
          <w:tcPr>
            <w:tcW w:w="1737"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highlight w:val="none"/>
                <w:vertAlign w:val="baseline"/>
                <w:lang w:val="en-US" w:eastAsia="zh-CN"/>
              </w:rPr>
            </w:pPr>
            <w:r>
              <w:rPr>
                <w:rFonts w:hint="eastAsia" w:ascii="Times New Roman" w:hAnsi="Times New Roman" w:eastAsia="宋体" w:cs="Times New Roman"/>
                <w:b w:val="0"/>
                <w:bCs w:val="0"/>
                <w:color w:val="auto"/>
                <w:highlight w:val="none"/>
                <w:vertAlign w:val="baseline"/>
                <w:lang w:val="en-US" w:eastAsia="zh-CN"/>
              </w:rPr>
              <w:t>20</w:t>
            </w:r>
          </w:p>
        </w:tc>
        <w:tc>
          <w:tcPr>
            <w:tcW w:w="176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highlight w:val="none"/>
                <w:vertAlign w:val="baseline"/>
                <w:lang w:val="en-US" w:eastAsia="zh-CN"/>
              </w:rPr>
            </w:pPr>
            <w:r>
              <w:rPr>
                <w:rFonts w:hint="eastAsia" w:ascii="Times New Roman" w:hAnsi="Times New Roman" w:eastAsia="宋体" w:cs="Times New Roman"/>
                <w:b w:val="0"/>
                <w:bCs w:val="0"/>
                <w:color w:val="auto"/>
                <w:highlight w:val="none"/>
                <w:vertAlign w:val="baseli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菌落总数(CFU/</w:t>
            </w:r>
            <w:r>
              <w:rPr>
                <w:rFonts w:hint="eastAsia"/>
                <w:color w:val="auto"/>
                <w:sz w:val="21"/>
                <w:szCs w:val="21"/>
                <w:highlight w:val="none"/>
                <w:lang w:val="en-US" w:eastAsia="zh-CN"/>
              </w:rPr>
              <w:t>m</w:t>
            </w:r>
            <w:r>
              <w:rPr>
                <w:rFonts w:hint="default"/>
                <w:color w:val="auto"/>
                <w:sz w:val="21"/>
                <w:szCs w:val="21"/>
                <w:highlight w:val="none"/>
                <w:lang w:val="en-US" w:eastAsia="zh-CN"/>
              </w:rPr>
              <w:t>L)</w:t>
            </w:r>
          </w:p>
        </w:tc>
        <w:tc>
          <w:tcPr>
            <w:tcW w:w="1837"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eastAsia="宋体" w:cs="Times New Roman"/>
                <w:color w:val="auto"/>
                <w:sz w:val="21"/>
                <w:szCs w:val="21"/>
                <w:highlight w:val="none"/>
                <w:lang w:val="en-US" w:eastAsia="zh-CN"/>
              </w:rPr>
              <w:t>80</w:t>
            </w:r>
          </w:p>
        </w:tc>
        <w:tc>
          <w:tcPr>
            <w:tcW w:w="1788"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highlight w:val="none"/>
                <w:vertAlign w:val="baseline"/>
                <w:lang w:val="en-US" w:eastAsia="zh-CN"/>
              </w:rPr>
            </w:pPr>
            <w:r>
              <w:rPr>
                <w:rFonts w:hint="eastAsia" w:ascii="Times New Roman" w:hAnsi="Times New Roman" w:eastAsia="宋体" w:cs="Times New Roman"/>
                <w:color w:val="auto"/>
                <w:sz w:val="21"/>
                <w:szCs w:val="21"/>
                <w:highlight w:val="none"/>
                <w:lang w:val="en-US" w:eastAsia="zh-CN"/>
              </w:rPr>
              <w:t>70</w:t>
            </w:r>
          </w:p>
        </w:tc>
        <w:tc>
          <w:tcPr>
            <w:tcW w:w="1737"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highlight w:val="none"/>
                <w:vertAlign w:val="baseline"/>
                <w:lang w:val="en-US" w:eastAsia="zh-CN"/>
              </w:rPr>
            </w:pPr>
            <w:r>
              <w:rPr>
                <w:rFonts w:hint="eastAsia" w:ascii="Times New Roman" w:hAnsi="Times New Roman" w:eastAsia="宋体" w:cs="Times New Roman"/>
                <w:color w:val="auto"/>
                <w:sz w:val="21"/>
                <w:szCs w:val="21"/>
                <w:highlight w:val="none"/>
                <w:lang w:val="en-US" w:eastAsia="zh-CN"/>
              </w:rPr>
              <w:t>66</w:t>
            </w:r>
          </w:p>
        </w:tc>
        <w:tc>
          <w:tcPr>
            <w:tcW w:w="176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highlight w:val="none"/>
                <w:vertAlign w:val="baseline"/>
                <w:lang w:val="en-US" w:eastAsia="zh-CN"/>
              </w:rPr>
            </w:pPr>
            <w:r>
              <w:rPr>
                <w:rFonts w:hint="eastAsia" w:ascii="Times New Roman" w:hAnsi="Times New Roman" w:eastAsia="宋体" w:cs="Times New Roman"/>
                <w:color w:val="auto"/>
                <w:sz w:val="21"/>
                <w:szCs w:val="21"/>
                <w:highlight w:val="none"/>
                <w:lang w:val="en-US" w:eastAsia="zh-CN"/>
              </w:rPr>
              <w:t>74</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氰化物(mg/L)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汞(mg/L)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砷(mg/L)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镉(mg/L)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六价铬(mg/L)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39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铅(mg/L)</w:t>
            </w:r>
          </w:p>
        </w:tc>
        <w:tc>
          <w:tcPr>
            <w:tcW w:w="18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88"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37"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c>
          <w:tcPr>
            <w:tcW w:w="1765" w:type="dxa"/>
            <w:tcBorders>
              <w:tl2br w:val="nil"/>
              <w:tr2bl w:val="nil"/>
            </w:tcBorders>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highlight w:val="none"/>
                <w:vertAlign w:val="baseline"/>
                <w:lang w:val="en-US" w:eastAsia="zh-CN"/>
              </w:rPr>
            </w:pPr>
            <w:r>
              <w:rPr>
                <w:rFonts w:hint="default"/>
                <w:color w:val="auto"/>
                <w:sz w:val="21"/>
                <w:szCs w:val="21"/>
                <w:highlight w:val="none"/>
                <w:lang w:val="en-US" w:eastAsia="zh-CN"/>
              </w:rPr>
              <w:t>ND</w:t>
            </w:r>
          </w:p>
        </w:tc>
      </w:tr>
    </w:tbl>
    <w:p>
      <w:pPr>
        <w:pStyle w:val="2504"/>
        <w:widowControl w:val="0"/>
        <w:numPr>
          <w:ilvl w:val="0"/>
          <w:numId w:val="0"/>
        </w:numPr>
        <w:tabs>
          <w:tab w:val="left" w:pos="420"/>
        </w:tabs>
        <w:spacing w:before="120" w:beforeLines="50" w:line="240" w:lineRule="exact"/>
        <w:jc w:val="both"/>
        <w:rPr>
          <w:rFonts w:hint="default" w:ascii="Times New Roman" w:hAnsi="Times New Roman" w:eastAsia="宋体" w:cs="Times New Roman"/>
          <w:color w:val="auto"/>
          <w:highlight w:val="none"/>
          <w:lang w:val="en-US" w:eastAsia="zh-CN"/>
        </w:rPr>
      </w:pPr>
    </w:p>
    <w:p>
      <w:pP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br w:type="page"/>
      </w:r>
    </w:p>
    <w:p>
      <w:pPr>
        <w:pStyle w:val="2504"/>
        <w:numPr>
          <w:ilvl w:val="0"/>
          <w:numId w:val="0"/>
        </w:numPr>
        <w:spacing w:before="120"/>
        <w:ind w:left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4.2-7</w:t>
      </w:r>
      <w:r>
        <w:rPr>
          <w:rFonts w:hint="default" w:ascii="Times New Roman" w:hAnsi="Times New Roman" w:eastAsia="宋体" w:cs="Times New Roman"/>
          <w:color w:val="auto"/>
          <w:highlight w:val="none"/>
          <w:lang w:val="en-US" w:eastAsia="zh-CN"/>
        </w:rPr>
        <w:t xml:space="preserve"> </w:t>
      </w:r>
      <w:r>
        <w:rPr>
          <w:rFonts w:hint="eastAsia" w:ascii="Times New Roman" w:hAnsi="Times New Roman" w:eastAsia="宋体" w:cs="Times New Roman"/>
          <w:color w:val="auto"/>
          <w:highlight w:val="none"/>
          <w:lang w:val="en-US" w:eastAsia="zh-CN"/>
        </w:rPr>
        <w:t xml:space="preserve"> </w:t>
      </w:r>
      <w:r>
        <w:rPr>
          <w:rFonts w:hint="default" w:ascii="Times New Roman" w:hAnsi="Times New Roman" w:eastAsia="宋体" w:cs="Times New Roman"/>
          <w:color w:val="auto"/>
          <w:highlight w:val="none"/>
          <w:lang w:val="en-US" w:eastAsia="zh-CN"/>
        </w:rPr>
        <w:t xml:space="preserve"> </w:t>
      </w:r>
      <w:r>
        <w:rPr>
          <w:rFonts w:hint="eastAsia" w:ascii="Times New Roman" w:hAnsi="Times New Roman" w:eastAsia="宋体" w:cs="Times New Roman"/>
          <w:color w:val="auto"/>
          <w:highlight w:val="none"/>
          <w:lang w:val="en-US" w:eastAsia="zh-CN"/>
        </w:rPr>
        <w:t xml:space="preserve"> </w:t>
      </w:r>
      <w:r>
        <w:rPr>
          <w:rFonts w:hint="default" w:ascii="Times New Roman" w:hAnsi="Times New Roman" w:eastAsia="宋体" w:cs="Times New Roman"/>
          <w:color w:val="auto"/>
          <w:highlight w:val="none"/>
          <w:lang w:val="en-US" w:eastAsia="zh-CN"/>
        </w:rPr>
        <w:t>地下水</w:t>
      </w:r>
      <w:r>
        <w:rPr>
          <w:rFonts w:hint="eastAsia" w:ascii="Times New Roman" w:hAnsi="Times New Roman" w:eastAsia="宋体" w:cs="Times New Roman"/>
          <w:color w:val="auto"/>
          <w:highlight w:val="none"/>
          <w:lang w:val="en-US" w:eastAsia="zh-CN"/>
        </w:rPr>
        <w:t>水面到地面的高度汇总</w:t>
      </w:r>
      <w:r>
        <w:rPr>
          <w:rFonts w:hint="default" w:ascii="Times New Roman" w:hAnsi="Times New Roman" w:eastAsia="宋体" w:cs="Times New Roman"/>
          <w:color w:val="auto"/>
          <w:highlight w:val="none"/>
          <w:lang w:val="en-US" w:eastAsia="zh-CN"/>
        </w:rPr>
        <w:t>表</w:t>
      </w:r>
    </w:p>
    <w:tbl>
      <w:tblPr>
        <w:tblStyle w:val="92"/>
        <w:tblW w:w="4998" w:type="pct"/>
        <w:jc w:val="center"/>
        <w:tblBorders>
          <w:top w:val="single" w:color="auto" w:sz="12" w:space="0"/>
          <w:left w:val="none" w:color="auto" w:sz="0" w:space="0"/>
          <w:bottom w:val="single" w:color="auto" w:sz="12" w:space="0"/>
          <w:right w:val="none" w:color="auto" w:sz="0" w:space="0"/>
          <w:insideH w:val="none" w:color="auto" w:sz="0" w:space="0"/>
          <w:insideV w:val="single" w:color="auto" w:sz="4" w:space="0"/>
        </w:tblBorders>
        <w:tblLayout w:type="autofit"/>
        <w:tblCellMar>
          <w:top w:w="0" w:type="dxa"/>
          <w:left w:w="108" w:type="dxa"/>
          <w:bottom w:w="0" w:type="dxa"/>
          <w:right w:w="108" w:type="dxa"/>
        </w:tblCellMar>
      </w:tblPr>
      <w:tblGrid>
        <w:gridCol w:w="1904"/>
        <w:gridCol w:w="1785"/>
        <w:gridCol w:w="1663"/>
        <w:gridCol w:w="1621"/>
        <w:gridCol w:w="1546"/>
      </w:tblGrid>
      <w:tr>
        <w:tblPrEx>
          <w:tblBorders>
            <w:top w:val="single" w:color="auto" w:sz="12" w:space="0"/>
            <w:left w:val="none" w:color="auto" w:sz="0" w:space="0"/>
            <w:bottom w:val="single" w:color="auto" w:sz="12"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397" w:hRule="atLeast"/>
          <w:jc w:val="center"/>
        </w:trPr>
        <w:tc>
          <w:tcPr>
            <w:tcW w:w="1117" w:type="pct"/>
            <w:vMerge w:val="restart"/>
            <w:tcBorders>
              <w:right w:val="single" w:color="000000" w:sz="4" w:space="0"/>
            </w:tcBorders>
            <w:noWrap w:val="0"/>
            <w:vAlign w:val="center"/>
          </w:tcPr>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监测点位及编号</w:t>
            </w:r>
          </w:p>
        </w:tc>
        <w:tc>
          <w:tcPr>
            <w:tcW w:w="1047" w:type="pct"/>
            <w:vMerge w:val="restart"/>
            <w:tcBorders>
              <w:left w:val="single" w:color="000000" w:sz="4" w:space="0"/>
              <w:right w:val="single" w:color="000000" w:sz="4" w:space="0"/>
            </w:tcBorders>
            <w:noWrap w:val="0"/>
            <w:vAlign w:val="center"/>
          </w:tcPr>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GPS</w:t>
            </w:r>
          </w:p>
        </w:tc>
        <w:tc>
          <w:tcPr>
            <w:tcW w:w="976" w:type="pct"/>
            <w:tcBorders>
              <w:bottom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eastAsia="宋体" w:cs="Times New Roman"/>
                <w:b/>
                <w:bCs w:val="0"/>
                <w:color w:val="auto"/>
                <w:sz w:val="21"/>
                <w:szCs w:val="21"/>
                <w:highlight w:val="none"/>
                <w:lang w:val="en-US" w:eastAsia="zh-CN"/>
              </w:rPr>
              <w:t>水位</w:t>
            </w:r>
          </w:p>
        </w:tc>
        <w:tc>
          <w:tcPr>
            <w:tcW w:w="951" w:type="pct"/>
            <w:tcBorders>
              <w:bottom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井深</w:t>
            </w:r>
          </w:p>
        </w:tc>
        <w:tc>
          <w:tcPr>
            <w:tcW w:w="907" w:type="pct"/>
            <w:tcBorders>
              <w:bottom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eastAsia="宋体" w:cs="Times New Roman"/>
                <w:b/>
                <w:bCs w:val="0"/>
                <w:color w:val="auto"/>
                <w:sz w:val="21"/>
                <w:szCs w:val="21"/>
                <w:highlight w:val="none"/>
                <w:lang w:val="en-US" w:eastAsia="zh-CN"/>
              </w:rPr>
              <w:t>水位深度</w:t>
            </w:r>
          </w:p>
        </w:tc>
      </w:tr>
      <w:tr>
        <w:tblPrEx>
          <w:tblBorders>
            <w:top w:val="single" w:color="auto" w:sz="12" w:space="0"/>
            <w:left w:val="none" w:color="auto" w:sz="0" w:space="0"/>
            <w:bottom w:val="single" w:color="auto" w:sz="12"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397" w:hRule="atLeast"/>
          <w:jc w:val="center"/>
        </w:trPr>
        <w:tc>
          <w:tcPr>
            <w:tcW w:w="1117" w:type="pct"/>
            <w:vMerge w:val="continue"/>
            <w:tcBorders>
              <w:bottom w:val="single" w:color="auto" w:sz="12"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lang w:val="en-US" w:eastAsia="zh-CN"/>
              </w:rPr>
            </w:pPr>
          </w:p>
        </w:tc>
        <w:tc>
          <w:tcPr>
            <w:tcW w:w="1047" w:type="pct"/>
            <w:vMerge w:val="continue"/>
            <w:tcBorders>
              <w:left w:val="single" w:color="000000" w:sz="4" w:space="0"/>
              <w:bottom w:val="single" w:color="auto" w:sz="12"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lang w:val="en-US" w:eastAsia="zh-CN"/>
              </w:rPr>
            </w:pPr>
          </w:p>
        </w:tc>
        <w:tc>
          <w:tcPr>
            <w:tcW w:w="2834" w:type="pct"/>
            <w:gridSpan w:val="3"/>
            <w:tcBorders>
              <w:top w:val="single" w:color="auto" w:sz="4" w:space="0"/>
              <w:bottom w:val="single" w:color="auto" w:sz="12"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2022.6.21</w:t>
            </w:r>
          </w:p>
        </w:tc>
      </w:tr>
      <w:tr>
        <w:tblPrEx>
          <w:tblBorders>
            <w:top w:val="single" w:color="auto" w:sz="12" w:space="0"/>
            <w:left w:val="none" w:color="auto" w:sz="0" w:space="0"/>
            <w:bottom w:val="single" w:color="auto" w:sz="12"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397" w:hRule="atLeast"/>
          <w:jc w:val="center"/>
        </w:trPr>
        <w:tc>
          <w:tcPr>
            <w:tcW w:w="1117" w:type="pct"/>
            <w:tcBorders>
              <w:top w:val="single" w:color="auto" w:sz="12"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1#项目</w:t>
            </w:r>
            <w:r>
              <w:rPr>
                <w:rFonts w:hint="eastAsia" w:ascii="Times New Roman" w:hAnsi="Times New Roman" w:eastAsia="宋体" w:cs="Times New Roman"/>
                <w:color w:val="auto"/>
                <w:sz w:val="21"/>
                <w:szCs w:val="21"/>
                <w:highlight w:val="none"/>
                <w:lang w:val="en-US" w:eastAsia="zh-CN"/>
              </w:rPr>
              <w:t>厂区东侧居民处</w:t>
            </w:r>
          </w:p>
        </w:tc>
        <w:tc>
          <w:tcPr>
            <w:tcW w:w="1047" w:type="pct"/>
            <w:tcBorders>
              <w:top w:val="single" w:color="auto" w:sz="12" w:space="0"/>
              <w:left w:val="single" w:color="000000"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199" w:leftChars="-95" w:right="-210" w:rightChars="-100" w:firstLine="0" w:firstLineChars="0"/>
              <w:jc w:val="center"/>
              <w:rPr>
                <w:rFonts w:hint="default" w:ascii="Times New Roman" w:hAnsi="Times New Roman" w:eastAsia="宋体" w:cs="Times New Roman"/>
                <w:bCs/>
                <w:color w:val="auto"/>
                <w:sz w:val="21"/>
                <w:szCs w:val="21"/>
                <w:highlight w:val="none"/>
                <w:shd w:val="clear" w:color="auto" w:fill="auto"/>
                <w:lang w:val="en-US" w:eastAsia="zh-CN"/>
              </w:rPr>
            </w:pPr>
            <w:r>
              <w:rPr>
                <w:rFonts w:hint="eastAsia" w:ascii="Times New Roman" w:hAnsi="Times New Roman" w:eastAsia="宋体" w:cs="Times New Roman"/>
                <w:bCs/>
                <w:color w:val="auto"/>
                <w:sz w:val="21"/>
                <w:szCs w:val="21"/>
                <w:highlight w:val="none"/>
                <w:shd w:val="clear" w:color="auto" w:fill="auto"/>
                <w:lang w:val="en-US" w:eastAsia="zh-CN"/>
              </w:rPr>
              <w:t>106</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50</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50</w:t>
            </w:r>
            <w:r>
              <w:rPr>
                <w:rFonts w:hint="default" w:ascii="Times New Roman" w:hAnsi="Times New Roman" w:eastAsia="宋体" w:cs="Times New Roman"/>
                <w:bCs/>
                <w:color w:val="auto"/>
                <w:sz w:val="21"/>
                <w:szCs w:val="21"/>
                <w:highlight w:val="none"/>
                <w:shd w:val="clear" w:color="auto" w:fill="auto"/>
                <w:lang w:val="en-US" w:eastAsia="zh-CN"/>
              </w:rPr>
              <w:t>"E</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3</w:t>
            </w:r>
            <w:r>
              <w:rPr>
                <w:rFonts w:hint="eastAsia" w:ascii="Times New Roman" w:hAnsi="Times New Roman" w:eastAsia="宋体" w:cs="Times New Roman"/>
                <w:bCs/>
                <w:color w:val="auto"/>
                <w:sz w:val="21"/>
                <w:szCs w:val="21"/>
                <w:highlight w:val="none"/>
                <w:shd w:val="clear" w:color="auto" w:fill="auto"/>
                <w:lang w:val="en-US" w:eastAsia="zh-CN"/>
              </w:rPr>
              <w:t>1</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39</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15</w:t>
            </w:r>
            <w:r>
              <w:rPr>
                <w:rFonts w:hint="default" w:ascii="Times New Roman" w:hAnsi="Times New Roman" w:eastAsia="宋体" w:cs="Times New Roman"/>
                <w:bCs/>
                <w:color w:val="auto"/>
                <w:sz w:val="21"/>
                <w:szCs w:val="21"/>
                <w:highlight w:val="none"/>
                <w:shd w:val="clear" w:color="auto" w:fill="auto"/>
                <w:lang w:val="en-US" w:eastAsia="zh-CN"/>
              </w:rPr>
              <w:t>"N</w:t>
            </w:r>
          </w:p>
        </w:tc>
        <w:tc>
          <w:tcPr>
            <w:tcW w:w="976" w:type="pct"/>
            <w:tcBorders>
              <w:top w:val="single" w:color="auto" w:sz="12"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512</w:t>
            </w:r>
          </w:p>
        </w:tc>
        <w:tc>
          <w:tcPr>
            <w:tcW w:w="951" w:type="pct"/>
            <w:tcBorders>
              <w:top w:val="single" w:color="auto" w:sz="12"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6</w:t>
            </w:r>
          </w:p>
        </w:tc>
        <w:tc>
          <w:tcPr>
            <w:tcW w:w="907" w:type="pct"/>
            <w:tcBorders>
              <w:top w:val="single" w:color="auto" w:sz="12"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3</w:t>
            </w:r>
          </w:p>
        </w:tc>
      </w:tr>
      <w:tr>
        <w:tblPrEx>
          <w:tblBorders>
            <w:top w:val="single" w:color="auto" w:sz="12" w:space="0"/>
            <w:left w:val="none" w:color="auto" w:sz="0" w:space="0"/>
            <w:bottom w:val="single" w:color="auto" w:sz="12"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199" w:hRule="atLeast"/>
          <w:jc w:val="center"/>
        </w:trPr>
        <w:tc>
          <w:tcPr>
            <w:tcW w:w="1117" w:type="pct"/>
            <w:tcBorders>
              <w:top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2#项目</w:t>
            </w:r>
            <w:r>
              <w:rPr>
                <w:rFonts w:hint="eastAsia" w:ascii="Times New Roman" w:hAnsi="Times New Roman" w:eastAsia="宋体" w:cs="Times New Roman"/>
                <w:color w:val="auto"/>
                <w:sz w:val="21"/>
                <w:szCs w:val="21"/>
                <w:highlight w:val="none"/>
                <w:lang w:val="en-US" w:eastAsia="zh-CN"/>
              </w:rPr>
              <w:t>厂区内</w:t>
            </w:r>
          </w:p>
        </w:tc>
        <w:tc>
          <w:tcPr>
            <w:tcW w:w="1047"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199" w:leftChars="-95" w:right="-210" w:rightChars="-100" w:firstLine="0" w:firstLineChars="0"/>
              <w:jc w:val="center"/>
              <w:rPr>
                <w:rFonts w:hint="default" w:ascii="Times New Roman" w:hAnsi="Times New Roman" w:eastAsia="宋体"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10</w:t>
            </w:r>
            <w:r>
              <w:rPr>
                <w:rFonts w:hint="eastAsia" w:ascii="Times New Roman" w:hAnsi="Times New Roman" w:eastAsia="宋体" w:cs="Times New Roman"/>
                <w:bCs/>
                <w:color w:val="auto"/>
                <w:sz w:val="21"/>
                <w:szCs w:val="21"/>
                <w:highlight w:val="none"/>
                <w:shd w:val="clear" w:color="auto" w:fill="auto"/>
                <w:lang w:val="en-US" w:eastAsia="zh-CN"/>
              </w:rPr>
              <w:t>6</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50</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41</w:t>
            </w:r>
            <w:r>
              <w:rPr>
                <w:rFonts w:hint="default" w:ascii="Times New Roman" w:hAnsi="Times New Roman" w:eastAsia="宋体" w:cs="Times New Roman"/>
                <w:bCs/>
                <w:color w:val="auto"/>
                <w:sz w:val="21"/>
                <w:szCs w:val="21"/>
                <w:highlight w:val="none"/>
                <w:shd w:val="clear" w:color="auto" w:fill="auto"/>
                <w:lang w:val="en-US" w:eastAsia="zh-CN"/>
              </w:rPr>
              <w:t>"E</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3</w:t>
            </w:r>
            <w:r>
              <w:rPr>
                <w:rFonts w:hint="eastAsia" w:ascii="Times New Roman" w:hAnsi="Times New Roman" w:eastAsia="宋体" w:cs="Times New Roman"/>
                <w:bCs/>
                <w:color w:val="auto"/>
                <w:sz w:val="21"/>
                <w:szCs w:val="21"/>
                <w:highlight w:val="none"/>
                <w:shd w:val="clear" w:color="auto" w:fill="auto"/>
                <w:lang w:val="en-US" w:eastAsia="zh-CN"/>
              </w:rPr>
              <w:t>1</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39</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24</w:t>
            </w:r>
            <w:r>
              <w:rPr>
                <w:rFonts w:hint="default" w:ascii="Times New Roman" w:hAnsi="Times New Roman" w:eastAsia="宋体" w:cs="Times New Roman"/>
                <w:bCs/>
                <w:color w:val="auto"/>
                <w:sz w:val="21"/>
                <w:szCs w:val="21"/>
                <w:highlight w:val="none"/>
                <w:shd w:val="clear" w:color="auto" w:fill="auto"/>
                <w:lang w:val="en-US" w:eastAsia="zh-CN"/>
              </w:rPr>
              <w:t>"N</w:t>
            </w:r>
          </w:p>
        </w:tc>
        <w:tc>
          <w:tcPr>
            <w:tcW w:w="976" w:type="pct"/>
            <w:tcBorders>
              <w:top w:val="single" w:color="auto" w:sz="4" w:space="0"/>
              <w:bottom w:val="single" w:color="auto" w:sz="4" w:space="0"/>
            </w:tcBorders>
            <w:noWrap w:val="0"/>
            <w:vAlign w:val="center"/>
          </w:tcPr>
          <w:p>
            <w:pPr>
              <w:pStyle w:val="4"/>
              <w:keepNext w:val="0"/>
              <w:keepLines w:val="0"/>
              <w:suppressLineNumbers w:val="0"/>
              <w:spacing w:before="0" w:beforeAutospacing="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507</w:t>
            </w:r>
          </w:p>
        </w:tc>
        <w:tc>
          <w:tcPr>
            <w:tcW w:w="951" w:type="pct"/>
            <w:tcBorders>
              <w:top w:val="single" w:color="auto" w:sz="4" w:space="0"/>
              <w:bottom w:val="single" w:color="auto" w:sz="4" w:space="0"/>
            </w:tcBorders>
            <w:noWrap w:val="0"/>
            <w:vAlign w:val="center"/>
          </w:tcPr>
          <w:p>
            <w:pPr>
              <w:pStyle w:val="4"/>
              <w:keepNext w:val="0"/>
              <w:keepLines w:val="0"/>
              <w:suppressLineNumbers w:val="0"/>
              <w:spacing w:before="0" w:beforeAutospacing="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4</w:t>
            </w:r>
          </w:p>
        </w:tc>
        <w:tc>
          <w:tcPr>
            <w:tcW w:w="907" w:type="pct"/>
            <w:tcBorders>
              <w:top w:val="single" w:color="auto" w:sz="4" w:space="0"/>
              <w:bottom w:val="single" w:color="auto" w:sz="4" w:space="0"/>
            </w:tcBorders>
            <w:noWrap w:val="0"/>
            <w:vAlign w:val="center"/>
          </w:tcPr>
          <w:p>
            <w:pPr>
              <w:pStyle w:val="4"/>
              <w:keepNext w:val="0"/>
              <w:keepLines w:val="0"/>
              <w:suppressLineNumbers w:val="0"/>
              <w:spacing w:before="0" w:beforeAutospacing="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2</w:t>
            </w:r>
          </w:p>
        </w:tc>
      </w:tr>
      <w:tr>
        <w:tblPrEx>
          <w:tblBorders>
            <w:top w:val="single" w:color="auto" w:sz="12" w:space="0"/>
            <w:left w:val="none" w:color="auto" w:sz="0" w:space="0"/>
            <w:bottom w:val="single" w:color="auto" w:sz="12"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397" w:hRule="atLeast"/>
          <w:jc w:val="center"/>
        </w:trPr>
        <w:tc>
          <w:tcPr>
            <w:tcW w:w="1117" w:type="pct"/>
            <w:tcBorders>
              <w:top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3#项目</w:t>
            </w:r>
            <w:r>
              <w:rPr>
                <w:rFonts w:hint="eastAsia" w:ascii="Times New Roman" w:hAnsi="Times New Roman" w:eastAsia="宋体" w:cs="Times New Roman"/>
                <w:color w:val="auto"/>
                <w:sz w:val="21"/>
                <w:szCs w:val="21"/>
                <w:highlight w:val="none"/>
                <w:lang w:val="en-US" w:eastAsia="zh-CN"/>
              </w:rPr>
              <w:t>厂区西南侧</w:t>
            </w:r>
          </w:p>
        </w:tc>
        <w:tc>
          <w:tcPr>
            <w:tcW w:w="1047"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199" w:leftChars="-95" w:right="-210" w:rightChars="-100" w:firstLine="0" w:firstLineChars="0"/>
              <w:jc w:val="center"/>
              <w:rPr>
                <w:rFonts w:hint="default" w:ascii="Times New Roman" w:hAnsi="Times New Roman" w:eastAsia="宋体" w:cs="Times New Roman"/>
                <w:bCs/>
                <w:color w:val="auto"/>
                <w:sz w:val="21"/>
                <w:szCs w:val="21"/>
                <w:highlight w:val="none"/>
                <w:shd w:val="clear" w:color="auto" w:fill="auto"/>
                <w:lang w:val="en-US" w:eastAsia="zh-CN"/>
              </w:rPr>
            </w:pPr>
            <w:r>
              <w:rPr>
                <w:rFonts w:hint="eastAsia" w:ascii="Times New Roman" w:hAnsi="Times New Roman" w:eastAsia="宋体" w:cs="Times New Roman"/>
                <w:bCs/>
                <w:color w:val="auto"/>
                <w:sz w:val="21"/>
                <w:szCs w:val="21"/>
                <w:highlight w:val="none"/>
                <w:shd w:val="clear" w:color="auto" w:fill="auto"/>
                <w:lang w:val="en-US" w:eastAsia="zh-CN"/>
              </w:rPr>
              <w:t>106</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50</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27</w:t>
            </w:r>
            <w:r>
              <w:rPr>
                <w:rFonts w:hint="default" w:ascii="Times New Roman" w:hAnsi="Times New Roman" w:eastAsia="宋体" w:cs="Times New Roman"/>
                <w:bCs/>
                <w:color w:val="auto"/>
                <w:sz w:val="21"/>
                <w:szCs w:val="21"/>
                <w:highlight w:val="none"/>
                <w:shd w:val="clear" w:color="auto" w:fill="auto"/>
                <w:lang w:val="en-US" w:eastAsia="zh-CN"/>
              </w:rPr>
              <w:t>"E</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3</w:t>
            </w:r>
            <w:r>
              <w:rPr>
                <w:rFonts w:hint="eastAsia" w:ascii="Times New Roman" w:hAnsi="Times New Roman" w:eastAsia="宋体" w:cs="Times New Roman"/>
                <w:bCs/>
                <w:color w:val="auto"/>
                <w:sz w:val="21"/>
                <w:szCs w:val="21"/>
                <w:highlight w:val="none"/>
                <w:shd w:val="clear" w:color="auto" w:fill="auto"/>
                <w:lang w:val="en-US" w:eastAsia="zh-CN"/>
              </w:rPr>
              <w:t>1</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39</w:t>
            </w:r>
            <w:r>
              <w:rPr>
                <w:rFonts w:hint="default" w:ascii="Times New Roman" w:hAnsi="Times New Roman" w:eastAsia="宋体" w:cs="Times New Roman"/>
                <w:bCs/>
                <w:color w:val="auto"/>
                <w:sz w:val="21"/>
                <w:szCs w:val="21"/>
                <w:highlight w:val="none"/>
                <w:shd w:val="clear" w:color="auto" w:fill="auto"/>
                <w:lang w:val="en-US" w:eastAsia="zh-CN"/>
              </w:rPr>
              <w:t>'2</w:t>
            </w:r>
            <w:r>
              <w:rPr>
                <w:rFonts w:hint="eastAsia" w:ascii="Times New Roman" w:hAnsi="Times New Roman" w:eastAsia="宋体" w:cs="Times New Roman"/>
                <w:bCs/>
                <w:color w:val="auto"/>
                <w:sz w:val="21"/>
                <w:szCs w:val="21"/>
                <w:highlight w:val="none"/>
                <w:shd w:val="clear" w:color="auto" w:fill="auto"/>
                <w:lang w:val="en-US" w:eastAsia="zh-CN"/>
              </w:rPr>
              <w:t>4</w:t>
            </w:r>
            <w:r>
              <w:rPr>
                <w:rFonts w:hint="default" w:ascii="Times New Roman" w:hAnsi="Times New Roman" w:eastAsia="宋体" w:cs="Times New Roman"/>
                <w:bCs/>
                <w:color w:val="auto"/>
                <w:sz w:val="21"/>
                <w:szCs w:val="21"/>
                <w:highlight w:val="none"/>
                <w:shd w:val="clear" w:color="auto" w:fill="auto"/>
                <w:lang w:val="en-US" w:eastAsia="zh-CN"/>
              </w:rPr>
              <w:t>"N</w:t>
            </w:r>
          </w:p>
        </w:tc>
        <w:tc>
          <w:tcPr>
            <w:tcW w:w="976"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508</w:t>
            </w:r>
          </w:p>
        </w:tc>
        <w:tc>
          <w:tcPr>
            <w:tcW w:w="951"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2</w:t>
            </w:r>
          </w:p>
        </w:tc>
        <w:tc>
          <w:tcPr>
            <w:tcW w:w="907"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0.5</w:t>
            </w:r>
          </w:p>
        </w:tc>
      </w:tr>
      <w:tr>
        <w:tblPrEx>
          <w:tblBorders>
            <w:top w:val="single" w:color="auto" w:sz="12" w:space="0"/>
            <w:left w:val="none" w:color="auto" w:sz="0" w:space="0"/>
            <w:bottom w:val="single" w:color="auto" w:sz="12"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397" w:hRule="atLeast"/>
          <w:jc w:val="center"/>
        </w:trPr>
        <w:tc>
          <w:tcPr>
            <w:tcW w:w="1117" w:type="pct"/>
            <w:tcBorders>
              <w:top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4#项目厂区北侧</w:t>
            </w:r>
          </w:p>
        </w:tc>
        <w:tc>
          <w:tcPr>
            <w:tcW w:w="1047"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199" w:leftChars="-95" w:right="-210" w:rightChars="-100" w:firstLine="0" w:firstLineChars="0"/>
              <w:jc w:val="center"/>
              <w:rPr>
                <w:rFonts w:hint="default" w:ascii="Times New Roman" w:hAnsi="Times New Roman" w:eastAsia="宋体"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10</w:t>
            </w:r>
            <w:r>
              <w:rPr>
                <w:rFonts w:hint="eastAsia" w:ascii="Times New Roman" w:hAnsi="Times New Roman" w:eastAsia="宋体" w:cs="Times New Roman"/>
                <w:bCs/>
                <w:color w:val="auto"/>
                <w:sz w:val="21"/>
                <w:szCs w:val="21"/>
                <w:highlight w:val="none"/>
                <w:shd w:val="clear" w:color="auto" w:fill="auto"/>
                <w:lang w:val="en-US" w:eastAsia="zh-CN"/>
              </w:rPr>
              <w:t>6</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50</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32</w:t>
            </w:r>
            <w:r>
              <w:rPr>
                <w:rFonts w:hint="default" w:ascii="Times New Roman" w:hAnsi="Times New Roman" w:eastAsia="宋体" w:cs="Times New Roman"/>
                <w:bCs/>
                <w:color w:val="auto"/>
                <w:sz w:val="21"/>
                <w:szCs w:val="21"/>
                <w:highlight w:val="none"/>
                <w:shd w:val="clear" w:color="auto" w:fill="auto"/>
                <w:lang w:val="en-US" w:eastAsia="zh-CN"/>
              </w:rPr>
              <w:t>"E</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3</w:t>
            </w:r>
            <w:r>
              <w:rPr>
                <w:rFonts w:hint="eastAsia" w:ascii="Times New Roman" w:hAnsi="Times New Roman" w:eastAsia="宋体" w:cs="Times New Roman"/>
                <w:bCs/>
                <w:color w:val="auto"/>
                <w:sz w:val="21"/>
                <w:szCs w:val="21"/>
                <w:highlight w:val="none"/>
                <w:shd w:val="clear" w:color="auto" w:fill="auto"/>
                <w:lang w:val="en-US" w:eastAsia="zh-CN"/>
              </w:rPr>
              <w:t>1</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39</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57</w:t>
            </w:r>
            <w:r>
              <w:rPr>
                <w:rFonts w:hint="default" w:ascii="Times New Roman" w:hAnsi="Times New Roman" w:eastAsia="宋体" w:cs="Times New Roman"/>
                <w:bCs/>
                <w:color w:val="auto"/>
                <w:sz w:val="21"/>
                <w:szCs w:val="21"/>
                <w:highlight w:val="none"/>
                <w:shd w:val="clear" w:color="auto" w:fill="auto"/>
                <w:lang w:val="en-US" w:eastAsia="zh-CN"/>
              </w:rPr>
              <w:t>"N</w:t>
            </w:r>
          </w:p>
        </w:tc>
        <w:tc>
          <w:tcPr>
            <w:tcW w:w="976"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496</w:t>
            </w:r>
          </w:p>
        </w:tc>
        <w:tc>
          <w:tcPr>
            <w:tcW w:w="951"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20</w:t>
            </w:r>
          </w:p>
        </w:tc>
        <w:tc>
          <w:tcPr>
            <w:tcW w:w="907"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3</w:t>
            </w:r>
          </w:p>
        </w:tc>
      </w:tr>
      <w:tr>
        <w:tblPrEx>
          <w:tblBorders>
            <w:top w:val="single" w:color="auto" w:sz="12" w:space="0"/>
            <w:left w:val="none" w:color="auto" w:sz="0" w:space="0"/>
            <w:bottom w:val="single" w:color="auto" w:sz="12"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397" w:hRule="atLeast"/>
          <w:jc w:val="center"/>
        </w:trPr>
        <w:tc>
          <w:tcPr>
            <w:tcW w:w="1117" w:type="pct"/>
            <w:tcBorders>
              <w:top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5#项目东侧居民处</w:t>
            </w:r>
          </w:p>
        </w:tc>
        <w:tc>
          <w:tcPr>
            <w:tcW w:w="1047"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199" w:leftChars="-95" w:right="-210" w:rightChars="-100" w:firstLine="0" w:firstLineChars="0"/>
              <w:jc w:val="center"/>
              <w:rPr>
                <w:rFonts w:hint="default" w:ascii="Times New Roman" w:hAnsi="Times New Roman" w:eastAsia="宋体"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10</w:t>
            </w:r>
            <w:r>
              <w:rPr>
                <w:rFonts w:hint="eastAsia" w:ascii="Times New Roman" w:hAnsi="Times New Roman" w:eastAsia="宋体" w:cs="Times New Roman"/>
                <w:bCs/>
                <w:color w:val="auto"/>
                <w:sz w:val="21"/>
                <w:szCs w:val="21"/>
                <w:highlight w:val="none"/>
                <w:shd w:val="clear" w:color="auto" w:fill="auto"/>
                <w:lang w:val="en-US" w:eastAsia="zh-CN"/>
              </w:rPr>
              <w:t>6</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50</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51</w:t>
            </w:r>
            <w:r>
              <w:rPr>
                <w:rFonts w:hint="default" w:ascii="Times New Roman" w:hAnsi="Times New Roman" w:eastAsia="宋体" w:cs="Times New Roman"/>
                <w:bCs/>
                <w:color w:val="auto"/>
                <w:sz w:val="21"/>
                <w:szCs w:val="21"/>
                <w:highlight w:val="none"/>
                <w:shd w:val="clear" w:color="auto" w:fill="auto"/>
                <w:lang w:val="en-US" w:eastAsia="zh-CN"/>
              </w:rPr>
              <w:t>"E</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shd w:val="clear" w:color="auto" w:fill="auto"/>
                <w:lang w:val="en-US" w:eastAsia="zh-CN"/>
              </w:rPr>
            </w:pPr>
            <w:r>
              <w:rPr>
                <w:rFonts w:hint="eastAsia" w:ascii="Times New Roman" w:hAnsi="Times New Roman" w:eastAsia="宋体" w:cs="Times New Roman"/>
                <w:bCs/>
                <w:color w:val="auto"/>
                <w:sz w:val="21"/>
                <w:szCs w:val="21"/>
                <w:highlight w:val="none"/>
                <w:shd w:val="clear" w:color="auto" w:fill="auto"/>
                <w:lang w:val="en-US" w:eastAsia="zh-CN"/>
              </w:rPr>
              <w:t>31</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39</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13</w:t>
            </w:r>
            <w:r>
              <w:rPr>
                <w:rFonts w:hint="default" w:ascii="Times New Roman" w:hAnsi="Times New Roman" w:eastAsia="宋体" w:cs="Times New Roman"/>
                <w:bCs/>
                <w:color w:val="auto"/>
                <w:sz w:val="21"/>
                <w:szCs w:val="21"/>
                <w:highlight w:val="none"/>
                <w:shd w:val="clear" w:color="auto" w:fill="auto"/>
                <w:lang w:val="en-US" w:eastAsia="zh-CN"/>
              </w:rPr>
              <w:t>"N</w:t>
            </w:r>
          </w:p>
        </w:tc>
        <w:tc>
          <w:tcPr>
            <w:tcW w:w="976"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513</w:t>
            </w:r>
          </w:p>
        </w:tc>
        <w:tc>
          <w:tcPr>
            <w:tcW w:w="951"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5</w:t>
            </w:r>
          </w:p>
        </w:tc>
        <w:tc>
          <w:tcPr>
            <w:tcW w:w="907"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2</w:t>
            </w:r>
          </w:p>
        </w:tc>
      </w:tr>
      <w:tr>
        <w:tblPrEx>
          <w:tblBorders>
            <w:top w:val="single" w:color="auto" w:sz="12" w:space="0"/>
            <w:left w:val="none" w:color="auto" w:sz="0" w:space="0"/>
            <w:bottom w:val="single" w:color="auto" w:sz="12"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397" w:hRule="atLeast"/>
          <w:jc w:val="center"/>
        </w:trPr>
        <w:tc>
          <w:tcPr>
            <w:tcW w:w="1117" w:type="pct"/>
            <w:tcBorders>
              <w:top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6#项目东侧居民处</w:t>
            </w:r>
          </w:p>
        </w:tc>
        <w:tc>
          <w:tcPr>
            <w:tcW w:w="1047"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199" w:leftChars="-95" w:right="-210" w:rightChars="-100" w:firstLine="0" w:firstLineChars="0"/>
              <w:jc w:val="center"/>
              <w:rPr>
                <w:rFonts w:hint="default" w:ascii="Times New Roman" w:hAnsi="Times New Roman" w:eastAsia="宋体" w:cs="Times New Roman"/>
                <w:bCs/>
                <w:color w:val="auto"/>
                <w:sz w:val="21"/>
                <w:szCs w:val="21"/>
                <w:highlight w:val="none"/>
                <w:shd w:val="clear" w:color="auto" w:fill="auto"/>
                <w:lang w:val="en-US" w:eastAsia="zh-CN"/>
              </w:rPr>
            </w:pPr>
            <w:r>
              <w:rPr>
                <w:rFonts w:hint="eastAsia" w:ascii="Times New Roman" w:hAnsi="Times New Roman" w:eastAsia="宋体" w:cs="Times New Roman"/>
                <w:bCs/>
                <w:color w:val="auto"/>
                <w:sz w:val="21"/>
                <w:szCs w:val="21"/>
                <w:highlight w:val="none"/>
                <w:shd w:val="clear" w:color="auto" w:fill="auto"/>
                <w:lang w:val="en-US" w:eastAsia="zh-CN"/>
              </w:rPr>
              <w:t>106</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50</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49</w:t>
            </w:r>
            <w:r>
              <w:rPr>
                <w:rFonts w:hint="default" w:ascii="Times New Roman" w:hAnsi="Times New Roman" w:eastAsia="宋体" w:cs="Times New Roman"/>
                <w:bCs/>
                <w:color w:val="auto"/>
                <w:sz w:val="21"/>
                <w:szCs w:val="21"/>
                <w:highlight w:val="none"/>
                <w:shd w:val="clear" w:color="auto" w:fill="auto"/>
                <w:lang w:val="en-US" w:eastAsia="zh-CN"/>
              </w:rPr>
              <w:t>"E</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shd w:val="clear" w:color="auto" w:fill="auto"/>
                <w:lang w:val="en-US" w:eastAsia="zh-CN"/>
              </w:rPr>
            </w:pPr>
            <w:r>
              <w:rPr>
                <w:rFonts w:hint="eastAsia" w:ascii="Times New Roman" w:hAnsi="Times New Roman" w:eastAsia="宋体" w:cs="Times New Roman"/>
                <w:bCs/>
                <w:color w:val="auto"/>
                <w:sz w:val="21"/>
                <w:szCs w:val="21"/>
                <w:highlight w:val="none"/>
                <w:shd w:val="clear" w:color="auto" w:fill="auto"/>
                <w:lang w:val="en-US" w:eastAsia="zh-CN"/>
              </w:rPr>
              <w:t>31</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39</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13</w:t>
            </w:r>
            <w:r>
              <w:rPr>
                <w:rFonts w:hint="default" w:ascii="Times New Roman" w:hAnsi="Times New Roman" w:eastAsia="宋体" w:cs="Times New Roman"/>
                <w:bCs/>
                <w:color w:val="auto"/>
                <w:sz w:val="21"/>
                <w:szCs w:val="21"/>
                <w:highlight w:val="none"/>
                <w:shd w:val="clear" w:color="auto" w:fill="auto"/>
                <w:lang w:val="en-US" w:eastAsia="zh-CN"/>
              </w:rPr>
              <w:t>"N</w:t>
            </w:r>
          </w:p>
        </w:tc>
        <w:tc>
          <w:tcPr>
            <w:tcW w:w="976"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503</w:t>
            </w:r>
          </w:p>
        </w:tc>
        <w:tc>
          <w:tcPr>
            <w:tcW w:w="951"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2</w:t>
            </w:r>
          </w:p>
        </w:tc>
        <w:tc>
          <w:tcPr>
            <w:tcW w:w="907"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0.5</w:t>
            </w:r>
          </w:p>
        </w:tc>
      </w:tr>
      <w:tr>
        <w:tblPrEx>
          <w:tblBorders>
            <w:top w:val="single" w:color="auto" w:sz="12" w:space="0"/>
            <w:left w:val="none" w:color="auto" w:sz="0" w:space="0"/>
            <w:bottom w:val="single" w:color="auto" w:sz="12"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397" w:hRule="atLeast"/>
          <w:jc w:val="center"/>
        </w:trPr>
        <w:tc>
          <w:tcPr>
            <w:tcW w:w="1117" w:type="pct"/>
            <w:tcBorders>
              <w:top w:val="single" w:color="auto" w:sz="4" w:space="0"/>
              <w:bottom w:val="single" w:color="auto" w:sz="12"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7#项目东侧居民处</w:t>
            </w:r>
          </w:p>
        </w:tc>
        <w:tc>
          <w:tcPr>
            <w:tcW w:w="1047" w:type="pct"/>
            <w:tcBorders>
              <w:top w:val="single" w:color="auto" w:sz="4" w:space="0"/>
              <w:left w:val="single" w:color="000000" w:sz="4" w:space="0"/>
              <w:bottom w:val="single" w:color="auto" w:sz="12" w:space="0"/>
              <w:right w:val="single" w:color="000000" w:sz="4" w:space="0"/>
            </w:tcBorders>
            <w:noWrap w:val="0"/>
            <w:vAlign w:val="center"/>
          </w:tcPr>
          <w:p>
            <w:pPr>
              <w:keepNext w:val="0"/>
              <w:keepLines w:val="0"/>
              <w:suppressLineNumbers w:val="0"/>
              <w:spacing w:before="0" w:beforeAutospacing="0" w:after="0" w:afterAutospacing="0"/>
              <w:ind w:left="-199" w:leftChars="-95" w:right="-210" w:rightChars="-100" w:firstLine="0" w:firstLineChars="0"/>
              <w:jc w:val="center"/>
              <w:rPr>
                <w:rFonts w:hint="default" w:ascii="Times New Roman" w:hAnsi="Times New Roman" w:eastAsia="宋体" w:cs="Times New Roman"/>
                <w:bCs/>
                <w:color w:val="auto"/>
                <w:sz w:val="21"/>
                <w:szCs w:val="21"/>
                <w:highlight w:val="none"/>
                <w:shd w:val="clear" w:color="auto" w:fill="auto"/>
                <w:lang w:val="en-US" w:eastAsia="zh-CN"/>
              </w:rPr>
            </w:pPr>
            <w:r>
              <w:rPr>
                <w:rFonts w:hint="eastAsia" w:ascii="Times New Roman" w:hAnsi="Times New Roman" w:eastAsia="宋体" w:cs="Times New Roman"/>
                <w:bCs/>
                <w:color w:val="auto"/>
                <w:sz w:val="21"/>
                <w:szCs w:val="21"/>
                <w:highlight w:val="none"/>
                <w:shd w:val="clear" w:color="auto" w:fill="auto"/>
                <w:lang w:val="en-US" w:eastAsia="zh-CN"/>
              </w:rPr>
              <w:t>1</w:t>
            </w:r>
            <w:r>
              <w:rPr>
                <w:rFonts w:hint="default" w:ascii="Times New Roman" w:hAnsi="Times New Roman" w:eastAsia="宋体" w:cs="Times New Roman"/>
                <w:bCs/>
                <w:color w:val="auto"/>
                <w:sz w:val="21"/>
                <w:szCs w:val="21"/>
                <w:highlight w:val="none"/>
                <w:shd w:val="clear" w:color="auto" w:fill="auto"/>
                <w:lang w:val="en-US" w:eastAsia="zh-CN"/>
              </w:rPr>
              <w:t>0</w:t>
            </w:r>
            <w:r>
              <w:rPr>
                <w:rFonts w:hint="eastAsia" w:ascii="Times New Roman" w:hAnsi="Times New Roman" w:eastAsia="宋体" w:cs="Times New Roman"/>
                <w:bCs/>
                <w:color w:val="auto"/>
                <w:sz w:val="21"/>
                <w:szCs w:val="21"/>
                <w:highlight w:val="none"/>
                <w:shd w:val="clear" w:color="auto" w:fill="auto"/>
                <w:lang w:val="en-US" w:eastAsia="zh-CN"/>
              </w:rPr>
              <w:t>6</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50</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47</w:t>
            </w:r>
            <w:r>
              <w:rPr>
                <w:rFonts w:hint="default" w:ascii="Times New Roman" w:hAnsi="Times New Roman" w:eastAsia="宋体" w:cs="Times New Roman"/>
                <w:bCs/>
                <w:color w:val="auto"/>
                <w:sz w:val="21"/>
                <w:szCs w:val="21"/>
                <w:highlight w:val="none"/>
                <w:shd w:val="clear" w:color="auto" w:fill="auto"/>
                <w:lang w:val="en-US" w:eastAsia="zh-CN"/>
              </w:rPr>
              <w:t>"E</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shd w:val="clear" w:color="auto" w:fill="auto"/>
                <w:lang w:val="en-US" w:eastAsia="zh-CN"/>
              </w:rPr>
            </w:pPr>
            <w:r>
              <w:rPr>
                <w:rFonts w:hint="eastAsia" w:ascii="Times New Roman" w:hAnsi="Times New Roman" w:eastAsia="宋体" w:cs="Times New Roman"/>
                <w:bCs/>
                <w:color w:val="auto"/>
                <w:sz w:val="21"/>
                <w:szCs w:val="21"/>
                <w:highlight w:val="none"/>
                <w:shd w:val="clear" w:color="auto" w:fill="auto"/>
                <w:lang w:val="en-US" w:eastAsia="zh-CN"/>
              </w:rPr>
              <w:t>31</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39</w:t>
            </w:r>
            <w:r>
              <w:rPr>
                <w:rFonts w:hint="default" w:ascii="Times New Roman" w:hAnsi="Times New Roman" w:eastAsia="宋体" w:cs="Times New Roman"/>
                <w:bCs/>
                <w:color w:val="auto"/>
                <w:sz w:val="21"/>
                <w:szCs w:val="21"/>
                <w:highlight w:val="none"/>
                <w:shd w:val="clear" w:color="auto" w:fill="auto"/>
                <w:lang w:val="en-US" w:eastAsia="zh-CN"/>
              </w:rPr>
              <w:t>'</w:t>
            </w:r>
            <w:r>
              <w:rPr>
                <w:rFonts w:hint="eastAsia" w:ascii="Times New Roman" w:hAnsi="Times New Roman" w:eastAsia="宋体" w:cs="Times New Roman"/>
                <w:bCs/>
                <w:color w:val="auto"/>
                <w:sz w:val="21"/>
                <w:szCs w:val="21"/>
                <w:highlight w:val="none"/>
                <w:shd w:val="clear" w:color="auto" w:fill="auto"/>
                <w:lang w:val="en-US" w:eastAsia="zh-CN"/>
              </w:rPr>
              <w:t>21</w:t>
            </w:r>
            <w:r>
              <w:rPr>
                <w:rFonts w:hint="default" w:ascii="Times New Roman" w:hAnsi="Times New Roman" w:eastAsia="宋体" w:cs="Times New Roman"/>
                <w:bCs/>
                <w:color w:val="auto"/>
                <w:sz w:val="21"/>
                <w:szCs w:val="21"/>
                <w:highlight w:val="none"/>
                <w:shd w:val="clear" w:color="auto" w:fill="auto"/>
                <w:lang w:val="en-US" w:eastAsia="zh-CN"/>
              </w:rPr>
              <w:t>"N</w:t>
            </w:r>
          </w:p>
        </w:tc>
        <w:tc>
          <w:tcPr>
            <w:tcW w:w="976" w:type="pct"/>
            <w:tcBorders>
              <w:top w:val="single" w:color="auto" w:sz="4" w:space="0"/>
              <w:bottom w:val="single" w:color="auto" w:sz="12"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502</w:t>
            </w:r>
          </w:p>
        </w:tc>
        <w:tc>
          <w:tcPr>
            <w:tcW w:w="951" w:type="pct"/>
            <w:tcBorders>
              <w:top w:val="single" w:color="auto" w:sz="4" w:space="0"/>
              <w:bottom w:val="single" w:color="auto" w:sz="12"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3</w:t>
            </w:r>
          </w:p>
        </w:tc>
        <w:tc>
          <w:tcPr>
            <w:tcW w:w="907" w:type="pct"/>
            <w:tcBorders>
              <w:top w:val="single" w:color="auto" w:sz="4" w:space="0"/>
              <w:bottom w:val="single" w:color="auto" w:sz="12"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1.5</w:t>
            </w:r>
          </w:p>
        </w:tc>
      </w:tr>
    </w:tbl>
    <w:p>
      <w:pPr>
        <w:pStyle w:val="9"/>
        <w:numPr>
          <w:ilvl w:val="3"/>
          <w:numId w:val="31"/>
        </w:numPr>
        <w:spacing w:line="374" w:lineRule="auto"/>
        <w:rPr>
          <w:rFonts w:hint="default"/>
          <w:color w:val="auto"/>
          <w:highlight w:val="none"/>
        </w:rPr>
      </w:pPr>
      <w:r>
        <w:rPr>
          <w:rFonts w:hint="eastAsia" w:ascii="Times New Roman" w:hAnsi="Times New Roman" w:cs="Times New Roman"/>
          <w:color w:val="auto"/>
          <w:highlight w:val="none"/>
          <w:lang w:val="en-US" w:eastAsia="zh-CN"/>
        </w:rPr>
        <w:t>地下水质量现状评价</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1、评价标准</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本次评价执行《地下水质量标准》（GB/T14848-2017）III类标准。</w:t>
      </w:r>
    </w:p>
    <w:p>
      <w:pPr>
        <w:numPr>
          <w:ilvl w:val="0"/>
          <w:numId w:val="24"/>
        </w:numPr>
        <w:spacing w:line="360" w:lineRule="auto"/>
        <w:ind w:left="0" w:leftChars="0"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评价因子</w:t>
      </w:r>
    </w:p>
    <w:p>
      <w:pPr>
        <w:ind w:firstLine="482"/>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本次评价选取</w:t>
      </w:r>
      <w:r>
        <w:rPr>
          <w:rFonts w:hint="default"/>
          <w:b w:val="0"/>
          <w:bCs/>
          <w:color w:val="auto"/>
          <w:sz w:val="24"/>
          <w:szCs w:val="24"/>
          <w:highlight w:val="none"/>
        </w:rPr>
        <w:t>钾、钠、钙、镁、碳酸根、重碳酸根、氯化物、硫酸盐、pH值、氨氮（以N计）、硝酸盐（以N计）、亚硝酸盐（以N计）、挥发性酚类（以苯酚计）、氰化物、总硬度（以CaCO</w:t>
      </w:r>
      <w:r>
        <w:rPr>
          <w:rFonts w:hint="default"/>
          <w:b w:val="0"/>
          <w:bCs/>
          <w:color w:val="auto"/>
          <w:sz w:val="24"/>
          <w:szCs w:val="24"/>
          <w:highlight w:val="none"/>
          <w:vertAlign w:val="subscript"/>
        </w:rPr>
        <w:t>3</w:t>
      </w:r>
      <w:r>
        <w:rPr>
          <w:rFonts w:hint="default"/>
          <w:b w:val="0"/>
          <w:bCs/>
          <w:color w:val="auto"/>
          <w:sz w:val="24"/>
          <w:szCs w:val="24"/>
          <w:highlight w:val="none"/>
        </w:rPr>
        <w:t>计）、氟化物、溶解性总固体、耗氧量（CODMn法，以O</w:t>
      </w:r>
      <w:r>
        <w:rPr>
          <w:rFonts w:hint="default"/>
          <w:b w:val="0"/>
          <w:bCs/>
          <w:color w:val="auto"/>
          <w:sz w:val="24"/>
          <w:szCs w:val="24"/>
          <w:highlight w:val="none"/>
          <w:vertAlign w:val="subscript"/>
        </w:rPr>
        <w:t>2</w:t>
      </w:r>
      <w:r>
        <w:rPr>
          <w:rFonts w:hint="default"/>
          <w:b w:val="0"/>
          <w:bCs/>
          <w:color w:val="auto"/>
          <w:sz w:val="24"/>
          <w:szCs w:val="24"/>
          <w:highlight w:val="none"/>
        </w:rPr>
        <w:t>计）、总大肠菌群、菌落总数</w:t>
      </w:r>
      <w:r>
        <w:rPr>
          <w:rFonts w:hint="eastAsia"/>
          <w:b w:val="0"/>
          <w:bCs/>
          <w:color w:val="auto"/>
          <w:sz w:val="24"/>
          <w:szCs w:val="24"/>
          <w:highlight w:val="none"/>
          <w:lang w:eastAsia="zh-CN"/>
        </w:rPr>
        <w:t>作为评价因子。</w:t>
      </w:r>
    </w:p>
    <w:p>
      <w:pPr>
        <w:spacing w:line="440" w:lineRule="exact"/>
        <w:ind w:firstLine="482" w:firstLineChars="200"/>
        <w:rPr>
          <w:rFonts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3、评价方法</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采用单项</w:t>
      </w:r>
      <w:r>
        <w:rPr>
          <w:rFonts w:hint="eastAsia" w:ascii="Times New Roman" w:hAnsi="Times New Roman" w:eastAsia="宋体" w:cs="Times New Roman"/>
          <w:color w:val="auto"/>
          <w:sz w:val="24"/>
          <w:szCs w:val="24"/>
          <w:highlight w:val="none"/>
        </w:rPr>
        <w:t>水质</w:t>
      </w:r>
      <w:r>
        <w:rPr>
          <w:rFonts w:ascii="Times New Roman" w:hAnsi="Times New Roman" w:eastAsia="宋体" w:cs="Times New Roman"/>
          <w:color w:val="auto"/>
          <w:sz w:val="24"/>
          <w:szCs w:val="24"/>
          <w:highlight w:val="none"/>
        </w:rPr>
        <w:t>指数评价法，一般性水质因子（随着浓度增加而水质变差的水质因子）的指数计算</w:t>
      </w:r>
      <w:r>
        <w:rPr>
          <w:rFonts w:hint="eastAsia" w:ascii="Times New Roman" w:hAnsi="Times New Roman" w:eastAsia="宋体" w:cs="Times New Roman"/>
          <w:color w:val="auto"/>
          <w:sz w:val="24"/>
          <w:szCs w:val="24"/>
          <w:highlight w:val="none"/>
        </w:rPr>
        <w:t>公式</w:t>
      </w:r>
      <w:r>
        <w:rPr>
          <w:rFonts w:ascii="Times New Roman" w:hAnsi="Times New Roman" w:eastAsia="宋体" w:cs="Times New Roman"/>
          <w:color w:val="auto"/>
          <w:sz w:val="24"/>
          <w:szCs w:val="24"/>
          <w:highlight w:val="none"/>
        </w:rPr>
        <w:t>为：</w:t>
      </w:r>
    </w:p>
    <w:p>
      <w:pPr>
        <w:spacing w:line="240" w:lineRule="auto"/>
        <w:ind w:firstLine="0" w:firstLineChars="0"/>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drawing>
          <wp:inline distT="0" distB="0" distL="114300" distR="114300">
            <wp:extent cx="981075" cy="304800"/>
            <wp:effectExtent l="0" t="0" r="9525" b="0"/>
            <wp:docPr id="5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1"/>
                    <pic:cNvPicPr>
                      <a:picLocks noChangeAspect="1"/>
                    </pic:cNvPicPr>
                  </pic:nvPicPr>
                  <pic:blipFill>
                    <a:blip r:embed="rId40"/>
                    <a:stretch>
                      <a:fillRect/>
                    </a:stretch>
                  </pic:blipFill>
                  <pic:spPr>
                    <a:xfrm>
                      <a:off x="0" y="0"/>
                      <a:ext cx="981075" cy="304800"/>
                    </a:xfrm>
                    <a:prstGeom prst="rect">
                      <a:avLst/>
                    </a:prstGeom>
                    <a:noFill/>
                    <a:ln>
                      <a:noFill/>
                    </a:ln>
                  </pic:spPr>
                </pic:pic>
              </a:graphicData>
            </a:graphic>
          </wp:inline>
        </w:drawing>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式中：</w:t>
      </w:r>
      <w:r>
        <w:rPr>
          <w:rFonts w:ascii="Times New Roman" w:hAnsi="Times New Roman" w:eastAsia="宋体" w:cs="Times New Roman"/>
          <w:i/>
          <w:color w:val="auto"/>
          <w:sz w:val="24"/>
          <w:szCs w:val="24"/>
          <w:highlight w:val="none"/>
        </w:rPr>
        <w:t>S</w:t>
      </w:r>
      <w:r>
        <w:rPr>
          <w:rFonts w:ascii="Times New Roman" w:hAnsi="Times New Roman" w:eastAsia="宋体" w:cs="Times New Roman"/>
          <w:i/>
          <w:color w:val="auto"/>
          <w:sz w:val="24"/>
          <w:szCs w:val="24"/>
          <w:highlight w:val="none"/>
          <w:vertAlign w:val="subscript"/>
        </w:rPr>
        <w:t>i</w:t>
      </w:r>
      <w:r>
        <w:rPr>
          <w:rFonts w:hint="eastAsia" w:ascii="Times New Roman" w:hAnsi="Times New Roman" w:eastAsia="宋体" w:cs="Times New Roman"/>
          <w:i/>
          <w:color w:val="auto"/>
          <w:sz w:val="24"/>
          <w:szCs w:val="24"/>
          <w:highlight w:val="none"/>
          <w:vertAlign w:val="subscript"/>
        </w:rPr>
        <w:t>，</w:t>
      </w:r>
      <w:r>
        <w:rPr>
          <w:rFonts w:ascii="Times New Roman" w:hAnsi="Times New Roman" w:eastAsia="宋体" w:cs="Times New Roman"/>
          <w:i/>
          <w:color w:val="auto"/>
          <w:sz w:val="24"/>
          <w:szCs w:val="24"/>
          <w:highlight w:val="none"/>
          <w:vertAlign w:val="subscript"/>
        </w:rPr>
        <w:t>j</w:t>
      </w:r>
      <w:r>
        <w:rPr>
          <w:rFonts w:ascii="Times New Roman" w:hAnsi="Times New Roman" w:eastAsia="宋体" w:cs="Times New Roman"/>
          <w:color w:val="auto"/>
          <w:sz w:val="24"/>
          <w:szCs w:val="24"/>
          <w:highlight w:val="none"/>
        </w:rPr>
        <w:t>——评价因子</w:t>
      </w:r>
      <w:r>
        <w:rPr>
          <w:rFonts w:ascii="Times New Roman" w:hAnsi="Times New Roman" w:eastAsia="宋体" w:cs="Times New Roman"/>
          <w:i/>
          <w:color w:val="auto"/>
          <w:sz w:val="24"/>
          <w:szCs w:val="24"/>
          <w:highlight w:val="none"/>
        </w:rPr>
        <w:t>i</w:t>
      </w:r>
      <w:r>
        <w:rPr>
          <w:rFonts w:ascii="Times New Roman" w:hAnsi="Times New Roman" w:eastAsia="宋体" w:cs="Times New Roman"/>
          <w:color w:val="auto"/>
          <w:sz w:val="24"/>
          <w:szCs w:val="24"/>
          <w:highlight w:val="none"/>
        </w:rPr>
        <w:t>的水质指数，大于</w:t>
      </w:r>
      <w:r>
        <w:rPr>
          <w:rFonts w:hint="eastAsia" w:ascii="Times New Roman" w:hAnsi="Times New Roman" w:eastAsia="宋体" w:cs="Times New Roman"/>
          <w:color w:val="auto"/>
          <w:sz w:val="24"/>
          <w:szCs w:val="24"/>
          <w:highlight w:val="none"/>
        </w:rPr>
        <w:t>1表明该</w:t>
      </w:r>
      <w:r>
        <w:rPr>
          <w:rFonts w:ascii="Times New Roman" w:hAnsi="Times New Roman" w:eastAsia="宋体" w:cs="Times New Roman"/>
          <w:color w:val="auto"/>
          <w:sz w:val="24"/>
          <w:szCs w:val="24"/>
          <w:highlight w:val="none"/>
        </w:rPr>
        <w:t>水质因子超标；</w:t>
      </w:r>
    </w:p>
    <w:p>
      <w:pPr>
        <w:spacing w:line="440" w:lineRule="exact"/>
        <w:ind w:firstLine="1200" w:firstLineChars="500"/>
        <w:rPr>
          <w:rFonts w:ascii="Times New Roman" w:hAnsi="Times New Roman" w:eastAsia="宋体" w:cs="Times New Roman"/>
          <w:color w:val="auto"/>
          <w:sz w:val="24"/>
          <w:szCs w:val="24"/>
          <w:highlight w:val="none"/>
        </w:rPr>
      </w:pPr>
      <w:r>
        <w:rPr>
          <w:rFonts w:ascii="Times New Roman" w:hAnsi="Times New Roman" w:eastAsia="宋体" w:cs="Times New Roman"/>
          <w:i/>
          <w:color w:val="auto"/>
          <w:sz w:val="24"/>
          <w:szCs w:val="24"/>
          <w:highlight w:val="none"/>
        </w:rPr>
        <w:t>C</w:t>
      </w:r>
      <w:r>
        <w:rPr>
          <w:rFonts w:ascii="Times New Roman" w:hAnsi="Times New Roman" w:eastAsia="宋体" w:cs="Times New Roman"/>
          <w:i/>
          <w:color w:val="auto"/>
          <w:sz w:val="24"/>
          <w:szCs w:val="24"/>
          <w:highlight w:val="none"/>
          <w:vertAlign w:val="subscript"/>
        </w:rPr>
        <w:t>i，j</w:t>
      </w:r>
      <w:r>
        <w:rPr>
          <w:rFonts w:ascii="Times New Roman" w:hAnsi="Times New Roman" w:eastAsia="宋体" w:cs="Times New Roman"/>
          <w:color w:val="auto"/>
          <w:sz w:val="24"/>
          <w:szCs w:val="24"/>
          <w:highlight w:val="none"/>
        </w:rPr>
        <w:t>——评价因子</w:t>
      </w:r>
      <w:r>
        <w:rPr>
          <w:rFonts w:ascii="Times New Roman" w:hAnsi="Times New Roman" w:eastAsia="宋体" w:cs="Times New Roman"/>
          <w:i/>
          <w:color w:val="auto"/>
          <w:sz w:val="24"/>
          <w:szCs w:val="24"/>
          <w:highlight w:val="none"/>
        </w:rPr>
        <w:t>i</w:t>
      </w:r>
      <w:r>
        <w:rPr>
          <w:rFonts w:ascii="Times New Roman" w:hAnsi="Times New Roman" w:eastAsia="宋体" w:cs="Times New Roman"/>
          <w:color w:val="auto"/>
          <w:sz w:val="24"/>
          <w:szCs w:val="24"/>
          <w:highlight w:val="none"/>
        </w:rPr>
        <w:t>在</w:t>
      </w:r>
      <w:r>
        <w:rPr>
          <w:rFonts w:ascii="Times New Roman" w:hAnsi="Times New Roman" w:eastAsia="宋体" w:cs="Times New Roman"/>
          <w:i/>
          <w:color w:val="auto"/>
          <w:sz w:val="24"/>
          <w:szCs w:val="24"/>
          <w:highlight w:val="none"/>
        </w:rPr>
        <w:t>j</w:t>
      </w:r>
      <w:r>
        <w:rPr>
          <w:rFonts w:ascii="Times New Roman" w:hAnsi="Times New Roman" w:eastAsia="宋体" w:cs="Times New Roman"/>
          <w:color w:val="auto"/>
          <w:sz w:val="24"/>
          <w:szCs w:val="24"/>
          <w:highlight w:val="none"/>
        </w:rPr>
        <w:t>点的实测统计代表值</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mg/L；</w:t>
      </w:r>
    </w:p>
    <w:p>
      <w:pPr>
        <w:spacing w:line="440" w:lineRule="exact"/>
        <w:ind w:firstLine="1200" w:firstLineChars="500"/>
        <w:rPr>
          <w:rFonts w:ascii="Times New Roman" w:hAnsi="Times New Roman" w:eastAsia="宋体" w:cs="Times New Roman"/>
          <w:color w:val="auto"/>
          <w:sz w:val="24"/>
          <w:szCs w:val="24"/>
          <w:highlight w:val="none"/>
        </w:rPr>
      </w:pPr>
      <w:r>
        <w:rPr>
          <w:rFonts w:ascii="Times New Roman" w:hAnsi="Times New Roman" w:eastAsia="宋体" w:cs="Times New Roman"/>
          <w:i/>
          <w:color w:val="auto"/>
          <w:sz w:val="24"/>
          <w:szCs w:val="24"/>
          <w:highlight w:val="none"/>
        </w:rPr>
        <w:t>C</w:t>
      </w:r>
      <w:r>
        <w:rPr>
          <w:rFonts w:ascii="Times New Roman" w:hAnsi="Times New Roman" w:eastAsia="宋体" w:cs="Times New Roman"/>
          <w:i/>
          <w:color w:val="auto"/>
          <w:sz w:val="24"/>
          <w:szCs w:val="24"/>
          <w:highlight w:val="none"/>
          <w:vertAlign w:val="subscript"/>
        </w:rPr>
        <w:t>s，i</w:t>
      </w:r>
      <w:r>
        <w:rPr>
          <w:rFonts w:ascii="Times New Roman" w:hAnsi="Times New Roman" w:eastAsia="宋体" w:cs="Times New Roman"/>
          <w:color w:val="auto"/>
          <w:sz w:val="24"/>
          <w:szCs w:val="24"/>
          <w:highlight w:val="none"/>
        </w:rPr>
        <w:t>——评价因子</w:t>
      </w:r>
      <w:r>
        <w:rPr>
          <w:rFonts w:ascii="Times New Roman" w:hAnsi="Times New Roman" w:eastAsia="宋体" w:cs="Times New Roman"/>
          <w:i/>
          <w:color w:val="auto"/>
          <w:sz w:val="24"/>
          <w:szCs w:val="24"/>
          <w:highlight w:val="none"/>
        </w:rPr>
        <w:t>i</w:t>
      </w:r>
      <w:r>
        <w:rPr>
          <w:rFonts w:ascii="Times New Roman" w:hAnsi="Times New Roman" w:eastAsia="宋体" w:cs="Times New Roman"/>
          <w:color w:val="auto"/>
          <w:sz w:val="24"/>
          <w:szCs w:val="24"/>
          <w:highlight w:val="none"/>
        </w:rPr>
        <w:t>的水</w:t>
      </w:r>
      <w:r>
        <w:rPr>
          <w:rFonts w:hint="eastAsia" w:ascii="Times New Roman" w:hAnsi="Times New Roman" w:eastAsia="宋体" w:cs="Times New Roman"/>
          <w:color w:val="auto"/>
          <w:sz w:val="24"/>
          <w:szCs w:val="24"/>
          <w:highlight w:val="none"/>
        </w:rPr>
        <w:t>质</w:t>
      </w:r>
      <w:r>
        <w:rPr>
          <w:rFonts w:ascii="Times New Roman" w:hAnsi="Times New Roman" w:eastAsia="宋体" w:cs="Times New Roman"/>
          <w:color w:val="auto"/>
          <w:sz w:val="24"/>
          <w:szCs w:val="24"/>
          <w:highlight w:val="none"/>
        </w:rPr>
        <w:t>评价标准限值</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mg/L。</w:t>
      </w:r>
    </w:p>
    <w:p>
      <w:pPr>
        <w:widowControl w:val="0"/>
        <w:spacing w:line="440" w:lineRule="exact"/>
        <w:ind w:firstLine="480" w:firstLineChars="200"/>
        <w:jc w:val="both"/>
        <w:rPr>
          <w:rFonts w:ascii="Times New Roman" w:hAnsi="Times New Roman" w:eastAsia="宋体" w:cs="Times New Roman"/>
          <w:color w:val="auto"/>
          <w:kern w:val="2"/>
          <w:sz w:val="24"/>
          <w:szCs w:val="20"/>
          <w:highlight w:val="none"/>
          <w:lang w:val="en-US" w:eastAsia="zh-CN" w:bidi="ar-SA"/>
        </w:rPr>
      </w:pPr>
      <w:r>
        <w:rPr>
          <w:rFonts w:ascii="Times New Roman" w:hAnsi="Times New Roman" w:eastAsia="宋体" w:cs="Times New Roman"/>
          <w:color w:val="auto"/>
          <w:kern w:val="2"/>
          <w:sz w:val="24"/>
          <w:szCs w:val="20"/>
          <w:highlight w:val="none"/>
          <w:lang w:val="en-US" w:eastAsia="zh-CN" w:bidi="ar-SA"/>
        </w:rPr>
        <w:t>pH值的指数计算公式为：</w:t>
      </w:r>
    </w:p>
    <w:p>
      <w:pPr>
        <w:spacing w:line="240" w:lineRule="auto"/>
        <w:ind w:firstLine="0" w:firstLineChars="0"/>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fldChar w:fldCharType="begin"/>
      </w:r>
      <w:r>
        <w:rPr>
          <w:rFonts w:ascii="Times New Roman" w:hAnsi="Times New Roman" w:eastAsia="宋体" w:cs="Times New Roman"/>
          <w:color w:val="auto"/>
          <w:sz w:val="24"/>
          <w:szCs w:val="24"/>
          <w:highlight w:val="none"/>
        </w:rPr>
        <w:instrText xml:space="preserve"> INCLUDEPICTURE "C:\\Users\\lenovo\\AppData\\Roaming\\Microsoft\\ADMINI~1\\AppData\\Local\\Temp\\ksohtml\\wpsE994.tmp.png" \* MERGEFORMAT </w:instrText>
      </w:r>
      <w:r>
        <w:rPr>
          <w:rFonts w:ascii="Times New Roman" w:hAnsi="Times New Roman" w:eastAsia="宋体" w:cs="Times New Roman"/>
          <w:color w:val="auto"/>
          <w:sz w:val="24"/>
          <w:szCs w:val="24"/>
          <w:highlight w:val="none"/>
        </w:rPr>
        <w:fldChar w:fldCharType="separate"/>
      </w:r>
      <w:r>
        <w:rPr>
          <w:rFonts w:ascii="Times New Roman" w:hAnsi="Times New Roman" w:eastAsia="宋体" w:cs="Times New Roman"/>
          <w:color w:val="auto"/>
          <w:sz w:val="24"/>
          <w:szCs w:val="24"/>
          <w:highlight w:val="none"/>
        </w:rPr>
        <w:drawing>
          <wp:inline distT="0" distB="0" distL="114300" distR="114300">
            <wp:extent cx="1267460" cy="466090"/>
            <wp:effectExtent l="0" t="0" r="8890" b="10795"/>
            <wp:docPr id="56" name="图片 22" descr="wpsE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22" descr="wpsE994"/>
                    <pic:cNvPicPr>
                      <a:picLocks noChangeAspect="1"/>
                    </pic:cNvPicPr>
                  </pic:nvPicPr>
                  <pic:blipFill>
                    <a:blip r:embed="rId41"/>
                    <a:stretch>
                      <a:fillRect/>
                    </a:stretch>
                  </pic:blipFill>
                  <pic:spPr>
                    <a:xfrm>
                      <a:off x="0" y="0"/>
                      <a:ext cx="1267460" cy="466090"/>
                    </a:xfrm>
                    <a:prstGeom prst="rect">
                      <a:avLst/>
                    </a:prstGeom>
                    <a:noFill/>
                    <a:ln>
                      <a:noFill/>
                    </a:ln>
                  </pic:spPr>
                </pic:pic>
              </a:graphicData>
            </a:graphic>
          </wp:inline>
        </w:drawing>
      </w:r>
      <w:r>
        <w:rPr>
          <w:rFonts w:ascii="Times New Roman" w:hAnsi="Times New Roman" w:eastAsia="宋体" w:cs="Times New Roman"/>
          <w:color w:val="auto"/>
          <w:sz w:val="24"/>
          <w:szCs w:val="24"/>
          <w:highlight w:val="none"/>
        </w:rPr>
        <w:fldChar w:fldCharType="end"/>
      </w:r>
      <w:r>
        <w:rPr>
          <w:rFonts w:ascii="Times New Roman" w:hAnsi="Times New Roman" w:eastAsia="宋体" w:cs="Times New Roman"/>
          <w:color w:val="auto"/>
          <w:sz w:val="24"/>
          <w:szCs w:val="24"/>
          <w:highlight w:val="none"/>
        </w:rPr>
        <w:t xml:space="preserve">        </w:t>
      </w:r>
      <w:r>
        <w:rPr>
          <w:rFonts w:ascii="Times New Roman" w:hAnsi="Times New Roman" w:eastAsia="宋体" w:cs="Times New Roman"/>
          <w:color w:val="auto"/>
          <w:sz w:val="24"/>
          <w:szCs w:val="24"/>
          <w:highlight w:val="none"/>
        </w:rPr>
        <w:drawing>
          <wp:inline distT="0" distB="0" distL="114300" distR="114300">
            <wp:extent cx="571500" cy="285750"/>
            <wp:effectExtent l="0" t="0" r="0" b="0"/>
            <wp:docPr id="5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3"/>
                    <pic:cNvPicPr>
                      <a:picLocks noChangeAspect="1"/>
                    </pic:cNvPicPr>
                  </pic:nvPicPr>
                  <pic:blipFill>
                    <a:blip r:embed="rId42"/>
                    <a:stretch>
                      <a:fillRect/>
                    </a:stretch>
                  </pic:blipFill>
                  <pic:spPr>
                    <a:xfrm>
                      <a:off x="0" y="0"/>
                      <a:ext cx="571500" cy="285750"/>
                    </a:xfrm>
                    <a:prstGeom prst="rect">
                      <a:avLst/>
                    </a:prstGeom>
                    <a:noFill/>
                    <a:ln>
                      <a:noFill/>
                    </a:ln>
                  </pic:spPr>
                </pic:pic>
              </a:graphicData>
            </a:graphic>
          </wp:inline>
        </w:drawing>
      </w:r>
    </w:p>
    <w:p>
      <w:pPr>
        <w:spacing w:line="240" w:lineRule="auto"/>
        <w:ind w:firstLine="0" w:firstLineChars="0"/>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fldChar w:fldCharType="begin"/>
      </w:r>
      <w:r>
        <w:rPr>
          <w:rFonts w:ascii="Times New Roman" w:hAnsi="Times New Roman" w:eastAsia="宋体" w:cs="Times New Roman"/>
          <w:color w:val="auto"/>
          <w:sz w:val="24"/>
          <w:szCs w:val="24"/>
          <w:highlight w:val="none"/>
        </w:rPr>
        <w:instrText xml:space="preserve"> INCLUDEPICTURE "C:\\Users\\lenovo\\AppData\\Roaming\\Microsoft\\ADMINI~1\\AppData\\Local\\Temp\\ksohtml\\wpsE9A6.tmp.png" \* MERGEFORMAT </w:instrText>
      </w:r>
      <w:r>
        <w:rPr>
          <w:rFonts w:ascii="Times New Roman" w:hAnsi="Times New Roman" w:eastAsia="宋体" w:cs="Times New Roman"/>
          <w:color w:val="auto"/>
          <w:sz w:val="24"/>
          <w:szCs w:val="24"/>
          <w:highlight w:val="none"/>
        </w:rPr>
        <w:fldChar w:fldCharType="separate"/>
      </w:r>
      <w:r>
        <w:rPr>
          <w:rFonts w:ascii="Times New Roman" w:hAnsi="Times New Roman" w:eastAsia="宋体" w:cs="Times New Roman"/>
          <w:color w:val="auto"/>
          <w:sz w:val="24"/>
          <w:szCs w:val="24"/>
          <w:highlight w:val="none"/>
        </w:rPr>
        <w:drawing>
          <wp:inline distT="0" distB="0" distL="114300" distR="114300">
            <wp:extent cx="1190625" cy="466090"/>
            <wp:effectExtent l="0" t="0" r="9525" b="10795"/>
            <wp:docPr id="57" name="图片 24" descr="wpsE9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4" descr="wpsE9A6"/>
                    <pic:cNvPicPr>
                      <a:picLocks noChangeAspect="1"/>
                    </pic:cNvPicPr>
                  </pic:nvPicPr>
                  <pic:blipFill>
                    <a:blip r:embed="rId43"/>
                    <a:stretch>
                      <a:fillRect/>
                    </a:stretch>
                  </pic:blipFill>
                  <pic:spPr>
                    <a:xfrm>
                      <a:off x="0" y="0"/>
                      <a:ext cx="1190625" cy="466090"/>
                    </a:xfrm>
                    <a:prstGeom prst="rect">
                      <a:avLst/>
                    </a:prstGeom>
                    <a:noFill/>
                    <a:ln>
                      <a:noFill/>
                    </a:ln>
                  </pic:spPr>
                </pic:pic>
              </a:graphicData>
            </a:graphic>
          </wp:inline>
        </w:drawing>
      </w:r>
      <w:r>
        <w:rPr>
          <w:rFonts w:ascii="Times New Roman" w:hAnsi="Times New Roman" w:eastAsia="宋体" w:cs="Times New Roman"/>
          <w:color w:val="auto"/>
          <w:sz w:val="24"/>
          <w:szCs w:val="24"/>
          <w:highlight w:val="none"/>
        </w:rPr>
        <w:fldChar w:fldCharType="end"/>
      </w:r>
      <w:r>
        <w:rPr>
          <w:rFonts w:ascii="Times New Roman" w:hAnsi="Times New Roman" w:eastAsia="宋体" w:cs="Times New Roman"/>
          <w:color w:val="auto"/>
          <w:sz w:val="24"/>
          <w:szCs w:val="24"/>
          <w:highlight w:val="none"/>
        </w:rPr>
        <w:t xml:space="preserve">        </w:t>
      </w:r>
      <w:r>
        <w:rPr>
          <w:rFonts w:ascii="Times New Roman" w:hAnsi="Times New Roman" w:eastAsia="宋体" w:cs="Times New Roman"/>
          <w:color w:val="auto"/>
          <w:sz w:val="24"/>
          <w:szCs w:val="24"/>
          <w:highlight w:val="none"/>
        </w:rPr>
        <w:drawing>
          <wp:inline distT="0" distB="0" distL="114300" distR="114300">
            <wp:extent cx="733425" cy="295275"/>
            <wp:effectExtent l="0" t="0" r="9525" b="9525"/>
            <wp:docPr id="6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5"/>
                    <pic:cNvPicPr>
                      <a:picLocks noChangeAspect="1"/>
                    </pic:cNvPicPr>
                  </pic:nvPicPr>
                  <pic:blipFill>
                    <a:blip r:embed="rId44"/>
                    <a:stretch>
                      <a:fillRect/>
                    </a:stretch>
                  </pic:blipFill>
                  <pic:spPr>
                    <a:xfrm>
                      <a:off x="0" y="0"/>
                      <a:ext cx="733425" cy="295275"/>
                    </a:xfrm>
                    <a:prstGeom prst="rect">
                      <a:avLst/>
                    </a:prstGeom>
                    <a:noFill/>
                    <a:ln>
                      <a:noFill/>
                    </a:ln>
                  </pic:spPr>
                </pic:pic>
              </a:graphicData>
            </a:graphic>
          </wp:inline>
        </w:drawing>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式中：</w:t>
      </w:r>
      <w:r>
        <w:rPr>
          <w:rFonts w:hint="eastAsia" w:ascii="Times New Roman" w:hAnsi="Times New Roman" w:eastAsia="宋体" w:cs="Times New Roman"/>
          <w:i/>
          <w:color w:val="auto"/>
          <w:sz w:val="24"/>
          <w:szCs w:val="24"/>
          <w:highlight w:val="none"/>
        </w:rPr>
        <w:t>S</w:t>
      </w:r>
      <w:r>
        <w:rPr>
          <w:rFonts w:ascii="Times New Roman" w:hAnsi="Times New Roman" w:eastAsia="宋体" w:cs="Times New Roman"/>
          <w:i/>
          <w:color w:val="auto"/>
          <w:sz w:val="24"/>
          <w:szCs w:val="24"/>
          <w:highlight w:val="none"/>
          <w:vertAlign w:val="subscript"/>
        </w:rPr>
        <w:t>pH，j</w:t>
      </w:r>
      <w:r>
        <w:rPr>
          <w:rFonts w:ascii="Times New Roman" w:hAnsi="Times New Roman" w:eastAsia="宋体" w:cs="Times New Roman"/>
          <w:color w:val="auto"/>
          <w:sz w:val="24"/>
          <w:szCs w:val="24"/>
          <w:highlight w:val="none"/>
        </w:rPr>
        <w:t>——pH值的指数，大于</w:t>
      </w:r>
      <w:r>
        <w:rPr>
          <w:rFonts w:hint="eastAsia" w:ascii="Times New Roman" w:hAnsi="Times New Roman" w:eastAsia="宋体" w:cs="Times New Roman"/>
          <w:color w:val="auto"/>
          <w:sz w:val="24"/>
          <w:szCs w:val="24"/>
          <w:highlight w:val="none"/>
        </w:rPr>
        <w:t>1表明该水质因子超标</w:t>
      </w:r>
      <w:r>
        <w:rPr>
          <w:rFonts w:ascii="Times New Roman" w:hAnsi="Times New Roman" w:eastAsia="宋体" w:cs="Times New Roman"/>
          <w:color w:val="auto"/>
          <w:sz w:val="24"/>
          <w:szCs w:val="24"/>
          <w:highlight w:val="none"/>
        </w:rPr>
        <w:t>；</w:t>
      </w:r>
    </w:p>
    <w:p>
      <w:pPr>
        <w:spacing w:line="440" w:lineRule="exact"/>
        <w:ind w:firstLine="1200" w:firstLineChars="5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pH</w:t>
      </w:r>
      <w:r>
        <w:rPr>
          <w:rFonts w:ascii="Times New Roman" w:hAnsi="Times New Roman" w:eastAsia="宋体" w:cs="Times New Roman"/>
          <w:i/>
          <w:color w:val="auto"/>
          <w:sz w:val="24"/>
          <w:szCs w:val="24"/>
          <w:highlight w:val="none"/>
          <w:vertAlign w:val="subscript"/>
        </w:rPr>
        <w:t>j</w:t>
      </w:r>
      <w:r>
        <w:rPr>
          <w:rFonts w:ascii="Times New Roman" w:hAnsi="Times New Roman" w:eastAsia="宋体" w:cs="Times New Roman"/>
          <w:color w:val="auto"/>
          <w:sz w:val="24"/>
          <w:szCs w:val="24"/>
          <w:highlight w:val="none"/>
        </w:rPr>
        <w:t>——pH</w:t>
      </w:r>
      <w:r>
        <w:rPr>
          <w:rFonts w:hint="eastAsia" w:ascii="Times New Roman" w:hAnsi="Times New Roman" w:eastAsia="宋体" w:cs="Times New Roman"/>
          <w:color w:val="auto"/>
          <w:sz w:val="24"/>
          <w:szCs w:val="24"/>
          <w:highlight w:val="none"/>
        </w:rPr>
        <w:t>值</w:t>
      </w:r>
      <w:r>
        <w:rPr>
          <w:rFonts w:ascii="Times New Roman" w:hAnsi="Times New Roman" w:eastAsia="宋体" w:cs="Times New Roman"/>
          <w:color w:val="auto"/>
          <w:sz w:val="24"/>
          <w:szCs w:val="24"/>
          <w:highlight w:val="none"/>
        </w:rPr>
        <w:t>实测统计代表值；</w:t>
      </w:r>
    </w:p>
    <w:p>
      <w:pPr>
        <w:spacing w:line="440" w:lineRule="exact"/>
        <w:ind w:firstLine="1200" w:firstLineChars="5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pH</w:t>
      </w:r>
      <w:r>
        <w:rPr>
          <w:rFonts w:ascii="Times New Roman" w:hAnsi="Times New Roman" w:eastAsia="宋体" w:cs="Times New Roman"/>
          <w:i/>
          <w:color w:val="auto"/>
          <w:sz w:val="24"/>
          <w:szCs w:val="24"/>
          <w:highlight w:val="none"/>
          <w:vertAlign w:val="subscript"/>
        </w:rPr>
        <w:t>sd</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rPr>
        <w:t>评价</w:t>
      </w:r>
      <w:r>
        <w:rPr>
          <w:rFonts w:ascii="Times New Roman" w:hAnsi="Times New Roman" w:eastAsia="宋体" w:cs="Times New Roman"/>
          <w:color w:val="auto"/>
          <w:sz w:val="24"/>
          <w:szCs w:val="24"/>
          <w:highlight w:val="none"/>
        </w:rPr>
        <w:t>标准中pH值的下限值；</w:t>
      </w:r>
    </w:p>
    <w:p>
      <w:pPr>
        <w:spacing w:line="440" w:lineRule="exact"/>
        <w:ind w:firstLine="1200" w:firstLineChars="5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pH</w:t>
      </w:r>
      <w:r>
        <w:rPr>
          <w:rFonts w:ascii="Times New Roman" w:hAnsi="Times New Roman" w:eastAsia="宋体" w:cs="Times New Roman"/>
          <w:i/>
          <w:color w:val="auto"/>
          <w:sz w:val="24"/>
          <w:szCs w:val="24"/>
          <w:highlight w:val="none"/>
          <w:vertAlign w:val="subscript"/>
        </w:rPr>
        <w:t>su</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rPr>
        <w:t>评价</w:t>
      </w:r>
      <w:r>
        <w:rPr>
          <w:rFonts w:ascii="Times New Roman" w:hAnsi="Times New Roman" w:eastAsia="宋体" w:cs="Times New Roman"/>
          <w:color w:val="auto"/>
          <w:sz w:val="24"/>
          <w:szCs w:val="24"/>
          <w:highlight w:val="none"/>
        </w:rPr>
        <w:t>标准中pH值的上限值。</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4、</w:t>
      </w:r>
      <w:r>
        <w:rPr>
          <w:rFonts w:hint="eastAsia" w:ascii="Times New Roman" w:hAnsi="Times New Roman" w:eastAsia="宋体" w:cs="Times New Roman"/>
          <w:b/>
          <w:color w:val="auto"/>
          <w:sz w:val="24"/>
          <w:szCs w:val="24"/>
          <w:highlight w:val="none"/>
        </w:rPr>
        <w:t>评价</w:t>
      </w:r>
      <w:r>
        <w:rPr>
          <w:rFonts w:ascii="Times New Roman" w:hAnsi="Times New Roman" w:eastAsia="宋体" w:cs="Times New Roman"/>
          <w:b/>
          <w:color w:val="auto"/>
          <w:sz w:val="24"/>
          <w:szCs w:val="24"/>
          <w:highlight w:val="none"/>
        </w:rPr>
        <w:t>结果</w:t>
      </w:r>
    </w:p>
    <w:p>
      <w:pPr>
        <w:spacing w:line="440" w:lineRule="exact"/>
        <w:ind w:firstLine="480" w:firstLineChars="200"/>
        <w:rPr>
          <w:color w:val="auto"/>
          <w:highlight w:val="none"/>
        </w:rPr>
      </w:pPr>
      <w:r>
        <w:rPr>
          <w:rFonts w:hint="eastAsia" w:ascii="Times New Roman" w:hAnsi="Times New Roman" w:eastAsia="宋体" w:cs="Times New Roman"/>
          <w:color w:val="auto"/>
          <w:sz w:val="24"/>
          <w:szCs w:val="24"/>
          <w:highlight w:val="none"/>
        </w:rPr>
        <w:t>采用上述单项水质指数评价法，本项目地下水水质评价</w:t>
      </w:r>
      <w:r>
        <w:rPr>
          <w:rFonts w:ascii="Times New Roman" w:hAnsi="Times New Roman" w:eastAsia="宋体" w:cs="Times New Roman"/>
          <w:color w:val="auto"/>
          <w:sz w:val="24"/>
          <w:szCs w:val="24"/>
          <w:highlight w:val="none"/>
        </w:rPr>
        <w:t>结果</w:t>
      </w:r>
      <w:r>
        <w:rPr>
          <w:rFonts w:hint="eastAsia" w:ascii="Times New Roman" w:hAnsi="Times New Roman" w:eastAsia="宋体" w:cs="Times New Roman"/>
          <w:color w:val="auto"/>
          <w:sz w:val="24"/>
          <w:szCs w:val="24"/>
          <w:highlight w:val="none"/>
        </w:rPr>
        <w:t>见</w:t>
      </w:r>
      <w:r>
        <w:rPr>
          <w:rFonts w:hint="eastAsia" w:ascii="Times New Roman" w:hAnsi="Times New Roman" w:eastAsia="宋体" w:cs="Times New Roman"/>
          <w:color w:val="auto"/>
          <w:sz w:val="24"/>
          <w:szCs w:val="24"/>
          <w:highlight w:val="none"/>
          <w:lang w:val="en-US" w:eastAsia="zh-CN"/>
        </w:rPr>
        <w:t>下</w:t>
      </w:r>
      <w:r>
        <w:rPr>
          <w:rFonts w:ascii="Times New Roman" w:hAnsi="Times New Roman" w:eastAsia="宋体" w:cs="Times New Roman"/>
          <w:color w:val="auto"/>
          <w:sz w:val="24"/>
          <w:szCs w:val="24"/>
          <w:highlight w:val="none"/>
        </w:rPr>
        <w:t>表。</w:t>
      </w:r>
    </w:p>
    <w:p>
      <w:pPr>
        <w:pStyle w:val="2504"/>
        <w:numPr>
          <w:ilvl w:val="0"/>
          <w:numId w:val="0"/>
        </w:numPr>
        <w:spacing w:before="120"/>
        <w:ind w:leftChars="0"/>
        <w:jc w:val="center"/>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 xml:space="preserve">4.2-8   </w:t>
      </w:r>
      <w:r>
        <w:rPr>
          <w:rFonts w:hint="default" w:ascii="Times New Roman" w:hAnsi="Times New Roman" w:eastAsia="宋体" w:cs="Times New Roman"/>
          <w:color w:val="auto"/>
          <w:highlight w:val="none"/>
          <w:lang w:val="en-US" w:eastAsia="zh-CN"/>
        </w:rPr>
        <w:t xml:space="preserve"> 地下水</w:t>
      </w:r>
      <w:r>
        <w:rPr>
          <w:rFonts w:hint="eastAsia" w:ascii="Times New Roman" w:hAnsi="Times New Roman" w:eastAsia="宋体" w:cs="Times New Roman"/>
          <w:color w:val="auto"/>
          <w:highlight w:val="none"/>
          <w:lang w:val="en-US" w:eastAsia="zh-CN"/>
        </w:rPr>
        <w:t>评价结果</w:t>
      </w:r>
    </w:p>
    <w:tbl>
      <w:tblPr>
        <w:tblStyle w:val="92"/>
        <w:tblW w:w="0" w:type="auto"/>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161"/>
        <w:gridCol w:w="1360"/>
        <w:gridCol w:w="717"/>
        <w:gridCol w:w="387"/>
        <w:gridCol w:w="353"/>
        <w:gridCol w:w="762"/>
        <w:gridCol w:w="762"/>
        <w:gridCol w:w="947"/>
        <w:gridCol w:w="836"/>
        <w:gridCol w:w="546"/>
        <w:gridCol w:w="69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330" w:hRule="atLeast"/>
          <w:jc w:val="center"/>
        </w:trPr>
        <w:tc>
          <w:tcPr>
            <w:tcW w:w="0" w:type="auto"/>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监测日期</w:t>
            </w:r>
          </w:p>
        </w:tc>
        <w:tc>
          <w:tcPr>
            <w:tcW w:w="0" w:type="auto"/>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监测项目</w:t>
            </w:r>
          </w:p>
        </w:tc>
        <w:tc>
          <w:tcPr>
            <w:tcW w:w="0" w:type="auto"/>
            <w:gridSpan w:val="5"/>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监测点位及结果（mg/l）</w:t>
            </w:r>
          </w:p>
        </w:tc>
        <w:tc>
          <w:tcPr>
            <w:tcW w:w="0" w:type="auto"/>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评价标准</w:t>
            </w:r>
          </w:p>
        </w:tc>
        <w:tc>
          <w:tcPr>
            <w:tcW w:w="0" w:type="auto"/>
            <w:vMerge w:val="restart"/>
            <w:tcBorders>
              <w:tl2br w:val="nil"/>
              <w:tr2bl w:val="nil"/>
            </w:tcBorders>
            <w:noWrap w:val="0"/>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Sj值</w:t>
            </w:r>
          </w:p>
        </w:tc>
        <w:tc>
          <w:tcPr>
            <w:tcW w:w="0" w:type="auto"/>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超标率</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w:t>
            </w:r>
          </w:p>
        </w:tc>
        <w:tc>
          <w:tcPr>
            <w:tcW w:w="0" w:type="auto"/>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最大超标倍数</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1#点位</w:t>
            </w:r>
          </w:p>
        </w:tc>
        <w:tc>
          <w:tcPr>
            <w:tcW w:w="0" w:type="auto"/>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2#点位</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3#点位</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4#点位</w:t>
            </w:r>
          </w:p>
        </w:tc>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2020.06.21</w:t>
            </w:r>
          </w:p>
        </w:tc>
        <w:tc>
          <w:tcPr>
            <w:tcW w:w="0" w:type="auto"/>
            <w:tcBorders>
              <w:tl2br w:val="nil"/>
              <w:tr2bl w:val="nil"/>
            </w:tcBorders>
            <w:noWrap w:val="0"/>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pH(无量纲)</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7.3</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7.2</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7.1</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7.3</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6.5~8.5</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0" w:type="auto"/>
            <w:tcBorders>
              <w:tl2br w:val="nil"/>
              <w:tr2bl w:val="nil"/>
            </w:tcBorders>
            <w:noWrap w:val="0"/>
            <w:vAlign w:val="center"/>
          </w:tcPr>
          <w:p>
            <w:pPr>
              <w:pStyle w:val="172"/>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总硬度(mg/L)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338</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360</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318</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442</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≤450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0.9822</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溶解性总固体(mg/L)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383</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395</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325</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534</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1000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0.395</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重碳酸根(mg/L)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350</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444</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341</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484</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碳酸根(mg/L)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氟化物(mg/L)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0.53</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0.182</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0.116</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0.125</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1.0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0.53</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氯化物(mg/L)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28.2</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8.91</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10.9</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58.5</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2</w:t>
            </w:r>
            <w:r>
              <w:rPr>
                <w:rFonts w:hint="default" w:ascii="Times New Roman" w:hAnsi="Times New Roman" w:eastAsia="宋体" w:cs="Times New Roman"/>
                <w:color w:val="auto"/>
                <w:kern w:val="2"/>
                <w:sz w:val="21"/>
                <w:szCs w:val="21"/>
                <w:highlight w:val="none"/>
                <w:lang w:eastAsia="zh-CN"/>
              </w:rPr>
              <w:t>50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0.234</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亚硝酸盐氮(mg/L)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1.00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硝酸盐氮(mg/L)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5.99</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1.54</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1.51</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2.39</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20.0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0.2995</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硫酸盐(mg/L)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22.2</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21.5</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19.1</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31.1</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2</w:t>
            </w:r>
            <w:r>
              <w:rPr>
                <w:rFonts w:hint="default" w:ascii="Times New Roman" w:hAnsi="Times New Roman" w:eastAsia="宋体" w:cs="Times New Roman"/>
                <w:color w:val="auto"/>
                <w:kern w:val="2"/>
                <w:sz w:val="21"/>
                <w:szCs w:val="21"/>
                <w:highlight w:val="none"/>
                <w:lang w:eastAsia="zh-CN"/>
              </w:rPr>
              <w:t>50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0.1244</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铁(mg/L)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0.3</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锰(mg/L)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0.10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挥发酚(mg/L)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0.002</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阴离子表面活性剂(mg/L)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0.3</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耗氧量(mg/L)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1.87</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0.69</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0.86</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0.75</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3.0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0.6233</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氨氮(mg/L)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0.249</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0.061</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0.079</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0.395</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0.50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0.79</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钾(mg/L)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3.52</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1.02</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0.81</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2.14</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钠(mg/L)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18.2</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12.2</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9.51</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23.7</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200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0.1185</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钙(mg/L)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115</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97</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140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镁(mg/L)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29</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16</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36</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总大肠菌群(MPN/L)</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c>
          <w:tcPr>
            <w:tcW w:w="0" w:type="auto"/>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3</w:t>
            </w:r>
            <w:r>
              <w:rPr>
                <w:rFonts w:hint="eastAsia" w:ascii="Times New Roman" w:hAnsi="Times New Roman" w:eastAsia="宋体" w:cs="Times New Roman"/>
                <w:color w:val="auto"/>
                <w:kern w:val="2"/>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菌落总数(CFU/</w:t>
            </w:r>
            <w:r>
              <w:rPr>
                <w:rFonts w:hint="eastAsia" w:ascii="Times New Roman" w:hAnsi="Times New Roman" w:eastAsia="宋体" w:cs="Times New Roman"/>
                <w:i w:val="0"/>
                <w:iCs w:val="0"/>
                <w:color w:val="auto"/>
                <w:kern w:val="0"/>
                <w:sz w:val="21"/>
                <w:szCs w:val="21"/>
                <w:highlight w:val="none"/>
                <w:u w:val="none"/>
                <w:lang w:val="en-US" w:eastAsia="zh-CN" w:bidi="ar"/>
              </w:rPr>
              <w:t>m</w:t>
            </w:r>
            <w:r>
              <w:rPr>
                <w:rFonts w:hint="default" w:ascii="Times New Roman" w:hAnsi="Times New Roman" w:eastAsia="宋体" w:cs="Times New Roman"/>
                <w:i w:val="0"/>
                <w:iCs w:val="0"/>
                <w:color w:val="auto"/>
                <w:kern w:val="0"/>
                <w:sz w:val="21"/>
                <w:szCs w:val="21"/>
                <w:highlight w:val="none"/>
                <w:u w:val="none"/>
                <w:lang w:val="en-US" w:eastAsia="zh-CN" w:bidi="ar"/>
              </w:rPr>
              <w:t>L)</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80</w:t>
            </w:r>
          </w:p>
        </w:tc>
        <w:tc>
          <w:tcPr>
            <w:tcW w:w="0" w:type="auto"/>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66</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74</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100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氰化物(mg/L)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0.05</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汞(mg/L)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0.001</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砷(mg/L)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0.01</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镉(mg/L)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0.005</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六价铬(mg/L)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0.05</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铅(mg/L)</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rPr>
              <w:t>0.01</w:t>
            </w:r>
          </w:p>
        </w:tc>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0" w:type="auto"/>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0" w:type="auto"/>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备注</w:t>
            </w:r>
          </w:p>
        </w:tc>
        <w:tc>
          <w:tcPr>
            <w:tcW w:w="0" w:type="auto"/>
            <w:gridSpan w:val="3"/>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0" w:type="auto"/>
            <w:gridSpan w:val="7"/>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当测定结果低于分析方法检出限时，报所使用方法的检出限值，并在其后加标志位L。</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地下水质量标准GB/T 14848-2017</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表1</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Ⅲ类标准</w:t>
            </w:r>
          </w:p>
        </w:tc>
      </w:tr>
    </w:tbl>
    <w:p>
      <w:pPr>
        <w:spacing w:line="440" w:lineRule="exact"/>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rPr>
        <w:t>监测结果表明：本项目地下水监测点中各项指标的标准指数均小于1，未出现超标现象，均能满足《地下水质量标准》（GB/T 14848-2017）中的Ⅲ类标准要求</w:t>
      </w:r>
      <w:r>
        <w:rPr>
          <w:rFonts w:hint="eastAsia" w:ascii="Times New Roman" w:hAnsi="Times New Roman" w:eastAsia="宋体" w:cs="Times New Roman"/>
          <w:color w:val="auto"/>
          <w:sz w:val="24"/>
          <w:szCs w:val="24"/>
          <w:highlight w:val="none"/>
          <w:lang w:eastAsia="zh-CN"/>
        </w:rPr>
        <w:t>。</w:t>
      </w:r>
    </w:p>
    <w:p>
      <w:pPr>
        <w:pStyle w:val="8"/>
        <w:spacing w:before="0" w:after="0" w:line="360" w:lineRule="auto"/>
        <w:ind w:left="0" w:firstLine="0"/>
        <w:rPr>
          <w:rFonts w:ascii="Times New Roman" w:hAnsi="Times New Roman" w:cs="Times New Roman"/>
          <w:color w:val="auto"/>
          <w:highlight w:val="none"/>
          <w:lang w:val="en-US" w:eastAsia="zh-CN"/>
        </w:rPr>
      </w:pPr>
      <w:bookmarkStart w:id="209" w:name="_Toc404692126"/>
      <w:bookmarkStart w:id="210" w:name="_Toc16291"/>
      <w:r>
        <w:rPr>
          <w:rFonts w:ascii="Times New Roman" w:hAnsi="Times New Roman" w:cs="Times New Roman"/>
          <w:color w:val="auto"/>
          <w:highlight w:val="none"/>
          <w:lang w:val="en-US" w:eastAsia="zh-CN"/>
        </w:rPr>
        <w:t>声环境质量现状监测与评价</w:t>
      </w:r>
      <w:bookmarkEnd w:id="209"/>
      <w:bookmarkEnd w:id="210"/>
    </w:p>
    <w:p>
      <w:pPr>
        <w:pStyle w:val="9"/>
        <w:numPr>
          <w:ilvl w:val="3"/>
          <w:numId w:val="31"/>
        </w:numPr>
        <w:spacing w:line="374" w:lineRule="auto"/>
        <w:rPr>
          <w:rFonts w:hint="eastAsia" w:ascii="Times New Roman" w:hAnsi="Times New Roman" w:cs="Times New Roman"/>
          <w:color w:val="auto"/>
          <w:highlight w:val="none"/>
          <w:lang w:val="en-US" w:eastAsia="zh-CN"/>
        </w:rPr>
      </w:pPr>
      <w:bookmarkStart w:id="211" w:name="_Toc347412490"/>
      <w:bookmarkEnd w:id="211"/>
      <w:bookmarkStart w:id="212" w:name="_Toc232995151"/>
      <w:r>
        <w:rPr>
          <w:rFonts w:hint="eastAsia" w:ascii="Times New Roman" w:hAnsi="Times New Roman" w:cs="Times New Roman"/>
          <w:color w:val="auto"/>
          <w:highlight w:val="none"/>
          <w:lang w:val="en-US" w:eastAsia="zh-CN"/>
        </w:rPr>
        <w:t>声环境质量现状监测</w:t>
      </w:r>
      <w:bookmarkEnd w:id="212"/>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为了解本项目所在</w:t>
      </w:r>
      <w:r>
        <w:rPr>
          <w:rFonts w:hint="eastAsia" w:ascii="Times New Roman" w:hAnsi="Times New Roman" w:eastAsia="宋体" w:cs="Times New Roman"/>
          <w:color w:val="auto"/>
          <w:sz w:val="24"/>
          <w:szCs w:val="24"/>
          <w:highlight w:val="none"/>
        </w:rPr>
        <w:t>区域声环境质量现状</w:t>
      </w:r>
      <w:r>
        <w:rPr>
          <w:rFonts w:ascii="Times New Roman" w:hAnsi="Times New Roman" w:eastAsia="宋体" w:cs="Times New Roman"/>
          <w:color w:val="auto"/>
          <w:sz w:val="24"/>
          <w:szCs w:val="24"/>
          <w:highlight w:val="none"/>
        </w:rPr>
        <w:t>，本次评价委托</w:t>
      </w:r>
      <w:r>
        <w:rPr>
          <w:rFonts w:hint="eastAsia" w:ascii="Times New Roman" w:hAnsi="Times New Roman" w:eastAsia="宋体" w:cs="Times New Roman"/>
          <w:color w:val="auto"/>
          <w:sz w:val="24"/>
          <w:szCs w:val="24"/>
          <w:highlight w:val="none"/>
          <w:lang w:eastAsia="zh-CN"/>
        </w:rPr>
        <w:t>成都翌达环境保护检测有限公司</w:t>
      </w:r>
      <w:r>
        <w:rPr>
          <w:rFonts w:ascii="Times New Roman" w:hAnsi="Times New Roman" w:eastAsia="宋体" w:cs="Times New Roman"/>
          <w:color w:val="auto"/>
          <w:sz w:val="24"/>
          <w:szCs w:val="24"/>
          <w:highlight w:val="none"/>
        </w:rPr>
        <w:t>于20</w:t>
      </w:r>
      <w:r>
        <w:rPr>
          <w:rFonts w:hint="eastAsia" w:ascii="Times New Roman" w:hAnsi="Times New Roman" w:eastAsia="宋体" w:cs="Times New Roman"/>
          <w:color w:val="auto"/>
          <w:sz w:val="24"/>
          <w:szCs w:val="24"/>
          <w:highlight w:val="none"/>
          <w:lang w:val="en-US" w:eastAsia="zh-CN"/>
        </w:rPr>
        <w:t>22</w:t>
      </w:r>
      <w:r>
        <w:rPr>
          <w:rFonts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6</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20</w:t>
      </w:r>
      <w:r>
        <w:rPr>
          <w:rFonts w:ascii="Times New Roman" w:hAnsi="Times New Roman" w:eastAsia="宋体" w:cs="Times New Roman"/>
          <w:color w:val="auto"/>
          <w:sz w:val="24"/>
          <w:szCs w:val="24"/>
          <w:highlight w:val="none"/>
        </w:rPr>
        <w:t>日</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6</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21</w:t>
      </w:r>
      <w:r>
        <w:rPr>
          <w:rFonts w:ascii="Times New Roman" w:hAnsi="Times New Roman" w:eastAsia="宋体" w:cs="Times New Roman"/>
          <w:color w:val="auto"/>
          <w:sz w:val="24"/>
          <w:szCs w:val="24"/>
          <w:highlight w:val="none"/>
        </w:rPr>
        <w:t>日对项目</w:t>
      </w:r>
      <w:r>
        <w:rPr>
          <w:rFonts w:hint="eastAsia" w:ascii="Times New Roman" w:hAnsi="Times New Roman" w:eastAsia="宋体" w:cs="Times New Roman"/>
          <w:color w:val="auto"/>
          <w:sz w:val="24"/>
          <w:szCs w:val="24"/>
          <w:highlight w:val="none"/>
        </w:rPr>
        <w:t>周</w:t>
      </w:r>
      <w:r>
        <w:rPr>
          <w:rFonts w:ascii="Times New Roman" w:hAnsi="Times New Roman" w:eastAsia="宋体" w:cs="Times New Roman"/>
          <w:color w:val="auto"/>
          <w:sz w:val="24"/>
          <w:szCs w:val="24"/>
          <w:highlight w:val="none"/>
        </w:rPr>
        <w:t>边</w:t>
      </w:r>
      <w:r>
        <w:rPr>
          <w:rFonts w:hint="eastAsia" w:ascii="Times New Roman" w:hAnsi="Times New Roman" w:eastAsia="宋体" w:cs="Times New Roman"/>
          <w:color w:val="auto"/>
          <w:sz w:val="24"/>
          <w:szCs w:val="24"/>
          <w:highlight w:val="none"/>
        </w:rPr>
        <w:t>声</w:t>
      </w:r>
      <w:r>
        <w:rPr>
          <w:rFonts w:ascii="Times New Roman" w:hAnsi="Times New Roman" w:eastAsia="宋体" w:cs="Times New Roman"/>
          <w:color w:val="auto"/>
          <w:sz w:val="24"/>
          <w:szCs w:val="24"/>
          <w:highlight w:val="none"/>
        </w:rPr>
        <w:t>环境质量现状进行监测。</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1、监测点位</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本次评价共布设</w:t>
      </w:r>
      <w:r>
        <w:rPr>
          <w:rFonts w:hint="eastAsia" w:ascii="Times New Roman" w:hAnsi="Times New Roman"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rPr>
        <w:t>个噪声监测点进行现状监测，监测点位布设情况见</w:t>
      </w:r>
      <w:r>
        <w:rPr>
          <w:rFonts w:hint="eastAsia" w:ascii="Times New Roman" w:hAnsi="Times New Roman" w:eastAsia="宋体" w:cs="Times New Roman"/>
          <w:color w:val="auto"/>
          <w:sz w:val="24"/>
          <w:szCs w:val="24"/>
          <w:highlight w:val="none"/>
          <w:lang w:val="en-US" w:eastAsia="zh-CN"/>
        </w:rPr>
        <w:t>下</w:t>
      </w:r>
      <w:r>
        <w:rPr>
          <w:rFonts w:hint="eastAsia" w:ascii="Times New Roman" w:hAnsi="Times New Roman" w:eastAsia="宋体" w:cs="Times New Roman"/>
          <w:color w:val="auto"/>
          <w:sz w:val="24"/>
          <w:szCs w:val="24"/>
          <w:highlight w:val="none"/>
        </w:rPr>
        <w:t>表。</w:t>
      </w:r>
    </w:p>
    <w:p>
      <w:pPr>
        <w:pStyle w:val="2504"/>
        <w:numPr>
          <w:ilvl w:val="0"/>
          <w:numId w:val="0"/>
        </w:numPr>
        <w:tabs>
          <w:tab w:val="left" w:pos="3183"/>
          <w:tab w:val="center" w:pos="4632"/>
        </w:tabs>
        <w:spacing w:before="120"/>
        <w:ind w:left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4.2-9     噪声监测点位布设情况</w:t>
      </w:r>
    </w:p>
    <w:tbl>
      <w:tblPr>
        <w:tblStyle w:val="91"/>
        <w:tblW w:w="4999"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741"/>
        <w:gridCol w:w="4154"/>
        <w:gridCol w:w="2409"/>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048"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监测点编号</w:t>
            </w:r>
          </w:p>
        </w:tc>
        <w:tc>
          <w:tcPr>
            <w:tcW w:w="2500"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监测点位</w:t>
            </w:r>
          </w:p>
        </w:tc>
        <w:tc>
          <w:tcPr>
            <w:tcW w:w="1450"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备注</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4" w:hRule="atLeast"/>
          <w:jc w:val="center"/>
        </w:trPr>
        <w:tc>
          <w:tcPr>
            <w:tcW w:w="1048"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4154" w:type="dxa"/>
            <w:noWrap w:val="0"/>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sz w:val="21"/>
                <w:szCs w:val="18"/>
                <w:highlight w:val="none"/>
                <w:lang w:eastAsia="zh-CN"/>
              </w:rPr>
              <w:t>项目厂界东北面外1米</w:t>
            </w:r>
          </w:p>
        </w:tc>
        <w:tc>
          <w:tcPr>
            <w:tcW w:w="1450"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048"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4154" w:type="dxa"/>
            <w:noWrap w:val="0"/>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sz w:val="21"/>
                <w:szCs w:val="18"/>
                <w:highlight w:val="none"/>
                <w:lang w:eastAsia="zh-CN"/>
              </w:rPr>
              <w:t>本项目厂界南面外1米</w:t>
            </w:r>
          </w:p>
        </w:tc>
        <w:tc>
          <w:tcPr>
            <w:tcW w:w="1450"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048"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4154" w:type="dxa"/>
            <w:noWrap w:val="0"/>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sz w:val="21"/>
                <w:szCs w:val="18"/>
                <w:highlight w:val="none"/>
                <w:lang w:eastAsia="zh-CN"/>
              </w:rPr>
              <w:t>本项目厂界西面外1米</w:t>
            </w:r>
          </w:p>
        </w:tc>
        <w:tc>
          <w:tcPr>
            <w:tcW w:w="1450"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048"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4154" w:type="dxa"/>
            <w:noWrap w:val="0"/>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sz w:val="21"/>
                <w:szCs w:val="18"/>
                <w:highlight w:val="none"/>
                <w:lang w:eastAsia="zh-CN"/>
              </w:rPr>
              <w:t>本项目厂界</w:t>
            </w:r>
            <w:r>
              <w:rPr>
                <w:rFonts w:hint="eastAsia" w:ascii="Times New Roman" w:hAnsi="Times New Roman" w:cs="Times New Roman"/>
                <w:b w:val="0"/>
                <w:bCs w:val="0"/>
                <w:color w:val="auto"/>
                <w:sz w:val="21"/>
                <w:szCs w:val="18"/>
                <w:highlight w:val="none"/>
                <w:lang w:val="en-US" w:eastAsia="zh-CN"/>
              </w:rPr>
              <w:t>北</w:t>
            </w:r>
            <w:r>
              <w:rPr>
                <w:rFonts w:hint="eastAsia" w:ascii="Times New Roman" w:hAnsi="Times New Roman" w:cs="Times New Roman"/>
                <w:b w:val="0"/>
                <w:bCs w:val="0"/>
                <w:color w:val="auto"/>
                <w:sz w:val="21"/>
                <w:szCs w:val="18"/>
                <w:highlight w:val="none"/>
                <w:lang w:eastAsia="zh-CN"/>
              </w:rPr>
              <w:t>面外1米</w:t>
            </w:r>
          </w:p>
        </w:tc>
        <w:tc>
          <w:tcPr>
            <w:tcW w:w="1450"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048"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w:t>
            </w:r>
            <w:r>
              <w:rPr>
                <w:rFonts w:hint="default" w:ascii="Times New Roman" w:hAnsi="Times New Roman" w:eastAsia="宋体" w:cs="Times New Roman"/>
                <w:color w:val="auto"/>
                <w:kern w:val="2"/>
                <w:sz w:val="21"/>
                <w:szCs w:val="21"/>
                <w:highlight w:val="none"/>
                <w:lang w:val="en-US" w:eastAsia="zh-CN" w:bidi="ar-SA"/>
              </w:rPr>
              <w:t>#</w:t>
            </w:r>
          </w:p>
        </w:tc>
        <w:tc>
          <w:tcPr>
            <w:tcW w:w="4154" w:type="dxa"/>
            <w:noWrap w:val="0"/>
            <w:vAlign w:val="center"/>
          </w:tcPr>
          <w:p>
            <w:pPr>
              <w:pStyle w:val="6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eastAsia="宋体" w:cs="Times New Roman"/>
                <w:b w:val="0"/>
                <w:bCs w:val="0"/>
                <w:color w:val="auto"/>
                <w:sz w:val="21"/>
                <w:szCs w:val="21"/>
                <w:highlight w:val="none"/>
              </w:rPr>
            </w:pPr>
            <w:r>
              <w:rPr>
                <w:rFonts w:hint="eastAsia" w:ascii="Times New Roman" w:hAnsi="Times New Roman" w:cs="Times New Roman"/>
                <w:b w:val="0"/>
                <w:bCs w:val="0"/>
                <w:color w:val="auto"/>
                <w:sz w:val="21"/>
                <w:szCs w:val="18"/>
                <w:highlight w:val="none"/>
                <w:lang w:eastAsia="zh-CN"/>
              </w:rPr>
              <w:t>本项目东侧居民点处</w:t>
            </w:r>
          </w:p>
        </w:tc>
        <w:tc>
          <w:tcPr>
            <w:tcW w:w="1450" w:type="pct"/>
            <w:noWrap w:val="0"/>
            <w:vAlign w:val="top"/>
          </w:tcPr>
          <w:p>
            <w:pPr>
              <w:keepNext w:val="0"/>
              <w:keepLines w:val="0"/>
              <w:widowControl w:val="0"/>
              <w:suppressLineNumbers w:val="0"/>
              <w:spacing w:before="0" w:beforeAutospacing="0" w:after="0" w:afterAutospacing="0" w:line="26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噪声本底值</w:t>
            </w:r>
          </w:p>
        </w:tc>
      </w:tr>
    </w:tbl>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2、监测项目</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测量</w:t>
      </w:r>
      <w:r>
        <w:rPr>
          <w:rFonts w:hint="eastAsia" w:ascii="Times New Roman" w:hAnsi="Times New Roman" w:eastAsia="宋体" w:cs="Times New Roman"/>
          <w:color w:val="auto"/>
          <w:sz w:val="24"/>
          <w:szCs w:val="24"/>
          <w:highlight w:val="none"/>
        </w:rPr>
        <w:t>各监测点</w:t>
      </w:r>
      <w:r>
        <w:rPr>
          <w:rFonts w:ascii="Times New Roman" w:hAnsi="Times New Roman" w:eastAsia="宋体" w:cs="Times New Roman"/>
          <w:color w:val="auto"/>
          <w:sz w:val="24"/>
          <w:szCs w:val="24"/>
          <w:highlight w:val="none"/>
        </w:rPr>
        <w:t>昼间及夜间的等效连续A声级</w:t>
      </w:r>
      <w:r>
        <w:rPr>
          <w:rFonts w:hint="eastAsia" w:ascii="Times New Roman" w:hAnsi="Times New Roman" w:eastAsia="宋体" w:cs="Times New Roman"/>
          <w:color w:val="auto"/>
          <w:sz w:val="24"/>
          <w:szCs w:val="24"/>
          <w:highlight w:val="none"/>
        </w:rPr>
        <w:t>LAeq</w:t>
      </w:r>
      <w:r>
        <w:rPr>
          <w:rFonts w:ascii="Times New Roman" w:hAnsi="Times New Roman" w:eastAsia="宋体" w:cs="Times New Roman"/>
          <w:color w:val="auto"/>
          <w:sz w:val="24"/>
          <w:szCs w:val="24"/>
          <w:highlight w:val="none"/>
        </w:rPr>
        <w:t>。</w:t>
      </w:r>
    </w:p>
    <w:p>
      <w:pPr>
        <w:spacing w:line="440" w:lineRule="exact"/>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3、监测周期及频率</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20</w:t>
      </w:r>
      <w:r>
        <w:rPr>
          <w:rFonts w:hint="eastAsia" w:ascii="Times New Roman" w:hAnsi="Times New Roman" w:eastAsia="宋体" w:cs="Times New Roman"/>
          <w:color w:val="auto"/>
          <w:sz w:val="24"/>
          <w:szCs w:val="24"/>
          <w:highlight w:val="none"/>
          <w:lang w:val="en-US" w:eastAsia="zh-CN"/>
        </w:rPr>
        <w:t>22</w:t>
      </w:r>
      <w:r>
        <w:rPr>
          <w:rFonts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6</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20</w:t>
      </w:r>
      <w:r>
        <w:rPr>
          <w:rFonts w:ascii="Times New Roman" w:hAnsi="Times New Roman" w:eastAsia="宋体" w:cs="Times New Roman"/>
          <w:color w:val="auto"/>
          <w:sz w:val="24"/>
          <w:szCs w:val="24"/>
          <w:highlight w:val="none"/>
        </w:rPr>
        <w:t>日</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6</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21</w:t>
      </w:r>
      <w:r>
        <w:rPr>
          <w:rFonts w:ascii="Times New Roman" w:hAnsi="Times New Roman" w:eastAsia="宋体" w:cs="Times New Roman"/>
          <w:color w:val="auto"/>
          <w:sz w:val="24"/>
          <w:szCs w:val="24"/>
          <w:highlight w:val="none"/>
        </w:rPr>
        <w:t>日</w:t>
      </w:r>
      <w:r>
        <w:rPr>
          <w:rFonts w:hint="eastAsia" w:ascii="Times New Roman" w:hAnsi="Times New Roman" w:eastAsia="宋体" w:cs="Times New Roman"/>
          <w:color w:val="auto"/>
          <w:sz w:val="24"/>
          <w:szCs w:val="24"/>
          <w:highlight w:val="none"/>
        </w:rPr>
        <w:t>，连续检测2天，每天昼间、夜间各检测1次。</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4、监测分析方法</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按《声环境质量标准》（GB3096-2008）</w:t>
      </w:r>
      <w:r>
        <w:rPr>
          <w:rFonts w:hint="eastAsia" w:ascii="Times New Roman" w:hAnsi="Times New Roman" w:eastAsia="宋体" w:cs="Times New Roman"/>
          <w:color w:val="auto"/>
          <w:sz w:val="24"/>
          <w:szCs w:val="24"/>
          <w:highlight w:val="none"/>
        </w:rPr>
        <w:t>中规定的监测分析方法执行</w:t>
      </w:r>
      <w:r>
        <w:rPr>
          <w:rFonts w:ascii="Times New Roman" w:hAnsi="Times New Roman" w:eastAsia="宋体" w:cs="Times New Roman"/>
          <w:color w:val="auto"/>
          <w:sz w:val="24"/>
          <w:szCs w:val="24"/>
          <w:highlight w:val="none"/>
        </w:rPr>
        <w:t>。</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5、监测</w:t>
      </w:r>
      <w:r>
        <w:rPr>
          <w:rFonts w:hint="eastAsia" w:ascii="Times New Roman" w:hAnsi="Times New Roman" w:eastAsia="宋体" w:cs="Times New Roman"/>
          <w:b/>
          <w:color w:val="auto"/>
          <w:sz w:val="24"/>
          <w:szCs w:val="24"/>
          <w:highlight w:val="none"/>
        </w:rPr>
        <w:t>结果</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声环境质量现状监测结果见</w:t>
      </w:r>
      <w:r>
        <w:rPr>
          <w:rFonts w:hint="eastAsia" w:ascii="Times New Roman" w:hAnsi="Times New Roman" w:eastAsia="宋体" w:cs="Times New Roman"/>
          <w:color w:val="auto"/>
          <w:sz w:val="24"/>
          <w:szCs w:val="24"/>
          <w:highlight w:val="none"/>
          <w:lang w:val="en-US" w:eastAsia="zh-CN"/>
        </w:rPr>
        <w:t>下</w:t>
      </w:r>
      <w:r>
        <w:rPr>
          <w:rFonts w:hint="eastAsia" w:ascii="Times New Roman" w:hAnsi="Times New Roman" w:eastAsia="宋体" w:cs="Times New Roman"/>
          <w:color w:val="auto"/>
          <w:sz w:val="24"/>
          <w:szCs w:val="24"/>
          <w:highlight w:val="none"/>
        </w:rPr>
        <w:t>表。</w:t>
      </w:r>
    </w:p>
    <w:p>
      <w:pPr>
        <w:pStyle w:val="2504"/>
        <w:numPr>
          <w:ilvl w:val="0"/>
          <w:numId w:val="0"/>
        </w:numPr>
        <w:tabs>
          <w:tab w:val="left" w:pos="3183"/>
          <w:tab w:val="center" w:pos="4632"/>
        </w:tabs>
        <w:spacing w:before="120"/>
        <w:ind w:left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4.2-10     噪声监测点位布设情况</w:t>
      </w:r>
    </w:p>
    <w:tbl>
      <w:tblPr>
        <w:tblStyle w:val="92"/>
        <w:tblW w:w="0" w:type="auto"/>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278"/>
        <w:gridCol w:w="1562"/>
        <w:gridCol w:w="1667"/>
        <w:gridCol w:w="1173"/>
        <w:gridCol w:w="1734"/>
        <w:gridCol w:w="1108"/>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检测日期</w:t>
            </w:r>
          </w:p>
        </w:tc>
        <w:tc>
          <w:tcPr>
            <w:tcW w:w="1562"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点位名称</w:t>
            </w:r>
          </w:p>
        </w:tc>
        <w:tc>
          <w:tcPr>
            <w:tcW w:w="284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昼间</w:t>
            </w:r>
          </w:p>
        </w:tc>
        <w:tc>
          <w:tcPr>
            <w:tcW w:w="2842"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夜间</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vertAlign w:val="baseline"/>
                <w:lang w:val="en-US" w:eastAsia="zh-CN"/>
              </w:rPr>
            </w:pPr>
          </w:p>
        </w:tc>
        <w:tc>
          <w:tcPr>
            <w:tcW w:w="1562"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vertAlign w:val="baseline"/>
                <w:lang w:val="en-US" w:eastAsia="zh-CN"/>
              </w:rPr>
            </w:pPr>
          </w:p>
        </w:tc>
        <w:tc>
          <w:tcPr>
            <w:tcW w:w="16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检测时间</w:t>
            </w:r>
          </w:p>
        </w:tc>
        <w:tc>
          <w:tcPr>
            <w:tcW w:w="11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测量结果</w:t>
            </w:r>
          </w:p>
        </w:tc>
        <w:tc>
          <w:tcPr>
            <w:tcW w:w="173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检测时间</w:t>
            </w:r>
          </w:p>
        </w:tc>
        <w:tc>
          <w:tcPr>
            <w:tcW w:w="110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测量结果</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6月20日</w:t>
            </w:r>
          </w:p>
        </w:tc>
        <w:tc>
          <w:tcPr>
            <w:tcW w:w="156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本项目厂界东北面外1米</w:t>
            </w:r>
          </w:p>
        </w:tc>
        <w:tc>
          <w:tcPr>
            <w:tcW w:w="16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17:31-17:41</w:t>
            </w:r>
          </w:p>
        </w:tc>
        <w:tc>
          <w:tcPr>
            <w:tcW w:w="11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173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22:40-22:50</w:t>
            </w:r>
          </w:p>
        </w:tc>
        <w:tc>
          <w:tcPr>
            <w:tcW w:w="110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vertAlign w:val="baseline"/>
                <w:lang w:val="en-US" w:eastAsia="zh-CN"/>
              </w:rPr>
            </w:pPr>
          </w:p>
        </w:tc>
        <w:tc>
          <w:tcPr>
            <w:tcW w:w="156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本项目厂界南面外1米</w:t>
            </w:r>
          </w:p>
        </w:tc>
        <w:tc>
          <w:tcPr>
            <w:tcW w:w="16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15:05-15:15</w:t>
            </w:r>
          </w:p>
        </w:tc>
        <w:tc>
          <w:tcPr>
            <w:tcW w:w="11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173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22:00-22:10</w:t>
            </w:r>
          </w:p>
        </w:tc>
        <w:tc>
          <w:tcPr>
            <w:tcW w:w="110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vertAlign w:val="baseline"/>
                <w:lang w:val="en-US" w:eastAsia="zh-CN"/>
              </w:rPr>
            </w:pPr>
          </w:p>
        </w:tc>
        <w:tc>
          <w:tcPr>
            <w:tcW w:w="156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本项目厂界西面外1米</w:t>
            </w:r>
          </w:p>
        </w:tc>
        <w:tc>
          <w:tcPr>
            <w:tcW w:w="16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15:25-15:35</w:t>
            </w:r>
          </w:p>
        </w:tc>
        <w:tc>
          <w:tcPr>
            <w:tcW w:w="11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48</w:t>
            </w:r>
          </w:p>
        </w:tc>
        <w:tc>
          <w:tcPr>
            <w:tcW w:w="173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23:22-23:32</w:t>
            </w:r>
          </w:p>
        </w:tc>
        <w:tc>
          <w:tcPr>
            <w:tcW w:w="110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vertAlign w:val="baseline"/>
                <w:lang w:val="en-US" w:eastAsia="zh-CN"/>
              </w:rPr>
            </w:pPr>
          </w:p>
        </w:tc>
        <w:tc>
          <w:tcPr>
            <w:tcW w:w="156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本项目厂界北面外1米</w:t>
            </w:r>
          </w:p>
        </w:tc>
        <w:tc>
          <w:tcPr>
            <w:tcW w:w="16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16:15-16:25</w:t>
            </w:r>
          </w:p>
        </w:tc>
        <w:tc>
          <w:tcPr>
            <w:tcW w:w="11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173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23:00-23:10</w:t>
            </w:r>
          </w:p>
        </w:tc>
        <w:tc>
          <w:tcPr>
            <w:tcW w:w="110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vertAlign w:val="baseline"/>
                <w:lang w:val="en-US" w:eastAsia="zh-CN"/>
              </w:rPr>
            </w:pPr>
          </w:p>
        </w:tc>
        <w:tc>
          <w:tcPr>
            <w:tcW w:w="156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本项目东侧居民点处</w:t>
            </w:r>
          </w:p>
        </w:tc>
        <w:tc>
          <w:tcPr>
            <w:tcW w:w="16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16:37-16:47</w:t>
            </w:r>
          </w:p>
        </w:tc>
        <w:tc>
          <w:tcPr>
            <w:tcW w:w="11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173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22:20-22:30</w:t>
            </w:r>
          </w:p>
        </w:tc>
        <w:tc>
          <w:tcPr>
            <w:tcW w:w="110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6月21日</w:t>
            </w:r>
          </w:p>
        </w:tc>
        <w:tc>
          <w:tcPr>
            <w:tcW w:w="156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本项目厂界东北面外1米</w:t>
            </w:r>
          </w:p>
        </w:tc>
        <w:tc>
          <w:tcPr>
            <w:tcW w:w="16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10:27-10:37</w:t>
            </w:r>
          </w:p>
        </w:tc>
        <w:tc>
          <w:tcPr>
            <w:tcW w:w="11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48</w:t>
            </w:r>
          </w:p>
        </w:tc>
        <w:tc>
          <w:tcPr>
            <w:tcW w:w="173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22:35-22:45</w:t>
            </w:r>
          </w:p>
        </w:tc>
        <w:tc>
          <w:tcPr>
            <w:tcW w:w="110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vertAlign w:val="baseline"/>
                <w:lang w:val="en-US" w:eastAsia="zh-CN"/>
              </w:rPr>
            </w:pPr>
          </w:p>
        </w:tc>
        <w:tc>
          <w:tcPr>
            <w:tcW w:w="156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本项目厂界南面外1米</w:t>
            </w:r>
          </w:p>
        </w:tc>
        <w:tc>
          <w:tcPr>
            <w:tcW w:w="16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10:02-10:12</w:t>
            </w:r>
          </w:p>
        </w:tc>
        <w:tc>
          <w:tcPr>
            <w:tcW w:w="11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173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22:00-22:10</w:t>
            </w:r>
          </w:p>
        </w:tc>
        <w:tc>
          <w:tcPr>
            <w:tcW w:w="110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44</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vertAlign w:val="baseline"/>
                <w:lang w:val="en-US" w:eastAsia="zh-CN"/>
              </w:rPr>
            </w:pPr>
          </w:p>
        </w:tc>
        <w:tc>
          <w:tcPr>
            <w:tcW w:w="156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本项目厂界西面外1米</w:t>
            </w:r>
          </w:p>
        </w:tc>
        <w:tc>
          <w:tcPr>
            <w:tcW w:w="16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09:40-09:50</w:t>
            </w:r>
          </w:p>
        </w:tc>
        <w:tc>
          <w:tcPr>
            <w:tcW w:w="11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48</w:t>
            </w:r>
          </w:p>
        </w:tc>
        <w:tc>
          <w:tcPr>
            <w:tcW w:w="173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23:20-23:30</w:t>
            </w:r>
          </w:p>
        </w:tc>
        <w:tc>
          <w:tcPr>
            <w:tcW w:w="110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vertAlign w:val="baseline"/>
                <w:lang w:val="en-US" w:eastAsia="zh-CN"/>
              </w:rPr>
            </w:pPr>
          </w:p>
        </w:tc>
        <w:tc>
          <w:tcPr>
            <w:tcW w:w="156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本项目厂界北面外1米</w:t>
            </w:r>
          </w:p>
        </w:tc>
        <w:tc>
          <w:tcPr>
            <w:tcW w:w="16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09:21-09:31</w:t>
            </w:r>
          </w:p>
        </w:tc>
        <w:tc>
          <w:tcPr>
            <w:tcW w:w="11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48</w:t>
            </w:r>
          </w:p>
        </w:tc>
        <w:tc>
          <w:tcPr>
            <w:tcW w:w="173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22:51-23:01</w:t>
            </w:r>
          </w:p>
        </w:tc>
        <w:tc>
          <w:tcPr>
            <w:tcW w:w="110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44</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278"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vertAlign w:val="baseline"/>
                <w:lang w:val="en-US" w:eastAsia="zh-CN"/>
              </w:rPr>
            </w:pPr>
          </w:p>
        </w:tc>
        <w:tc>
          <w:tcPr>
            <w:tcW w:w="156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本项目东侧居民点处</w:t>
            </w:r>
          </w:p>
        </w:tc>
        <w:tc>
          <w:tcPr>
            <w:tcW w:w="16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10:42-10:52</w:t>
            </w:r>
          </w:p>
        </w:tc>
        <w:tc>
          <w:tcPr>
            <w:tcW w:w="11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173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22:20-22:30</w:t>
            </w:r>
          </w:p>
        </w:tc>
        <w:tc>
          <w:tcPr>
            <w:tcW w:w="110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r>
    </w:tbl>
    <w:p>
      <w:pPr>
        <w:pStyle w:val="9"/>
        <w:numPr>
          <w:ilvl w:val="3"/>
          <w:numId w:val="31"/>
        </w:numPr>
        <w:spacing w:line="374" w:lineRule="auto"/>
        <w:rPr>
          <w:rFonts w:hint="eastAsia" w:ascii="Times New Roman" w:hAnsi="Times New Roman" w:cs="Times New Roman"/>
          <w:color w:val="auto"/>
          <w:highlight w:val="none"/>
          <w:lang w:val="en-US" w:eastAsia="zh-CN"/>
        </w:rPr>
      </w:pPr>
      <w:bookmarkStart w:id="213" w:name="_Toc232995152"/>
      <w:r>
        <w:rPr>
          <w:rFonts w:hint="eastAsia" w:ascii="Times New Roman" w:hAnsi="Times New Roman" w:cs="Times New Roman"/>
          <w:color w:val="auto"/>
          <w:highlight w:val="none"/>
          <w:lang w:val="en-US" w:eastAsia="zh-CN"/>
        </w:rPr>
        <w:t>声环境质量现状评价</w:t>
      </w:r>
      <w:bookmarkEnd w:id="213"/>
    </w:p>
    <w:p>
      <w:pPr>
        <w:spacing w:line="440" w:lineRule="exact"/>
        <w:ind w:firstLine="482" w:firstLineChars="200"/>
        <w:rPr>
          <w:rFonts w:ascii="Times New Roman" w:hAnsi="Times New Roman" w:eastAsia="宋体" w:cs="Times New Roman"/>
          <w:b/>
          <w:color w:val="auto"/>
          <w:sz w:val="24"/>
          <w:szCs w:val="24"/>
          <w:highlight w:val="none"/>
        </w:rPr>
      </w:pPr>
      <w:bookmarkStart w:id="214" w:name="_Toc209336143"/>
      <w:bookmarkEnd w:id="214"/>
      <w:bookmarkStart w:id="215" w:name="_Toc347412491"/>
      <w:bookmarkEnd w:id="215"/>
      <w:bookmarkStart w:id="216" w:name="_Toc211050370"/>
      <w:bookmarkEnd w:id="216"/>
      <w:r>
        <w:rPr>
          <w:rFonts w:ascii="Times New Roman" w:hAnsi="Times New Roman" w:eastAsia="宋体" w:cs="Times New Roman"/>
          <w:b/>
          <w:color w:val="auto"/>
          <w:sz w:val="24"/>
          <w:szCs w:val="24"/>
          <w:highlight w:val="none"/>
        </w:rPr>
        <w:t>1、评价标准</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本次评价</w:t>
      </w:r>
      <w:r>
        <w:rPr>
          <w:rFonts w:ascii="Times New Roman" w:hAnsi="Times New Roman" w:eastAsia="宋体" w:cs="Times New Roman"/>
          <w:color w:val="auto"/>
          <w:sz w:val="24"/>
          <w:szCs w:val="24"/>
          <w:highlight w:val="none"/>
        </w:rPr>
        <w:t>执行《声环境质量标准》（GB3096-2008）2类标准，标准限值为昼间LAeq≤60dB，夜间LAeq≤50dB。</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2、评价结果</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声环境质量现状评价结果统计见</w:t>
      </w:r>
      <w:r>
        <w:rPr>
          <w:rFonts w:hint="eastAsia" w:ascii="Times New Roman" w:hAnsi="Times New Roman" w:eastAsia="宋体" w:cs="Times New Roman"/>
          <w:color w:val="auto"/>
          <w:sz w:val="24"/>
          <w:szCs w:val="24"/>
          <w:highlight w:val="none"/>
          <w:lang w:val="en-US" w:eastAsia="zh-CN"/>
        </w:rPr>
        <w:t>下</w:t>
      </w:r>
      <w:r>
        <w:rPr>
          <w:rFonts w:ascii="Times New Roman" w:hAnsi="Times New Roman" w:eastAsia="宋体" w:cs="Times New Roman"/>
          <w:color w:val="auto"/>
          <w:sz w:val="24"/>
          <w:szCs w:val="24"/>
          <w:highlight w:val="none"/>
        </w:rPr>
        <w:t>表。</w:t>
      </w:r>
    </w:p>
    <w:p>
      <w:pPr>
        <w:pStyle w:val="2504"/>
        <w:numPr>
          <w:ilvl w:val="0"/>
          <w:numId w:val="0"/>
        </w:numPr>
        <w:spacing w:before="120"/>
        <w:ind w:left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4.2-11    声环境质量现状评价结果</w:t>
      </w:r>
    </w:p>
    <w:tbl>
      <w:tblPr>
        <w:tblStyle w:val="91"/>
        <w:tblW w:w="4998"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366"/>
        <w:gridCol w:w="1040"/>
        <w:gridCol w:w="1104"/>
        <w:gridCol w:w="1000"/>
        <w:gridCol w:w="912"/>
        <w:gridCol w:w="928"/>
        <w:gridCol w:w="1953"/>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jc w:val="center"/>
        </w:trPr>
        <w:tc>
          <w:tcPr>
            <w:tcW w:w="823" w:type="pct"/>
            <w:vMerge w:val="restar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监测时间</w:t>
            </w:r>
          </w:p>
        </w:tc>
        <w:tc>
          <w:tcPr>
            <w:tcW w:w="626" w:type="pct"/>
            <w:vMerge w:val="restar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监测点位</w:t>
            </w:r>
          </w:p>
        </w:tc>
        <w:tc>
          <w:tcPr>
            <w:tcW w:w="2375" w:type="pct"/>
            <w:gridSpan w:val="4"/>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评价结果【dB（A）】</w:t>
            </w:r>
          </w:p>
        </w:tc>
        <w:tc>
          <w:tcPr>
            <w:tcW w:w="1174" w:type="pct"/>
            <w:vMerge w:val="restar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评价标准</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jc w:val="center"/>
        </w:trPr>
        <w:tc>
          <w:tcPr>
            <w:tcW w:w="823"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26"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65"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昼间</w:t>
            </w:r>
          </w:p>
        </w:tc>
        <w:tc>
          <w:tcPr>
            <w:tcW w:w="60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结果</w:t>
            </w:r>
          </w:p>
        </w:tc>
        <w:tc>
          <w:tcPr>
            <w:tcW w:w="54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夜间</w:t>
            </w:r>
          </w:p>
        </w:tc>
        <w:tc>
          <w:tcPr>
            <w:tcW w:w="558"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结果</w:t>
            </w:r>
          </w:p>
        </w:tc>
        <w:tc>
          <w:tcPr>
            <w:tcW w:w="1174"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jc w:val="center"/>
        </w:trPr>
        <w:tc>
          <w:tcPr>
            <w:tcW w:w="823"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4"/>
                <w:highlight w:val="none"/>
                <w:shd w:val="clear" w:color="auto" w:fill="auto"/>
                <w:lang w:val="en-US" w:eastAsia="zh-CN"/>
              </w:rPr>
              <w:t>20</w:t>
            </w:r>
            <w:r>
              <w:rPr>
                <w:rFonts w:hint="eastAsia" w:ascii="Times New Roman" w:hAnsi="Times New Roman" w:eastAsia="宋体" w:cs="Times New Roman"/>
                <w:color w:val="auto"/>
                <w:szCs w:val="24"/>
                <w:highlight w:val="none"/>
                <w:shd w:val="clear" w:color="auto" w:fill="auto"/>
                <w:lang w:val="en-US" w:eastAsia="zh-CN"/>
              </w:rPr>
              <w:t>20.06.20</w:t>
            </w:r>
          </w:p>
        </w:tc>
        <w:tc>
          <w:tcPr>
            <w:tcW w:w="62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11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60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9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43</w:t>
            </w:r>
          </w:p>
        </w:tc>
        <w:tc>
          <w:tcPr>
            <w:tcW w:w="558"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1174" w:type="pct"/>
            <w:vMerge w:val="restar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《声环境质量标准》（GB3096-2008）2类</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jc w:val="center"/>
        </w:trPr>
        <w:tc>
          <w:tcPr>
            <w:tcW w:w="823"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2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11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60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9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c>
          <w:tcPr>
            <w:tcW w:w="558"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1174" w:type="pct"/>
            <w:vMerge w:val="continue"/>
            <w:noWrap w:val="0"/>
            <w:vAlign w:val="center"/>
          </w:tcPr>
          <w:p>
            <w:pPr>
              <w:keepNext w:val="0"/>
              <w:keepLines w:val="0"/>
              <w:widowControl w:val="0"/>
              <w:suppressLineNumbers w:val="0"/>
              <w:kinsoku w:val="0"/>
              <w:overflowPunct w:val="0"/>
              <w:autoSpaceDE w:val="0"/>
              <w:autoSpaceDN w:val="0"/>
              <w:adjustRightInd w:val="0"/>
              <w:spacing w:before="14" w:beforeAutospacing="0" w:after="0" w:afterAutospacing="0" w:line="240" w:lineRule="auto"/>
              <w:ind w:left="317" w:right="0" w:firstLine="480" w:firstLineChars="0"/>
              <w:jc w:val="center"/>
              <w:rPr>
                <w:rFonts w:hint="default" w:ascii="Times New Roman" w:hAnsi="Times New Roman" w:eastAsia="宋体" w:cs="Times New Roman"/>
                <w:color w:val="auto"/>
                <w:kern w:val="0"/>
                <w:sz w:val="24"/>
                <w:szCs w:val="24"/>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jc w:val="center"/>
        </w:trPr>
        <w:tc>
          <w:tcPr>
            <w:tcW w:w="823"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2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11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48</w:t>
            </w:r>
          </w:p>
        </w:tc>
        <w:tc>
          <w:tcPr>
            <w:tcW w:w="60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9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c>
          <w:tcPr>
            <w:tcW w:w="558"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1174" w:type="pct"/>
            <w:vMerge w:val="continue"/>
            <w:noWrap w:val="0"/>
            <w:vAlign w:val="center"/>
          </w:tcPr>
          <w:p>
            <w:pPr>
              <w:keepNext w:val="0"/>
              <w:keepLines w:val="0"/>
              <w:widowControl w:val="0"/>
              <w:suppressLineNumbers w:val="0"/>
              <w:kinsoku w:val="0"/>
              <w:overflowPunct w:val="0"/>
              <w:autoSpaceDE w:val="0"/>
              <w:autoSpaceDN w:val="0"/>
              <w:adjustRightInd w:val="0"/>
              <w:spacing w:before="9" w:beforeAutospacing="0" w:after="0" w:afterAutospacing="0" w:line="240" w:lineRule="auto"/>
              <w:ind w:left="0" w:right="0" w:firstLine="42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标准</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jc w:val="center"/>
        </w:trPr>
        <w:tc>
          <w:tcPr>
            <w:tcW w:w="823"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2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11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60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cs="Times New Roman" w:eastAsiaTheme="minorEastAsia"/>
                <w:color w:val="auto"/>
                <w:kern w:val="2"/>
                <w:sz w:val="21"/>
                <w:szCs w:val="21"/>
                <w:highlight w:val="none"/>
                <w:lang w:val="en-US" w:eastAsia="zh-CN" w:bidi="ar-SA"/>
              </w:rPr>
            </w:pPr>
            <w:r>
              <w:rPr>
                <w:rFonts w:hint="eastAsia"/>
                <w:color w:val="auto"/>
                <w:highlight w:val="none"/>
                <w:lang w:val="en-US" w:eastAsia="zh-CN"/>
              </w:rPr>
              <w:t>达标</w:t>
            </w:r>
          </w:p>
        </w:tc>
        <w:tc>
          <w:tcPr>
            <w:tcW w:w="9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c>
          <w:tcPr>
            <w:tcW w:w="558"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1174" w:type="pct"/>
            <w:vMerge w:val="continue"/>
            <w:noWrap w:val="0"/>
            <w:vAlign w:val="center"/>
          </w:tcPr>
          <w:p>
            <w:pPr>
              <w:keepNext w:val="0"/>
              <w:keepLines w:val="0"/>
              <w:widowControl w:val="0"/>
              <w:suppressLineNumbers w:val="0"/>
              <w:kinsoku w:val="0"/>
              <w:overflowPunct w:val="0"/>
              <w:autoSpaceDE w:val="0"/>
              <w:autoSpaceDN w:val="0"/>
              <w:adjustRightInd w:val="0"/>
              <w:spacing w:before="9" w:beforeAutospacing="0" w:after="0" w:afterAutospacing="0" w:line="240" w:lineRule="auto"/>
              <w:ind w:left="0" w:right="0" w:firstLine="42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823"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2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w:t>
            </w:r>
            <w:r>
              <w:rPr>
                <w:rFonts w:hint="default" w:ascii="Times New Roman" w:hAnsi="Times New Roman" w:eastAsia="宋体" w:cs="Times New Roman"/>
                <w:color w:val="auto"/>
                <w:kern w:val="2"/>
                <w:sz w:val="21"/>
                <w:szCs w:val="21"/>
                <w:highlight w:val="none"/>
                <w:lang w:val="en-US" w:eastAsia="zh-CN" w:bidi="ar-SA"/>
              </w:rPr>
              <w:t>#</w:t>
            </w:r>
          </w:p>
        </w:tc>
        <w:tc>
          <w:tcPr>
            <w:tcW w:w="11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60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9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43</w:t>
            </w:r>
          </w:p>
        </w:tc>
        <w:tc>
          <w:tcPr>
            <w:tcW w:w="558"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1174" w:type="pct"/>
            <w:vMerge w:val="continue"/>
            <w:noWrap w:val="0"/>
            <w:vAlign w:val="center"/>
          </w:tcPr>
          <w:p>
            <w:pPr>
              <w:keepNext w:val="0"/>
              <w:keepLines w:val="0"/>
              <w:widowControl w:val="0"/>
              <w:suppressLineNumbers w:val="0"/>
              <w:kinsoku w:val="0"/>
              <w:overflowPunct w:val="0"/>
              <w:autoSpaceDE w:val="0"/>
              <w:autoSpaceDN w:val="0"/>
              <w:adjustRightInd w:val="0"/>
              <w:spacing w:before="9" w:beforeAutospacing="0" w:after="0" w:afterAutospacing="0" w:line="240" w:lineRule="auto"/>
              <w:ind w:left="0" w:right="0" w:firstLine="42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823" w:type="pct"/>
            <w:vMerge w:val="restart"/>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4"/>
                <w:highlight w:val="none"/>
                <w:shd w:val="clear" w:color="auto" w:fill="auto"/>
                <w:lang w:val="en-US" w:eastAsia="zh-CN"/>
              </w:rPr>
              <w:t>20</w:t>
            </w:r>
            <w:r>
              <w:rPr>
                <w:rFonts w:hint="eastAsia" w:ascii="Times New Roman" w:hAnsi="Times New Roman" w:eastAsia="宋体" w:cs="Times New Roman"/>
                <w:color w:val="auto"/>
                <w:szCs w:val="24"/>
                <w:highlight w:val="none"/>
                <w:shd w:val="clear" w:color="auto" w:fill="auto"/>
                <w:lang w:val="en-US" w:eastAsia="zh-CN"/>
              </w:rPr>
              <w:t>22.06.21</w:t>
            </w:r>
          </w:p>
        </w:tc>
        <w:tc>
          <w:tcPr>
            <w:tcW w:w="626"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11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48</w:t>
            </w:r>
          </w:p>
        </w:tc>
        <w:tc>
          <w:tcPr>
            <w:tcW w:w="60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9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c>
          <w:tcPr>
            <w:tcW w:w="558"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1174" w:type="pct"/>
            <w:vMerge w:val="continue"/>
            <w:noWrap w:val="0"/>
            <w:vAlign w:val="center"/>
          </w:tcPr>
          <w:p>
            <w:pPr>
              <w:keepNext w:val="0"/>
              <w:keepLines w:val="0"/>
              <w:widowControl w:val="0"/>
              <w:suppressLineNumbers w:val="0"/>
              <w:kinsoku w:val="0"/>
              <w:overflowPunct w:val="0"/>
              <w:autoSpaceDE w:val="0"/>
              <w:autoSpaceDN w:val="0"/>
              <w:adjustRightInd w:val="0"/>
              <w:spacing w:before="28" w:beforeAutospacing="0" w:after="0" w:afterAutospacing="0" w:line="240" w:lineRule="auto"/>
              <w:ind w:left="317" w:right="0" w:firstLine="480" w:firstLineChars="0"/>
              <w:jc w:val="center"/>
              <w:rPr>
                <w:rFonts w:hint="default" w:ascii="Times New Roman" w:hAnsi="Times New Roman" w:eastAsia="宋体" w:cs="Times New Roman"/>
                <w:color w:val="auto"/>
                <w:kern w:val="0"/>
                <w:sz w:val="24"/>
                <w:szCs w:val="24"/>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823"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2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11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60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9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44</w:t>
            </w:r>
          </w:p>
        </w:tc>
        <w:tc>
          <w:tcPr>
            <w:tcW w:w="558"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1174" w:type="pct"/>
            <w:vMerge w:val="continue"/>
            <w:noWrap w:val="0"/>
            <w:vAlign w:val="center"/>
          </w:tcPr>
          <w:p>
            <w:pPr>
              <w:keepNext w:val="0"/>
              <w:keepLines w:val="0"/>
              <w:widowControl w:val="0"/>
              <w:suppressLineNumbers w:val="0"/>
              <w:kinsoku w:val="0"/>
              <w:overflowPunct w:val="0"/>
              <w:autoSpaceDE w:val="0"/>
              <w:autoSpaceDN w:val="0"/>
              <w:adjustRightInd w:val="0"/>
              <w:spacing w:before="27" w:beforeAutospacing="0" w:after="0" w:afterAutospacing="0" w:line="240" w:lineRule="auto"/>
              <w:ind w:left="317" w:right="0" w:firstLine="480" w:firstLineChars="0"/>
              <w:jc w:val="center"/>
              <w:rPr>
                <w:rFonts w:hint="default" w:ascii="Times New Roman" w:hAnsi="Times New Roman" w:eastAsia="宋体" w:cs="Times New Roman"/>
                <w:color w:val="auto"/>
                <w:kern w:val="0"/>
                <w:sz w:val="24"/>
                <w:szCs w:val="24"/>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823"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2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11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48</w:t>
            </w:r>
          </w:p>
        </w:tc>
        <w:tc>
          <w:tcPr>
            <w:tcW w:w="60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9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43</w:t>
            </w:r>
          </w:p>
        </w:tc>
        <w:tc>
          <w:tcPr>
            <w:tcW w:w="558"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1174" w:type="pct"/>
            <w:vMerge w:val="continue"/>
            <w:noWrap w:val="0"/>
            <w:vAlign w:val="center"/>
          </w:tcPr>
          <w:p>
            <w:pPr>
              <w:keepNext w:val="0"/>
              <w:keepLines w:val="0"/>
              <w:widowControl w:val="0"/>
              <w:suppressLineNumbers w:val="0"/>
              <w:kinsoku w:val="0"/>
              <w:overflowPunct w:val="0"/>
              <w:autoSpaceDE w:val="0"/>
              <w:autoSpaceDN w:val="0"/>
              <w:adjustRightInd w:val="0"/>
              <w:spacing w:before="28" w:beforeAutospacing="0" w:after="0" w:afterAutospacing="0" w:line="240" w:lineRule="auto"/>
              <w:ind w:left="317" w:right="0" w:firstLine="480" w:firstLineChars="0"/>
              <w:jc w:val="center"/>
              <w:rPr>
                <w:rFonts w:hint="default" w:ascii="Times New Roman" w:hAnsi="Times New Roman" w:eastAsia="宋体" w:cs="Times New Roman"/>
                <w:color w:val="auto"/>
                <w:kern w:val="0"/>
                <w:sz w:val="24"/>
                <w:szCs w:val="24"/>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823"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2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11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48</w:t>
            </w:r>
          </w:p>
        </w:tc>
        <w:tc>
          <w:tcPr>
            <w:tcW w:w="60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达标</w:t>
            </w:r>
          </w:p>
        </w:tc>
        <w:tc>
          <w:tcPr>
            <w:tcW w:w="9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44</w:t>
            </w:r>
          </w:p>
        </w:tc>
        <w:tc>
          <w:tcPr>
            <w:tcW w:w="558"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1174" w:type="pct"/>
            <w:vMerge w:val="continue"/>
            <w:noWrap w:val="0"/>
            <w:vAlign w:val="center"/>
          </w:tcPr>
          <w:p>
            <w:pPr>
              <w:keepNext w:val="0"/>
              <w:keepLines w:val="0"/>
              <w:widowControl w:val="0"/>
              <w:suppressLineNumbers w:val="0"/>
              <w:kinsoku w:val="0"/>
              <w:overflowPunct w:val="0"/>
              <w:autoSpaceDE w:val="0"/>
              <w:autoSpaceDN w:val="0"/>
              <w:adjustRightInd w:val="0"/>
              <w:spacing w:before="28" w:beforeAutospacing="0" w:after="0" w:afterAutospacing="0" w:line="240" w:lineRule="auto"/>
              <w:ind w:left="317" w:right="0" w:firstLine="480" w:firstLineChars="0"/>
              <w:jc w:val="center"/>
              <w:rPr>
                <w:rFonts w:hint="default" w:ascii="Times New Roman" w:hAnsi="Times New Roman" w:eastAsia="宋体" w:cs="Times New Roman"/>
                <w:color w:val="auto"/>
                <w:kern w:val="0"/>
                <w:sz w:val="24"/>
                <w:szCs w:val="24"/>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823"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2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w:t>
            </w:r>
            <w:r>
              <w:rPr>
                <w:rFonts w:hint="default" w:ascii="Times New Roman" w:hAnsi="Times New Roman" w:eastAsia="宋体" w:cs="Times New Roman"/>
                <w:color w:val="auto"/>
                <w:kern w:val="2"/>
                <w:sz w:val="21"/>
                <w:szCs w:val="21"/>
                <w:highlight w:val="none"/>
                <w:lang w:val="en-US" w:eastAsia="zh-CN" w:bidi="ar-SA"/>
              </w:rPr>
              <w:t>#</w:t>
            </w:r>
          </w:p>
        </w:tc>
        <w:tc>
          <w:tcPr>
            <w:tcW w:w="11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60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9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c>
          <w:tcPr>
            <w:tcW w:w="558"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c>
          <w:tcPr>
            <w:tcW w:w="1174" w:type="pct"/>
            <w:vMerge w:val="continue"/>
            <w:noWrap w:val="0"/>
            <w:vAlign w:val="center"/>
          </w:tcPr>
          <w:p>
            <w:pPr>
              <w:keepNext w:val="0"/>
              <w:keepLines w:val="0"/>
              <w:widowControl w:val="0"/>
              <w:suppressLineNumbers w:val="0"/>
              <w:kinsoku w:val="0"/>
              <w:overflowPunct w:val="0"/>
              <w:autoSpaceDE w:val="0"/>
              <w:autoSpaceDN w:val="0"/>
              <w:adjustRightInd w:val="0"/>
              <w:spacing w:before="28" w:beforeAutospacing="0" w:after="0" w:afterAutospacing="0" w:line="240" w:lineRule="auto"/>
              <w:ind w:left="317" w:right="0" w:firstLine="480" w:firstLineChars="0"/>
              <w:jc w:val="center"/>
              <w:rPr>
                <w:rFonts w:hint="default" w:ascii="Times New Roman" w:hAnsi="Times New Roman" w:eastAsia="宋体" w:cs="Times New Roman"/>
                <w:color w:val="auto"/>
                <w:kern w:val="0"/>
                <w:sz w:val="24"/>
                <w:szCs w:val="24"/>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jc w:val="center"/>
        </w:trPr>
        <w:tc>
          <w:tcPr>
            <w:tcW w:w="5000" w:type="pct"/>
            <w:gridSpan w:val="7"/>
            <w:noWrap w:val="0"/>
            <w:vAlign w:val="center"/>
          </w:tcPr>
          <w:p>
            <w:pPr>
              <w:keepNext w:val="0"/>
              <w:keepLines w:val="0"/>
              <w:widowControl w:val="0"/>
              <w:suppressLineNumbers w:val="0"/>
              <w:kinsoku w:val="0"/>
              <w:overflowPunct w:val="0"/>
              <w:autoSpaceDE w:val="0"/>
              <w:autoSpaceDN w:val="0"/>
              <w:adjustRightInd w:val="0"/>
              <w:spacing w:before="28" w:beforeAutospacing="0" w:after="0" w:afterAutospacing="0" w:line="240" w:lineRule="auto"/>
              <w:ind w:left="0" w:right="0"/>
              <w:jc w:val="both"/>
              <w:rPr>
                <w:rFonts w:hint="default" w:ascii="Times New Roman" w:hAnsi="Times New Roman" w:eastAsia="宋体" w:cs="Times New Roman"/>
                <w:color w:val="auto"/>
                <w:kern w:val="0"/>
                <w:sz w:val="24"/>
                <w:szCs w:val="24"/>
                <w:highlight w:val="none"/>
                <w:lang w:val="en-US" w:eastAsia="zh-CN" w:bidi="ar-SA"/>
              </w:rPr>
            </w:pPr>
            <w:r>
              <w:rPr>
                <w:rFonts w:hint="default"/>
                <w:color w:val="auto"/>
                <w:szCs w:val="21"/>
                <w:highlight w:val="none"/>
              </w:rPr>
              <w:t>GB3096-2008中2类标准限值：昼间</w:t>
            </w:r>
            <w:r>
              <w:rPr>
                <w:rFonts w:hint="eastAsia" w:ascii="宋体" w:hAnsi="宋体" w:cs="宋体"/>
                <w:color w:val="auto"/>
                <w:szCs w:val="21"/>
                <w:highlight w:val="none"/>
              </w:rPr>
              <w:t>≦</w:t>
            </w:r>
            <w:r>
              <w:rPr>
                <w:rFonts w:hint="default"/>
                <w:color w:val="auto"/>
                <w:szCs w:val="21"/>
                <w:highlight w:val="none"/>
              </w:rPr>
              <w:t>60dB（A），夜间</w:t>
            </w:r>
            <w:r>
              <w:rPr>
                <w:rFonts w:hint="eastAsia" w:ascii="宋体" w:hAnsi="宋体" w:cs="宋体"/>
                <w:color w:val="auto"/>
                <w:szCs w:val="21"/>
                <w:highlight w:val="none"/>
              </w:rPr>
              <w:t>≦</w:t>
            </w:r>
            <w:r>
              <w:rPr>
                <w:rFonts w:hint="default"/>
                <w:color w:val="auto"/>
                <w:szCs w:val="21"/>
                <w:highlight w:val="none"/>
              </w:rPr>
              <w:t>50dB（A）</w:t>
            </w:r>
          </w:p>
        </w:tc>
      </w:tr>
    </w:tbl>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监测结果表明：</w:t>
      </w:r>
      <w:r>
        <w:rPr>
          <w:rFonts w:ascii="Times New Roman" w:hAnsi="Times New Roman" w:eastAsia="宋体" w:cs="Times New Roman"/>
          <w:color w:val="auto"/>
          <w:sz w:val="24"/>
          <w:szCs w:val="24"/>
          <w:highlight w:val="none"/>
        </w:rPr>
        <w:t>监测点</w:t>
      </w:r>
      <w:r>
        <w:rPr>
          <w:rFonts w:hint="eastAsia" w:ascii="Times New Roman" w:hAnsi="Times New Roman" w:eastAsia="宋体" w:cs="Times New Roman"/>
          <w:color w:val="auto"/>
          <w:sz w:val="24"/>
          <w:szCs w:val="24"/>
          <w:highlight w:val="none"/>
        </w:rPr>
        <w:t>昼、夜间噪声测定值均能满足《声环境质量标准》（GB3096-2008）中2类标准要求。</w:t>
      </w:r>
    </w:p>
    <w:p>
      <w:pPr>
        <w:pStyle w:val="8"/>
        <w:spacing w:before="0" w:after="0" w:line="360" w:lineRule="auto"/>
        <w:ind w:left="0" w:firstLine="0"/>
        <w:rPr>
          <w:rFonts w:ascii="Times New Roman" w:hAnsi="Times New Roman" w:cs="Times New Roman"/>
          <w:color w:val="auto"/>
          <w:highlight w:val="none"/>
          <w:lang w:val="en-US" w:eastAsia="zh-CN"/>
        </w:rPr>
      </w:pPr>
      <w:bookmarkStart w:id="217" w:name="_Toc24882"/>
      <w:r>
        <w:rPr>
          <w:rFonts w:hint="eastAsia" w:ascii="Times New Roman" w:hAnsi="Times New Roman" w:cs="Times New Roman"/>
          <w:color w:val="auto"/>
          <w:highlight w:val="none"/>
          <w:lang w:val="en-US" w:eastAsia="zh-CN"/>
        </w:rPr>
        <w:t>土壤</w:t>
      </w:r>
      <w:r>
        <w:rPr>
          <w:rFonts w:ascii="Times New Roman" w:hAnsi="Times New Roman" w:cs="Times New Roman"/>
          <w:color w:val="auto"/>
          <w:highlight w:val="none"/>
          <w:lang w:val="en-US" w:eastAsia="zh-CN"/>
        </w:rPr>
        <w:t>环境质量现状监测与评价</w:t>
      </w:r>
      <w:bookmarkEnd w:id="217"/>
    </w:p>
    <w:p>
      <w:pPr>
        <w:spacing w:line="440" w:lineRule="exact"/>
        <w:ind w:firstLine="480" w:firstLineChars="200"/>
        <w:rPr>
          <w:rFonts w:ascii="Times New Roman" w:hAnsi="Times New Roman" w:eastAsia="宋体" w:cs="Times New Roman"/>
          <w:color w:val="auto"/>
          <w:sz w:val="24"/>
          <w:szCs w:val="24"/>
          <w:highlight w:val="none"/>
          <w:lang w:bidi="ar"/>
        </w:rPr>
      </w:pPr>
      <w:r>
        <w:rPr>
          <w:rFonts w:ascii="Times New Roman" w:hAnsi="Times New Roman" w:eastAsia="宋体" w:cs="Times New Roman"/>
          <w:color w:val="auto"/>
          <w:sz w:val="24"/>
          <w:szCs w:val="24"/>
          <w:highlight w:val="none"/>
          <w:lang w:bidi="ar"/>
        </w:rPr>
        <w:t>本项目用地</w:t>
      </w:r>
      <w:r>
        <w:rPr>
          <w:rFonts w:hint="eastAsia" w:ascii="Times New Roman" w:hAnsi="Times New Roman" w:eastAsia="宋体" w:cs="Times New Roman"/>
          <w:color w:val="auto"/>
          <w:sz w:val="24"/>
          <w:szCs w:val="24"/>
          <w:highlight w:val="none"/>
          <w:lang w:bidi="ar"/>
        </w:rPr>
        <w:t>用地性质属农业用地，本次评价委托</w:t>
      </w:r>
      <w:r>
        <w:rPr>
          <w:rFonts w:hint="eastAsia" w:ascii="Times New Roman" w:hAnsi="Times New Roman" w:eastAsia="宋体" w:cs="Times New Roman"/>
          <w:color w:val="auto"/>
          <w:sz w:val="24"/>
          <w:szCs w:val="24"/>
          <w:highlight w:val="none"/>
          <w:lang w:eastAsia="zh-CN" w:bidi="ar"/>
        </w:rPr>
        <w:t>成都翌达环境保护检测有限公司</w:t>
      </w:r>
      <w:r>
        <w:rPr>
          <w:rFonts w:hint="eastAsia" w:ascii="Times New Roman" w:hAnsi="Times New Roman" w:eastAsia="宋体" w:cs="Times New Roman"/>
          <w:color w:val="auto"/>
          <w:sz w:val="24"/>
          <w:szCs w:val="24"/>
          <w:highlight w:val="none"/>
          <w:lang w:bidi="ar"/>
        </w:rPr>
        <w:t>于20</w:t>
      </w:r>
      <w:r>
        <w:rPr>
          <w:rFonts w:hint="eastAsia" w:ascii="Times New Roman" w:hAnsi="Times New Roman" w:eastAsia="宋体" w:cs="Times New Roman"/>
          <w:color w:val="auto"/>
          <w:sz w:val="24"/>
          <w:szCs w:val="24"/>
          <w:highlight w:val="none"/>
          <w:lang w:val="en-US" w:eastAsia="zh-CN" w:bidi="ar"/>
        </w:rPr>
        <w:t>22</w:t>
      </w:r>
      <w:r>
        <w:rPr>
          <w:rFonts w:hint="eastAsia" w:ascii="Times New Roman" w:hAnsi="Times New Roman" w:eastAsia="宋体" w:cs="Times New Roman"/>
          <w:color w:val="auto"/>
          <w:sz w:val="24"/>
          <w:szCs w:val="24"/>
          <w:highlight w:val="none"/>
          <w:lang w:bidi="ar"/>
        </w:rPr>
        <w:t>年</w:t>
      </w:r>
      <w:r>
        <w:rPr>
          <w:rFonts w:hint="eastAsia" w:ascii="Times New Roman" w:hAnsi="Times New Roman" w:eastAsia="宋体" w:cs="Times New Roman"/>
          <w:color w:val="auto"/>
          <w:sz w:val="24"/>
          <w:szCs w:val="24"/>
          <w:highlight w:val="none"/>
          <w:lang w:val="en-US" w:eastAsia="zh-CN" w:bidi="ar"/>
        </w:rPr>
        <w:t>6</w:t>
      </w:r>
      <w:r>
        <w:rPr>
          <w:rFonts w:hint="eastAsia" w:ascii="Times New Roman" w:hAnsi="Times New Roman" w:eastAsia="宋体" w:cs="Times New Roman"/>
          <w:color w:val="auto"/>
          <w:sz w:val="24"/>
          <w:szCs w:val="24"/>
          <w:highlight w:val="none"/>
          <w:lang w:bidi="ar"/>
        </w:rPr>
        <w:t>月</w:t>
      </w:r>
      <w:r>
        <w:rPr>
          <w:rFonts w:hint="eastAsia" w:ascii="Times New Roman" w:hAnsi="Times New Roman" w:eastAsia="宋体" w:cs="Times New Roman"/>
          <w:color w:val="auto"/>
          <w:sz w:val="24"/>
          <w:szCs w:val="24"/>
          <w:highlight w:val="none"/>
          <w:lang w:val="en-US" w:eastAsia="zh-CN" w:bidi="ar"/>
        </w:rPr>
        <w:t>21</w:t>
      </w:r>
      <w:r>
        <w:rPr>
          <w:rFonts w:hint="eastAsia" w:ascii="Times New Roman" w:hAnsi="Times New Roman" w:eastAsia="宋体" w:cs="Times New Roman"/>
          <w:color w:val="auto"/>
          <w:sz w:val="24"/>
          <w:szCs w:val="24"/>
          <w:highlight w:val="none"/>
          <w:lang w:bidi="ar"/>
        </w:rPr>
        <w:t>日对项目所在地土</w:t>
      </w:r>
      <w:r>
        <w:rPr>
          <w:rFonts w:ascii="Times New Roman" w:hAnsi="Times New Roman" w:eastAsia="宋体" w:cs="Times New Roman"/>
          <w:color w:val="auto"/>
          <w:sz w:val="24"/>
          <w:szCs w:val="24"/>
          <w:highlight w:val="none"/>
          <w:lang w:bidi="ar"/>
        </w:rPr>
        <w:t>壤环境质量进行了现状监测</w:t>
      </w:r>
      <w:r>
        <w:rPr>
          <w:rFonts w:hint="eastAsia" w:ascii="Times New Roman" w:hAnsi="Times New Roman" w:eastAsia="宋体" w:cs="Times New Roman"/>
          <w:color w:val="auto"/>
          <w:sz w:val="24"/>
          <w:szCs w:val="24"/>
          <w:highlight w:val="none"/>
          <w:lang w:bidi="ar"/>
        </w:rPr>
        <w:t>。</w:t>
      </w:r>
    </w:p>
    <w:p>
      <w:pPr>
        <w:spacing w:line="440" w:lineRule="exact"/>
        <w:ind w:firstLine="482" w:firstLineChars="200"/>
        <w:rPr>
          <w:rFonts w:ascii="Times New Roman" w:hAnsi="Times New Roman" w:eastAsia="宋体" w:cs="Times New Roman"/>
          <w:color w:val="auto"/>
          <w:sz w:val="24"/>
          <w:szCs w:val="24"/>
          <w:highlight w:val="none"/>
          <w:lang w:bidi="ar"/>
        </w:rPr>
      </w:pPr>
      <w:r>
        <w:rPr>
          <w:rFonts w:ascii="Times New Roman" w:hAnsi="Times New Roman" w:eastAsia="宋体" w:cs="Times New Roman"/>
          <w:b/>
          <w:bCs/>
          <w:color w:val="auto"/>
          <w:sz w:val="24"/>
          <w:szCs w:val="24"/>
          <w:highlight w:val="none"/>
          <w:lang w:bidi="ar"/>
        </w:rPr>
        <w:t>1、监测点位设置</w:t>
      </w:r>
    </w:p>
    <w:p>
      <w:pPr>
        <w:spacing w:line="440" w:lineRule="exact"/>
        <w:ind w:firstLine="480" w:firstLineChars="200"/>
        <w:rPr>
          <w:rFonts w:ascii="Times New Roman" w:hAnsi="Times New Roman" w:eastAsia="宋体" w:cs="Times New Roman"/>
          <w:bCs/>
          <w:color w:val="auto"/>
          <w:sz w:val="24"/>
          <w:szCs w:val="24"/>
          <w:highlight w:val="none"/>
          <w:lang w:bidi="ar"/>
        </w:rPr>
      </w:pPr>
      <w:r>
        <w:rPr>
          <w:rFonts w:hint="eastAsia" w:ascii="Times New Roman" w:hAnsi="Times New Roman" w:eastAsia="宋体" w:cs="Times New Roman"/>
          <w:bCs/>
          <w:color w:val="auto"/>
          <w:sz w:val="24"/>
          <w:szCs w:val="24"/>
          <w:highlight w:val="none"/>
          <w:lang w:bidi="ar"/>
        </w:rPr>
        <w:t>根据</w:t>
      </w:r>
      <w:r>
        <w:rPr>
          <w:rFonts w:ascii="Times New Roman" w:hAnsi="Times New Roman" w:eastAsia="宋体" w:cs="Times New Roman"/>
          <w:bCs/>
          <w:color w:val="auto"/>
          <w:sz w:val="24"/>
          <w:szCs w:val="24"/>
          <w:highlight w:val="none"/>
          <w:lang w:bidi="ar"/>
        </w:rPr>
        <w:t>《环境影响评价技术导则 土壤环境》（HJ 964</w:t>
      </w:r>
      <w:r>
        <w:rPr>
          <w:rFonts w:hint="eastAsia" w:ascii="Times New Roman" w:hAnsi="Times New Roman" w:eastAsia="宋体" w:cs="Times New Roman"/>
          <w:bCs/>
          <w:color w:val="auto"/>
          <w:sz w:val="24"/>
          <w:szCs w:val="24"/>
          <w:highlight w:val="none"/>
          <w:lang w:bidi="ar"/>
        </w:rPr>
        <w:t>-</w:t>
      </w:r>
      <w:r>
        <w:rPr>
          <w:rFonts w:ascii="Times New Roman" w:hAnsi="Times New Roman" w:eastAsia="宋体" w:cs="Times New Roman"/>
          <w:bCs/>
          <w:color w:val="auto"/>
          <w:sz w:val="24"/>
          <w:szCs w:val="24"/>
          <w:highlight w:val="none"/>
          <w:lang w:bidi="ar"/>
        </w:rPr>
        <w:t>2018）</w:t>
      </w:r>
      <w:r>
        <w:rPr>
          <w:rFonts w:hint="eastAsia" w:ascii="Times New Roman" w:hAnsi="Times New Roman" w:eastAsia="宋体" w:cs="Times New Roman"/>
          <w:bCs/>
          <w:color w:val="auto"/>
          <w:sz w:val="24"/>
          <w:szCs w:val="24"/>
          <w:highlight w:val="none"/>
          <w:lang w:bidi="ar"/>
        </w:rPr>
        <w:t>，</w:t>
      </w:r>
      <w:r>
        <w:rPr>
          <w:rFonts w:ascii="Times New Roman" w:hAnsi="Times New Roman" w:eastAsia="宋体" w:cs="Times New Roman"/>
          <w:bCs/>
          <w:color w:val="auto"/>
          <w:sz w:val="24"/>
          <w:szCs w:val="24"/>
          <w:highlight w:val="none"/>
          <w:lang w:bidi="ar"/>
        </w:rPr>
        <w:t>本次评价在厂区内共布设3个表层样点</w:t>
      </w:r>
      <w:r>
        <w:rPr>
          <w:rFonts w:hint="eastAsia" w:ascii="Times New Roman" w:hAnsi="Times New Roman" w:eastAsia="宋体" w:cs="Times New Roman"/>
          <w:bCs/>
          <w:color w:val="auto"/>
          <w:sz w:val="24"/>
          <w:szCs w:val="24"/>
          <w:highlight w:val="none"/>
          <w:lang w:bidi="ar"/>
        </w:rPr>
        <w:t>采集</w:t>
      </w:r>
      <w:r>
        <w:rPr>
          <w:rFonts w:ascii="Times New Roman" w:hAnsi="Times New Roman" w:eastAsia="宋体" w:cs="Times New Roman"/>
          <w:bCs/>
          <w:color w:val="auto"/>
          <w:sz w:val="24"/>
          <w:szCs w:val="24"/>
          <w:highlight w:val="none"/>
          <w:lang w:bidi="ar"/>
        </w:rPr>
        <w:t>土壤样品，监测点位布设情况见</w:t>
      </w:r>
      <w:r>
        <w:rPr>
          <w:rFonts w:hint="eastAsia" w:ascii="Times New Roman" w:hAnsi="Times New Roman" w:eastAsia="宋体" w:cs="Times New Roman"/>
          <w:bCs/>
          <w:color w:val="auto"/>
          <w:sz w:val="24"/>
          <w:szCs w:val="24"/>
          <w:highlight w:val="none"/>
          <w:lang w:val="en-US" w:eastAsia="zh-CN" w:bidi="ar"/>
        </w:rPr>
        <w:t>下</w:t>
      </w:r>
      <w:r>
        <w:rPr>
          <w:rFonts w:ascii="Times New Roman" w:hAnsi="Times New Roman" w:eastAsia="宋体" w:cs="Times New Roman"/>
          <w:bCs/>
          <w:color w:val="auto"/>
          <w:sz w:val="24"/>
          <w:szCs w:val="24"/>
          <w:highlight w:val="none"/>
          <w:lang w:bidi="ar"/>
        </w:rPr>
        <w:t>表。</w:t>
      </w:r>
    </w:p>
    <w:p>
      <w:pPr>
        <w:pStyle w:val="2504"/>
        <w:numPr>
          <w:ilvl w:val="0"/>
          <w:numId w:val="0"/>
        </w:numPr>
        <w:spacing w:before="120"/>
        <w:ind w:left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4.2-12    土壤现状监测布点情况</w:t>
      </w:r>
    </w:p>
    <w:tbl>
      <w:tblPr>
        <w:tblStyle w:val="9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692"/>
        <w:gridCol w:w="2429"/>
        <w:gridCol w:w="1378"/>
        <w:gridCol w:w="1238"/>
        <w:gridCol w:w="210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397"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40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位置</w:t>
            </w:r>
          </w:p>
        </w:tc>
        <w:tc>
          <w:tcPr>
            <w:tcW w:w="142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监测点位</w:t>
            </w:r>
          </w:p>
        </w:tc>
        <w:tc>
          <w:tcPr>
            <w:tcW w:w="80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取样深度</w:t>
            </w:r>
          </w:p>
        </w:tc>
        <w:tc>
          <w:tcPr>
            <w:tcW w:w="727"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取样方式</w:t>
            </w:r>
          </w:p>
        </w:tc>
        <w:tc>
          <w:tcPr>
            <w:tcW w:w="1232"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监测因子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397"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406" w:type="pct"/>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厂区占地范围内</w:t>
            </w:r>
          </w:p>
        </w:tc>
        <w:tc>
          <w:tcPr>
            <w:tcW w:w="142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olor w:val="auto"/>
                <w:szCs w:val="21"/>
                <w:highlight w:val="none"/>
              </w:rPr>
              <w:t>场地</w:t>
            </w:r>
            <w:r>
              <w:rPr>
                <w:rFonts w:hint="eastAsia"/>
                <w:color w:val="auto"/>
                <w:szCs w:val="21"/>
                <w:highlight w:val="none"/>
                <w:lang w:val="en-US" w:eastAsia="zh-CN"/>
              </w:rPr>
              <w:t>西南</w:t>
            </w:r>
            <w:r>
              <w:rPr>
                <w:rFonts w:hint="eastAsia"/>
                <w:color w:val="auto"/>
                <w:szCs w:val="21"/>
                <w:highlight w:val="none"/>
              </w:rPr>
              <w:t>侧</w:t>
            </w:r>
          </w:p>
        </w:tc>
        <w:tc>
          <w:tcPr>
            <w:tcW w:w="80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0.2m</w:t>
            </w:r>
          </w:p>
        </w:tc>
        <w:tc>
          <w:tcPr>
            <w:tcW w:w="727"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表层样</w:t>
            </w:r>
          </w:p>
        </w:tc>
        <w:tc>
          <w:tcPr>
            <w:tcW w:w="1232"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表1中8项基本项目+</w:t>
            </w:r>
            <w:r>
              <w:rPr>
                <w:rFonts w:hint="eastAsia" w:ascii="Times New Roman" w:hAnsi="Times New Roman" w:eastAsia="宋体" w:cs="Times New Roman"/>
                <w:color w:val="auto"/>
                <w:sz w:val="21"/>
                <w:szCs w:val="21"/>
                <w:highlight w:val="none"/>
              </w:rPr>
              <w:t>p</w:t>
            </w:r>
            <w:r>
              <w:rPr>
                <w:rFonts w:hint="default" w:ascii="Times New Roman" w:hAnsi="Times New Roman" w:eastAsia="宋体" w:cs="Times New Roman"/>
                <w:color w:val="auto"/>
                <w:sz w:val="21"/>
                <w:szCs w:val="21"/>
                <w:highlight w:val="none"/>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397"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406" w:type="pct"/>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142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olor w:val="auto"/>
                <w:szCs w:val="21"/>
                <w:highlight w:val="none"/>
              </w:rPr>
              <w:t>场地中部</w:t>
            </w:r>
          </w:p>
        </w:tc>
        <w:tc>
          <w:tcPr>
            <w:tcW w:w="80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0.2m</w:t>
            </w:r>
          </w:p>
        </w:tc>
        <w:tc>
          <w:tcPr>
            <w:tcW w:w="727"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表层样</w:t>
            </w:r>
          </w:p>
        </w:tc>
        <w:tc>
          <w:tcPr>
            <w:tcW w:w="1232"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表1中8项基本项目+</w:t>
            </w:r>
            <w:r>
              <w:rPr>
                <w:rFonts w:hint="eastAsia" w:ascii="Times New Roman" w:hAnsi="Times New Roman" w:eastAsia="宋体" w:cs="Times New Roman"/>
                <w:color w:val="auto"/>
                <w:sz w:val="21"/>
                <w:szCs w:val="21"/>
                <w:highlight w:val="none"/>
              </w:rPr>
              <w:t>p</w:t>
            </w:r>
            <w:r>
              <w:rPr>
                <w:rFonts w:hint="default" w:ascii="Times New Roman" w:hAnsi="Times New Roman" w:eastAsia="宋体" w:cs="Times New Roman"/>
                <w:color w:val="auto"/>
                <w:sz w:val="21"/>
                <w:szCs w:val="21"/>
                <w:highlight w:val="none"/>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397"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406" w:type="pct"/>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142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olor w:val="auto"/>
                <w:szCs w:val="21"/>
                <w:highlight w:val="none"/>
              </w:rPr>
              <w:t>场地</w:t>
            </w:r>
            <w:r>
              <w:rPr>
                <w:rFonts w:hint="eastAsia"/>
                <w:color w:val="auto"/>
                <w:szCs w:val="21"/>
                <w:highlight w:val="none"/>
                <w:lang w:val="en-US" w:eastAsia="zh-CN"/>
              </w:rPr>
              <w:t>东北</w:t>
            </w:r>
            <w:r>
              <w:rPr>
                <w:rFonts w:hint="eastAsia"/>
                <w:color w:val="auto"/>
                <w:szCs w:val="21"/>
                <w:highlight w:val="none"/>
              </w:rPr>
              <w:t>侧</w:t>
            </w:r>
          </w:p>
        </w:tc>
        <w:tc>
          <w:tcPr>
            <w:tcW w:w="80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0.2m</w:t>
            </w:r>
          </w:p>
        </w:tc>
        <w:tc>
          <w:tcPr>
            <w:tcW w:w="727"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表层样</w:t>
            </w:r>
          </w:p>
        </w:tc>
        <w:tc>
          <w:tcPr>
            <w:tcW w:w="1232"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表1中8项基本项目+</w:t>
            </w:r>
            <w:r>
              <w:rPr>
                <w:rFonts w:hint="eastAsia" w:ascii="Times New Roman" w:hAnsi="Times New Roman" w:eastAsia="宋体" w:cs="Times New Roman"/>
                <w:color w:val="auto"/>
                <w:sz w:val="21"/>
                <w:szCs w:val="21"/>
                <w:highlight w:val="none"/>
              </w:rPr>
              <w:t>p</w:t>
            </w:r>
            <w:r>
              <w:rPr>
                <w:rFonts w:hint="default" w:ascii="Times New Roman" w:hAnsi="Times New Roman" w:eastAsia="宋体" w:cs="Times New Roman"/>
                <w:color w:val="auto"/>
                <w:sz w:val="21"/>
                <w:szCs w:val="21"/>
                <w:highlight w:val="none"/>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5000" w:type="pct"/>
            <w:gridSpan w:val="6"/>
            <w:noWrap w:val="0"/>
            <w:vAlign w:val="center"/>
          </w:tcPr>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18"/>
                <w:szCs w:val="18"/>
                <w:highlight w:val="none"/>
              </w:rPr>
              <w:t>*注：表1中8项基本项目是指《土壤环境质量 农用地土壤污染风险管控标准（试行）》（GB15618-2018）中</w:t>
            </w:r>
            <w:r>
              <w:rPr>
                <w:rFonts w:hint="eastAsia"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表1 农用地土壤污染风险筛选值（基本项目）</w:t>
            </w:r>
            <w:r>
              <w:rPr>
                <w:rFonts w:hint="eastAsia"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中的：镉、汞、砷、铅、铬、铜、镍、锌。</w:t>
            </w:r>
          </w:p>
        </w:tc>
      </w:tr>
    </w:tbl>
    <w:p>
      <w:pPr>
        <w:wordWrap w:val="0"/>
        <w:spacing w:line="440" w:lineRule="exact"/>
        <w:ind w:firstLine="482" w:firstLineChars="200"/>
        <w:rPr>
          <w:rFonts w:ascii="Times New Roman" w:hAnsi="Times New Roman" w:eastAsia="宋体" w:cs="Times New Roman"/>
          <w:b/>
          <w:color w:val="auto"/>
          <w:sz w:val="24"/>
          <w:szCs w:val="24"/>
          <w:highlight w:val="none"/>
          <w:lang w:bidi="ar"/>
        </w:rPr>
      </w:pPr>
      <w:r>
        <w:rPr>
          <w:rFonts w:hint="eastAsia" w:ascii="Times New Roman" w:hAnsi="Times New Roman" w:eastAsia="宋体" w:cs="Times New Roman"/>
          <w:b/>
          <w:color w:val="auto"/>
          <w:sz w:val="24"/>
          <w:szCs w:val="24"/>
          <w:highlight w:val="none"/>
          <w:lang w:bidi="ar"/>
        </w:rPr>
        <w:t>2、</w:t>
      </w:r>
      <w:r>
        <w:rPr>
          <w:rFonts w:ascii="Times New Roman" w:hAnsi="Times New Roman" w:eastAsia="宋体" w:cs="Times New Roman"/>
          <w:b/>
          <w:color w:val="auto"/>
          <w:sz w:val="24"/>
          <w:szCs w:val="24"/>
          <w:highlight w:val="none"/>
          <w:lang w:bidi="ar"/>
        </w:rPr>
        <w:t>监测项目</w:t>
      </w:r>
    </w:p>
    <w:p>
      <w:pPr>
        <w:spacing w:line="440" w:lineRule="exact"/>
        <w:ind w:firstLine="480" w:firstLineChars="200"/>
        <w:rPr>
          <w:rFonts w:ascii="Times New Roman" w:hAnsi="Times New Roman" w:eastAsia="宋体" w:cs="Times New Roman"/>
          <w:color w:val="auto"/>
          <w:sz w:val="24"/>
          <w:szCs w:val="24"/>
          <w:highlight w:val="none"/>
          <w:lang w:bidi="ar"/>
        </w:rPr>
      </w:pPr>
      <w:r>
        <w:rPr>
          <w:rFonts w:hint="eastAsia" w:ascii="Times New Roman" w:hAnsi="Times New Roman" w:eastAsia="宋体" w:cs="Times New Roman"/>
          <w:color w:val="auto"/>
          <w:sz w:val="24"/>
          <w:szCs w:val="24"/>
          <w:highlight w:val="none"/>
          <w:lang w:bidi="ar"/>
        </w:rPr>
        <w:t>pH、镉、汞、砷、铅、铬、铜、镍、锌，共9项。</w:t>
      </w:r>
    </w:p>
    <w:p>
      <w:pPr>
        <w:spacing w:line="440" w:lineRule="exact"/>
        <w:ind w:firstLine="482" w:firstLineChars="200"/>
        <w:rPr>
          <w:rFonts w:ascii="Times New Roman" w:hAnsi="Times New Roman" w:eastAsia="宋体" w:cs="Times New Roman"/>
          <w:b/>
          <w:bCs/>
          <w:color w:val="auto"/>
          <w:sz w:val="24"/>
          <w:szCs w:val="24"/>
          <w:highlight w:val="none"/>
          <w:lang w:bidi="ar"/>
        </w:rPr>
      </w:pPr>
      <w:r>
        <w:rPr>
          <w:rFonts w:ascii="Times New Roman" w:hAnsi="Times New Roman" w:eastAsia="宋体" w:cs="Times New Roman"/>
          <w:b/>
          <w:bCs/>
          <w:color w:val="auto"/>
          <w:sz w:val="24"/>
          <w:szCs w:val="24"/>
          <w:highlight w:val="none"/>
          <w:lang w:bidi="ar"/>
        </w:rPr>
        <w:t>3、监测时间</w:t>
      </w:r>
    </w:p>
    <w:p>
      <w:pPr>
        <w:spacing w:line="440" w:lineRule="exact"/>
        <w:ind w:firstLine="480" w:firstLineChars="200"/>
        <w:rPr>
          <w:rFonts w:ascii="Times New Roman" w:hAnsi="Times New Roman" w:eastAsia="宋体" w:cs="Times New Roman"/>
          <w:bCs/>
          <w:color w:val="auto"/>
          <w:sz w:val="24"/>
          <w:szCs w:val="24"/>
          <w:highlight w:val="none"/>
          <w:lang w:bidi="ar"/>
        </w:rPr>
      </w:pPr>
      <w:r>
        <w:rPr>
          <w:rFonts w:hint="eastAsia" w:ascii="Times New Roman" w:hAnsi="Times New Roman" w:eastAsia="宋体" w:cs="Times New Roman"/>
          <w:color w:val="auto"/>
          <w:sz w:val="24"/>
          <w:szCs w:val="24"/>
          <w:highlight w:val="none"/>
          <w:lang w:bidi="ar"/>
        </w:rPr>
        <w:t>20</w:t>
      </w:r>
      <w:r>
        <w:rPr>
          <w:rFonts w:hint="eastAsia" w:ascii="Times New Roman" w:hAnsi="Times New Roman" w:eastAsia="宋体" w:cs="Times New Roman"/>
          <w:color w:val="auto"/>
          <w:sz w:val="24"/>
          <w:szCs w:val="24"/>
          <w:highlight w:val="none"/>
          <w:lang w:val="en-US" w:eastAsia="zh-CN" w:bidi="ar"/>
        </w:rPr>
        <w:t>22</w:t>
      </w:r>
      <w:r>
        <w:rPr>
          <w:rFonts w:hint="eastAsia" w:ascii="Times New Roman" w:hAnsi="Times New Roman" w:eastAsia="宋体" w:cs="Times New Roman"/>
          <w:color w:val="auto"/>
          <w:sz w:val="24"/>
          <w:szCs w:val="24"/>
          <w:highlight w:val="none"/>
          <w:lang w:bidi="ar"/>
        </w:rPr>
        <w:t>年</w:t>
      </w:r>
      <w:r>
        <w:rPr>
          <w:rFonts w:hint="eastAsia" w:ascii="Times New Roman" w:hAnsi="Times New Roman" w:eastAsia="宋体" w:cs="Times New Roman"/>
          <w:color w:val="auto"/>
          <w:sz w:val="24"/>
          <w:szCs w:val="24"/>
          <w:highlight w:val="none"/>
          <w:lang w:val="en-US" w:eastAsia="zh-CN" w:bidi="ar"/>
        </w:rPr>
        <w:t>6</w:t>
      </w:r>
      <w:r>
        <w:rPr>
          <w:rFonts w:hint="eastAsia" w:ascii="Times New Roman" w:hAnsi="Times New Roman" w:eastAsia="宋体" w:cs="Times New Roman"/>
          <w:color w:val="auto"/>
          <w:sz w:val="24"/>
          <w:szCs w:val="24"/>
          <w:highlight w:val="none"/>
          <w:lang w:bidi="ar"/>
        </w:rPr>
        <w:t>月</w:t>
      </w:r>
      <w:r>
        <w:rPr>
          <w:rFonts w:hint="eastAsia" w:ascii="Times New Roman" w:hAnsi="Times New Roman" w:eastAsia="宋体" w:cs="Times New Roman"/>
          <w:color w:val="auto"/>
          <w:sz w:val="24"/>
          <w:szCs w:val="24"/>
          <w:highlight w:val="none"/>
          <w:lang w:val="en-US" w:eastAsia="zh-CN" w:bidi="ar"/>
        </w:rPr>
        <w:t>21</w:t>
      </w:r>
      <w:r>
        <w:rPr>
          <w:rFonts w:hint="eastAsia" w:ascii="Times New Roman" w:hAnsi="Times New Roman" w:eastAsia="宋体" w:cs="Times New Roman"/>
          <w:color w:val="auto"/>
          <w:sz w:val="24"/>
          <w:szCs w:val="24"/>
          <w:highlight w:val="none"/>
          <w:lang w:bidi="ar"/>
        </w:rPr>
        <w:t>日</w:t>
      </w:r>
      <w:r>
        <w:rPr>
          <w:rFonts w:ascii="Times New Roman" w:hAnsi="Times New Roman" w:eastAsia="宋体" w:cs="Times New Roman"/>
          <w:bCs/>
          <w:color w:val="auto"/>
          <w:sz w:val="24"/>
          <w:szCs w:val="24"/>
          <w:highlight w:val="none"/>
          <w:lang w:bidi="ar"/>
        </w:rPr>
        <w:t>，</w:t>
      </w:r>
      <w:r>
        <w:rPr>
          <w:rFonts w:hint="eastAsia" w:ascii="Times New Roman" w:hAnsi="Times New Roman" w:eastAsia="宋体" w:cs="Times New Roman"/>
          <w:bCs/>
          <w:color w:val="auto"/>
          <w:sz w:val="24"/>
          <w:szCs w:val="24"/>
          <w:highlight w:val="none"/>
          <w:lang w:bidi="ar"/>
        </w:rPr>
        <w:t>连续</w:t>
      </w:r>
      <w:r>
        <w:rPr>
          <w:rFonts w:ascii="Times New Roman" w:hAnsi="Times New Roman" w:eastAsia="宋体" w:cs="Times New Roman"/>
          <w:bCs/>
          <w:color w:val="auto"/>
          <w:sz w:val="24"/>
          <w:szCs w:val="24"/>
          <w:highlight w:val="none"/>
          <w:lang w:bidi="ar"/>
        </w:rPr>
        <w:t>监测</w:t>
      </w:r>
      <w:r>
        <w:rPr>
          <w:rFonts w:hint="eastAsia" w:ascii="Times New Roman" w:hAnsi="Times New Roman" w:eastAsia="宋体" w:cs="Times New Roman"/>
          <w:bCs/>
          <w:color w:val="auto"/>
          <w:sz w:val="24"/>
          <w:szCs w:val="24"/>
          <w:highlight w:val="none"/>
          <w:lang w:bidi="ar"/>
        </w:rPr>
        <w:t>1天</w:t>
      </w:r>
      <w:r>
        <w:rPr>
          <w:rFonts w:ascii="Times New Roman" w:hAnsi="Times New Roman" w:eastAsia="宋体" w:cs="Times New Roman"/>
          <w:bCs/>
          <w:color w:val="auto"/>
          <w:sz w:val="24"/>
          <w:szCs w:val="24"/>
          <w:highlight w:val="none"/>
          <w:lang w:bidi="ar"/>
        </w:rPr>
        <w:t>，每天采样</w:t>
      </w:r>
      <w:r>
        <w:rPr>
          <w:rFonts w:hint="eastAsia" w:ascii="Times New Roman" w:hAnsi="Times New Roman" w:eastAsia="宋体" w:cs="Times New Roman"/>
          <w:bCs/>
          <w:color w:val="auto"/>
          <w:sz w:val="24"/>
          <w:szCs w:val="24"/>
          <w:highlight w:val="none"/>
          <w:lang w:bidi="ar"/>
        </w:rPr>
        <w:t>1次</w:t>
      </w:r>
      <w:r>
        <w:rPr>
          <w:rFonts w:ascii="Times New Roman" w:hAnsi="Times New Roman" w:eastAsia="宋体" w:cs="Times New Roman"/>
          <w:bCs/>
          <w:color w:val="auto"/>
          <w:sz w:val="24"/>
          <w:szCs w:val="24"/>
          <w:highlight w:val="none"/>
          <w:lang w:bidi="ar"/>
        </w:rPr>
        <w:t>。</w:t>
      </w:r>
    </w:p>
    <w:p>
      <w:pPr>
        <w:spacing w:line="440" w:lineRule="exact"/>
        <w:ind w:firstLine="482" w:firstLineChars="200"/>
        <w:rPr>
          <w:rFonts w:ascii="Times New Roman" w:hAnsi="Times New Roman" w:eastAsia="宋体" w:cs="Times New Roman"/>
          <w:b/>
          <w:bCs/>
          <w:color w:val="auto"/>
          <w:sz w:val="24"/>
          <w:szCs w:val="24"/>
          <w:highlight w:val="none"/>
          <w:lang w:bidi="ar"/>
        </w:rPr>
      </w:pPr>
      <w:r>
        <w:rPr>
          <w:rFonts w:hint="eastAsia" w:ascii="Times New Roman" w:hAnsi="Times New Roman" w:eastAsia="宋体" w:cs="Times New Roman"/>
          <w:b/>
          <w:bCs/>
          <w:color w:val="auto"/>
          <w:sz w:val="24"/>
          <w:szCs w:val="24"/>
          <w:highlight w:val="none"/>
          <w:lang w:bidi="ar"/>
        </w:rPr>
        <w:t>4、评价标准</w:t>
      </w:r>
    </w:p>
    <w:p>
      <w:pPr>
        <w:spacing w:line="440" w:lineRule="exact"/>
        <w:ind w:firstLine="480" w:firstLineChars="200"/>
        <w:rPr>
          <w:rFonts w:ascii="Times New Roman" w:hAnsi="Times New Roman" w:eastAsia="宋体" w:cs="Times New Roman"/>
          <w:bCs/>
          <w:color w:val="auto"/>
          <w:sz w:val="24"/>
          <w:szCs w:val="24"/>
          <w:highlight w:val="none"/>
          <w:lang w:bidi="ar"/>
        </w:rPr>
      </w:pPr>
      <w:r>
        <w:rPr>
          <w:rFonts w:ascii="Times New Roman" w:hAnsi="Times New Roman" w:eastAsia="宋体" w:cs="Times New Roman"/>
          <w:bCs/>
          <w:color w:val="auto"/>
          <w:sz w:val="24"/>
          <w:szCs w:val="24"/>
          <w:highlight w:val="none"/>
          <w:lang w:bidi="ar"/>
        </w:rPr>
        <w:t>执行</w:t>
      </w:r>
      <w:r>
        <w:rPr>
          <w:rFonts w:hint="eastAsia" w:ascii="Times New Roman" w:hAnsi="Times New Roman" w:eastAsia="宋体" w:cs="Times New Roman"/>
          <w:color w:val="auto"/>
          <w:sz w:val="24"/>
          <w:szCs w:val="24"/>
          <w:highlight w:val="none"/>
          <w:lang w:bidi="ar"/>
        </w:rPr>
        <w:t>《土壤环境质量 农用地土壤污染风险管控标准（试行）》（GB</w:t>
      </w:r>
      <w:r>
        <w:rPr>
          <w:rFonts w:ascii="Times New Roman" w:hAnsi="Times New Roman" w:eastAsia="宋体" w:cs="Times New Roman"/>
          <w:color w:val="auto"/>
          <w:sz w:val="24"/>
          <w:szCs w:val="24"/>
          <w:highlight w:val="none"/>
          <w:lang w:bidi="ar"/>
        </w:rPr>
        <w:t>15618</w:t>
      </w:r>
      <w:r>
        <w:rPr>
          <w:rFonts w:hint="eastAsia" w:ascii="Times New Roman" w:hAnsi="Times New Roman" w:eastAsia="宋体" w:cs="Times New Roman"/>
          <w:color w:val="auto"/>
          <w:sz w:val="24"/>
          <w:szCs w:val="24"/>
          <w:highlight w:val="none"/>
          <w:lang w:bidi="ar"/>
        </w:rPr>
        <w:t>-2018）</w:t>
      </w:r>
      <w:r>
        <w:rPr>
          <w:rFonts w:hint="eastAsia" w:ascii="Times New Roman" w:hAnsi="Times New Roman" w:eastAsia="宋体" w:cs="Times New Roman"/>
          <w:bCs/>
          <w:color w:val="auto"/>
          <w:sz w:val="24"/>
          <w:szCs w:val="24"/>
          <w:highlight w:val="none"/>
          <w:lang w:bidi="ar"/>
        </w:rPr>
        <w:t>中相关标准。</w:t>
      </w:r>
    </w:p>
    <w:p>
      <w:pPr>
        <w:spacing w:line="440" w:lineRule="exact"/>
        <w:ind w:firstLine="482" w:firstLineChars="200"/>
        <w:rPr>
          <w:rFonts w:ascii="Times New Roman" w:hAnsi="Times New Roman" w:eastAsia="宋体" w:cs="Times New Roman"/>
          <w:b/>
          <w:bCs/>
          <w:color w:val="auto"/>
          <w:sz w:val="24"/>
          <w:szCs w:val="24"/>
          <w:highlight w:val="none"/>
          <w:lang w:bidi="ar"/>
        </w:rPr>
      </w:pPr>
      <w:r>
        <w:rPr>
          <w:rFonts w:hint="eastAsia" w:ascii="Times New Roman" w:hAnsi="Times New Roman" w:eastAsia="宋体" w:cs="Times New Roman"/>
          <w:b/>
          <w:bCs/>
          <w:color w:val="auto"/>
          <w:sz w:val="24"/>
          <w:szCs w:val="24"/>
          <w:highlight w:val="none"/>
          <w:lang w:bidi="ar"/>
        </w:rPr>
        <w:t>5</w:t>
      </w:r>
      <w:r>
        <w:rPr>
          <w:rFonts w:ascii="Times New Roman" w:hAnsi="Times New Roman" w:eastAsia="宋体" w:cs="Times New Roman"/>
          <w:b/>
          <w:bCs/>
          <w:color w:val="auto"/>
          <w:sz w:val="24"/>
          <w:szCs w:val="24"/>
          <w:highlight w:val="none"/>
          <w:lang w:bidi="ar"/>
        </w:rPr>
        <w:t>、监测及评价结果</w:t>
      </w:r>
    </w:p>
    <w:p>
      <w:pPr>
        <w:spacing w:line="440" w:lineRule="exact"/>
        <w:ind w:firstLine="480" w:firstLineChars="200"/>
        <w:rPr>
          <w:rFonts w:ascii="Times New Roman" w:hAnsi="Times New Roman" w:eastAsia="宋体" w:cs="Times New Roman"/>
          <w:bCs/>
          <w:color w:val="auto"/>
          <w:sz w:val="24"/>
          <w:szCs w:val="24"/>
          <w:highlight w:val="none"/>
          <w:lang w:bidi="ar"/>
        </w:rPr>
      </w:pPr>
      <w:r>
        <w:rPr>
          <w:rFonts w:hint="eastAsia" w:ascii="Times New Roman" w:hAnsi="Times New Roman" w:eastAsia="宋体" w:cs="Times New Roman"/>
          <w:bCs/>
          <w:color w:val="auto"/>
          <w:sz w:val="24"/>
          <w:szCs w:val="24"/>
          <w:highlight w:val="none"/>
          <w:lang w:bidi="ar"/>
        </w:rPr>
        <w:t>土壤环境质量</w:t>
      </w:r>
      <w:r>
        <w:rPr>
          <w:rFonts w:ascii="Times New Roman" w:hAnsi="Times New Roman" w:eastAsia="宋体" w:cs="Times New Roman"/>
          <w:bCs/>
          <w:color w:val="auto"/>
          <w:sz w:val="24"/>
          <w:szCs w:val="24"/>
          <w:highlight w:val="none"/>
          <w:lang w:bidi="ar"/>
        </w:rPr>
        <w:t>现状监测统计及评价结果见</w:t>
      </w:r>
      <w:r>
        <w:rPr>
          <w:rFonts w:hint="eastAsia" w:ascii="Times New Roman" w:hAnsi="Times New Roman" w:eastAsia="宋体" w:cs="Times New Roman"/>
          <w:bCs/>
          <w:color w:val="auto"/>
          <w:sz w:val="24"/>
          <w:szCs w:val="24"/>
          <w:highlight w:val="none"/>
          <w:lang w:val="en-US" w:eastAsia="zh-CN" w:bidi="ar"/>
        </w:rPr>
        <w:t>下</w:t>
      </w:r>
      <w:r>
        <w:rPr>
          <w:rFonts w:ascii="Times New Roman" w:hAnsi="Times New Roman" w:eastAsia="宋体" w:cs="Times New Roman"/>
          <w:bCs/>
          <w:color w:val="auto"/>
          <w:sz w:val="24"/>
          <w:szCs w:val="24"/>
          <w:highlight w:val="none"/>
          <w:lang w:bidi="ar"/>
        </w:rPr>
        <w:t>表。</w:t>
      </w:r>
    </w:p>
    <w:p>
      <w:pPr>
        <w:pStyle w:val="2504"/>
        <w:numPr>
          <w:ilvl w:val="0"/>
          <w:numId w:val="0"/>
        </w:numPr>
        <w:spacing w:before="120"/>
        <w:ind w:leftChars="0"/>
        <w:jc w:val="center"/>
        <w:rPr>
          <w:rFonts w:hint="eastAsia" w:ascii="Times New Roman" w:hAnsi="Times New Roman" w:eastAsia="宋体" w:cs="Times New Roman"/>
          <w:b/>
          <w:color w:val="auto"/>
          <w:kern w:val="2"/>
          <w:sz w:val="21"/>
          <w:szCs w:val="24"/>
          <w:highlight w:val="none"/>
          <w:lang w:val="en-US" w:eastAsia="zh-CN" w:bidi="ar-SA"/>
        </w:rPr>
      </w:pPr>
      <w:r>
        <w:rPr>
          <w:rFonts w:hint="eastAsia" w:ascii="Times New Roman" w:hAnsi="Times New Roman" w:eastAsia="宋体" w:cs="Times New Roman"/>
          <w:color w:val="auto"/>
          <w:highlight w:val="none"/>
          <w:lang w:val="en-US" w:eastAsia="zh-CN"/>
        </w:rPr>
        <w:t xml:space="preserve">4.2-13    </w:t>
      </w:r>
      <w:r>
        <w:rPr>
          <w:rFonts w:hint="eastAsia" w:ascii="Times New Roman" w:hAnsi="Times New Roman" w:eastAsia="宋体" w:cs="Times New Roman"/>
          <w:b/>
          <w:color w:val="auto"/>
          <w:kern w:val="2"/>
          <w:sz w:val="21"/>
          <w:szCs w:val="24"/>
          <w:highlight w:val="none"/>
          <w:lang w:val="en-US" w:eastAsia="zh-CN" w:bidi="ar-SA"/>
        </w:rPr>
        <w:t>土壤环境质量现状</w:t>
      </w:r>
      <w:r>
        <w:rPr>
          <w:rFonts w:ascii="Times New Roman" w:hAnsi="Times New Roman" w:eastAsia="宋体" w:cs="Times New Roman"/>
          <w:b/>
          <w:color w:val="auto"/>
          <w:kern w:val="2"/>
          <w:sz w:val="21"/>
          <w:szCs w:val="24"/>
          <w:highlight w:val="none"/>
          <w:lang w:val="en-US" w:eastAsia="zh-CN" w:bidi="ar-SA"/>
        </w:rPr>
        <w:t>监测及评价结果</w:t>
      </w:r>
      <w:r>
        <w:rPr>
          <w:rFonts w:hint="eastAsia" w:ascii="Times New Roman" w:hAnsi="Times New Roman" w:eastAsia="宋体" w:cs="Times New Roman"/>
          <w:b/>
          <w:color w:val="auto"/>
          <w:kern w:val="2"/>
          <w:sz w:val="21"/>
          <w:szCs w:val="24"/>
          <w:highlight w:val="none"/>
          <w:lang w:val="en-US" w:eastAsia="zh-CN" w:bidi="ar-SA"/>
        </w:rPr>
        <w:t xml:space="preserve">    </w:t>
      </w:r>
      <w:r>
        <w:rPr>
          <w:rFonts w:ascii="Times New Roman" w:hAnsi="Times New Roman" w:eastAsia="宋体" w:cs="Times New Roman"/>
          <w:b/>
          <w:color w:val="auto"/>
          <w:kern w:val="2"/>
          <w:sz w:val="21"/>
          <w:szCs w:val="24"/>
          <w:highlight w:val="none"/>
          <w:lang w:val="en-US" w:eastAsia="zh-CN" w:bidi="ar-SA"/>
        </w:rPr>
        <w:t>单位：mg/kg</w:t>
      </w:r>
    </w:p>
    <w:tbl>
      <w:tblPr>
        <w:tblStyle w:val="91"/>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13"/>
        <w:gridCol w:w="1232"/>
        <w:gridCol w:w="658"/>
        <w:gridCol w:w="689"/>
        <w:gridCol w:w="627"/>
        <w:gridCol w:w="658"/>
        <w:gridCol w:w="658"/>
        <w:gridCol w:w="658"/>
        <w:gridCol w:w="658"/>
        <w:gridCol w:w="6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1205"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监测点位</w:t>
            </w:r>
          </w:p>
        </w:tc>
        <w:tc>
          <w:tcPr>
            <w:tcW w:w="3794" w:type="pct"/>
            <w:gridSpan w:val="9"/>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监测项目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120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pH</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镉</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汞</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砷</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铅</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铬</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铜</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镍</w:t>
            </w:r>
          </w:p>
        </w:tc>
        <w:tc>
          <w:tcPr>
            <w:tcW w:w="41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63" w:hRule="atLeast"/>
          <w:jc w:val="center"/>
        </w:trPr>
        <w:tc>
          <w:tcPr>
            <w:tcW w:w="1205"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w:t>
            </w:r>
            <w:r>
              <w:rPr>
                <w:rFonts w:hint="default" w:ascii="Times New Roman" w:hAnsi="Times New Roman" w:eastAsia="宋体" w:cs="Times New Roman"/>
                <w:color w:val="auto"/>
                <w:sz w:val="21"/>
                <w:szCs w:val="21"/>
                <w:highlight w:val="none"/>
              </w:rPr>
              <w:t>场地西南侧</w:t>
            </w:r>
          </w:p>
        </w:tc>
        <w:tc>
          <w:tcPr>
            <w:tcW w:w="109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5.74</w:t>
            </w:r>
          </w:p>
        </w:tc>
        <w:tc>
          <w:tcPr>
            <w:tcW w:w="673" w:type="dxa"/>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0.18</w:t>
            </w:r>
          </w:p>
        </w:tc>
        <w:tc>
          <w:tcPr>
            <w:tcW w:w="673" w:type="dxa"/>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0.025</w:t>
            </w:r>
          </w:p>
        </w:tc>
        <w:tc>
          <w:tcPr>
            <w:tcW w:w="673" w:type="dxa"/>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4.3</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17</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45</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12</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25</w:t>
            </w:r>
          </w:p>
        </w:tc>
        <w:tc>
          <w:tcPr>
            <w:tcW w:w="41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1205"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w:t>
            </w:r>
            <w:r>
              <w:rPr>
                <w:rFonts w:hint="default" w:ascii="Times New Roman" w:hAnsi="Times New Roman" w:eastAsia="宋体" w:cs="Times New Roman"/>
                <w:color w:val="auto"/>
                <w:sz w:val="21"/>
                <w:szCs w:val="21"/>
                <w:highlight w:val="none"/>
              </w:rPr>
              <w:t>场地中部</w:t>
            </w:r>
          </w:p>
        </w:tc>
        <w:tc>
          <w:tcPr>
            <w:tcW w:w="109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8.19</w:t>
            </w:r>
          </w:p>
        </w:tc>
        <w:tc>
          <w:tcPr>
            <w:tcW w:w="673" w:type="dxa"/>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0.35</w:t>
            </w:r>
          </w:p>
        </w:tc>
        <w:tc>
          <w:tcPr>
            <w:tcW w:w="673" w:type="dxa"/>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673" w:type="dxa"/>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1.59</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14</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60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9</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34</w:t>
            </w:r>
          </w:p>
        </w:tc>
        <w:tc>
          <w:tcPr>
            <w:tcW w:w="41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1205"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3#</w:t>
            </w:r>
            <w:r>
              <w:rPr>
                <w:rFonts w:hint="default" w:ascii="Times New Roman" w:hAnsi="Times New Roman" w:eastAsia="宋体" w:cs="Times New Roman"/>
                <w:color w:val="auto"/>
                <w:sz w:val="21"/>
                <w:szCs w:val="21"/>
                <w:highlight w:val="none"/>
              </w:rPr>
              <w:t>场地</w:t>
            </w:r>
            <w:r>
              <w:rPr>
                <w:rFonts w:hint="default" w:ascii="Times New Roman" w:hAnsi="Times New Roman" w:eastAsia="宋体" w:cs="Times New Roman"/>
                <w:color w:val="auto"/>
                <w:sz w:val="21"/>
                <w:szCs w:val="21"/>
                <w:highlight w:val="none"/>
                <w:lang w:val="en-US" w:eastAsia="zh-CN"/>
              </w:rPr>
              <w:t>东北</w:t>
            </w:r>
            <w:r>
              <w:rPr>
                <w:rFonts w:hint="default" w:ascii="Times New Roman" w:hAnsi="Times New Roman" w:eastAsia="宋体" w:cs="Times New Roman"/>
                <w:color w:val="auto"/>
                <w:sz w:val="21"/>
                <w:szCs w:val="21"/>
                <w:highlight w:val="none"/>
              </w:rPr>
              <w:t>侧</w:t>
            </w:r>
          </w:p>
        </w:tc>
        <w:tc>
          <w:tcPr>
            <w:tcW w:w="109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7.33</w:t>
            </w:r>
          </w:p>
        </w:tc>
        <w:tc>
          <w:tcPr>
            <w:tcW w:w="673" w:type="dxa"/>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0.29</w:t>
            </w:r>
          </w:p>
        </w:tc>
        <w:tc>
          <w:tcPr>
            <w:tcW w:w="673" w:type="dxa"/>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0.017</w:t>
            </w:r>
          </w:p>
        </w:tc>
        <w:tc>
          <w:tcPr>
            <w:tcW w:w="673" w:type="dxa"/>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18</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52</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14</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31</w:t>
            </w:r>
          </w:p>
        </w:tc>
        <w:tc>
          <w:tcPr>
            <w:tcW w:w="41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1205"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《土壤环境质量  农用地土壤污染风险管控标准（试行）》表1风险筛选值</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5.5&lt;pH≤6.5</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0.3</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1.8</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40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90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150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50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70</w:t>
            </w:r>
          </w:p>
        </w:tc>
        <w:tc>
          <w:tcPr>
            <w:tcW w:w="41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120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6.5&lt;pH≤7.5</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0.3</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2.4</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30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120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200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100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100</w:t>
            </w:r>
          </w:p>
        </w:tc>
        <w:tc>
          <w:tcPr>
            <w:tcW w:w="41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120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pH＞7.5</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0.6</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3.4</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25</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170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250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100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190</w:t>
            </w:r>
          </w:p>
        </w:tc>
        <w:tc>
          <w:tcPr>
            <w:tcW w:w="41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1205"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《土壤环境质量  农用地土壤污染风险管控标准（试行）》表3风险管制值</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5.5&lt;pH≤6.5</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2.5</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150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500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850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p>
        </w:tc>
        <w:tc>
          <w:tcPr>
            <w:tcW w:w="41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120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6.5&lt;pH≤7.5</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3.0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4.0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120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700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1000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p>
        </w:tc>
        <w:tc>
          <w:tcPr>
            <w:tcW w:w="41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120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pH＞7.5</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4.0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6.0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100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1000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1300</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p>
        </w:tc>
        <w:tc>
          <w:tcPr>
            <w:tcW w:w="41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p>
        </w:tc>
        <w:tc>
          <w:tcPr>
            <w:tcW w:w="41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p>
        </w:tc>
      </w:tr>
    </w:tbl>
    <w:p>
      <w:pPr>
        <w:numPr>
          <w:ilvl w:val="0"/>
          <w:numId w:val="33"/>
        </w:numPr>
        <w:spacing w:line="480" w:lineRule="exact"/>
        <w:ind w:left="425" w:leftChars="0" w:hanging="425" w:firstLineChars="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rPr>
        <w:t>土壤理化特性调查</w:t>
      </w:r>
      <w:r>
        <w:rPr>
          <w:rFonts w:hint="default" w:ascii="Times New Roman" w:hAnsi="Times New Roman" w:eastAsia="宋体" w:cs="Times New Roman"/>
          <w:b/>
          <w:color w:val="auto"/>
          <w:sz w:val="21"/>
          <w:szCs w:val="21"/>
          <w:highlight w:val="none"/>
          <w:lang w:val="en-US" w:eastAsia="zh-CN"/>
        </w:rPr>
        <w:t>结果</w:t>
      </w:r>
    </w:p>
    <w:tbl>
      <w:tblPr>
        <w:tblStyle w:val="91"/>
        <w:tblW w:w="4998"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330"/>
        <w:gridCol w:w="2639"/>
        <w:gridCol w:w="1776"/>
        <w:gridCol w:w="1776"/>
        <w:gridCol w:w="178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788" w:type="pct"/>
            <w:gridSpan w:val="2"/>
            <w:tcBorders>
              <w:top w:val="single" w:color="auto" w:sz="12"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点位</w:t>
            </w:r>
          </w:p>
        </w:tc>
        <w:tc>
          <w:tcPr>
            <w:tcW w:w="1069" w:type="pct"/>
            <w:tcBorders>
              <w:top w:val="single" w:color="auto" w:sz="12"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项目地内S1-1-1</w:t>
            </w:r>
          </w:p>
        </w:tc>
        <w:tc>
          <w:tcPr>
            <w:tcW w:w="1069" w:type="pct"/>
            <w:tcBorders>
              <w:top w:val="single" w:color="auto" w:sz="12"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时间</w:t>
            </w:r>
          </w:p>
        </w:tc>
        <w:tc>
          <w:tcPr>
            <w:tcW w:w="1072" w:type="pct"/>
            <w:tcBorders>
              <w:top w:val="single" w:color="auto" w:sz="12" w:space="0"/>
              <w:left w:val="single" w:color="auto" w:sz="8" w:space="0"/>
              <w:bottom w:val="single" w:color="auto" w:sz="8" w:space="0"/>
              <w:right w:val="nil"/>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202</w:t>
            </w:r>
            <w:r>
              <w:rPr>
                <w:rFonts w:hint="eastAsia"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年0</w:t>
            </w:r>
            <w:r>
              <w:rPr>
                <w:rFonts w:hint="eastAsia" w:cs="Times New Roman"/>
                <w:color w:val="auto"/>
                <w:sz w:val="21"/>
                <w:szCs w:val="21"/>
                <w:highlight w:val="none"/>
                <w:lang w:val="en-US" w:eastAsia="zh-CN"/>
              </w:rPr>
              <w:t>6</w:t>
            </w:r>
            <w:r>
              <w:rPr>
                <w:rFonts w:hint="default" w:ascii="Times New Roman" w:hAnsi="Times New Roman" w:cs="Times New Roman"/>
                <w:color w:val="auto"/>
                <w:sz w:val="21"/>
                <w:szCs w:val="21"/>
                <w:highlight w:val="none"/>
                <w:lang w:val="en-US" w:eastAsia="zh-CN"/>
              </w:rPr>
              <w:t>月</w:t>
            </w:r>
            <w:r>
              <w:rPr>
                <w:rFonts w:hint="eastAsia" w:cs="Times New Roman"/>
                <w:color w:val="auto"/>
                <w:sz w:val="21"/>
                <w:szCs w:val="21"/>
                <w:highlight w:val="none"/>
                <w:lang w:val="en-US" w:eastAsia="zh-CN"/>
              </w:rPr>
              <w:t>21</w:t>
            </w:r>
            <w:r>
              <w:rPr>
                <w:rFonts w:hint="default" w:ascii="Times New Roman" w:hAnsi="Times New Roman" w:cs="Times New Roman"/>
                <w:color w:val="auto"/>
                <w:sz w:val="21"/>
                <w:szCs w:val="21"/>
                <w:highlight w:val="none"/>
                <w:lang w:val="en-US" w:eastAsia="zh-CN"/>
              </w:rPr>
              <w:t>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788" w:type="pct"/>
            <w:gridSpan w:val="2"/>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经度</w:t>
            </w:r>
          </w:p>
        </w:tc>
        <w:tc>
          <w:tcPr>
            <w:tcW w:w="106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106.84245</w:t>
            </w:r>
          </w:p>
        </w:tc>
        <w:tc>
          <w:tcPr>
            <w:tcW w:w="106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纬度</w:t>
            </w:r>
          </w:p>
        </w:tc>
        <w:tc>
          <w:tcPr>
            <w:tcW w:w="1072" w:type="pct"/>
            <w:tcBorders>
              <w:top w:val="single" w:color="auto" w:sz="8" w:space="0"/>
              <w:left w:val="single" w:color="auto" w:sz="8" w:space="0"/>
              <w:bottom w:val="single" w:color="auto" w:sz="8" w:space="0"/>
              <w:right w:val="nil"/>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31.65578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788" w:type="pct"/>
            <w:gridSpan w:val="2"/>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层次</w:t>
            </w:r>
            <w:r>
              <w:rPr>
                <w:rFonts w:hint="default" w:ascii="Times New Roman" w:hAnsi="Times New Roman" w:eastAsia="宋体" w:cs="Times New Roman"/>
                <w:color w:val="auto"/>
                <w:sz w:val="21"/>
                <w:szCs w:val="21"/>
                <w:highlight w:val="none"/>
                <w:lang w:val="en-US" w:eastAsia="zh-CN"/>
              </w:rPr>
              <w:t>(m)</w:t>
            </w:r>
          </w:p>
        </w:tc>
        <w:tc>
          <w:tcPr>
            <w:tcW w:w="3211" w:type="pct"/>
            <w:gridSpan w:val="3"/>
            <w:tcBorders>
              <w:top w:val="single" w:color="auto" w:sz="8" w:space="0"/>
              <w:left w:val="single" w:color="auto" w:sz="8" w:space="0"/>
              <w:bottom w:val="single" w:color="auto" w:sz="8" w:space="0"/>
              <w:right w:val="nil"/>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99" w:type="pct"/>
            <w:vMerge w:val="restart"/>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现场记录</w:t>
            </w:r>
          </w:p>
        </w:tc>
        <w:tc>
          <w:tcPr>
            <w:tcW w:w="158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颜色</w:t>
            </w:r>
          </w:p>
        </w:tc>
        <w:tc>
          <w:tcPr>
            <w:tcW w:w="3211" w:type="pct"/>
            <w:gridSpan w:val="3"/>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棕色</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99" w:type="pct"/>
            <w:vMerge w:val="continue"/>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58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结构</w:t>
            </w:r>
          </w:p>
        </w:tc>
        <w:tc>
          <w:tcPr>
            <w:tcW w:w="3211" w:type="pct"/>
            <w:gridSpan w:val="3"/>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块状结构体</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99" w:type="pct"/>
            <w:vMerge w:val="continue"/>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58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质地</w:t>
            </w:r>
          </w:p>
        </w:tc>
        <w:tc>
          <w:tcPr>
            <w:tcW w:w="3211" w:type="pct"/>
            <w:gridSpan w:val="3"/>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砂壤土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99" w:type="pct"/>
            <w:vMerge w:val="continue"/>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58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氧化还原电位</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mV</w:t>
            </w:r>
            <w:r>
              <w:rPr>
                <w:rFonts w:hint="default" w:ascii="Times New Roman" w:hAnsi="Times New Roman" w:eastAsia="宋体" w:cs="Times New Roman"/>
                <w:color w:val="auto"/>
                <w:sz w:val="21"/>
                <w:szCs w:val="21"/>
                <w:highlight w:val="none"/>
                <w:lang w:eastAsia="zh-CN"/>
              </w:rPr>
              <w:t>）</w:t>
            </w:r>
          </w:p>
        </w:tc>
        <w:tc>
          <w:tcPr>
            <w:tcW w:w="3211" w:type="pct"/>
            <w:gridSpan w:val="3"/>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99" w:type="pct"/>
            <w:vMerge w:val="continue"/>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58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砂砾含量</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eastAsia="zh-CN"/>
              </w:rPr>
              <w:t>）</w:t>
            </w:r>
          </w:p>
        </w:tc>
        <w:tc>
          <w:tcPr>
            <w:tcW w:w="3211" w:type="pct"/>
            <w:gridSpan w:val="3"/>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99" w:type="pct"/>
            <w:vMerge w:val="continue"/>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58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其他异物</w:t>
            </w:r>
          </w:p>
        </w:tc>
        <w:tc>
          <w:tcPr>
            <w:tcW w:w="3211" w:type="pct"/>
            <w:gridSpan w:val="3"/>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99" w:type="pct"/>
            <w:vMerge w:val="restart"/>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实验室测定</w:t>
            </w:r>
          </w:p>
        </w:tc>
        <w:tc>
          <w:tcPr>
            <w:tcW w:w="158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pH</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无量纲</w:t>
            </w:r>
            <w:r>
              <w:rPr>
                <w:rFonts w:hint="default" w:ascii="Times New Roman" w:hAnsi="Times New Roman" w:eastAsia="宋体" w:cs="Times New Roman"/>
                <w:color w:val="auto"/>
                <w:sz w:val="21"/>
                <w:szCs w:val="21"/>
                <w:highlight w:val="none"/>
                <w:lang w:eastAsia="zh-CN"/>
              </w:rPr>
              <w:t>）</w:t>
            </w:r>
          </w:p>
        </w:tc>
        <w:tc>
          <w:tcPr>
            <w:tcW w:w="3211" w:type="pct"/>
            <w:gridSpan w:val="3"/>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99" w:type="pct"/>
            <w:vMerge w:val="continue"/>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58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阳离子交换量</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cmol(+)/Kg</w:t>
            </w:r>
            <w:r>
              <w:rPr>
                <w:rFonts w:hint="default" w:ascii="Times New Roman" w:hAnsi="Times New Roman" w:eastAsia="宋体" w:cs="Times New Roman"/>
                <w:color w:val="auto"/>
                <w:sz w:val="21"/>
                <w:szCs w:val="21"/>
                <w:highlight w:val="none"/>
                <w:lang w:eastAsia="zh-CN"/>
              </w:rPr>
              <w:t>）</w:t>
            </w:r>
          </w:p>
        </w:tc>
        <w:tc>
          <w:tcPr>
            <w:tcW w:w="3211" w:type="pct"/>
            <w:gridSpan w:val="3"/>
            <w:tcBorders>
              <w:top w:val="single" w:color="auto" w:sz="8" w:space="0"/>
              <w:left w:val="single" w:color="auto" w:sz="8" w:space="0"/>
              <w:bottom w:val="single" w:color="auto" w:sz="8" w:space="0"/>
              <w:right w:val="nil"/>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99" w:type="pct"/>
            <w:vMerge w:val="continue"/>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58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渗滤率</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cm</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s</w:t>
            </w:r>
            <w:r>
              <w:rPr>
                <w:rFonts w:hint="default" w:ascii="Times New Roman" w:hAnsi="Times New Roman" w:eastAsia="宋体" w:cs="Times New Roman"/>
                <w:color w:val="auto"/>
                <w:sz w:val="21"/>
                <w:szCs w:val="21"/>
                <w:highlight w:val="none"/>
              </w:rPr>
              <w:t>）</w:t>
            </w:r>
          </w:p>
        </w:tc>
        <w:tc>
          <w:tcPr>
            <w:tcW w:w="3211" w:type="pct"/>
            <w:gridSpan w:val="3"/>
            <w:tcBorders>
              <w:top w:val="single" w:color="auto" w:sz="8" w:space="0"/>
              <w:left w:val="single" w:color="auto" w:sz="8" w:space="0"/>
              <w:bottom w:val="single" w:color="auto" w:sz="8" w:space="0"/>
              <w:right w:val="nil"/>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6.83</w:t>
            </w:r>
            <w:r>
              <w:rPr>
                <w:rFonts w:hint="default" w:ascii="Times New Roman" w:hAnsi="Times New Roman" w:cs="Times New Roman"/>
                <w:color w:val="auto"/>
                <w:sz w:val="21"/>
                <w:szCs w:val="21"/>
                <w:highlight w:val="none"/>
                <w:lang w:val="en-US" w:eastAsia="zh-CN"/>
              </w:rPr>
              <w:t>×10</w:t>
            </w:r>
            <w:r>
              <w:rPr>
                <w:rFonts w:hint="default" w:ascii="Times New Roman" w:hAnsi="Times New Roman" w:cs="Times New Roman"/>
                <w:color w:val="auto"/>
                <w:sz w:val="21"/>
                <w:szCs w:val="21"/>
                <w:highlight w:val="none"/>
                <w:vertAlign w:val="superscript"/>
                <w:lang w:val="en-US" w:eastAsia="zh-CN"/>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99" w:type="pct"/>
            <w:vMerge w:val="continue"/>
            <w:tcBorders>
              <w:top w:val="single" w:color="auto" w:sz="8" w:space="0"/>
              <w:left w:val="nil"/>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589" w:type="pct"/>
            <w:tcBorders>
              <w:top w:val="single" w:color="auto" w:sz="8" w:space="0"/>
              <w:left w:val="single" w:color="auto" w:sz="8" w:space="0"/>
              <w:bottom w:val="single" w:color="auto" w:sz="8"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土壤容重（g/</w:t>
            </w:r>
            <w:r>
              <w:rPr>
                <w:rFonts w:hint="default" w:ascii="Times New Roman" w:hAnsi="Times New Roman" w:eastAsia="宋体" w:cs="Times New Roman"/>
                <w:color w:val="auto"/>
                <w:sz w:val="21"/>
                <w:szCs w:val="21"/>
                <w:highlight w:val="none"/>
                <w:lang w:val="en-US" w:eastAsia="zh-CN"/>
              </w:rPr>
              <w:t>c</w:t>
            </w:r>
            <w:r>
              <w:rPr>
                <w:rFonts w:hint="default" w:ascii="Times New Roman" w:hAnsi="Times New Roman" w:eastAsia="宋体" w:cs="Times New Roman"/>
                <w:color w:val="auto"/>
                <w:sz w:val="21"/>
                <w:szCs w:val="21"/>
                <w:highlight w:val="none"/>
              </w:rPr>
              <w:t>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rPr>
              <w:t>）</w:t>
            </w:r>
          </w:p>
        </w:tc>
        <w:tc>
          <w:tcPr>
            <w:tcW w:w="3211" w:type="pct"/>
            <w:gridSpan w:val="3"/>
            <w:tcBorders>
              <w:top w:val="single" w:color="auto" w:sz="8" w:space="0"/>
              <w:left w:val="single" w:color="auto" w:sz="8" w:space="0"/>
              <w:bottom w:val="single" w:color="auto" w:sz="8" w:space="0"/>
              <w:right w:val="nil"/>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jc w:val="center"/>
        </w:trPr>
        <w:tc>
          <w:tcPr>
            <w:tcW w:w="199" w:type="pct"/>
            <w:vMerge w:val="continue"/>
            <w:tcBorders>
              <w:top w:val="single" w:color="auto" w:sz="8" w:space="0"/>
              <w:left w:val="nil"/>
              <w:bottom w:val="single" w:color="auto" w:sz="12"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589" w:type="pct"/>
            <w:tcBorders>
              <w:top w:val="single" w:color="auto" w:sz="8" w:space="0"/>
              <w:left w:val="single" w:color="auto" w:sz="8" w:space="0"/>
              <w:bottom w:val="single" w:color="auto" w:sz="12" w:space="0"/>
              <w:right w:val="single" w:color="auto" w:sz="8" w:space="0"/>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孔隙度</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eastAsia="zh-CN"/>
              </w:rPr>
              <w:t>）</w:t>
            </w:r>
          </w:p>
        </w:tc>
        <w:tc>
          <w:tcPr>
            <w:tcW w:w="3211" w:type="pct"/>
            <w:gridSpan w:val="3"/>
            <w:tcBorders>
              <w:top w:val="single" w:color="auto" w:sz="8" w:space="0"/>
              <w:left w:val="single" w:color="auto" w:sz="8" w:space="0"/>
              <w:bottom w:val="single" w:color="auto" w:sz="12" w:space="0"/>
              <w:right w:val="nil"/>
            </w:tcBorders>
            <w:noWrap w:val="0"/>
            <w:vAlign w:val="center"/>
          </w:tcPr>
          <w:p>
            <w:pPr>
              <w:pStyle w:val="2520"/>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47.8</w:t>
            </w:r>
          </w:p>
        </w:tc>
      </w:tr>
    </w:tbl>
    <w:p>
      <w:pPr>
        <w:spacing w:line="440" w:lineRule="exact"/>
        <w:ind w:firstLine="480" w:firstLineChars="200"/>
        <w:rPr>
          <w:rFonts w:hint="eastAsia" w:ascii="Times New Roman" w:hAnsi="Times New Roman" w:eastAsia="宋体" w:cs="Times New Roman"/>
          <w:color w:val="auto"/>
          <w:sz w:val="24"/>
          <w:szCs w:val="24"/>
          <w:highlight w:val="none"/>
          <w:lang w:bidi="ar"/>
        </w:rPr>
      </w:pPr>
      <w:r>
        <w:rPr>
          <w:rFonts w:ascii="Times New Roman" w:hAnsi="Times New Roman" w:eastAsia="宋体" w:cs="Times New Roman"/>
          <w:color w:val="auto"/>
          <w:sz w:val="24"/>
          <w:szCs w:val="24"/>
          <w:highlight w:val="none"/>
          <w:lang w:bidi="ar"/>
        </w:rPr>
        <w:t>监测结果表明</w:t>
      </w:r>
      <w:r>
        <w:rPr>
          <w:rFonts w:hint="eastAsia" w:ascii="Times New Roman" w:hAnsi="Times New Roman" w:eastAsia="宋体" w:cs="Times New Roman"/>
          <w:color w:val="auto"/>
          <w:sz w:val="24"/>
          <w:szCs w:val="24"/>
          <w:highlight w:val="none"/>
          <w:lang w:bidi="ar"/>
        </w:rPr>
        <w:t>：土壤样品中检出的监测因子污染物含量均低于《土壤环境质量 农用地土壤污染风险管控标准（试行）》</w:t>
      </w:r>
      <w:r>
        <w:rPr>
          <w:rFonts w:hint="eastAsia" w:ascii="Times New Roman" w:hAnsi="Times New Roman" w:eastAsia="宋体" w:cs="Times New Roman"/>
          <w:bCs/>
          <w:color w:val="auto"/>
          <w:sz w:val="24"/>
          <w:szCs w:val="24"/>
          <w:highlight w:val="none"/>
          <w:lang w:bidi="ar"/>
        </w:rPr>
        <w:t>（GB</w:t>
      </w:r>
      <w:r>
        <w:rPr>
          <w:rFonts w:ascii="Times New Roman" w:hAnsi="Times New Roman" w:eastAsia="宋体" w:cs="Times New Roman"/>
          <w:bCs/>
          <w:color w:val="auto"/>
          <w:sz w:val="24"/>
          <w:szCs w:val="24"/>
          <w:highlight w:val="none"/>
          <w:lang w:bidi="ar"/>
        </w:rPr>
        <w:t>15618</w:t>
      </w:r>
      <w:r>
        <w:rPr>
          <w:rFonts w:hint="eastAsia" w:ascii="Times New Roman" w:hAnsi="Times New Roman" w:eastAsia="宋体" w:cs="Times New Roman"/>
          <w:bCs/>
          <w:color w:val="auto"/>
          <w:sz w:val="24"/>
          <w:szCs w:val="24"/>
          <w:highlight w:val="none"/>
          <w:lang w:bidi="ar"/>
        </w:rPr>
        <w:t>-2018）</w:t>
      </w:r>
      <w:r>
        <w:rPr>
          <w:rFonts w:hint="eastAsia" w:ascii="Times New Roman" w:hAnsi="Times New Roman" w:eastAsia="宋体" w:cs="Times New Roman"/>
          <w:color w:val="auto"/>
          <w:sz w:val="24"/>
          <w:szCs w:val="24"/>
          <w:highlight w:val="none"/>
          <w:lang w:bidi="ar"/>
        </w:rPr>
        <w:t>表1中农用地土壤污染风险筛选值，对农产品质量安全、农作物生长或土壤生态环境的风险低，一般情况下可以忽略；土壤样品中检出的监测因子浓度均低于《土壤环境质量  农用地土壤污染风险管控标准（试行）》</w:t>
      </w:r>
      <w:r>
        <w:rPr>
          <w:rFonts w:hint="eastAsia" w:ascii="Times New Roman" w:hAnsi="Times New Roman" w:eastAsia="宋体" w:cs="Times New Roman"/>
          <w:bCs/>
          <w:color w:val="auto"/>
          <w:sz w:val="24"/>
          <w:szCs w:val="24"/>
          <w:highlight w:val="none"/>
          <w:lang w:bidi="ar"/>
        </w:rPr>
        <w:t>（GB</w:t>
      </w:r>
      <w:r>
        <w:rPr>
          <w:rFonts w:ascii="Times New Roman" w:hAnsi="Times New Roman" w:eastAsia="宋体" w:cs="Times New Roman"/>
          <w:bCs/>
          <w:color w:val="auto"/>
          <w:sz w:val="24"/>
          <w:szCs w:val="24"/>
          <w:highlight w:val="none"/>
          <w:lang w:bidi="ar"/>
        </w:rPr>
        <w:t>15618</w:t>
      </w:r>
      <w:r>
        <w:rPr>
          <w:rFonts w:hint="eastAsia" w:ascii="Times New Roman" w:hAnsi="Times New Roman" w:eastAsia="宋体" w:cs="Times New Roman"/>
          <w:bCs/>
          <w:color w:val="auto"/>
          <w:sz w:val="24"/>
          <w:szCs w:val="24"/>
          <w:highlight w:val="none"/>
          <w:lang w:bidi="ar"/>
        </w:rPr>
        <w:t>-2018）</w:t>
      </w:r>
      <w:r>
        <w:rPr>
          <w:rFonts w:hint="eastAsia" w:ascii="Times New Roman" w:hAnsi="Times New Roman" w:eastAsia="宋体" w:cs="Times New Roman"/>
          <w:color w:val="auto"/>
          <w:sz w:val="24"/>
          <w:szCs w:val="24"/>
          <w:highlight w:val="none"/>
          <w:lang w:bidi="ar"/>
        </w:rPr>
        <w:t>表3中农用地土壤污染风险管制值，则农用地土壤污染风险低，一般情况下可以忽略。</w:t>
      </w:r>
    </w:p>
    <w:p>
      <w:pPr>
        <w:rPr>
          <w:color w:val="auto"/>
          <w:highlight w:val="none"/>
        </w:rPr>
      </w:pPr>
      <w:r>
        <w:rPr>
          <w:color w:val="auto"/>
          <w:highlight w:val="none"/>
        </w:rPr>
        <w:br w:type="page"/>
      </w:r>
    </w:p>
    <w:p>
      <w:pPr>
        <w:pStyle w:val="6"/>
        <w:rPr>
          <w:rFonts w:cs="Times New Roman"/>
          <w:color w:val="auto"/>
          <w:highlight w:val="none"/>
        </w:rPr>
      </w:pPr>
      <w:bookmarkStart w:id="218" w:name="_Toc14755"/>
      <w:r>
        <w:rPr>
          <w:rFonts w:cs="Times New Roman"/>
          <w:color w:val="auto"/>
          <w:highlight w:val="none"/>
        </w:rPr>
        <w:t>环境影响预测与评价</w:t>
      </w:r>
      <w:bookmarkEnd w:id="218"/>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default" w:ascii="Times New Roman" w:hAnsi="Times New Roman" w:eastAsia="宋体" w:cs="Times New Roman"/>
          <w:color w:val="auto"/>
          <w:highlight w:val="none"/>
        </w:rPr>
      </w:pPr>
      <w:bookmarkStart w:id="219" w:name="_Toc26918"/>
      <w:r>
        <w:rPr>
          <w:rFonts w:hint="default" w:ascii="Times New Roman" w:hAnsi="Times New Roman" w:eastAsia="宋体" w:cs="Times New Roman"/>
          <w:color w:val="auto"/>
          <w:highlight w:val="none"/>
        </w:rPr>
        <w:t>施工期环境影响评价</w:t>
      </w:r>
      <w:bookmarkEnd w:id="219"/>
    </w:p>
    <w:p>
      <w:pPr>
        <w:ind w:firstLine="470" w:firstLineChars="196"/>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rPr>
        <w:t>本项目施工期主要包括基础工程、主体工程、装饰工程、设备安装等工程建设。在工程建设期，尤其是土建工程阶段，地面施工活动、建筑材料的装运等将对项目所在地周围环境造成一定的破坏和影响，主要包括废气、废水、噪声、固体废物等污染因素对周围环境的影响。在施工过程中，由于土方的挖掘、运输、堆积等，原材料运输等都带来扬尘、噪声等环境污染。挖方过程中产生的弃土在不利气象条件下易造成水土流失。施工期的环境影响主要表现在以下几个方面：</w:t>
      </w:r>
    </w:p>
    <w:p>
      <w:pPr>
        <w:ind w:firstLine="470" w:firstLineChars="196"/>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rPr>
        <w:t>1、施工扬尘、运输车辆产生的扬尘、汽车尾气对周围大气环境的影响；</w:t>
      </w:r>
    </w:p>
    <w:p>
      <w:pPr>
        <w:ind w:firstLine="470" w:firstLineChars="196"/>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rPr>
        <w:t>2、施工人员产生的生活污水、施工废水对环境的影响；</w:t>
      </w:r>
    </w:p>
    <w:p>
      <w:pPr>
        <w:ind w:firstLine="470" w:firstLineChars="196"/>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rPr>
        <w:t>3、施工机械和运输车辆对周围声学环境的影响；</w:t>
      </w:r>
    </w:p>
    <w:p>
      <w:pPr>
        <w:ind w:firstLine="470" w:firstLineChars="196"/>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rPr>
        <w:t>4、施工期建筑垃圾、施工人员的生活垃圾对环境的影响；</w:t>
      </w:r>
    </w:p>
    <w:p>
      <w:pPr>
        <w:ind w:firstLine="470" w:firstLineChars="196"/>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rPr>
        <w:t>5、施工期土方开挖及占用土地，局部水土流失对生态环境影响。</w:t>
      </w:r>
    </w:p>
    <w:p>
      <w:pPr>
        <w:pStyle w:val="8"/>
        <w:spacing w:before="0" w:after="0" w:line="360" w:lineRule="auto"/>
        <w:ind w:left="0" w:firstLine="0"/>
        <w:rPr>
          <w:color w:val="auto"/>
          <w:highlight w:val="none"/>
        </w:rPr>
      </w:pPr>
      <w:bookmarkStart w:id="220" w:name="_Toc8077"/>
      <w:r>
        <w:rPr>
          <w:rFonts w:cs="Times New Roman"/>
          <w:color w:val="auto"/>
          <w:highlight w:val="none"/>
        </w:rPr>
        <w:t>施工期大气环境影响分析</w:t>
      </w:r>
      <w:bookmarkEnd w:id="220"/>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本项目施工期大气污染物的主要来源为施工扬尘、施工机械运行产生的无组织排放废气以及装修阶段的油漆废气，其中以施工扬尘对空气环境质量的影响最大。在施工过程中，其大气环境影响主要表现在：</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（1）基础施工中由于挖方、填方、推土、搬运泥土和水泥、石灰、沙石等材料的装卸、运输过程中有大量扬尘散逸到周围环境空气中；</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（2）施工期间，物料堆场由于吹风等原因会引起扬尘污染，尤其是在风速较大或装卸、汽车行驶速度较快的情况下，扬尘的污染尤为严重；</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（3）运输施工材料、设施的车辆以及内燃机、打桩机等施工机械在运行时排出的气体污染物将对空气造成危害。</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w:t>
      </w:r>
      <w:r>
        <w:rPr>
          <w:rFonts w:ascii="Times New Roman" w:hAnsi="Times New Roman" w:eastAsia="Arial Unicode MS" w:cs="Times New Roman"/>
          <w:color w:val="auto"/>
          <w:sz w:val="24"/>
          <w:szCs w:val="24"/>
          <w:highlight w:val="none"/>
        </w:rPr>
        <w:t>4</w:t>
      </w:r>
      <w:r>
        <w:rPr>
          <w:rFonts w:ascii="Times New Roman" w:hAnsi="Times New Roman" w:eastAsia="宋体" w:cs="Times New Roman"/>
          <w:color w:val="auto"/>
          <w:sz w:val="24"/>
          <w:szCs w:val="24"/>
          <w:highlight w:val="none"/>
        </w:rPr>
        <w:t>）项目在对建筑物的室内外进行装修时（如表面粉刷、油漆、喷涂、裱糊、镶贴装饰等工序）会产生废气。</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经综合对比，项目施工过程中的施工扬尘将是大气污染因子中对周边大气环境影响最大的一项，其产生量大、污染面广。</w:t>
      </w:r>
    </w:p>
    <w:p>
      <w:pPr>
        <w:ind w:firstLine="470" w:firstLineChars="196"/>
        <w:rPr>
          <w:rFonts w:hint="eastAsia" w:ascii="Times New Roman" w:hAnsi="Times New Roman" w:cs="Times New Roman"/>
          <w:color w:val="auto"/>
          <w:sz w:val="24"/>
          <w:highlight w:val="none"/>
        </w:rPr>
      </w:pP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1、施工扬尘影响分析</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工程施工时，在运输车辆行驶、施工垃圾的清理及堆放、人来车往、堆料场装卸材料等均可能产生扬尘。一般情况下，其产生量在有风旱季晴天多于无风和雨季，动态施工多于静态作业。</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扬尘污染造成大气中TSP值增高，施工扬尘的起尘量与许多因素有关。影响起尘量的因素包括：施工场地起尘量、进出车辆夹带泥砂量、水泥搬运量以及起尘高度、采取的防护措施、空气湿度、风速等因素有关。据有关调查显示，施工工地的扬尘主要是由运输车辆的行驶产生，约占扬尘总量的60%。由于道路扬尘量与车辆的行驶速度有关，速度越快，扬尘量越大，因此在施工场地对施工车辆必须实施限速行驶，同时施工现场主要运输道路尽量采用硬化路面并定时进行洒水抑尘。</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根据《中华人民共和国大气污染防治法》、国务院印发的《大气污染防治行动计划》（国发【2013】37号）和《四川省人民政府办公厅关于加强灰霾污染防治的通知》（川办发【2013】32号）精神，施工单位应认真执行</w:t>
      </w:r>
      <w:r>
        <w:rPr>
          <w:rFonts w:hint="eastAsia" w:ascii="Times New Roman" w:hAnsi="Times New Roman" w:eastAsia="宋体" w:cs="Times New Roman"/>
          <w:color w:val="auto"/>
          <w:sz w:val="24"/>
          <w:szCs w:val="24"/>
          <w:highlight w:val="none"/>
        </w:rPr>
        <w:t>《四川省&lt;中华人民共和国大气污染防治法&gt;实施办法》（2018修订）</w:t>
      </w:r>
      <w:r>
        <w:rPr>
          <w:rFonts w:ascii="Times New Roman" w:hAnsi="Times New Roman" w:eastAsia="宋体" w:cs="Times New Roman"/>
          <w:color w:val="auto"/>
          <w:sz w:val="24"/>
          <w:szCs w:val="24"/>
          <w:highlight w:val="none"/>
        </w:rPr>
        <w:t>中的相关规定。严格落实建设施工工地扬尘整治管理制度。做到“六必须”（必须围档作业、必须硬化道路、必须设置冲洗设施、必须及时洒水作业、必须落实保洁人员、必须定时清扫施工现场）、“六不准”（不准车辆带泥出门、不准运渣车辆冒顶装载、不准高空抛撒建筑垃圾、不准现场搅拌混凝土、不准场地积水、不准现场焚烧废弃物）。</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因此，本项目施工时要求施工现场定期对地面洒水、对撒落在路面的渣土及时清除、施工现场主要运输道路尽量采用硬化路面、自卸车、建筑垃圾运输车等运输车辆不允许超载，出场前一律清洗轮胎，用毡布覆盖，并且在施工区出口设置防尘飞扬垫等一系列措施，大大减少了施工扬尘对环境空气的影响。项目在施工过程中必须强化扬尘的控制措施，制定必要的防治措施，以减少施工扬尘对周围环境的影响。</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在施工过程中，施工单位必须严格落实本环评提出的扬尘控制措施，有效控制扬尘，使其对周围敏感保护目标的影响降至最低。项目在做到以上扬尘控制措施后，不会对项目周边的大气环境造成明显不利影响。</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2、施工机械废气影响分析</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施工期间，使用机动车运送原材料、设备和机械设备的运转，均会排放一定量的 CO、SO</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NOx以及未完全燃烧的THC等，其特点是排放量小、流动性强，且属间断性无组织排放，由于施工场地开阔，扩散条件良好，经自由扩散稀释后能够满足相应的排放标准。在施工期内应多加注意施工设备的维护，使其能够正常的运行，提高设备原料的利用率，不会对项目周边的大气环境造成明显不利影响。</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3、装修废气影响分析</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需对构筑物室内进行装修，装饰工程用油漆、涂料等会产生挥发性气体，其主要污染因子为甲苯、二甲苯和甲醛等，属无组织排放。本项目拟采用环保装饰材料，以减少有害废气的排放。在装修期间，应加强室内的通风换气，油漆喷涂结束完成以后，也应每天进行通风换气一至二个月后才能使用，项目运营后也要注意室内空气的流畅。在进行以上防治措施后，再加上项目所在场地扩散条件较好，因此本项目装修施工产生的废气可达标排放。</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综上所述，项目施工期将会对项目所在地的环境空气质量造成一定影响，但只要施工单位按照上述要求做好大气污染防治措施，即可以有效降低上述不良影响。此外，上述不良影响随着施工期的结束也会结束，因此，项目施工期结束后，不会对项目所在地环境空气质量造成明显不利影响。</w:t>
      </w:r>
    </w:p>
    <w:p>
      <w:pPr>
        <w:pStyle w:val="8"/>
        <w:spacing w:before="0" w:after="0" w:line="360" w:lineRule="auto"/>
        <w:ind w:left="0" w:firstLine="0"/>
        <w:rPr>
          <w:rFonts w:cs="Times New Roman"/>
          <w:color w:val="auto"/>
          <w:highlight w:val="none"/>
          <w:lang w:val="en-US" w:eastAsia="zh-CN"/>
        </w:rPr>
      </w:pPr>
      <w:bookmarkStart w:id="221" w:name="_Toc393093540"/>
      <w:bookmarkStart w:id="222" w:name="_Toc7990"/>
      <w:r>
        <w:rPr>
          <w:rFonts w:cs="Times New Roman"/>
          <w:color w:val="auto"/>
          <w:highlight w:val="none"/>
          <w:lang w:val="en-US" w:eastAsia="zh-CN"/>
        </w:rPr>
        <w:t>施工期水环境影响分析</w:t>
      </w:r>
      <w:bookmarkEnd w:id="221"/>
      <w:bookmarkEnd w:id="222"/>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施工期产生的废水包括施工人员生活污水、施工作业废水和暴雨径流初期雨水。</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1、生活污水</w:t>
      </w:r>
    </w:p>
    <w:p>
      <w:pPr>
        <w:spacing w:line="440" w:lineRule="exact"/>
        <w:ind w:firstLine="480" w:firstLineChars="200"/>
        <w:rPr>
          <w:rFonts w:ascii="Times New Roman" w:hAnsi="Times New Roman" w:eastAsia="宋体" w:cs="Times New Roman"/>
          <w:color w:val="auto"/>
          <w:spacing w:val="-2"/>
          <w:sz w:val="24"/>
          <w:szCs w:val="24"/>
          <w:highlight w:val="none"/>
        </w:rPr>
      </w:pPr>
      <w:r>
        <w:rPr>
          <w:rFonts w:ascii="Times New Roman" w:hAnsi="Times New Roman" w:eastAsia="宋体" w:cs="Times New Roman"/>
          <w:color w:val="auto"/>
          <w:sz w:val="24"/>
          <w:szCs w:val="24"/>
          <w:highlight w:val="none"/>
        </w:rPr>
        <w:t>本项目施工期生活污水主要是施工人员产生的生活污水。根据建设单位提供的数据资料，施工高峰期施工人员约100人，施工人员生活用水以50L/（人·d）计，用水量为5.0m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/d，污水产生量约占用水量的80%，即4.0m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/d。本项目施工期不在场地内设施工营地，施工人员依托周边居民房屋食宿，仅在施工场地设1座临时简易</w:t>
      </w:r>
      <w:r>
        <w:rPr>
          <w:rFonts w:hint="eastAsia" w:ascii="Times New Roman" w:hAnsi="Times New Roman" w:eastAsia="宋体" w:cs="Times New Roman"/>
          <w:color w:val="auto"/>
          <w:sz w:val="24"/>
          <w:szCs w:val="24"/>
          <w:highlight w:val="none"/>
          <w:lang w:eastAsia="zh-CN"/>
        </w:rPr>
        <w:t>预处理池</w:t>
      </w:r>
      <w:r>
        <w:rPr>
          <w:rFonts w:ascii="Times New Roman" w:hAnsi="Times New Roman" w:eastAsia="宋体" w:cs="Times New Roman"/>
          <w:color w:val="auto"/>
          <w:sz w:val="24"/>
          <w:szCs w:val="24"/>
          <w:highlight w:val="none"/>
        </w:rPr>
        <w:t>（10m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）收集处理施工期间施工人员产生的生活污水，经收集处理后定期清掏用于周边耕地施肥，不外排。</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2、施工作业废水</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施工阶段产生的施工作业包括施工现场车辆及机械设备清洗、混凝土养护等，废水中含有一定量的油污和泥沙，其中SS浓度可达3000～5000mg/L，石油类可达5～10mg/L；施工废水产生量约为3m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/d，施工场地设1个临时隔油池（1m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）、1 个临时沉淀池（5m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含SS、石油类的施工废水排入隔油池、沉淀池进行处理后回用于场地洒水降尘，不外排。本项目施工场区面积相对较大，施工场地洒水抑尘、养护需要消耗大量的水，能够完全消纳每天产生的施工作业废水，不外排。</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3、暴雨径流初期雨水</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雨季作业场面的地面径流水，含有一定量的泥土和高浓度的悬浮物，在施工场地周边设置截水沟和1个20m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的沉砂池，收集的初期雨水回用于项目洒水抑尘；开挖土方将作为回填土，回填土临时堆场周边设置截水沟，施工材料的临时堆场设置遮雨棚，下雨时不会受到雨水冲击而流失，不会影响周围地表水环境。</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综上所述，项目施工期产生的废水不会对项目所在区域的水环境造成明显不利影响。</w:t>
      </w:r>
    </w:p>
    <w:p>
      <w:pPr>
        <w:pStyle w:val="8"/>
        <w:spacing w:before="0" w:after="0" w:line="360" w:lineRule="auto"/>
        <w:ind w:left="0" w:firstLine="0"/>
        <w:rPr>
          <w:rFonts w:cs="Times New Roman"/>
          <w:color w:val="auto"/>
          <w:highlight w:val="none"/>
          <w:lang w:val="en-US" w:eastAsia="zh-CN"/>
        </w:rPr>
      </w:pPr>
      <w:bookmarkStart w:id="223" w:name="_Toc393093543"/>
      <w:bookmarkStart w:id="224" w:name="_Toc8847"/>
      <w:r>
        <w:rPr>
          <w:rFonts w:cs="Times New Roman"/>
          <w:color w:val="auto"/>
          <w:highlight w:val="none"/>
          <w:lang w:val="en-US" w:eastAsia="zh-CN"/>
        </w:rPr>
        <w:t>施工期声环境影响分析</w:t>
      </w:r>
      <w:bookmarkEnd w:id="223"/>
      <w:bookmarkEnd w:id="224"/>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施工期噪声源主要包括：地基开挖、构筑物砌筑、场地清理和使用施工机械的固定声源噪声以及施工运输车辆的流动噪声声源。经建筑工程施工工地噪声源强类比调查分析，确定拟建项目的噪声影响主要来源于施工现场（场址区内）的声源噪声，这些噪声将对作业人员和场址周围环境造成一定影响。因此现针对施工噪声进行声学环境影响预测分析。</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1</w:t>
      </w:r>
      <w:bookmarkStart w:id="225" w:name="_Toc393093544"/>
      <w:r>
        <w:rPr>
          <w:rFonts w:ascii="Times New Roman" w:hAnsi="Times New Roman" w:eastAsia="宋体" w:cs="Times New Roman"/>
          <w:b/>
          <w:color w:val="auto"/>
          <w:sz w:val="24"/>
          <w:szCs w:val="24"/>
          <w:highlight w:val="none"/>
        </w:rPr>
        <w:t>、噪声源强</w:t>
      </w:r>
      <w:bookmarkEnd w:id="225"/>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施工期的噪声主要来自于各种施工机械和车辆运输产生的作业噪声，声源强度70~100dB(A)。施工过程中，不同的阶段会使用不同的机械设备，使施工现场产生的噪声具有强度较高、无规则、不连续等特点。其强度与施工机械的功率、工作状态等因素有关。</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根据工程施工特点，可以把地面工程的施工期划分为：</w:t>
      </w:r>
      <w:r>
        <w:rPr>
          <w:rFonts w:hint="eastAsia" w:ascii="宋体" w:hAnsi="宋体" w:eastAsia="宋体" w:cs="宋体"/>
          <w:color w:val="auto"/>
          <w:sz w:val="24"/>
          <w:szCs w:val="24"/>
          <w:highlight w:val="none"/>
        </w:rPr>
        <w:t>①</w:t>
      </w:r>
      <w:r>
        <w:rPr>
          <w:rFonts w:ascii="Times New Roman" w:hAnsi="Times New Roman" w:eastAsia="宋体" w:cs="Times New Roman"/>
          <w:color w:val="auto"/>
          <w:sz w:val="24"/>
          <w:szCs w:val="24"/>
          <w:highlight w:val="none"/>
        </w:rPr>
        <w:t>土石方开挖阶段；</w:t>
      </w:r>
      <w:r>
        <w:rPr>
          <w:rFonts w:hint="eastAsia" w:ascii="宋体" w:hAnsi="宋体" w:eastAsia="宋体" w:cs="宋体"/>
          <w:color w:val="auto"/>
          <w:sz w:val="24"/>
          <w:szCs w:val="24"/>
          <w:highlight w:val="none"/>
        </w:rPr>
        <w:t>②</w:t>
      </w:r>
      <w:r>
        <w:rPr>
          <w:rFonts w:ascii="Times New Roman" w:hAnsi="Times New Roman" w:eastAsia="宋体" w:cs="Times New Roman"/>
          <w:color w:val="auto"/>
          <w:sz w:val="24"/>
          <w:szCs w:val="24"/>
          <w:highlight w:val="none"/>
        </w:rPr>
        <w:t>基础施工阶段；</w:t>
      </w:r>
      <w:r>
        <w:rPr>
          <w:rFonts w:hint="eastAsia" w:ascii="宋体" w:hAnsi="宋体" w:eastAsia="宋体" w:cs="宋体"/>
          <w:color w:val="auto"/>
          <w:sz w:val="24"/>
          <w:szCs w:val="24"/>
          <w:highlight w:val="none"/>
        </w:rPr>
        <w:t>③</w:t>
      </w:r>
      <w:r>
        <w:rPr>
          <w:rFonts w:ascii="Times New Roman" w:hAnsi="Times New Roman" w:eastAsia="宋体" w:cs="Times New Roman"/>
          <w:color w:val="auto"/>
          <w:sz w:val="24"/>
          <w:szCs w:val="24"/>
          <w:highlight w:val="none"/>
        </w:rPr>
        <w:t>主体结构施工阶段；各阶段具有独立的特性。第一阶段，主要是推土机、装载机以及各种车辆，大部分为移动声源，一般声功率级为82~95dB（A），没有明显的指向性；第二阶段，噪声源主要是各种打桩机，基本属于固定声源，打桩机系脉冲噪声，一般声功率级为70~105dB（A）左右；第三阶段，主要噪声源为混凝土搅拌机、振捣棒、电锯、电焊机等，其中包含一些敲打声，声功率级一般为80~95dB（A）。施工机械设备噪声源强见表3.4-4。</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w:t>
      </w:r>
      <w:bookmarkStart w:id="226" w:name="_Toc393093545"/>
      <w:r>
        <w:rPr>
          <w:rFonts w:ascii="Times New Roman" w:hAnsi="Times New Roman" w:eastAsia="宋体" w:cs="Times New Roman"/>
          <w:b/>
          <w:color w:val="auto"/>
          <w:sz w:val="24"/>
          <w:szCs w:val="24"/>
          <w:highlight w:val="none"/>
        </w:rPr>
        <w:t>、噪声预测</w:t>
      </w:r>
      <w:bookmarkEnd w:id="226"/>
      <w:r>
        <w:rPr>
          <w:rFonts w:ascii="Times New Roman" w:hAnsi="Times New Roman" w:eastAsia="宋体" w:cs="Times New Roman"/>
          <w:b/>
          <w:color w:val="auto"/>
          <w:sz w:val="24"/>
          <w:szCs w:val="24"/>
          <w:highlight w:val="none"/>
        </w:rPr>
        <w:t>评价</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项目施工机械噪声主要是低频噪声，仅考虑距离衰减值、场界围墙屏障等因素。本次预测采用点声源衰减模式，其预测模式如下：</w:t>
      </w:r>
    </w:p>
    <w:p>
      <w:pPr>
        <w:spacing w:line="240" w:lineRule="auto"/>
        <w:ind w:firstLine="0" w:firstLineChars="0"/>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drawing>
          <wp:inline distT="0" distB="0" distL="114300" distR="114300">
            <wp:extent cx="1866900" cy="438150"/>
            <wp:effectExtent l="0" t="0" r="0" b="0"/>
            <wp:docPr id="1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3"/>
                    <pic:cNvPicPr>
                      <a:picLocks noChangeAspect="1"/>
                    </pic:cNvPicPr>
                  </pic:nvPicPr>
                  <pic:blipFill>
                    <a:blip r:embed="rId45"/>
                    <a:stretch>
                      <a:fillRect/>
                    </a:stretch>
                  </pic:blipFill>
                  <pic:spPr>
                    <a:xfrm>
                      <a:off x="0" y="0"/>
                      <a:ext cx="1866900" cy="438150"/>
                    </a:xfrm>
                    <a:prstGeom prst="rect">
                      <a:avLst/>
                    </a:prstGeom>
                    <a:noFill/>
                    <a:ln>
                      <a:noFill/>
                    </a:ln>
                  </pic:spPr>
                </pic:pic>
              </a:graphicData>
            </a:graphic>
          </wp:inline>
        </w:drawing>
      </w:r>
    </w:p>
    <w:p>
      <w:pPr>
        <w:spacing w:line="440" w:lineRule="exact"/>
        <w:ind w:firstLine="480" w:firstLineChars="2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式中：</w:t>
      </w:r>
      <w:r>
        <w:rPr>
          <w:rFonts w:ascii="Times New Roman" w:hAnsi="Times New Roman" w:eastAsia="宋体" w:cs="Times New Roman"/>
          <w:i/>
          <w:color w:val="auto"/>
          <w:sz w:val="24"/>
          <w:szCs w:val="24"/>
          <w:highlight w:val="none"/>
        </w:rPr>
        <w:t>LA (r)</w:t>
      </w:r>
      <w:r>
        <w:rPr>
          <w:rFonts w:ascii="Times New Roman" w:hAnsi="Times New Roman" w:eastAsia="宋体" w:cs="Times New Roman"/>
          <w:color w:val="auto"/>
          <w:sz w:val="24"/>
          <w:szCs w:val="24"/>
          <w:highlight w:val="none"/>
        </w:rPr>
        <w:t>——距离声源</w:t>
      </w:r>
      <w:r>
        <w:rPr>
          <w:rFonts w:ascii="Times New Roman" w:hAnsi="Times New Roman" w:eastAsia="宋体" w:cs="Times New Roman"/>
          <w:i/>
          <w:color w:val="auto"/>
          <w:sz w:val="24"/>
          <w:szCs w:val="24"/>
          <w:highlight w:val="none"/>
        </w:rPr>
        <w:t>r</w:t>
      </w:r>
      <w:r>
        <w:rPr>
          <w:rFonts w:ascii="Times New Roman" w:hAnsi="Times New Roman" w:eastAsia="宋体" w:cs="Times New Roman"/>
          <w:color w:val="auto"/>
          <w:sz w:val="24"/>
          <w:szCs w:val="24"/>
          <w:highlight w:val="none"/>
        </w:rPr>
        <w:t>处的A声级，dB(A)；</w:t>
      </w:r>
    </w:p>
    <w:p>
      <w:pPr>
        <w:spacing w:line="440" w:lineRule="exact"/>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i/>
          <w:color w:val="auto"/>
          <w:sz w:val="24"/>
          <w:szCs w:val="24"/>
          <w:highlight w:val="none"/>
        </w:rPr>
        <w:t>LA (r</w:t>
      </w:r>
      <w:r>
        <w:rPr>
          <w:rFonts w:ascii="Times New Roman" w:hAnsi="Times New Roman" w:eastAsia="宋体" w:cs="Times New Roman"/>
          <w:i/>
          <w:color w:val="auto"/>
          <w:sz w:val="24"/>
          <w:szCs w:val="24"/>
          <w:highlight w:val="none"/>
          <w:vertAlign w:val="subscript"/>
        </w:rPr>
        <w:t>0</w:t>
      </w:r>
      <w:r>
        <w:rPr>
          <w:rFonts w:ascii="Times New Roman" w:hAnsi="Times New Roman" w:eastAsia="宋体" w:cs="Times New Roman"/>
          <w:i/>
          <w:color w:val="auto"/>
          <w:sz w:val="24"/>
          <w:szCs w:val="24"/>
          <w:highlight w:val="none"/>
        </w:rPr>
        <w:t>)</w:t>
      </w:r>
      <w:r>
        <w:rPr>
          <w:rFonts w:ascii="Times New Roman" w:hAnsi="Times New Roman" w:eastAsia="宋体" w:cs="Times New Roman"/>
          <w:color w:val="auto"/>
          <w:sz w:val="24"/>
          <w:szCs w:val="24"/>
          <w:highlight w:val="none"/>
        </w:rPr>
        <w:t>——距声源</w:t>
      </w:r>
      <w:r>
        <w:rPr>
          <w:rFonts w:ascii="Times New Roman" w:hAnsi="Times New Roman" w:eastAsia="宋体" w:cs="Times New Roman"/>
          <w:i/>
          <w:color w:val="auto"/>
          <w:sz w:val="24"/>
          <w:szCs w:val="24"/>
          <w:highlight w:val="none"/>
        </w:rPr>
        <w:t>r</w:t>
      </w:r>
      <w:r>
        <w:rPr>
          <w:rFonts w:ascii="Times New Roman" w:hAnsi="Times New Roman" w:eastAsia="宋体" w:cs="Times New Roman"/>
          <w:i/>
          <w:color w:val="auto"/>
          <w:sz w:val="24"/>
          <w:szCs w:val="24"/>
          <w:highlight w:val="none"/>
          <w:vertAlign w:val="subscript"/>
        </w:rPr>
        <w:t>0</w:t>
      </w:r>
      <w:r>
        <w:rPr>
          <w:rFonts w:ascii="Times New Roman" w:hAnsi="Times New Roman" w:eastAsia="宋体" w:cs="Times New Roman"/>
          <w:color w:val="auto"/>
          <w:sz w:val="24"/>
          <w:szCs w:val="24"/>
          <w:highlight w:val="none"/>
        </w:rPr>
        <w:t xml:space="preserve">处的A声级，dB(A)； </w:t>
      </w:r>
    </w:p>
    <w:p>
      <w:pPr>
        <w:spacing w:line="440" w:lineRule="exact"/>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i/>
          <w:color w:val="auto"/>
          <w:sz w:val="24"/>
          <w:szCs w:val="24"/>
          <w:highlight w:val="none"/>
        </w:rPr>
        <w:t>r</w:t>
      </w:r>
      <w:r>
        <w:rPr>
          <w:rFonts w:ascii="Times New Roman" w:hAnsi="Times New Roman" w:eastAsia="宋体" w:cs="Times New Roman"/>
          <w:i/>
          <w:color w:val="auto"/>
          <w:sz w:val="24"/>
          <w:szCs w:val="24"/>
          <w:highlight w:val="none"/>
          <w:vertAlign w:val="subscript"/>
        </w:rPr>
        <w:t>0</w:t>
      </w:r>
      <w:r>
        <w:rPr>
          <w:rFonts w:ascii="Times New Roman" w:hAnsi="Times New Roman" w:eastAsia="宋体" w:cs="Times New Roman"/>
          <w:color w:val="auto"/>
          <w:sz w:val="24"/>
          <w:szCs w:val="24"/>
          <w:highlight w:val="none"/>
        </w:rPr>
        <w:t>、</w:t>
      </w:r>
      <w:r>
        <w:rPr>
          <w:rFonts w:ascii="Times New Roman" w:hAnsi="Times New Roman" w:eastAsia="宋体" w:cs="Times New Roman"/>
          <w:i/>
          <w:color w:val="auto"/>
          <w:sz w:val="24"/>
          <w:szCs w:val="24"/>
          <w:highlight w:val="none"/>
        </w:rPr>
        <w:t>r</w:t>
      </w:r>
      <w:r>
        <w:rPr>
          <w:rFonts w:ascii="Times New Roman" w:hAnsi="Times New Roman" w:eastAsia="宋体" w:cs="Times New Roman"/>
          <w:color w:val="auto"/>
          <w:sz w:val="24"/>
          <w:szCs w:val="24"/>
          <w:highlight w:val="none"/>
        </w:rPr>
        <w:t>——距声源的距离，m；</w:t>
      </w:r>
    </w:p>
    <w:p>
      <w:pPr>
        <w:spacing w:line="440" w:lineRule="exact"/>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i/>
          <w:color w:val="auto"/>
          <w:sz w:val="24"/>
          <w:szCs w:val="24"/>
          <w:highlight w:val="none"/>
        </w:rPr>
        <w:t>ΔL</w:t>
      </w:r>
      <w:r>
        <w:rPr>
          <w:rFonts w:ascii="Times New Roman" w:hAnsi="Times New Roman" w:eastAsia="宋体" w:cs="Times New Roman"/>
          <w:color w:val="auto"/>
          <w:sz w:val="24"/>
          <w:szCs w:val="24"/>
          <w:highlight w:val="none"/>
        </w:rPr>
        <w:t>——其他因素引起的噪声衰减量，一般取0~15dB(A)。</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由上式预测单个噪声源在评价点的贡献值，再将不同声源在该点的贡献值用对数法叠加，得出多个噪声源对该点噪声的贡献值，采用的模式如下：</w:t>
      </w:r>
    </w:p>
    <w:p>
      <w:pPr>
        <w:spacing w:line="240" w:lineRule="auto"/>
        <w:ind w:firstLine="0" w:firstLineChars="0"/>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position w:val="-28"/>
          <w:sz w:val="24"/>
          <w:szCs w:val="24"/>
          <w:highlight w:val="none"/>
        </w:rPr>
        <w:drawing>
          <wp:inline distT="0" distB="0" distL="114300" distR="114300">
            <wp:extent cx="1388745" cy="485775"/>
            <wp:effectExtent l="0" t="0" r="0" b="8255"/>
            <wp:docPr id="1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4"/>
                    <pic:cNvPicPr>
                      <a:picLocks noChangeAspect="1"/>
                    </pic:cNvPicPr>
                  </pic:nvPicPr>
                  <pic:blipFill>
                    <a:blip r:embed="rId46"/>
                    <a:stretch>
                      <a:fillRect/>
                    </a:stretch>
                  </pic:blipFill>
                  <pic:spPr>
                    <a:xfrm>
                      <a:off x="0" y="0"/>
                      <a:ext cx="1388745" cy="485775"/>
                    </a:xfrm>
                    <a:prstGeom prst="rect">
                      <a:avLst/>
                    </a:prstGeom>
                    <a:noFill/>
                    <a:ln>
                      <a:noFill/>
                    </a:ln>
                  </pic:spPr>
                </pic:pic>
              </a:graphicData>
            </a:graphic>
          </wp:inline>
        </w:drawing>
      </w:r>
    </w:p>
    <w:p>
      <w:pPr>
        <w:spacing w:line="440" w:lineRule="exact"/>
        <w:ind w:firstLine="480" w:firstLineChars="2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式中：</w:t>
      </w:r>
      <w:r>
        <w:rPr>
          <w:rFonts w:ascii="Times New Roman" w:hAnsi="Times New Roman" w:eastAsia="宋体" w:cs="Times New Roman"/>
          <w:i/>
          <w:color w:val="auto"/>
          <w:sz w:val="24"/>
          <w:szCs w:val="24"/>
          <w:highlight w:val="none"/>
        </w:rPr>
        <w:t>L</w:t>
      </w:r>
      <w:r>
        <w:rPr>
          <w:rFonts w:ascii="Times New Roman" w:hAnsi="Times New Roman" w:eastAsia="宋体" w:cs="Times New Roman"/>
          <w:color w:val="auto"/>
          <w:sz w:val="24"/>
          <w:szCs w:val="24"/>
          <w:highlight w:val="none"/>
        </w:rPr>
        <w:t>——叠加后总声压级，dB(A)；</w:t>
      </w:r>
    </w:p>
    <w:p>
      <w:pPr>
        <w:spacing w:line="440" w:lineRule="exact"/>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i/>
          <w:color w:val="auto"/>
          <w:sz w:val="24"/>
          <w:szCs w:val="24"/>
          <w:highlight w:val="none"/>
        </w:rPr>
        <w:t>L</w:t>
      </w:r>
      <w:r>
        <w:rPr>
          <w:rFonts w:ascii="Times New Roman" w:hAnsi="Times New Roman" w:eastAsia="宋体" w:cs="Times New Roman"/>
          <w:i/>
          <w:color w:val="auto"/>
          <w:sz w:val="24"/>
          <w:szCs w:val="24"/>
          <w:highlight w:val="none"/>
          <w:vertAlign w:val="subscript"/>
        </w:rPr>
        <w:t>i</w:t>
      </w:r>
      <w:r>
        <w:rPr>
          <w:rFonts w:ascii="Times New Roman" w:hAnsi="Times New Roman" w:eastAsia="宋体" w:cs="Times New Roman"/>
          <w:color w:val="auto"/>
          <w:sz w:val="24"/>
          <w:szCs w:val="24"/>
          <w:highlight w:val="none"/>
        </w:rPr>
        <w:t>——各声源的噪声值，dB(A)；</w:t>
      </w:r>
    </w:p>
    <w:p>
      <w:pPr>
        <w:spacing w:line="440" w:lineRule="exact"/>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i/>
          <w:color w:val="auto"/>
          <w:sz w:val="24"/>
          <w:szCs w:val="24"/>
          <w:highlight w:val="none"/>
        </w:rPr>
        <w:t>n</w:t>
      </w:r>
      <w:r>
        <w:rPr>
          <w:rFonts w:ascii="Times New Roman" w:hAnsi="Times New Roman" w:eastAsia="宋体" w:cs="Times New Roman"/>
          <w:color w:val="auto"/>
          <w:sz w:val="24"/>
          <w:szCs w:val="24"/>
          <w:highlight w:val="none"/>
        </w:rPr>
        <w:t>——声源个数。</w:t>
      </w:r>
    </w:p>
    <w:p>
      <w:pPr>
        <w:spacing w:line="440" w:lineRule="exact"/>
        <w:ind w:firstLine="480" w:firstLineChars="200"/>
        <w:rPr>
          <w:rFonts w:hint="default" w:ascii="Times New Roman" w:hAnsi="Times New Roman" w:eastAsia="宋体" w:cs="Times New Roman"/>
          <w:b/>
          <w:color w:val="auto"/>
          <w:kern w:val="2"/>
          <w:sz w:val="21"/>
          <w:szCs w:val="24"/>
          <w:highlight w:val="none"/>
          <w:lang w:val="en-US" w:eastAsia="zh-CN" w:bidi="ar-SA"/>
        </w:rPr>
      </w:pPr>
      <w:r>
        <w:rPr>
          <w:rFonts w:ascii="Times New Roman" w:hAnsi="Times New Roman" w:eastAsia="宋体" w:cs="Times New Roman"/>
          <w:color w:val="auto"/>
          <w:sz w:val="24"/>
          <w:szCs w:val="24"/>
          <w:highlight w:val="none"/>
        </w:rPr>
        <w:t>根据上述公式及项目与周围主要敏感点的距离，可计算出建设项目在施工过程中各种主要噪声源对环境的影响程度，计算单台设备噪声随距离的衰减情况见表5.1-1。</w:t>
      </w:r>
    </w:p>
    <w:p>
      <w:pPr>
        <w:widowControl w:val="0"/>
        <w:numPr>
          <w:ilvl w:val="0"/>
          <w:numId w:val="34"/>
        </w:numPr>
        <w:spacing w:after="0" w:afterLines="0" w:line="360" w:lineRule="auto"/>
        <w:ind w:left="0" w:leftChars="0" w:firstLine="0" w:firstLineChars="0"/>
        <w:jc w:val="center"/>
        <w:rPr>
          <w:rFonts w:ascii="Times New Roman" w:hAnsi="Times New Roman" w:eastAsia="宋体" w:cs="Times New Roman"/>
          <w:b/>
          <w:color w:val="auto"/>
          <w:kern w:val="2"/>
          <w:sz w:val="21"/>
          <w:szCs w:val="24"/>
          <w:highlight w:val="none"/>
          <w:lang w:val="en-US" w:eastAsia="zh-CN" w:bidi="ar-SA"/>
        </w:rPr>
      </w:pPr>
      <w:r>
        <w:rPr>
          <w:rFonts w:ascii="Times New Roman" w:hAnsi="Times New Roman" w:eastAsia="宋体" w:cs="Times New Roman"/>
          <w:b/>
          <w:color w:val="auto"/>
          <w:kern w:val="2"/>
          <w:sz w:val="21"/>
          <w:szCs w:val="24"/>
          <w:highlight w:val="none"/>
          <w:lang w:val="en-US" w:eastAsia="zh-CN" w:bidi="ar-SA"/>
        </w:rPr>
        <w:t>单台设备运转噪声辐射值计算表  单位：dB（A）</w:t>
      </w:r>
    </w:p>
    <w:tbl>
      <w:tblPr>
        <w:tblStyle w:val="91"/>
        <w:tblW w:w="4999" w:type="pct"/>
        <w:tblInd w:w="0" w:type="dxa"/>
        <w:tblLayout w:type="autofit"/>
        <w:tblCellMar>
          <w:top w:w="0" w:type="dxa"/>
          <w:left w:w="0" w:type="dxa"/>
          <w:bottom w:w="0" w:type="dxa"/>
          <w:right w:w="0" w:type="dxa"/>
        </w:tblCellMar>
      </w:tblPr>
      <w:tblGrid>
        <w:gridCol w:w="1408"/>
        <w:gridCol w:w="1114"/>
        <w:gridCol w:w="824"/>
        <w:gridCol w:w="826"/>
        <w:gridCol w:w="824"/>
        <w:gridCol w:w="826"/>
        <w:gridCol w:w="824"/>
        <w:gridCol w:w="826"/>
        <w:gridCol w:w="832"/>
      </w:tblGrid>
      <w:tr>
        <w:tblPrEx>
          <w:tblCellMar>
            <w:top w:w="0" w:type="dxa"/>
            <w:left w:w="0" w:type="dxa"/>
            <w:bottom w:w="0" w:type="dxa"/>
            <w:right w:w="0" w:type="dxa"/>
          </w:tblCellMar>
        </w:tblPrEx>
        <w:tc>
          <w:tcPr>
            <w:tcW w:w="848" w:type="pct"/>
            <w:vMerge w:val="restart"/>
            <w:tcBorders>
              <w:top w:val="single" w:color="auto" w:sz="12"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设备名称</w:t>
            </w:r>
          </w:p>
        </w:tc>
        <w:tc>
          <w:tcPr>
            <w:tcW w:w="671" w:type="pct"/>
            <w:vMerge w:val="restart"/>
            <w:tcBorders>
              <w:top w:val="single" w:color="auto" w:sz="12"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声级测值距离声源</w:t>
            </w:r>
          </w:p>
        </w:tc>
        <w:tc>
          <w:tcPr>
            <w:tcW w:w="3480" w:type="pct"/>
            <w:gridSpan w:val="7"/>
            <w:tcBorders>
              <w:top w:val="single" w:color="auto" w:sz="12"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距离（m）</w:t>
            </w:r>
          </w:p>
        </w:tc>
      </w:tr>
      <w:tr>
        <w:tblPrEx>
          <w:tblCellMar>
            <w:top w:w="0" w:type="dxa"/>
            <w:left w:w="0" w:type="dxa"/>
            <w:bottom w:w="0" w:type="dxa"/>
            <w:right w:w="0" w:type="dxa"/>
          </w:tblCellMar>
        </w:tblPrEx>
        <w:tc>
          <w:tcPr>
            <w:tcW w:w="848" w:type="pct"/>
            <w:vMerge w:val="continue"/>
            <w:tcBorders>
              <w:top w:val="single" w:color="000000" w:sz="10"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671" w:type="pct"/>
            <w:vMerge w:val="continue"/>
            <w:tcBorders>
              <w:top w:val="single" w:color="000000" w:sz="10"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10</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20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40</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50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60</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100</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200</w:t>
            </w:r>
          </w:p>
        </w:tc>
      </w:tr>
      <w:tr>
        <w:tblPrEx>
          <w:tblCellMar>
            <w:top w:w="0" w:type="dxa"/>
            <w:left w:w="0" w:type="dxa"/>
            <w:bottom w:w="0" w:type="dxa"/>
            <w:right w:w="0" w:type="dxa"/>
          </w:tblCellMar>
        </w:tblPrEx>
        <w:tc>
          <w:tcPr>
            <w:tcW w:w="848" w:type="pct"/>
            <w:tcBorders>
              <w:top w:val="single" w:color="000000" w:sz="4"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液压挖掘机</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90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70</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64.0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57.9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56.0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54.4</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44.0</w:t>
            </w:r>
          </w:p>
        </w:tc>
      </w:tr>
      <w:tr>
        <w:tblPrEx>
          <w:tblCellMar>
            <w:top w:w="0" w:type="dxa"/>
            <w:left w:w="0" w:type="dxa"/>
            <w:bottom w:w="0" w:type="dxa"/>
            <w:right w:w="0" w:type="dxa"/>
          </w:tblCellMar>
        </w:tblPrEx>
        <w:tc>
          <w:tcPr>
            <w:tcW w:w="848" w:type="pct"/>
            <w:tcBorders>
              <w:top w:val="single" w:color="000000" w:sz="4"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挖掘机</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86</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66</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60.0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53.9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52.0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50.4</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46</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40.0</w:t>
            </w:r>
          </w:p>
        </w:tc>
      </w:tr>
      <w:tr>
        <w:tblPrEx>
          <w:tblCellMar>
            <w:top w:w="0" w:type="dxa"/>
            <w:left w:w="0" w:type="dxa"/>
            <w:bottom w:w="0" w:type="dxa"/>
            <w:right w:w="0" w:type="dxa"/>
          </w:tblCellMar>
        </w:tblPrEx>
        <w:tc>
          <w:tcPr>
            <w:tcW w:w="848" w:type="pct"/>
            <w:tcBorders>
              <w:top w:val="single" w:color="000000" w:sz="4"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轮式装载机</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95</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75</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68.9</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63.9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61.0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59.4</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55</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49.0</w:t>
            </w:r>
          </w:p>
        </w:tc>
      </w:tr>
      <w:tr>
        <w:tblPrEx>
          <w:tblCellMar>
            <w:top w:w="0" w:type="dxa"/>
            <w:left w:w="0" w:type="dxa"/>
            <w:bottom w:w="0" w:type="dxa"/>
            <w:right w:w="0" w:type="dxa"/>
          </w:tblCellMar>
        </w:tblPrEx>
        <w:tc>
          <w:tcPr>
            <w:tcW w:w="848" w:type="pct"/>
            <w:tcBorders>
              <w:top w:val="single" w:color="000000" w:sz="4"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推土机</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88</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68</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61.9</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55.9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54.0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52.4</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48</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41.9</w:t>
            </w:r>
          </w:p>
        </w:tc>
      </w:tr>
      <w:tr>
        <w:tblPrEx>
          <w:tblCellMar>
            <w:top w:w="0" w:type="dxa"/>
            <w:left w:w="0" w:type="dxa"/>
            <w:bottom w:w="0" w:type="dxa"/>
            <w:right w:w="0" w:type="dxa"/>
          </w:tblCellMar>
        </w:tblPrEx>
        <w:tc>
          <w:tcPr>
            <w:tcW w:w="848" w:type="pct"/>
            <w:tcBorders>
              <w:top w:val="single" w:color="000000" w:sz="4"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各类压路机</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90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70</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64.0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57.9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56.0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54.4</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44.0</w:t>
            </w:r>
          </w:p>
        </w:tc>
      </w:tr>
      <w:tr>
        <w:tblPrEx>
          <w:tblCellMar>
            <w:top w:w="0" w:type="dxa"/>
            <w:left w:w="0" w:type="dxa"/>
            <w:bottom w:w="0" w:type="dxa"/>
            <w:right w:w="0" w:type="dxa"/>
          </w:tblCellMar>
        </w:tblPrEx>
        <w:tc>
          <w:tcPr>
            <w:tcW w:w="848" w:type="pct"/>
            <w:tcBorders>
              <w:top w:val="single" w:color="000000" w:sz="4"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重型运输车</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90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70</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64.0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57.9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56.0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54.4</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44.0</w:t>
            </w:r>
          </w:p>
        </w:tc>
      </w:tr>
      <w:tr>
        <w:tblPrEx>
          <w:tblCellMar>
            <w:top w:w="0" w:type="dxa"/>
            <w:left w:w="0" w:type="dxa"/>
            <w:bottom w:w="0" w:type="dxa"/>
            <w:right w:w="0" w:type="dxa"/>
          </w:tblCellMar>
        </w:tblPrEx>
        <w:tc>
          <w:tcPr>
            <w:tcW w:w="848" w:type="pct"/>
            <w:tcBorders>
              <w:top w:val="single" w:color="000000" w:sz="4"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木工电锯</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99</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72.9</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66.9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65.0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63.4</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59</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52.9</w:t>
            </w:r>
          </w:p>
        </w:tc>
      </w:tr>
      <w:tr>
        <w:tblPrEx>
          <w:tblCellMar>
            <w:top w:w="0" w:type="dxa"/>
            <w:left w:w="0" w:type="dxa"/>
            <w:bottom w:w="0" w:type="dxa"/>
            <w:right w:w="0" w:type="dxa"/>
          </w:tblCellMar>
        </w:tblPrEx>
        <w:tc>
          <w:tcPr>
            <w:tcW w:w="848" w:type="pct"/>
            <w:tcBorders>
              <w:top w:val="single" w:color="000000" w:sz="4"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电锤</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100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80</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73.9</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67.9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66.0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64.4</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60</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53.9</w:t>
            </w:r>
          </w:p>
        </w:tc>
      </w:tr>
      <w:tr>
        <w:tblPrEx>
          <w:tblCellMar>
            <w:top w:w="0" w:type="dxa"/>
            <w:left w:w="0" w:type="dxa"/>
            <w:bottom w:w="0" w:type="dxa"/>
            <w:right w:w="0" w:type="dxa"/>
          </w:tblCellMar>
        </w:tblPrEx>
        <w:tc>
          <w:tcPr>
            <w:tcW w:w="848" w:type="pct"/>
            <w:tcBorders>
              <w:top w:val="single" w:color="000000" w:sz="4"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振动夯锤</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100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80</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73.9</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67.9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66.0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64.4</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60</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53.9</w:t>
            </w:r>
          </w:p>
        </w:tc>
      </w:tr>
      <w:tr>
        <w:tblPrEx>
          <w:tblCellMar>
            <w:top w:w="0" w:type="dxa"/>
            <w:left w:w="0" w:type="dxa"/>
            <w:bottom w:w="0" w:type="dxa"/>
            <w:right w:w="0" w:type="dxa"/>
          </w:tblCellMar>
        </w:tblPrEx>
        <w:tc>
          <w:tcPr>
            <w:tcW w:w="848" w:type="pct"/>
            <w:tcBorders>
              <w:top w:val="single" w:color="000000" w:sz="4" w:space="0"/>
              <w:left w:val="nil"/>
              <w:bottom w:val="single" w:color="000000" w:sz="10"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混凝土输送泵</w:t>
            </w:r>
          </w:p>
        </w:tc>
        <w:tc>
          <w:tcPr>
            <w:tcW w:w="671" w:type="pct"/>
            <w:tcBorders>
              <w:top w:val="single" w:color="000000" w:sz="4" w:space="0"/>
              <w:left w:val="single" w:color="000000" w:sz="4" w:space="0"/>
              <w:bottom w:val="single" w:color="000000" w:sz="10"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95</w:t>
            </w:r>
          </w:p>
        </w:tc>
        <w:tc>
          <w:tcPr>
            <w:tcW w:w="496" w:type="pct"/>
            <w:tcBorders>
              <w:top w:val="single" w:color="000000" w:sz="4" w:space="0"/>
              <w:left w:val="single" w:color="000000" w:sz="4" w:space="0"/>
              <w:bottom w:val="single" w:color="000000" w:sz="10"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75</w:t>
            </w:r>
          </w:p>
        </w:tc>
        <w:tc>
          <w:tcPr>
            <w:tcW w:w="497" w:type="pct"/>
            <w:tcBorders>
              <w:top w:val="single" w:color="000000" w:sz="4" w:space="0"/>
              <w:left w:val="single" w:color="000000" w:sz="4" w:space="0"/>
              <w:bottom w:val="single" w:color="000000" w:sz="10"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68.9</w:t>
            </w:r>
          </w:p>
        </w:tc>
        <w:tc>
          <w:tcPr>
            <w:tcW w:w="496" w:type="pct"/>
            <w:tcBorders>
              <w:top w:val="single" w:color="000000" w:sz="4" w:space="0"/>
              <w:left w:val="single" w:color="000000" w:sz="4" w:space="0"/>
              <w:bottom w:val="single" w:color="000000" w:sz="10"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63.9</w:t>
            </w:r>
          </w:p>
        </w:tc>
        <w:tc>
          <w:tcPr>
            <w:tcW w:w="497" w:type="pct"/>
            <w:tcBorders>
              <w:top w:val="single" w:color="000000" w:sz="4" w:space="0"/>
              <w:left w:val="single" w:color="000000" w:sz="4" w:space="0"/>
              <w:bottom w:val="single" w:color="000000" w:sz="10"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61.0</w:t>
            </w:r>
          </w:p>
        </w:tc>
        <w:tc>
          <w:tcPr>
            <w:tcW w:w="496" w:type="pct"/>
            <w:tcBorders>
              <w:top w:val="single" w:color="000000" w:sz="4" w:space="0"/>
              <w:left w:val="single" w:color="000000" w:sz="4" w:space="0"/>
              <w:bottom w:val="single" w:color="000000" w:sz="10"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59.4</w:t>
            </w:r>
          </w:p>
        </w:tc>
        <w:tc>
          <w:tcPr>
            <w:tcW w:w="497" w:type="pct"/>
            <w:tcBorders>
              <w:top w:val="single" w:color="000000" w:sz="4" w:space="0"/>
              <w:left w:val="single" w:color="000000" w:sz="4" w:space="0"/>
              <w:bottom w:val="single" w:color="000000" w:sz="10"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55</w:t>
            </w:r>
          </w:p>
        </w:tc>
        <w:tc>
          <w:tcPr>
            <w:tcW w:w="496" w:type="pct"/>
            <w:tcBorders>
              <w:top w:val="single" w:color="000000" w:sz="4" w:space="0"/>
              <w:left w:val="single" w:color="000000" w:sz="4" w:space="0"/>
              <w:bottom w:val="single" w:color="000000" w:sz="10"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49.0</w:t>
            </w:r>
          </w:p>
        </w:tc>
      </w:tr>
      <w:tr>
        <w:tblPrEx>
          <w:tblCellMar>
            <w:top w:w="0" w:type="dxa"/>
            <w:left w:w="0" w:type="dxa"/>
            <w:bottom w:w="0" w:type="dxa"/>
            <w:right w:w="0" w:type="dxa"/>
          </w:tblCellMar>
        </w:tblPrEx>
        <w:tc>
          <w:tcPr>
            <w:tcW w:w="848" w:type="pct"/>
            <w:tcBorders>
              <w:top w:val="single" w:color="000000" w:sz="4"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商砼运输车</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90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70</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64.0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57.9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56.0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54.4</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50</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44.0</w:t>
            </w:r>
          </w:p>
        </w:tc>
      </w:tr>
      <w:tr>
        <w:tblPrEx>
          <w:tblCellMar>
            <w:top w:w="0" w:type="dxa"/>
            <w:left w:w="0" w:type="dxa"/>
            <w:bottom w:w="0" w:type="dxa"/>
            <w:right w:w="0" w:type="dxa"/>
          </w:tblCellMar>
        </w:tblPrEx>
        <w:tc>
          <w:tcPr>
            <w:tcW w:w="848" w:type="pct"/>
            <w:tcBorders>
              <w:top w:val="single" w:color="000000" w:sz="4" w:space="0"/>
              <w:left w:val="nil"/>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混凝土振捣器</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88</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68</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61.9</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55.9</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54.0</w:t>
            </w:r>
          </w:p>
        </w:tc>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52.4</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48</w:t>
            </w:r>
          </w:p>
        </w:tc>
        <w:tc>
          <w:tcPr>
            <w:tcW w:w="496" w:type="pct"/>
            <w:tcBorders>
              <w:top w:val="single" w:color="000000" w:sz="4" w:space="0"/>
              <w:left w:val="single" w:color="000000" w:sz="4" w:space="0"/>
              <w:bottom w:val="single" w:color="000000" w:sz="4"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41.9</w:t>
            </w:r>
          </w:p>
        </w:tc>
      </w:tr>
      <w:tr>
        <w:tblPrEx>
          <w:tblCellMar>
            <w:top w:w="0" w:type="dxa"/>
            <w:left w:w="0" w:type="dxa"/>
            <w:bottom w:w="0" w:type="dxa"/>
            <w:right w:w="0" w:type="dxa"/>
          </w:tblCellMar>
        </w:tblPrEx>
        <w:tc>
          <w:tcPr>
            <w:tcW w:w="848" w:type="pct"/>
            <w:tcBorders>
              <w:top w:val="single" w:color="000000" w:sz="4" w:space="0"/>
              <w:left w:val="nil"/>
              <w:bottom w:val="single" w:color="auto" w:sz="12"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空压机</w:t>
            </w:r>
          </w:p>
        </w:tc>
        <w:tc>
          <w:tcPr>
            <w:tcW w:w="671" w:type="pct"/>
            <w:tcBorders>
              <w:top w:val="single" w:color="000000" w:sz="4" w:space="0"/>
              <w:left w:val="single" w:color="000000" w:sz="4" w:space="0"/>
              <w:bottom w:val="single" w:color="auto" w:sz="12"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92</w:t>
            </w:r>
          </w:p>
        </w:tc>
        <w:tc>
          <w:tcPr>
            <w:tcW w:w="496" w:type="pct"/>
            <w:tcBorders>
              <w:top w:val="single" w:color="000000" w:sz="4" w:space="0"/>
              <w:left w:val="single" w:color="000000" w:sz="4" w:space="0"/>
              <w:bottom w:val="single" w:color="auto" w:sz="12"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72</w:t>
            </w:r>
          </w:p>
        </w:tc>
        <w:tc>
          <w:tcPr>
            <w:tcW w:w="497" w:type="pct"/>
            <w:tcBorders>
              <w:top w:val="single" w:color="000000" w:sz="4" w:space="0"/>
              <w:left w:val="single" w:color="000000" w:sz="4" w:space="0"/>
              <w:bottom w:val="single" w:color="auto" w:sz="12"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65.9</w:t>
            </w:r>
          </w:p>
        </w:tc>
        <w:tc>
          <w:tcPr>
            <w:tcW w:w="496" w:type="pct"/>
            <w:tcBorders>
              <w:top w:val="single" w:color="000000" w:sz="4" w:space="0"/>
              <w:left w:val="single" w:color="000000" w:sz="4" w:space="0"/>
              <w:bottom w:val="single" w:color="auto" w:sz="12"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59.9</w:t>
            </w:r>
          </w:p>
        </w:tc>
        <w:tc>
          <w:tcPr>
            <w:tcW w:w="497" w:type="pct"/>
            <w:tcBorders>
              <w:top w:val="single" w:color="000000" w:sz="4" w:space="0"/>
              <w:left w:val="single" w:color="000000" w:sz="4" w:space="0"/>
              <w:bottom w:val="single" w:color="auto" w:sz="12"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58.0</w:t>
            </w:r>
          </w:p>
        </w:tc>
        <w:tc>
          <w:tcPr>
            <w:tcW w:w="496" w:type="pct"/>
            <w:tcBorders>
              <w:top w:val="single" w:color="000000" w:sz="4" w:space="0"/>
              <w:left w:val="single" w:color="000000" w:sz="4" w:space="0"/>
              <w:bottom w:val="single" w:color="auto" w:sz="12"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56.4</w:t>
            </w:r>
          </w:p>
        </w:tc>
        <w:tc>
          <w:tcPr>
            <w:tcW w:w="497" w:type="pct"/>
            <w:tcBorders>
              <w:top w:val="single" w:color="000000" w:sz="4" w:space="0"/>
              <w:left w:val="single" w:color="000000" w:sz="4" w:space="0"/>
              <w:bottom w:val="single" w:color="auto" w:sz="12"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52</w:t>
            </w:r>
          </w:p>
        </w:tc>
        <w:tc>
          <w:tcPr>
            <w:tcW w:w="496" w:type="pct"/>
            <w:tcBorders>
              <w:top w:val="single" w:color="000000" w:sz="4" w:space="0"/>
              <w:left w:val="single" w:color="000000" w:sz="4" w:space="0"/>
              <w:bottom w:val="single" w:color="auto" w:sz="12" w:space="0"/>
              <w:right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45.9</w:t>
            </w:r>
          </w:p>
        </w:tc>
      </w:tr>
    </w:tbl>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从表5.1-1可知，单台施工机械噪声昼间在距施工场地约40m处满足《建筑施工场界环境噪声排放标准》（GB12523-2011）规定的标准要求。由于高噪声机械设备施工只在昼间进行，且施工期是暂时的，噪声属不连续排放。因此施工期间噪声值可满足《建筑施工场界环境噪声排放标准》（GB12523-2011）标准的要求，施工噪声可实现达标排放。本项目</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舍等建筑物周边200m范围内无居民等敏感点，因此施工期噪声对周围居民影响不大。</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为了进一步减小施工期噪声的影响，环评要求合理布设固定源机械（如空压机），尽量布置于远离居民点，在场地四周设置施工围挡（1.8m高），加强施工期环境管理，在此条件下施工噪声不会对周围声环境敏感点带来不利影响，不会改变施工场地周边声功能区划。材料运输安排在白天进行，在经过村庄时采取限速、禁鸣等措施，在此前提下，运输车辆产生的噪声不会改变沿线声功能区划。在采取相关噪声治理措施后，施工期产生的噪声贡献值较小，不会对周围敏感点产生明显影响。</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综上所述，施工单位和建设单位应严格执行《建筑施工场界环境噪声排放标准》（GB12523-2011）标准，加强施工过程的管理，制定合理的施工作业计划，合理布局施工以及安排施工作业时间，将噪声级大的施工作业尽可能安排在白天进行，并从管理上采取措施；将有固定工作地点的施工机械设置在距敏感点较远的位置上，以降低施工噪声对环境的影响。</w:t>
      </w:r>
    </w:p>
    <w:p>
      <w:pPr>
        <w:pStyle w:val="8"/>
        <w:spacing w:before="0" w:after="0" w:line="360" w:lineRule="auto"/>
        <w:ind w:left="0" w:firstLine="0"/>
        <w:rPr>
          <w:rFonts w:cs="Times New Roman"/>
          <w:color w:val="auto"/>
          <w:highlight w:val="none"/>
          <w:lang w:val="en-US" w:eastAsia="zh-CN"/>
        </w:rPr>
      </w:pPr>
      <w:bookmarkStart w:id="227" w:name="_Toc4274"/>
      <w:bookmarkStart w:id="228" w:name="_Toc393093548"/>
      <w:r>
        <w:rPr>
          <w:rFonts w:cs="Times New Roman"/>
          <w:color w:val="auto"/>
          <w:highlight w:val="none"/>
          <w:lang w:val="en-US" w:eastAsia="zh-CN"/>
        </w:rPr>
        <w:t>施工期固废环境影响分析</w:t>
      </w:r>
      <w:bookmarkEnd w:id="227"/>
      <w:bookmarkEnd w:id="228"/>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本项目施工期产生的固体废弃物主要为施工人员产生的生活垃圾和各种建筑垃圾等。</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1</w:t>
      </w:r>
      <w:bookmarkStart w:id="229" w:name="_Toc393093549"/>
      <w:r>
        <w:rPr>
          <w:rFonts w:ascii="Times New Roman" w:hAnsi="Times New Roman" w:eastAsia="宋体" w:cs="Times New Roman"/>
          <w:b/>
          <w:color w:val="auto"/>
          <w:sz w:val="24"/>
          <w:szCs w:val="24"/>
          <w:highlight w:val="none"/>
        </w:rPr>
        <w:t>、生活垃圾</w:t>
      </w:r>
      <w:bookmarkEnd w:id="229"/>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本项目施工高峰期施工人员约100人，生活垃圾按0.5kg/d·人计，产生量为 50kg/d。施工人员每日产生的生活垃圾应经过袋装收集后，交由当地环卫部门统一清运处置，不会对区域环境质量构成潜在的影响因素。</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w:t>
      </w:r>
      <w:bookmarkStart w:id="230" w:name="_Toc393093550"/>
      <w:r>
        <w:rPr>
          <w:rFonts w:ascii="Times New Roman" w:hAnsi="Times New Roman" w:eastAsia="宋体" w:cs="Times New Roman"/>
          <w:b/>
          <w:color w:val="auto"/>
          <w:sz w:val="24"/>
          <w:szCs w:val="24"/>
          <w:highlight w:val="none"/>
        </w:rPr>
        <w:t>、建筑</w:t>
      </w:r>
      <w:bookmarkEnd w:id="230"/>
      <w:r>
        <w:rPr>
          <w:rFonts w:ascii="Times New Roman" w:hAnsi="Times New Roman" w:eastAsia="宋体" w:cs="Times New Roman"/>
          <w:b/>
          <w:color w:val="auto"/>
          <w:sz w:val="24"/>
          <w:szCs w:val="24"/>
          <w:highlight w:val="none"/>
        </w:rPr>
        <w:t>垃圾</w:t>
      </w:r>
    </w:p>
    <w:p>
      <w:pPr>
        <w:spacing w:line="440" w:lineRule="exact"/>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sz w:val="24"/>
          <w:szCs w:val="24"/>
          <w:highlight w:val="none"/>
        </w:rPr>
        <w:t>施工过程中产生的砂土、石块、水泥、碎木料、锯木屑、废金属、钢筋、铁丝、土石方等建筑垃圾约</w:t>
      </w:r>
      <w:r>
        <w:rPr>
          <w:rFonts w:hint="eastAsia" w:ascii="Times New Roman" w:hAnsi="Times New Roman" w:eastAsia="宋体" w:cs="Times New Roman"/>
          <w:color w:val="auto"/>
          <w:sz w:val="24"/>
          <w:szCs w:val="24"/>
          <w:highlight w:val="none"/>
          <w:lang w:val="en-US" w:eastAsia="zh-CN"/>
        </w:rPr>
        <w:t>375.275</w:t>
      </w:r>
      <w:r>
        <w:rPr>
          <w:rFonts w:ascii="Times New Roman" w:hAnsi="Times New Roman" w:eastAsia="宋体" w:cs="Times New Roman"/>
          <w:color w:val="auto"/>
          <w:sz w:val="24"/>
          <w:szCs w:val="24"/>
          <w:highlight w:val="none"/>
        </w:rPr>
        <w:t>t，施工单位必须加强管理，集中收集。建筑垃圾中废金属、废钢筋、废铁丝、废砖块、废木料等应尽量回收利用，其他不能回收利用的建筑垃圾清运至当地管理部门指定的受纳场地堆放，严禁乱倾乱倒。建筑施工单位在建设项目竣工后，应随即清理、清运完建筑垃圾。</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3、弃土弃渣</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根据主体工程设计资料，项目挖方量（主要包括</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舍基础开挖、环保处理设施基坑开挖、</w:t>
      </w:r>
      <w:r>
        <w:rPr>
          <w:rFonts w:hint="eastAsia" w:ascii="Times New Roman" w:hAnsi="Times New Roman" w:eastAsia="宋体" w:cs="Times New Roman"/>
          <w:color w:val="auto"/>
          <w:sz w:val="24"/>
          <w:szCs w:val="24"/>
          <w:highlight w:val="none"/>
          <w:lang w:eastAsia="zh-CN"/>
        </w:rPr>
        <w:t>尾水暂存池</w:t>
      </w:r>
      <w:r>
        <w:rPr>
          <w:rFonts w:ascii="Times New Roman" w:hAnsi="Times New Roman" w:eastAsia="宋体" w:cs="Times New Roman"/>
          <w:color w:val="auto"/>
          <w:sz w:val="24"/>
          <w:szCs w:val="24"/>
          <w:highlight w:val="none"/>
        </w:rPr>
        <w:t>基坑开挖等）约为18.6万m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，填方量（场地低处平整、厂区硬化区土地压实、绿化区需要的表土）约为15.5万m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，剩余土方量（主要为表土）约为3.1万m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，用作修建周边道路绿化覆土、本项目绿化工程的填方及绿化覆土及周边农田整治覆土。工程不产生弃土，不设置弃土场。</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综上所述，项目施工期在严格落实上述措施后，其施工期的固体废弃物可得到有效处理和处置，不会造成二次污染。施工结束后，即可基本消除，影响区域的各环境要素基本得以恢复。</w:t>
      </w:r>
    </w:p>
    <w:p>
      <w:pPr>
        <w:pStyle w:val="8"/>
        <w:spacing w:before="0" w:after="0" w:line="360" w:lineRule="auto"/>
        <w:ind w:left="0" w:firstLine="0"/>
        <w:rPr>
          <w:rFonts w:cs="Times New Roman"/>
          <w:color w:val="auto"/>
          <w:highlight w:val="none"/>
          <w:lang w:val="en-US" w:eastAsia="zh-CN"/>
        </w:rPr>
      </w:pPr>
      <w:bookmarkStart w:id="231" w:name="_Toc8241"/>
      <w:r>
        <w:rPr>
          <w:rFonts w:cs="Times New Roman"/>
          <w:color w:val="auto"/>
          <w:highlight w:val="none"/>
          <w:lang w:val="en-US" w:eastAsia="zh-CN"/>
        </w:rPr>
        <w:t>施工期生态环境影响分析</w:t>
      </w:r>
      <w:bookmarkEnd w:id="231"/>
    </w:p>
    <w:p>
      <w:pPr>
        <w:spacing w:line="440" w:lineRule="exact"/>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项目</w:t>
      </w:r>
      <w:r>
        <w:rPr>
          <w:rFonts w:ascii="Times New Roman" w:hAnsi="Times New Roman" w:eastAsia="宋体" w:cs="Times New Roman"/>
          <w:color w:val="auto"/>
          <w:sz w:val="24"/>
          <w:szCs w:val="24"/>
          <w:highlight w:val="none"/>
        </w:rPr>
        <w:t>用地现状为</w:t>
      </w:r>
      <w:r>
        <w:rPr>
          <w:rFonts w:hint="eastAsia" w:ascii="Times New Roman" w:hAnsi="Times New Roman" w:eastAsia="宋体" w:cs="Times New Roman"/>
          <w:color w:val="auto"/>
          <w:sz w:val="24"/>
          <w:szCs w:val="24"/>
          <w:highlight w:val="none"/>
          <w:lang w:val="en-US" w:eastAsia="zh-CN"/>
        </w:rPr>
        <w:t>设施农用地</w:t>
      </w:r>
      <w:r>
        <w:rPr>
          <w:rFonts w:ascii="Times New Roman" w:hAnsi="Times New Roman" w:eastAsia="宋体" w:cs="Times New Roman"/>
          <w:color w:val="auto"/>
          <w:sz w:val="24"/>
          <w:szCs w:val="24"/>
          <w:highlight w:val="none"/>
        </w:rPr>
        <w:t>，用地面积为</w:t>
      </w:r>
      <w:r>
        <w:rPr>
          <w:rFonts w:hint="eastAsia" w:ascii="Times New Roman" w:hAnsi="Times New Roman" w:eastAsia="宋体" w:cs="Times New Roman"/>
          <w:color w:val="auto"/>
          <w:sz w:val="24"/>
          <w:szCs w:val="24"/>
          <w:highlight w:val="none"/>
          <w:lang w:val="en-US" w:eastAsia="zh-CN"/>
        </w:rPr>
        <w:t>512.52亩</w:t>
      </w:r>
      <w:r>
        <w:rPr>
          <w:rFonts w:ascii="Times New Roman" w:hAnsi="Times New Roman" w:eastAsia="宋体" w:cs="Times New Roman"/>
          <w:color w:val="auto"/>
          <w:sz w:val="24"/>
          <w:szCs w:val="24"/>
          <w:highlight w:val="none"/>
        </w:rPr>
        <w:t>，</w:t>
      </w:r>
      <w:r>
        <w:rPr>
          <w:rFonts w:ascii="Times New Roman" w:hAnsi="Times New Roman" w:eastAsia="宋体" w:cs="Times New Roman"/>
          <w:color w:val="auto"/>
          <w:kern w:val="0"/>
          <w:sz w:val="24"/>
          <w:szCs w:val="24"/>
          <w:highlight w:val="none"/>
        </w:rPr>
        <w:t>项目建设过程中将影响项目区内动植物生存环境、农村生态环境，改变区域土地利用现状，引发水土流失等。</w:t>
      </w:r>
    </w:p>
    <w:p>
      <w:pPr>
        <w:spacing w:line="440" w:lineRule="exact"/>
        <w:ind w:firstLine="482" w:firstLineChars="200"/>
        <w:rPr>
          <w:rFonts w:ascii="Times New Roman" w:hAnsi="Times New Roman" w:eastAsia="宋体" w:cs="Times New Roman"/>
          <w:b/>
          <w:color w:val="auto"/>
          <w:kern w:val="0"/>
          <w:sz w:val="24"/>
          <w:szCs w:val="24"/>
          <w:highlight w:val="none"/>
        </w:rPr>
      </w:pPr>
      <w:r>
        <w:rPr>
          <w:rFonts w:ascii="Times New Roman" w:hAnsi="Times New Roman" w:eastAsia="宋体" w:cs="Times New Roman"/>
          <w:b/>
          <w:color w:val="auto"/>
          <w:kern w:val="0"/>
          <w:sz w:val="24"/>
          <w:szCs w:val="24"/>
          <w:highlight w:val="none"/>
        </w:rPr>
        <w:t>1、水土流失</w:t>
      </w:r>
    </w:p>
    <w:p>
      <w:pPr>
        <w:spacing w:line="440" w:lineRule="exact"/>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工程的建设将会损坏原有的地形、地貌和植被，建设过程中的施工活动扰动了原有的土地结构，致使土体抗侵蚀能力降低，同时由于开挖量大，增大了风蚀和水蚀的强度。此外，由于项目地形、地貌和施工条件，有可能产生施工临时堆土，临时堆土场堆土若高度大、坡度陡，遇暴雨有可能产生比较严重的水土流失。</w:t>
      </w:r>
    </w:p>
    <w:p>
      <w:pPr>
        <w:spacing w:line="440" w:lineRule="exact"/>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禁止将建筑垃圾、石块、弃土等随意堆放、丢弃在建筑红线以外，尽量将挖土方就地填埋自行消化，地面上设计为绿化带，进行植被恢复，将其对地表的影响降至最低；本工程项目面积较大，施工中无需征用临时占地；合理安排各工段施工顺序、合理布置施工现场、做好施工进度计划表、缩短工期；使停车场、环卫设施及绿化工程等基础设施尽量同时完工，这样有利于减少水土流失对环境的影响。</w:t>
      </w:r>
    </w:p>
    <w:p>
      <w:pPr>
        <w:spacing w:line="440" w:lineRule="exact"/>
        <w:ind w:firstLine="482" w:firstLineChars="200"/>
        <w:rPr>
          <w:rFonts w:ascii="Times New Roman" w:hAnsi="Times New Roman" w:eastAsia="宋体" w:cs="Times New Roman"/>
          <w:b/>
          <w:color w:val="auto"/>
          <w:kern w:val="0"/>
          <w:sz w:val="24"/>
          <w:szCs w:val="24"/>
          <w:highlight w:val="none"/>
        </w:rPr>
      </w:pPr>
      <w:r>
        <w:rPr>
          <w:rFonts w:ascii="Times New Roman" w:hAnsi="Times New Roman" w:eastAsia="宋体" w:cs="Times New Roman"/>
          <w:b/>
          <w:color w:val="auto"/>
          <w:kern w:val="0"/>
          <w:sz w:val="24"/>
          <w:szCs w:val="24"/>
          <w:highlight w:val="none"/>
        </w:rPr>
        <w:t>2、植被影响分析</w:t>
      </w:r>
    </w:p>
    <w:p>
      <w:pPr>
        <w:spacing w:line="440" w:lineRule="exact"/>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工程占地对植被的影响，主要影响因素包括项目建构筑物、设备的修建、绿化工程占地及施工人员、施工机械对地表的践踏等。</w:t>
      </w:r>
    </w:p>
    <w:p>
      <w:pPr>
        <w:spacing w:line="440" w:lineRule="exact"/>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项目</w:t>
      </w:r>
      <w:r>
        <w:rPr>
          <w:rFonts w:ascii="Times New Roman" w:hAnsi="Times New Roman" w:eastAsia="宋体" w:cs="Times New Roman"/>
          <w:color w:val="auto"/>
          <w:sz w:val="24"/>
          <w:szCs w:val="24"/>
          <w:highlight w:val="none"/>
        </w:rPr>
        <w:t>用地面积为</w:t>
      </w:r>
      <w:r>
        <w:rPr>
          <w:rFonts w:hint="eastAsia" w:ascii="Times New Roman" w:hAnsi="Times New Roman" w:eastAsia="宋体" w:cs="Times New Roman"/>
          <w:color w:val="auto"/>
          <w:sz w:val="24"/>
          <w:szCs w:val="24"/>
          <w:highlight w:val="none"/>
          <w:lang w:val="en-US" w:eastAsia="zh-CN"/>
        </w:rPr>
        <w:t>512.52亩</w:t>
      </w:r>
      <w:r>
        <w:rPr>
          <w:rFonts w:ascii="Times New Roman" w:hAnsi="Times New Roman" w:eastAsia="宋体" w:cs="Times New Roman"/>
          <w:color w:val="auto"/>
          <w:sz w:val="24"/>
          <w:szCs w:val="24"/>
          <w:highlight w:val="none"/>
        </w:rPr>
        <w:t>，</w:t>
      </w:r>
      <w:r>
        <w:rPr>
          <w:rFonts w:ascii="Times New Roman" w:hAnsi="Times New Roman" w:eastAsia="宋体" w:cs="Times New Roman"/>
          <w:color w:val="auto"/>
          <w:kern w:val="0"/>
          <w:sz w:val="24"/>
          <w:szCs w:val="24"/>
          <w:highlight w:val="none"/>
        </w:rPr>
        <w:t>主要为</w:t>
      </w:r>
      <w:r>
        <w:rPr>
          <w:rFonts w:hint="eastAsia" w:ascii="Times New Roman" w:hAnsi="Times New Roman" w:eastAsia="宋体" w:cs="Times New Roman"/>
          <w:color w:val="auto"/>
          <w:kern w:val="0"/>
          <w:sz w:val="24"/>
          <w:szCs w:val="24"/>
          <w:highlight w:val="none"/>
          <w:lang w:val="en-US" w:eastAsia="zh-CN"/>
        </w:rPr>
        <w:t>设施农用地</w:t>
      </w:r>
      <w:r>
        <w:rPr>
          <w:rFonts w:ascii="Times New Roman" w:hAnsi="Times New Roman" w:eastAsia="宋体" w:cs="Times New Roman"/>
          <w:color w:val="auto"/>
          <w:kern w:val="0"/>
          <w:sz w:val="24"/>
          <w:szCs w:val="24"/>
          <w:highlight w:val="none"/>
        </w:rPr>
        <w:t>，土地占用主要为农作物的减少。根据调查，项目施工区域无珍稀名贵植物。除工程建筑和道路不同程度的占地外，其余地表基本绿化。项目占地面积相对于所在区域比例较小，区域雨水丰富，气候适宜，破坏植被通过补偿措施容易恢复；项目建设开发强度不大，施工人员、施工机械对地表的践踏程度较轻，在1~2年后即可恢复。因此，本项目施工期对植被不会产生大的影响。</w:t>
      </w:r>
    </w:p>
    <w:p>
      <w:pPr>
        <w:spacing w:line="440" w:lineRule="exact"/>
        <w:ind w:firstLine="482" w:firstLineChars="200"/>
        <w:rPr>
          <w:rFonts w:ascii="Times New Roman" w:hAnsi="Times New Roman" w:eastAsia="宋体" w:cs="Times New Roman"/>
          <w:b/>
          <w:color w:val="auto"/>
          <w:kern w:val="0"/>
          <w:sz w:val="24"/>
          <w:szCs w:val="24"/>
          <w:highlight w:val="none"/>
        </w:rPr>
      </w:pPr>
      <w:r>
        <w:rPr>
          <w:rFonts w:ascii="Times New Roman" w:hAnsi="Times New Roman" w:eastAsia="宋体" w:cs="Times New Roman"/>
          <w:b/>
          <w:color w:val="auto"/>
          <w:kern w:val="0"/>
          <w:sz w:val="24"/>
          <w:szCs w:val="24"/>
          <w:highlight w:val="none"/>
        </w:rPr>
        <w:t>3、野生动物影响分析</w:t>
      </w:r>
    </w:p>
    <w:p>
      <w:pPr>
        <w:spacing w:line="440" w:lineRule="exact"/>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施工期对野生动物的主要影响因素为车辆运输、工程建设等施工行为可能影响野生动物的栖息环境。施工期间，施工队伍生活污水收集处理、生活垃圾等定点收集清运，不会对周围环境及野生动物产生明显不利影响。</w:t>
      </w:r>
    </w:p>
    <w:p>
      <w:pPr>
        <w:spacing w:line="440" w:lineRule="exact"/>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根据现状调查，评价区为农业生态系统，人类扰动较大，无珍稀濒危野生保护动物分布，区域内仅有鼠类、蛇类等广布种动物，不具有较大保护价值。因此，只要加强对施工人员的监督和环保意识的宣传，工程对区域内野生动物不会产生较大影响。</w:t>
      </w:r>
    </w:p>
    <w:p>
      <w:pPr>
        <w:spacing w:line="440" w:lineRule="exact"/>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综上所述，通过采取上述措施后，大大减少了因施工造成的水土流失，对生态环境的影响也降低到了最低。因此，本工程施工期不会对所在区域生态环境造成明显不利影响。</w:t>
      </w:r>
    </w:p>
    <w:p>
      <w:pPr>
        <w:spacing w:line="440" w:lineRule="exact"/>
        <w:ind w:firstLine="482" w:firstLineChars="200"/>
        <w:rPr>
          <w:color w:val="auto"/>
          <w:highlight w:val="none"/>
        </w:rPr>
      </w:pPr>
      <w:r>
        <w:rPr>
          <w:rFonts w:ascii="Times New Roman" w:hAnsi="Times New Roman" w:eastAsia="宋体" w:cs="Times New Roman"/>
          <w:b/>
          <w:color w:val="auto"/>
          <w:sz w:val="24"/>
          <w:szCs w:val="24"/>
          <w:highlight w:val="none"/>
        </w:rPr>
        <w:t>综上，项目施工期的影响是暂时的，在施工结束后影响区域的各环境要素基本都可以得到恢复。需认真制定和落实施工期应采取的环保措施，只要施工单位做到文明施工并加强施工人员的环境保护安全意识教育，工程施工的环境影响问题可得到有效控制或消除，可使其对环境的影响降至最小程度。</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default" w:ascii="Times New Roman" w:hAnsi="Times New Roman" w:eastAsia="宋体" w:cs="Times New Roman"/>
          <w:color w:val="auto"/>
          <w:highlight w:val="none"/>
        </w:rPr>
      </w:pPr>
      <w:bookmarkStart w:id="232" w:name="_Toc23729"/>
      <w:r>
        <w:rPr>
          <w:rFonts w:hint="default" w:ascii="Times New Roman" w:hAnsi="Times New Roman" w:eastAsia="宋体" w:cs="Times New Roman"/>
          <w:color w:val="auto"/>
          <w:highlight w:val="none"/>
        </w:rPr>
        <w:t>营运期环境影响评价</w:t>
      </w:r>
      <w:bookmarkEnd w:id="232"/>
    </w:p>
    <w:p>
      <w:pPr>
        <w:pStyle w:val="8"/>
        <w:spacing w:before="0" w:after="0" w:line="360" w:lineRule="auto"/>
        <w:ind w:left="0" w:firstLine="0"/>
        <w:rPr>
          <w:rFonts w:cs="Times New Roman"/>
          <w:color w:val="auto"/>
          <w:highlight w:val="none"/>
        </w:rPr>
      </w:pPr>
      <w:bookmarkStart w:id="233" w:name="_Toc15402"/>
      <w:r>
        <w:rPr>
          <w:rFonts w:cs="Times New Roman"/>
          <w:color w:val="auto"/>
          <w:highlight w:val="none"/>
        </w:rPr>
        <w:t>大气环境影响分析</w:t>
      </w:r>
      <w:bookmarkEnd w:id="233"/>
    </w:p>
    <w:p>
      <w:pPr>
        <w:spacing w:line="440" w:lineRule="exact"/>
        <w:ind w:firstLine="480" w:firstLineChars="200"/>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根据工程分析，本项目排放的废气主要有</w:t>
      </w:r>
      <w:r>
        <w:rPr>
          <w:rFonts w:hint="eastAsia" w:ascii="Times New Roman" w:hAnsi="Times New Roman" w:eastAsia="宋体" w:cs="Times New Roman"/>
          <w:color w:val="auto"/>
          <w:kern w:val="0"/>
          <w:sz w:val="24"/>
          <w:szCs w:val="24"/>
          <w:highlight w:val="none"/>
          <w:lang w:eastAsia="zh-CN"/>
        </w:rPr>
        <w:t>牛舍</w:t>
      </w:r>
      <w:r>
        <w:rPr>
          <w:rFonts w:hint="eastAsia" w:ascii="Times New Roman" w:hAnsi="Times New Roman" w:eastAsia="宋体" w:cs="Times New Roman"/>
          <w:color w:val="auto"/>
          <w:kern w:val="0"/>
          <w:sz w:val="24"/>
          <w:szCs w:val="24"/>
          <w:highlight w:val="none"/>
        </w:rPr>
        <w:t>、污水处理站、</w:t>
      </w:r>
      <w:r>
        <w:rPr>
          <w:rFonts w:hint="eastAsia" w:ascii="Times New Roman" w:hAnsi="Times New Roman" w:eastAsia="宋体" w:cs="Times New Roman"/>
          <w:color w:val="auto"/>
          <w:kern w:val="0"/>
          <w:sz w:val="24"/>
          <w:szCs w:val="24"/>
          <w:highlight w:val="none"/>
          <w:lang w:eastAsia="zh-CN"/>
        </w:rPr>
        <w:t>干粪棚</w:t>
      </w:r>
      <w:r>
        <w:rPr>
          <w:rFonts w:hint="eastAsia" w:ascii="Times New Roman" w:hAnsi="Times New Roman" w:eastAsia="宋体" w:cs="Times New Roman"/>
          <w:color w:val="auto"/>
          <w:kern w:val="0"/>
          <w:sz w:val="24"/>
          <w:szCs w:val="24"/>
          <w:highlight w:val="none"/>
        </w:rPr>
        <w:t>及</w:t>
      </w:r>
      <w:r>
        <w:rPr>
          <w:rFonts w:hint="eastAsia" w:ascii="Times New Roman" w:hAnsi="Times New Roman" w:eastAsia="宋体" w:cs="Times New Roman"/>
          <w:color w:val="auto"/>
          <w:kern w:val="0"/>
          <w:sz w:val="24"/>
          <w:szCs w:val="24"/>
          <w:highlight w:val="none"/>
          <w:lang w:eastAsia="zh-CN"/>
        </w:rPr>
        <w:t>无害化降解处理机</w:t>
      </w:r>
      <w:r>
        <w:rPr>
          <w:rFonts w:hint="eastAsia" w:ascii="Times New Roman" w:hAnsi="Times New Roman" w:eastAsia="宋体" w:cs="Times New Roman"/>
          <w:color w:val="auto"/>
          <w:kern w:val="0"/>
          <w:sz w:val="24"/>
          <w:szCs w:val="24"/>
          <w:highlight w:val="none"/>
        </w:rPr>
        <w:t>产生的恶臭气体（主要为NH</w:t>
      </w:r>
      <w:r>
        <w:rPr>
          <w:rFonts w:hint="eastAsia" w:ascii="Times New Roman" w:hAnsi="Times New Roman" w:eastAsia="宋体" w:cs="Times New Roman"/>
          <w:color w:val="auto"/>
          <w:kern w:val="0"/>
          <w:sz w:val="24"/>
          <w:szCs w:val="24"/>
          <w:highlight w:val="none"/>
          <w:vertAlign w:val="subscript"/>
        </w:rPr>
        <w:t>3</w:t>
      </w:r>
      <w:r>
        <w:rPr>
          <w:rFonts w:hint="eastAsia" w:ascii="Times New Roman" w:hAnsi="Times New Roman" w:eastAsia="宋体" w:cs="Times New Roman"/>
          <w:color w:val="auto"/>
          <w:kern w:val="0"/>
          <w:sz w:val="24"/>
          <w:szCs w:val="24"/>
          <w:highlight w:val="none"/>
        </w:rPr>
        <w:t>和H</w:t>
      </w:r>
      <w:r>
        <w:rPr>
          <w:rFonts w:hint="eastAsia" w:ascii="Times New Roman" w:hAnsi="Times New Roman" w:eastAsia="宋体" w:cs="Times New Roman"/>
          <w:color w:val="auto"/>
          <w:kern w:val="0"/>
          <w:sz w:val="24"/>
          <w:szCs w:val="24"/>
          <w:highlight w:val="none"/>
          <w:vertAlign w:val="subscript"/>
        </w:rPr>
        <w:t>2</w:t>
      </w:r>
      <w:r>
        <w:rPr>
          <w:rFonts w:hint="eastAsia" w:ascii="Times New Roman" w:hAnsi="Times New Roman" w:eastAsia="宋体" w:cs="Times New Roman"/>
          <w:color w:val="auto"/>
          <w:kern w:val="0"/>
          <w:sz w:val="24"/>
          <w:szCs w:val="24"/>
          <w:highlight w:val="none"/>
        </w:rPr>
        <w:t>S）、食堂（采取清洁能源沼气作为能源）排放的餐饮油烟。但食堂油烟排放量小，经油烟净化器处理后引至屋顶排放，对周围环境影响较小；沼气为清洁能源，其主要成分为甲烷，其燃烧排放的烟气主要污染物为</w:t>
      </w:r>
      <w:r>
        <w:rPr>
          <w:rFonts w:hint="eastAsia" w:ascii="Times New Roman" w:hAnsi="Times New Roman" w:eastAsia="宋体" w:cs="Times New Roman"/>
          <w:color w:val="auto"/>
          <w:kern w:val="0"/>
          <w:sz w:val="24"/>
          <w:szCs w:val="24"/>
          <w:highlight w:val="none"/>
          <w:lang w:val="en-US" w:eastAsia="zh-CN"/>
        </w:rPr>
        <w:t>CO</w:t>
      </w:r>
      <w:r>
        <w:rPr>
          <w:rFonts w:hint="eastAsia" w:ascii="Times New Roman" w:hAnsi="Times New Roman" w:eastAsia="宋体" w:cs="Times New Roman"/>
          <w:color w:val="auto"/>
          <w:kern w:val="0"/>
          <w:sz w:val="24"/>
          <w:szCs w:val="24"/>
          <w:highlight w:val="none"/>
          <w:vertAlign w:val="subscript"/>
          <w:lang w:val="en-US" w:eastAsia="zh-CN"/>
        </w:rPr>
        <w:t>2</w:t>
      </w:r>
      <w:r>
        <w:rPr>
          <w:rFonts w:hint="eastAsia" w:ascii="Times New Roman" w:hAnsi="Times New Roman" w:eastAsia="宋体" w:cs="Times New Roman"/>
          <w:color w:val="auto"/>
          <w:kern w:val="0"/>
          <w:sz w:val="24"/>
          <w:szCs w:val="24"/>
          <w:highlight w:val="none"/>
          <w:lang w:val="en-US" w:eastAsia="zh-CN"/>
        </w:rPr>
        <w:t>、水</w:t>
      </w:r>
      <w:r>
        <w:rPr>
          <w:rFonts w:hint="eastAsia" w:ascii="Times New Roman" w:hAnsi="Times New Roman" w:eastAsia="宋体" w:cs="Times New Roman"/>
          <w:color w:val="auto"/>
          <w:kern w:val="0"/>
          <w:sz w:val="24"/>
          <w:szCs w:val="24"/>
          <w:highlight w:val="none"/>
        </w:rPr>
        <w:t>；</w:t>
      </w:r>
      <w:r>
        <w:rPr>
          <w:rFonts w:hint="eastAsia" w:ascii="Times New Roman" w:hAnsi="Times New Roman" w:eastAsia="宋体" w:cs="Times New Roman"/>
          <w:color w:val="auto"/>
          <w:kern w:val="0"/>
          <w:sz w:val="24"/>
          <w:szCs w:val="24"/>
          <w:highlight w:val="none"/>
          <w:lang w:eastAsia="zh-CN"/>
        </w:rPr>
        <w:t>无害化降解处理机</w:t>
      </w:r>
      <w:r>
        <w:rPr>
          <w:rFonts w:hint="eastAsia" w:ascii="Times New Roman" w:hAnsi="Times New Roman" w:eastAsia="宋体" w:cs="Times New Roman"/>
          <w:color w:val="auto"/>
          <w:kern w:val="0"/>
          <w:sz w:val="24"/>
          <w:szCs w:val="24"/>
          <w:highlight w:val="none"/>
        </w:rPr>
        <w:t>为一套密闭设备，且间歇运行，类比其他项目检测报告，其对周围环境影响较小。因此，本次评价主要选取</w:t>
      </w:r>
      <w:r>
        <w:rPr>
          <w:rFonts w:hint="eastAsia" w:ascii="Times New Roman" w:hAnsi="Times New Roman" w:eastAsia="宋体" w:cs="Times New Roman"/>
          <w:color w:val="auto"/>
          <w:kern w:val="0"/>
          <w:sz w:val="24"/>
          <w:szCs w:val="24"/>
          <w:highlight w:val="none"/>
          <w:lang w:eastAsia="zh-CN"/>
        </w:rPr>
        <w:t>牛</w:t>
      </w:r>
      <w:r>
        <w:rPr>
          <w:rFonts w:hint="eastAsia" w:ascii="Times New Roman" w:hAnsi="Times New Roman" w:eastAsia="宋体" w:cs="Times New Roman"/>
          <w:color w:val="auto"/>
          <w:kern w:val="0"/>
          <w:sz w:val="24"/>
          <w:szCs w:val="24"/>
          <w:highlight w:val="none"/>
        </w:rPr>
        <w:t>舍、污水处理站和</w:t>
      </w:r>
      <w:r>
        <w:rPr>
          <w:rFonts w:hint="eastAsia" w:ascii="Times New Roman" w:hAnsi="Times New Roman" w:eastAsia="宋体" w:cs="Times New Roman"/>
          <w:color w:val="auto"/>
          <w:kern w:val="0"/>
          <w:sz w:val="24"/>
          <w:szCs w:val="24"/>
          <w:highlight w:val="none"/>
          <w:lang w:eastAsia="zh-CN"/>
        </w:rPr>
        <w:t>干粪棚</w:t>
      </w:r>
      <w:r>
        <w:rPr>
          <w:rFonts w:hint="eastAsia" w:ascii="Times New Roman" w:hAnsi="Times New Roman" w:eastAsia="宋体" w:cs="Times New Roman"/>
          <w:color w:val="auto"/>
          <w:kern w:val="0"/>
          <w:sz w:val="24"/>
          <w:szCs w:val="24"/>
          <w:highlight w:val="none"/>
        </w:rPr>
        <w:t>产生的恶臭气体（NH</w:t>
      </w:r>
      <w:r>
        <w:rPr>
          <w:rFonts w:hint="eastAsia" w:ascii="Times New Roman" w:hAnsi="Times New Roman" w:eastAsia="宋体" w:cs="Times New Roman"/>
          <w:color w:val="auto"/>
          <w:kern w:val="0"/>
          <w:sz w:val="24"/>
          <w:szCs w:val="24"/>
          <w:highlight w:val="none"/>
          <w:vertAlign w:val="subscript"/>
        </w:rPr>
        <w:t>3</w:t>
      </w:r>
      <w:r>
        <w:rPr>
          <w:rFonts w:hint="eastAsia" w:ascii="Times New Roman" w:hAnsi="Times New Roman" w:eastAsia="宋体" w:cs="Times New Roman"/>
          <w:color w:val="auto"/>
          <w:kern w:val="0"/>
          <w:sz w:val="24"/>
          <w:szCs w:val="24"/>
          <w:highlight w:val="none"/>
        </w:rPr>
        <w:t>和H</w:t>
      </w:r>
      <w:r>
        <w:rPr>
          <w:rFonts w:hint="eastAsia" w:ascii="Times New Roman" w:hAnsi="Times New Roman" w:eastAsia="宋体" w:cs="Times New Roman"/>
          <w:color w:val="auto"/>
          <w:kern w:val="0"/>
          <w:sz w:val="24"/>
          <w:szCs w:val="24"/>
          <w:highlight w:val="none"/>
          <w:vertAlign w:val="subscript"/>
        </w:rPr>
        <w:t>2</w:t>
      </w:r>
      <w:r>
        <w:rPr>
          <w:rFonts w:hint="eastAsia" w:ascii="Times New Roman" w:hAnsi="Times New Roman" w:eastAsia="宋体" w:cs="Times New Roman"/>
          <w:color w:val="auto"/>
          <w:kern w:val="0"/>
          <w:sz w:val="24"/>
          <w:szCs w:val="24"/>
          <w:highlight w:val="none"/>
        </w:rPr>
        <w:t>S）进行评价。</w:t>
      </w:r>
    </w:p>
    <w:p>
      <w:pPr>
        <w:pStyle w:val="9"/>
        <w:bidi w:val="0"/>
        <w:spacing w:line="360" w:lineRule="auto"/>
        <w:rPr>
          <w:rFonts w:hint="eastAsia" w:eastAsia="宋体" w:cs="Times New Roman"/>
          <w:color w:val="auto"/>
          <w:sz w:val="24"/>
          <w:szCs w:val="24"/>
          <w:highlight w:val="none"/>
          <w:lang w:val="en-US" w:eastAsia="zh-CN"/>
        </w:rPr>
      </w:pPr>
      <w:r>
        <w:rPr>
          <w:rFonts w:hint="eastAsia" w:eastAsia="宋体" w:cs="Times New Roman"/>
          <w:color w:val="auto"/>
          <w:sz w:val="24"/>
          <w:szCs w:val="24"/>
          <w:highlight w:val="none"/>
          <w:lang w:val="en-US" w:eastAsia="zh-CN"/>
        </w:rPr>
        <w:t>大气环境影响评价等级判定</w:t>
      </w:r>
    </w:p>
    <w:p>
      <w:pPr>
        <w:spacing w:line="440" w:lineRule="exact"/>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1、评价等级判定依据</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根据《环境影响评价技术导则 大气环境》（HJ2.2-2018）中的规定，选择项目污染源正常排放的主要污染物及排放参数，采用附录A推荐模型中估算模型分别计算项目污染源的最大环境影响，然后按评价工作分级判据进行分级。</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根据项目污染源初步调查结果，分别计算项目排放主要污染物的最大地面空气质量浓度占标率</w:t>
      </w:r>
      <w:r>
        <w:rPr>
          <w:rFonts w:hint="eastAsia" w:ascii="Times New Roman" w:hAnsi="Times New Roman" w:eastAsia="宋体" w:cs="Times New Roman"/>
          <w:i/>
          <w:color w:val="auto"/>
          <w:sz w:val="24"/>
          <w:szCs w:val="24"/>
          <w:highlight w:val="none"/>
        </w:rPr>
        <w:t>Pi</w:t>
      </w:r>
      <w:r>
        <w:rPr>
          <w:rFonts w:hint="eastAsia" w:ascii="Times New Roman" w:hAnsi="Times New Roman" w:eastAsia="宋体" w:cs="Times New Roman"/>
          <w:color w:val="auto"/>
          <w:sz w:val="24"/>
          <w:szCs w:val="24"/>
          <w:highlight w:val="none"/>
        </w:rPr>
        <w:t>（第</w:t>
      </w:r>
      <w:r>
        <w:rPr>
          <w:rFonts w:hint="eastAsia" w:ascii="Times New Roman" w:hAnsi="Times New Roman" w:eastAsia="宋体" w:cs="Times New Roman"/>
          <w:i/>
          <w:color w:val="auto"/>
          <w:sz w:val="24"/>
          <w:szCs w:val="24"/>
          <w:highlight w:val="none"/>
        </w:rPr>
        <w:t>i</w:t>
      </w:r>
      <w:r>
        <w:rPr>
          <w:rFonts w:hint="eastAsia" w:ascii="Times New Roman" w:hAnsi="Times New Roman" w:eastAsia="宋体" w:cs="Times New Roman"/>
          <w:color w:val="auto"/>
          <w:sz w:val="24"/>
          <w:szCs w:val="24"/>
          <w:highlight w:val="none"/>
        </w:rPr>
        <w:t>个污染物，简称“最大浓度占标率”），及第</w:t>
      </w:r>
      <w:r>
        <w:rPr>
          <w:rFonts w:hint="eastAsia" w:ascii="Times New Roman" w:hAnsi="Times New Roman" w:eastAsia="宋体" w:cs="Times New Roman"/>
          <w:i/>
          <w:color w:val="auto"/>
          <w:sz w:val="24"/>
          <w:szCs w:val="24"/>
          <w:highlight w:val="none"/>
        </w:rPr>
        <w:t>i</w:t>
      </w:r>
      <w:r>
        <w:rPr>
          <w:rFonts w:hint="eastAsia" w:ascii="Times New Roman" w:hAnsi="Times New Roman" w:eastAsia="宋体" w:cs="Times New Roman"/>
          <w:color w:val="auto"/>
          <w:sz w:val="24"/>
          <w:szCs w:val="24"/>
          <w:highlight w:val="none"/>
        </w:rPr>
        <w:t>个污染物的地面空气质量浓度达到标准值的10%时所对应的最远距离D</w:t>
      </w:r>
      <w:r>
        <w:rPr>
          <w:rFonts w:hint="eastAsia" w:ascii="Times New Roman" w:hAnsi="Times New Roman" w:eastAsia="宋体" w:cs="Times New Roman"/>
          <w:color w:val="auto"/>
          <w:sz w:val="24"/>
          <w:szCs w:val="24"/>
          <w:highlight w:val="none"/>
          <w:vertAlign w:val="subscript"/>
        </w:rPr>
        <w:t>10%</w:t>
      </w:r>
      <w:r>
        <w:rPr>
          <w:rFonts w:hint="eastAsia" w:ascii="Times New Roman" w:hAnsi="Times New Roman" w:eastAsia="宋体" w:cs="Times New Roman"/>
          <w:color w:val="auto"/>
          <w:sz w:val="24"/>
          <w:szCs w:val="24"/>
          <w:highlight w:val="none"/>
        </w:rPr>
        <w:t>。其中</w:t>
      </w:r>
      <w:r>
        <w:rPr>
          <w:rFonts w:hint="eastAsia" w:ascii="Times New Roman" w:hAnsi="Times New Roman" w:eastAsia="宋体" w:cs="Times New Roman"/>
          <w:i/>
          <w:color w:val="auto"/>
          <w:sz w:val="24"/>
          <w:szCs w:val="24"/>
          <w:highlight w:val="none"/>
        </w:rPr>
        <w:t>Pi</w:t>
      </w:r>
      <w:r>
        <w:rPr>
          <w:rFonts w:hint="eastAsia" w:ascii="Times New Roman" w:hAnsi="Times New Roman" w:eastAsia="宋体" w:cs="Times New Roman"/>
          <w:color w:val="auto"/>
          <w:sz w:val="24"/>
          <w:szCs w:val="24"/>
          <w:highlight w:val="none"/>
        </w:rPr>
        <w:t>定义为：</w:t>
      </w:r>
    </w:p>
    <w:p>
      <w:pPr>
        <w:spacing w:line="360" w:lineRule="auto"/>
        <w:ind w:firstLine="0" w:firstLineChars="0"/>
        <w:jc w:val="center"/>
        <w:rPr>
          <w:rFonts w:ascii="Times New Roman" w:hAnsi="Times New Roman" w:eastAsia="宋体" w:cs="Times New Roman"/>
          <w:color w:val="auto"/>
          <w:sz w:val="24"/>
          <w:szCs w:val="24"/>
          <w:highlight w:val="none"/>
        </w:rPr>
      </w:pPr>
      <m:oMathPara>
        <m:oMath>
          <m:sSub>
            <m:sSubPr>
              <m:ctrlPr>
                <w:rPr>
                  <w:rFonts w:ascii="Cambria Math" w:hAnsi="Cambria Math"/>
                  <w:color w:val="auto"/>
                  <w:highlight w:val="none"/>
                </w:rPr>
              </m:ctrlPr>
            </m:sSubPr>
            <m:e>
              <m:r>
                <m:rPr/>
                <w:rPr>
                  <w:rFonts w:ascii="Cambria Math" w:hAnsi="Cambria Math"/>
                  <w:color w:val="auto"/>
                  <w:highlight w:val="none"/>
                </w:rPr>
                <m:t>P</m:t>
              </m:r>
              <m:ctrlPr>
                <w:rPr>
                  <w:rFonts w:ascii="Cambria Math" w:hAnsi="Cambria Math"/>
                  <w:color w:val="auto"/>
                  <w:highlight w:val="none"/>
                </w:rPr>
              </m:ctrlPr>
            </m:e>
            <m:sub>
              <m:r>
                <m:rPr/>
                <w:rPr>
                  <w:rFonts w:ascii="Cambria Math" w:hAnsi="Cambria Math"/>
                  <w:color w:val="auto"/>
                  <w:highlight w:val="none"/>
                </w:rPr>
                <m:t>i</m:t>
              </m:r>
              <m:ctrlPr>
                <w:rPr>
                  <w:rFonts w:ascii="Cambria Math" w:hAnsi="Cambria Math"/>
                  <w:color w:val="auto"/>
                  <w:highlight w:val="none"/>
                </w:rPr>
              </m:ctrlPr>
            </m:sub>
          </m:sSub>
          <m:r>
            <m:rPr>
              <m:sty m:val="p"/>
            </m:rPr>
            <w:rPr>
              <w:rFonts w:ascii="Cambria Math" w:hAnsi="Cambria Math"/>
              <w:color w:val="auto"/>
              <w:highlight w:val="none"/>
            </w:rPr>
            <m:t>=</m:t>
          </m:r>
          <m:f>
            <m:fPr>
              <m:ctrlPr>
                <w:rPr>
                  <w:rFonts w:ascii="Cambria Math" w:hAnsi="Cambria Math"/>
                  <w:color w:val="auto"/>
                  <w:highlight w:val="none"/>
                </w:rPr>
              </m:ctrlPr>
            </m:fPr>
            <m:num>
              <m:sSub>
                <m:sSubPr>
                  <m:ctrlPr>
                    <w:rPr>
                      <w:rFonts w:ascii="Cambria Math" w:hAnsi="Cambria Math"/>
                      <w:i/>
                      <w:color w:val="auto"/>
                      <w:highlight w:val="none"/>
                    </w:rPr>
                  </m:ctrlPr>
                </m:sSubPr>
                <m:e>
                  <m:r>
                    <m:rPr/>
                    <w:rPr>
                      <w:rFonts w:ascii="Cambria Math" w:hAnsi="Cambria Math"/>
                      <w:color w:val="auto"/>
                      <w:highlight w:val="none"/>
                    </w:rPr>
                    <m:t>C</m:t>
                  </m:r>
                  <m:ctrlPr>
                    <w:rPr>
                      <w:rFonts w:ascii="Cambria Math" w:hAnsi="Cambria Math"/>
                      <w:i/>
                      <w:color w:val="auto"/>
                      <w:highlight w:val="none"/>
                    </w:rPr>
                  </m:ctrlPr>
                </m:e>
                <m:sub>
                  <m:r>
                    <m:rPr/>
                    <w:rPr>
                      <w:rFonts w:ascii="Cambria Math" w:hAnsi="Cambria Math"/>
                      <w:color w:val="auto"/>
                      <w:highlight w:val="none"/>
                    </w:rPr>
                    <m:t>i</m:t>
                  </m:r>
                  <m:ctrlPr>
                    <w:rPr>
                      <w:rFonts w:ascii="Cambria Math" w:hAnsi="Cambria Math"/>
                      <w:i/>
                      <w:color w:val="auto"/>
                      <w:highlight w:val="none"/>
                    </w:rPr>
                  </m:ctrlPr>
                </m:sub>
              </m:sSub>
              <m:ctrlPr>
                <w:rPr>
                  <w:rFonts w:ascii="Cambria Math" w:hAnsi="Cambria Math"/>
                  <w:i/>
                  <w:color w:val="auto"/>
                  <w:highlight w:val="none"/>
                </w:rPr>
              </m:ctrlPr>
            </m:num>
            <m:den>
              <m:sSub>
                <m:sSubPr>
                  <m:ctrlPr>
                    <w:rPr>
                      <w:rFonts w:ascii="Cambria Math" w:hAnsi="Cambria Math"/>
                      <w:i/>
                      <w:color w:val="auto"/>
                      <w:highlight w:val="none"/>
                    </w:rPr>
                  </m:ctrlPr>
                </m:sSubPr>
                <m:e>
                  <m:r>
                    <m:rPr/>
                    <w:rPr>
                      <w:rFonts w:ascii="Cambria Math" w:hAnsi="Cambria Math"/>
                      <w:color w:val="auto"/>
                      <w:highlight w:val="none"/>
                    </w:rPr>
                    <m:t>C</m:t>
                  </m:r>
                  <m:ctrlPr>
                    <w:rPr>
                      <w:rFonts w:ascii="Cambria Math" w:hAnsi="Cambria Math"/>
                      <w:i/>
                      <w:color w:val="auto"/>
                      <w:highlight w:val="none"/>
                    </w:rPr>
                  </m:ctrlPr>
                </m:e>
                <m:sub>
                  <m:r>
                    <m:rPr/>
                    <w:rPr>
                      <w:rFonts w:ascii="Cambria Math" w:hAnsi="Cambria Math"/>
                      <w:color w:val="auto"/>
                      <w:highlight w:val="none"/>
                    </w:rPr>
                    <m:t>0i</m:t>
                  </m:r>
                  <m:ctrlPr>
                    <w:rPr>
                      <w:rFonts w:ascii="Cambria Math" w:hAnsi="Cambria Math"/>
                      <w:i/>
                      <w:color w:val="auto"/>
                      <w:highlight w:val="none"/>
                    </w:rPr>
                  </m:ctrlPr>
                </m:sub>
              </m:sSub>
              <m:ctrlPr>
                <w:rPr>
                  <w:rFonts w:ascii="Cambria Math" w:hAnsi="Cambria Math"/>
                  <w:i/>
                  <w:color w:val="auto"/>
                  <w:highlight w:val="none"/>
                </w:rPr>
              </m:ctrlPr>
            </m:den>
          </m:f>
          <m:r>
            <m:rPr/>
            <w:rPr>
              <w:rFonts w:ascii="Cambria Math" w:hAnsi="Cambria Math"/>
              <w:color w:val="auto"/>
              <w:highlight w:val="none"/>
            </w:rPr>
            <m:t>×100%</m:t>
          </m:r>
        </m:oMath>
      </m:oMathPara>
    </w:p>
    <w:p>
      <w:pPr>
        <w:spacing w:line="360" w:lineRule="auto"/>
        <w:ind w:firstLine="480" w:firstLineChars="200"/>
        <w:rPr>
          <w:rFonts w:ascii="Times New Roman" w:hAnsi="Times New Roman" w:eastAsia="宋体" w:cs="Times New Roman"/>
          <w:bCs/>
          <w:color w:val="auto"/>
          <w:sz w:val="24"/>
          <w:szCs w:val="24"/>
          <w:highlight w:val="none"/>
        </w:rPr>
      </w:pPr>
      <w:r>
        <w:rPr>
          <w:rFonts w:ascii="Times New Roman" w:hAnsi="Times New Roman" w:eastAsia="宋体" w:cs="Times New Roman"/>
          <w:bCs/>
          <w:color w:val="auto"/>
          <w:sz w:val="24"/>
          <w:szCs w:val="24"/>
          <w:highlight w:val="none"/>
        </w:rPr>
        <w:t>式中：</w:t>
      </w:r>
      <w:r>
        <w:rPr>
          <w:rFonts w:hint="eastAsia" w:ascii="Times New Roman" w:hAnsi="Times New Roman" w:eastAsia="宋体" w:cs="Times New Roman"/>
          <w:bCs/>
          <w:color w:val="auto"/>
          <w:sz w:val="24"/>
          <w:szCs w:val="24"/>
          <w:highlight w:val="none"/>
        </w:rPr>
        <w:t>P</w:t>
      </w:r>
      <w:r>
        <w:rPr>
          <w:rFonts w:hint="eastAsia" w:ascii="Times New Roman" w:hAnsi="Times New Roman" w:eastAsia="宋体" w:cs="Times New Roman"/>
          <w:bCs/>
          <w:i/>
          <w:color w:val="auto"/>
          <w:sz w:val="24"/>
          <w:szCs w:val="24"/>
          <w:highlight w:val="none"/>
        </w:rPr>
        <w:t>i</w:t>
      </w:r>
      <w:r>
        <w:rPr>
          <w:rFonts w:ascii="Times New Roman" w:hAnsi="Times New Roman" w:eastAsia="宋体" w:cs="Times New Roman"/>
          <w:bCs/>
          <w:color w:val="auto"/>
          <w:sz w:val="24"/>
          <w:szCs w:val="24"/>
          <w:highlight w:val="none"/>
        </w:rPr>
        <w:t>—第</w:t>
      </w:r>
      <w:r>
        <w:rPr>
          <w:rFonts w:ascii="Times New Roman" w:hAnsi="Times New Roman" w:eastAsia="宋体" w:cs="Times New Roman"/>
          <w:bCs/>
          <w:i/>
          <w:color w:val="auto"/>
          <w:sz w:val="24"/>
          <w:szCs w:val="24"/>
          <w:highlight w:val="none"/>
        </w:rPr>
        <w:t>i</w:t>
      </w:r>
      <w:r>
        <w:rPr>
          <w:rFonts w:ascii="Times New Roman" w:hAnsi="Times New Roman" w:eastAsia="宋体" w:cs="Times New Roman"/>
          <w:bCs/>
          <w:color w:val="auto"/>
          <w:sz w:val="24"/>
          <w:szCs w:val="24"/>
          <w:highlight w:val="none"/>
        </w:rPr>
        <w:t>个污染物的最大地面空气质量浓度占标率，%；</w:t>
      </w:r>
    </w:p>
    <w:p>
      <w:pPr>
        <w:spacing w:line="360" w:lineRule="auto"/>
        <w:ind w:firstLine="1200" w:firstLineChars="500"/>
        <w:rPr>
          <w:rFonts w:ascii="Times New Roman" w:hAnsi="Times New Roman" w:eastAsia="宋体" w:cs="Times New Roman"/>
          <w:bCs/>
          <w:color w:val="auto"/>
          <w:sz w:val="24"/>
          <w:szCs w:val="24"/>
          <w:highlight w:val="none"/>
        </w:rPr>
      </w:pPr>
      <w:r>
        <w:rPr>
          <w:rFonts w:ascii="Times New Roman" w:hAnsi="Times New Roman" w:eastAsia="宋体" w:cs="Times New Roman"/>
          <w:bCs/>
          <w:color w:val="auto"/>
          <w:sz w:val="24"/>
          <w:szCs w:val="24"/>
          <w:highlight w:val="none"/>
        </w:rPr>
        <w:t>C</w:t>
      </w:r>
      <w:r>
        <w:rPr>
          <w:rFonts w:ascii="Times New Roman" w:hAnsi="Times New Roman" w:eastAsia="宋体" w:cs="Times New Roman"/>
          <w:bCs/>
          <w:i/>
          <w:color w:val="auto"/>
          <w:sz w:val="24"/>
          <w:szCs w:val="24"/>
          <w:highlight w:val="none"/>
        </w:rPr>
        <w:t>i</w:t>
      </w:r>
      <w:r>
        <w:rPr>
          <w:rFonts w:ascii="Times New Roman" w:hAnsi="Times New Roman" w:eastAsia="宋体" w:cs="Times New Roman"/>
          <w:bCs/>
          <w:color w:val="auto"/>
          <w:sz w:val="24"/>
          <w:szCs w:val="24"/>
          <w:highlight w:val="none"/>
        </w:rPr>
        <w:t>—采用估算模型计算出的第</w:t>
      </w:r>
      <w:r>
        <w:rPr>
          <w:rFonts w:ascii="Times New Roman" w:hAnsi="Times New Roman" w:eastAsia="宋体" w:cs="Times New Roman"/>
          <w:bCs/>
          <w:i/>
          <w:color w:val="auto"/>
          <w:sz w:val="24"/>
          <w:szCs w:val="24"/>
          <w:highlight w:val="none"/>
        </w:rPr>
        <w:t>i</w:t>
      </w:r>
      <w:r>
        <w:rPr>
          <w:rFonts w:ascii="Times New Roman" w:hAnsi="Times New Roman" w:eastAsia="宋体" w:cs="Times New Roman"/>
          <w:bCs/>
          <w:color w:val="auto"/>
          <w:sz w:val="24"/>
          <w:szCs w:val="24"/>
          <w:highlight w:val="none"/>
        </w:rPr>
        <w:t>个污染物的最大1h地面空气质量浓度，μg/m</w:t>
      </w:r>
      <w:r>
        <w:rPr>
          <w:rFonts w:ascii="Times New Roman" w:hAnsi="Times New Roman" w:eastAsia="宋体" w:cs="Times New Roman"/>
          <w:bCs/>
          <w:color w:val="auto"/>
          <w:sz w:val="24"/>
          <w:szCs w:val="24"/>
          <w:highlight w:val="none"/>
          <w:vertAlign w:val="superscript"/>
        </w:rPr>
        <w:t>3</w:t>
      </w:r>
      <w:r>
        <w:rPr>
          <w:rFonts w:ascii="Times New Roman" w:hAnsi="Times New Roman" w:eastAsia="宋体" w:cs="Times New Roman"/>
          <w:bCs/>
          <w:color w:val="auto"/>
          <w:sz w:val="24"/>
          <w:szCs w:val="24"/>
          <w:highlight w:val="none"/>
        </w:rPr>
        <w:t>；</w:t>
      </w:r>
    </w:p>
    <w:p>
      <w:pPr>
        <w:spacing w:line="360" w:lineRule="auto"/>
        <w:ind w:firstLine="1200" w:firstLineChars="500"/>
        <w:rPr>
          <w:rFonts w:ascii="Times New Roman" w:hAnsi="Times New Roman" w:eastAsia="宋体" w:cs="Times New Roman"/>
          <w:bCs/>
          <w:color w:val="auto"/>
          <w:sz w:val="24"/>
          <w:szCs w:val="24"/>
          <w:highlight w:val="none"/>
        </w:rPr>
      </w:pPr>
      <w:r>
        <w:rPr>
          <w:rFonts w:ascii="Times New Roman" w:hAnsi="Times New Roman" w:eastAsia="宋体" w:cs="Times New Roman"/>
          <w:bCs/>
          <w:color w:val="auto"/>
          <w:sz w:val="24"/>
          <w:szCs w:val="24"/>
          <w:highlight w:val="none"/>
        </w:rPr>
        <w:t>C</w:t>
      </w:r>
      <w:r>
        <w:rPr>
          <w:rFonts w:ascii="Times New Roman" w:hAnsi="Times New Roman" w:eastAsia="宋体" w:cs="Times New Roman"/>
          <w:bCs/>
          <w:i/>
          <w:color w:val="auto"/>
          <w:sz w:val="24"/>
          <w:szCs w:val="24"/>
          <w:highlight w:val="none"/>
          <w:vertAlign w:val="subscript"/>
        </w:rPr>
        <w:t>0</w:t>
      </w:r>
      <w:r>
        <w:rPr>
          <w:rFonts w:ascii="Times New Roman" w:hAnsi="Times New Roman" w:eastAsia="宋体" w:cs="Times New Roman"/>
          <w:bCs/>
          <w:i/>
          <w:color w:val="auto"/>
          <w:sz w:val="24"/>
          <w:szCs w:val="24"/>
          <w:highlight w:val="none"/>
        </w:rPr>
        <w:t>i</w:t>
      </w:r>
      <w:r>
        <w:rPr>
          <w:rFonts w:ascii="Times New Roman" w:hAnsi="Times New Roman" w:eastAsia="宋体" w:cs="Times New Roman"/>
          <w:bCs/>
          <w:color w:val="auto"/>
          <w:sz w:val="24"/>
          <w:szCs w:val="24"/>
          <w:highlight w:val="none"/>
        </w:rPr>
        <w:t>—第</w:t>
      </w:r>
      <w:r>
        <w:rPr>
          <w:rFonts w:ascii="Times New Roman" w:hAnsi="Times New Roman" w:eastAsia="宋体" w:cs="Times New Roman"/>
          <w:bCs/>
          <w:i/>
          <w:color w:val="auto"/>
          <w:sz w:val="24"/>
          <w:szCs w:val="24"/>
          <w:highlight w:val="none"/>
        </w:rPr>
        <w:t>i</w:t>
      </w:r>
      <w:r>
        <w:rPr>
          <w:rFonts w:ascii="Times New Roman" w:hAnsi="Times New Roman" w:eastAsia="宋体" w:cs="Times New Roman"/>
          <w:bCs/>
          <w:color w:val="auto"/>
          <w:sz w:val="24"/>
          <w:szCs w:val="24"/>
          <w:highlight w:val="none"/>
        </w:rPr>
        <w:t>个污染物的环境空气质量浓度标准，μg/m</w:t>
      </w:r>
      <w:r>
        <w:rPr>
          <w:rFonts w:ascii="Times New Roman" w:hAnsi="Times New Roman" w:eastAsia="宋体" w:cs="Times New Roman"/>
          <w:bCs/>
          <w:color w:val="auto"/>
          <w:sz w:val="24"/>
          <w:szCs w:val="24"/>
          <w:highlight w:val="none"/>
          <w:vertAlign w:val="superscript"/>
        </w:rPr>
        <w:t>3</w:t>
      </w:r>
      <w:r>
        <w:rPr>
          <w:rFonts w:ascii="Times New Roman" w:hAnsi="Times New Roman" w:eastAsia="宋体" w:cs="Times New Roman"/>
          <w:bCs/>
          <w:color w:val="auto"/>
          <w:sz w:val="24"/>
          <w:szCs w:val="24"/>
          <w:highlight w:val="none"/>
        </w:rPr>
        <w:t>。一般选取GB3095中1小时平均</w:t>
      </w:r>
      <w:r>
        <w:rPr>
          <w:rFonts w:hint="eastAsia" w:ascii="Times New Roman" w:hAnsi="Times New Roman" w:eastAsia="宋体" w:cs="Times New Roman"/>
          <w:bCs/>
          <w:color w:val="auto"/>
          <w:sz w:val="24"/>
          <w:szCs w:val="24"/>
          <w:highlight w:val="none"/>
        </w:rPr>
        <w:t>质量</w:t>
      </w:r>
      <w:r>
        <w:rPr>
          <w:rFonts w:ascii="Times New Roman" w:hAnsi="Times New Roman" w:eastAsia="宋体" w:cs="Times New Roman"/>
          <w:bCs/>
          <w:color w:val="auto"/>
          <w:sz w:val="24"/>
          <w:szCs w:val="24"/>
          <w:highlight w:val="none"/>
        </w:rPr>
        <w:t>浓度的二级浓度限值，如项目位于一类环境空气功能区，应选择相应的一级浓度限值；对该标准中未包含的污染物，使用《环境影响评价技术导则 大气环境》</w:t>
      </w:r>
      <w:r>
        <w:rPr>
          <w:rFonts w:hint="eastAsia" w:ascii="Times New Roman" w:hAnsi="Times New Roman" w:eastAsia="宋体" w:cs="Times New Roman"/>
          <w:bCs/>
          <w:color w:val="auto"/>
          <w:sz w:val="24"/>
          <w:szCs w:val="24"/>
          <w:highlight w:val="none"/>
        </w:rPr>
        <w:t>（</w:t>
      </w:r>
      <w:r>
        <w:rPr>
          <w:rFonts w:ascii="Times New Roman" w:hAnsi="Times New Roman" w:eastAsia="宋体" w:cs="Times New Roman"/>
          <w:bCs/>
          <w:color w:val="auto"/>
          <w:sz w:val="24"/>
          <w:szCs w:val="24"/>
          <w:highlight w:val="none"/>
        </w:rPr>
        <w:t>HJ2.2-2018</w:t>
      </w:r>
      <w:r>
        <w:rPr>
          <w:rFonts w:hint="eastAsia" w:ascii="Times New Roman" w:hAnsi="Times New Roman" w:eastAsia="宋体" w:cs="Times New Roman"/>
          <w:bCs/>
          <w:color w:val="auto"/>
          <w:sz w:val="24"/>
          <w:szCs w:val="24"/>
          <w:highlight w:val="none"/>
        </w:rPr>
        <w:t>）</w:t>
      </w:r>
      <w:r>
        <w:rPr>
          <w:rFonts w:ascii="Times New Roman" w:hAnsi="Times New Roman" w:eastAsia="宋体" w:cs="Times New Roman"/>
          <w:bCs/>
          <w:color w:val="auto"/>
          <w:sz w:val="24"/>
          <w:szCs w:val="24"/>
          <w:highlight w:val="none"/>
        </w:rPr>
        <w:t>5.2确定的各评价因子1h平均质量浓度限值。对仅有8h平均质量浓度限值、日平均质量浓度限值或年平均质量浓度限值的，可分别按2倍、3倍、6倍折算为1h平均质量浓度限值。</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通过分析，NH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S、SO</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NOx为本项目最主要的污染物，作为本项目的大气评价因子。根据HJ2.2-2018规定，当同一项目有多个（含2个）污染源排放同一种污染物时，则按各污染源分别确定其评价等级，并取评价等级最高者作为项目的评价等级。</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w:t>
      </w:r>
      <w:r>
        <w:rPr>
          <w:rFonts w:hint="eastAsia" w:ascii="Times New Roman" w:hAnsi="Times New Roman" w:eastAsia="宋体" w:cs="Times New Roman"/>
          <w:b/>
          <w:color w:val="auto"/>
          <w:sz w:val="24"/>
          <w:szCs w:val="24"/>
          <w:highlight w:val="none"/>
        </w:rPr>
        <w:t>、评价因子及评价标准筛选</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 xml:space="preserve">根据《环境影响评价技术导则 </w:t>
      </w:r>
      <w:r>
        <w:rPr>
          <w:rFonts w:ascii="Times New Roman" w:hAnsi="Times New Roman" w:eastAsia="宋体" w:cs="Times New Roman"/>
          <w:color w:val="auto"/>
          <w:sz w:val="24"/>
          <w:szCs w:val="24"/>
          <w:highlight w:val="none"/>
        </w:rPr>
        <w:t xml:space="preserve"> 大气环境</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HJ2.2-2018</w:t>
      </w:r>
      <w:r>
        <w:rPr>
          <w:rFonts w:hint="eastAsia" w:ascii="Times New Roman" w:hAnsi="Times New Roman" w:eastAsia="宋体" w:cs="Times New Roman"/>
          <w:color w:val="auto"/>
          <w:sz w:val="24"/>
          <w:szCs w:val="24"/>
          <w:highlight w:val="none"/>
        </w:rPr>
        <w:t>）中推荐的大气评价工作等级划分原则，选择</w:t>
      </w:r>
      <w:r>
        <w:rPr>
          <w:rFonts w:ascii="Times New Roman" w:hAnsi="Times New Roman" w:eastAsia="宋体" w:cs="Times New Roman"/>
          <w:color w:val="auto"/>
          <w:sz w:val="24"/>
          <w:szCs w:val="24"/>
          <w:highlight w:val="none"/>
        </w:rPr>
        <w:t>1~3</w:t>
      </w:r>
      <w:r>
        <w:rPr>
          <w:rFonts w:hint="eastAsia" w:ascii="Times New Roman" w:hAnsi="Times New Roman" w:eastAsia="宋体" w:cs="Times New Roman"/>
          <w:color w:val="auto"/>
          <w:sz w:val="24"/>
          <w:szCs w:val="24"/>
          <w:highlight w:val="none"/>
        </w:rPr>
        <w:t>种主要污染物，分别计算每一种污染物的最大地面浓度占标率</w:t>
      </w:r>
      <w:r>
        <w:rPr>
          <w:rFonts w:ascii="Times New Roman" w:hAnsi="Times New Roman" w:eastAsia="宋体" w:cs="Times New Roman"/>
          <w:i/>
          <w:color w:val="auto"/>
          <w:sz w:val="24"/>
          <w:szCs w:val="24"/>
          <w:highlight w:val="none"/>
        </w:rPr>
        <w:t>Pi</w:t>
      </w:r>
      <w:r>
        <w:rPr>
          <w:rFonts w:hint="eastAsia" w:ascii="Times New Roman" w:hAnsi="Times New Roman" w:eastAsia="宋体" w:cs="Times New Roman"/>
          <w:color w:val="auto"/>
          <w:sz w:val="24"/>
          <w:szCs w:val="24"/>
          <w:highlight w:val="none"/>
        </w:rPr>
        <w:t>。通过分析，</w:t>
      </w:r>
      <w:r>
        <w:rPr>
          <w:rFonts w:ascii="Times New Roman" w:hAnsi="Times New Roman" w:eastAsia="宋体" w:cs="Times New Roman"/>
          <w:color w:val="auto"/>
          <w:sz w:val="24"/>
          <w:szCs w:val="24"/>
          <w:highlight w:val="none"/>
        </w:rPr>
        <w:t>NH</w:t>
      </w:r>
      <w:r>
        <w:rPr>
          <w:rFonts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w:t>
      </w:r>
      <w:r>
        <w:rPr>
          <w:rFonts w:hint="eastAsia" w:ascii="Times New Roman" w:hAnsi="Times New Roman" w:eastAsia="宋体" w:cs="Times New Roman"/>
          <w:color w:val="auto"/>
          <w:sz w:val="24"/>
          <w:szCs w:val="24"/>
          <w:highlight w:val="none"/>
        </w:rPr>
        <w:t>为本项目最主要的污染物，</w:t>
      </w:r>
      <w:r>
        <w:rPr>
          <w:rFonts w:ascii="Times New Roman" w:hAnsi="Times New Roman" w:eastAsia="宋体" w:cs="Times New Roman"/>
          <w:color w:val="auto"/>
          <w:sz w:val="24"/>
          <w:szCs w:val="24"/>
          <w:highlight w:val="none"/>
        </w:rPr>
        <w:t>NH</w:t>
      </w:r>
      <w:r>
        <w:rPr>
          <w:rFonts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w:t>
      </w:r>
      <w:r>
        <w:rPr>
          <w:rFonts w:hint="eastAsia" w:ascii="Times New Roman" w:hAnsi="Times New Roman" w:eastAsia="宋体" w:cs="Times New Roman"/>
          <w:color w:val="auto"/>
          <w:sz w:val="24"/>
          <w:szCs w:val="24"/>
          <w:highlight w:val="none"/>
        </w:rPr>
        <w:t>为本项目的大气评价因子。</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color w:val="auto"/>
          <w:kern w:val="2"/>
          <w:sz w:val="21"/>
          <w:szCs w:val="24"/>
          <w:highlight w:val="none"/>
          <w:lang w:val="en-US" w:eastAsia="zh-CN" w:bidi="ar-SA"/>
        </w:rPr>
      </w:pPr>
      <w:r>
        <w:rPr>
          <w:rFonts w:hint="default" w:ascii="Times New Roman" w:hAnsi="Times New Roman" w:eastAsia="宋体" w:cs="Times New Roman"/>
          <w:b/>
          <w:color w:val="auto"/>
          <w:kern w:val="2"/>
          <w:sz w:val="21"/>
          <w:szCs w:val="24"/>
          <w:highlight w:val="none"/>
          <w:lang w:val="en-US" w:eastAsia="zh-CN" w:bidi="ar-SA"/>
        </w:rPr>
        <w:t>评价因子和评价标准</w:t>
      </w:r>
    </w:p>
    <w:tbl>
      <w:tblPr>
        <w:tblStyle w:val="9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11"/>
        <w:gridCol w:w="1473"/>
        <w:gridCol w:w="1928"/>
        <w:gridCol w:w="38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76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评价因子</w:t>
            </w:r>
          </w:p>
        </w:tc>
        <w:tc>
          <w:tcPr>
            <w:tcW w:w="86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平均时段</w:t>
            </w:r>
          </w:p>
        </w:tc>
        <w:tc>
          <w:tcPr>
            <w:tcW w:w="1131"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标准值/（μg/m</w:t>
            </w:r>
            <w:r>
              <w:rPr>
                <w:rFonts w:hint="default" w:ascii="Times New Roman" w:hAnsi="Times New Roman" w:eastAsia="宋体" w:cs="Times New Roman"/>
                <w:b/>
                <w:color w:val="auto"/>
                <w:sz w:val="21"/>
                <w:szCs w:val="21"/>
                <w:highlight w:val="none"/>
                <w:vertAlign w:val="superscript"/>
              </w:rPr>
              <w:t>3</w:t>
            </w:r>
            <w:r>
              <w:rPr>
                <w:rFonts w:hint="default" w:ascii="Times New Roman" w:hAnsi="Times New Roman" w:eastAsia="宋体" w:cs="Times New Roman"/>
                <w:b/>
                <w:color w:val="auto"/>
                <w:sz w:val="21"/>
                <w:szCs w:val="21"/>
                <w:highlight w:val="none"/>
              </w:rPr>
              <w:t>）</w:t>
            </w:r>
          </w:p>
        </w:tc>
        <w:tc>
          <w:tcPr>
            <w:tcW w:w="223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76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86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eastAsia" w:ascii="Times New Roman" w:hAnsi="Times New Roman" w:eastAsia="宋体" w:cs="Times New Roman"/>
                <w:color w:val="auto"/>
                <w:sz w:val="21"/>
                <w:szCs w:val="21"/>
                <w:highlight w:val="none"/>
              </w:rPr>
              <w:t>h</w:t>
            </w:r>
            <w:r>
              <w:rPr>
                <w:rFonts w:hint="default" w:ascii="Times New Roman" w:hAnsi="Times New Roman" w:eastAsia="宋体" w:cs="Times New Roman"/>
                <w:color w:val="auto"/>
                <w:sz w:val="21"/>
                <w:szCs w:val="21"/>
                <w:highlight w:val="none"/>
              </w:rPr>
              <w:t>平均</w:t>
            </w:r>
          </w:p>
        </w:tc>
        <w:tc>
          <w:tcPr>
            <w:tcW w:w="1131"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w:t>
            </w:r>
          </w:p>
        </w:tc>
        <w:tc>
          <w:tcPr>
            <w:tcW w:w="223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《环境影响评价技术导则 大气环境》（HJ2.2-2018）附录D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76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H</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sz w:val="21"/>
                <w:szCs w:val="21"/>
                <w:highlight w:val="none"/>
              </w:rPr>
              <w:t>S</w:t>
            </w:r>
          </w:p>
        </w:tc>
        <w:tc>
          <w:tcPr>
            <w:tcW w:w="86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1h</w:t>
            </w:r>
            <w:r>
              <w:rPr>
                <w:rFonts w:hint="eastAsia" w:ascii="Times New Roman" w:hAnsi="Times New Roman" w:eastAsia="宋体" w:cs="Times New Roman"/>
                <w:color w:val="auto"/>
                <w:sz w:val="21"/>
                <w:szCs w:val="21"/>
                <w:highlight w:val="none"/>
              </w:rPr>
              <w:t>平均</w:t>
            </w:r>
          </w:p>
        </w:tc>
        <w:tc>
          <w:tcPr>
            <w:tcW w:w="1131"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223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《环境影响评价技术导则 大气环境》（HJ2.2-2018）附录D</w:t>
            </w:r>
          </w:p>
        </w:tc>
      </w:tr>
    </w:tbl>
    <w:p>
      <w:pPr>
        <w:spacing w:line="360" w:lineRule="auto"/>
        <w:ind w:firstLine="480" w:firstLineChars="200"/>
        <w:rPr>
          <w:rFonts w:hint="eastAsia"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大气环境影响</w:t>
      </w:r>
      <w:r>
        <w:rPr>
          <w:rFonts w:hint="eastAsia" w:ascii="Times New Roman" w:hAnsi="Times New Roman" w:eastAsia="宋体" w:cs="Times New Roman"/>
          <w:color w:val="auto"/>
          <w:sz w:val="24"/>
          <w:szCs w:val="24"/>
          <w:highlight w:val="none"/>
        </w:rPr>
        <w:t>评价</w:t>
      </w:r>
      <w:r>
        <w:rPr>
          <w:rFonts w:ascii="Times New Roman" w:hAnsi="Times New Roman" w:eastAsia="宋体" w:cs="Times New Roman"/>
          <w:color w:val="auto"/>
          <w:sz w:val="24"/>
          <w:szCs w:val="24"/>
          <w:highlight w:val="none"/>
        </w:rPr>
        <w:t>因子为：NH</w:t>
      </w:r>
      <w:r>
        <w:rPr>
          <w:rFonts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S执行</w:t>
      </w:r>
      <w:r>
        <w:rPr>
          <w:rFonts w:hint="eastAsia" w:ascii="Times New Roman" w:hAnsi="Times New Roman" w:eastAsia="宋体" w:cs="Times New Roman"/>
          <w:color w:val="auto"/>
          <w:sz w:val="24"/>
          <w:szCs w:val="24"/>
          <w:highlight w:val="none"/>
        </w:rPr>
        <w:t>《环境影响评价技术导则 大气环境》（HJ2.2-2018）附录D中</w:t>
      </w:r>
      <w:r>
        <w:rPr>
          <w:rFonts w:ascii="Times New Roman" w:hAnsi="Times New Roman" w:eastAsia="宋体" w:cs="Times New Roman"/>
          <w:color w:val="auto"/>
          <w:sz w:val="24"/>
          <w:szCs w:val="24"/>
          <w:highlight w:val="none"/>
        </w:rPr>
        <w:t>NH</w:t>
      </w:r>
      <w:r>
        <w:rPr>
          <w:rFonts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w:t>
      </w:r>
      <w:r>
        <w:rPr>
          <w:rFonts w:hint="eastAsia" w:ascii="Times New Roman" w:hAnsi="Times New Roman" w:eastAsia="宋体" w:cs="Times New Roman"/>
          <w:color w:val="auto"/>
          <w:sz w:val="24"/>
          <w:szCs w:val="24"/>
          <w:highlight w:val="none"/>
        </w:rPr>
        <w:t>的1</w:t>
      </w:r>
      <w:r>
        <w:rPr>
          <w:rFonts w:ascii="Times New Roman" w:hAnsi="Times New Roman" w:eastAsia="宋体" w:cs="Times New Roman"/>
          <w:color w:val="auto"/>
          <w:sz w:val="24"/>
          <w:szCs w:val="24"/>
          <w:highlight w:val="none"/>
        </w:rPr>
        <w:t>h</w:t>
      </w:r>
      <w:r>
        <w:rPr>
          <w:rFonts w:hint="eastAsia" w:ascii="Times New Roman" w:hAnsi="Times New Roman" w:eastAsia="宋体" w:cs="Times New Roman"/>
          <w:color w:val="auto"/>
          <w:sz w:val="24"/>
          <w:szCs w:val="24"/>
          <w:highlight w:val="none"/>
        </w:rPr>
        <w:t>平均值限值标准。</w:t>
      </w:r>
    </w:p>
    <w:p>
      <w:pPr>
        <w:spacing w:line="360" w:lineRule="auto"/>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3</w:t>
      </w:r>
      <w:r>
        <w:rPr>
          <w:rFonts w:hint="eastAsia" w:ascii="Times New Roman" w:hAnsi="Times New Roman" w:eastAsia="宋体" w:cs="Times New Roman"/>
          <w:b/>
          <w:color w:val="auto"/>
          <w:sz w:val="24"/>
          <w:szCs w:val="24"/>
          <w:highlight w:val="none"/>
        </w:rPr>
        <w:t>、估算模型参数</w:t>
      </w:r>
    </w:p>
    <w:p>
      <w:pPr>
        <w:adjustRightInd w:val="0"/>
        <w:snapToGrid w:val="0"/>
        <w:spacing w:line="360" w:lineRule="auto"/>
        <w:ind w:firstLine="482" w:firstLineChars="200"/>
        <w:rPr>
          <w:b/>
          <w:bCs/>
          <w:color w:val="auto"/>
          <w:sz w:val="24"/>
          <w:szCs w:val="24"/>
          <w:highlight w:val="none"/>
        </w:rPr>
      </w:pPr>
      <w:r>
        <w:rPr>
          <w:rFonts w:hint="eastAsia"/>
          <w:b/>
          <w:bCs/>
          <w:color w:val="auto"/>
          <w:sz w:val="24"/>
          <w:szCs w:val="24"/>
          <w:highlight w:val="none"/>
          <w:lang w:eastAsia="zh-CN"/>
        </w:rPr>
        <w:t>①</w:t>
      </w:r>
      <w:r>
        <w:rPr>
          <w:b/>
          <w:bCs/>
          <w:color w:val="auto"/>
          <w:sz w:val="24"/>
          <w:szCs w:val="24"/>
          <w:highlight w:val="none"/>
        </w:rPr>
        <w:t>主要废气污染源排放参数</w:t>
      </w:r>
    </w:p>
    <w:p>
      <w:pPr>
        <w:spacing w:line="360" w:lineRule="auto"/>
        <w:ind w:firstLine="480" w:firstLineChars="200"/>
        <w:rPr>
          <w:rFonts w:hint="eastAsia" w:ascii="Times New Roman" w:hAnsi="Times New Roman" w:eastAsia="宋体" w:cs="Times New Roman"/>
          <w:b/>
          <w:color w:val="auto"/>
          <w:kern w:val="2"/>
          <w:sz w:val="21"/>
          <w:szCs w:val="24"/>
          <w:highlight w:val="none"/>
          <w:lang w:val="en-US" w:eastAsia="zh-CN" w:bidi="ar-SA"/>
        </w:rPr>
      </w:pPr>
      <w:r>
        <w:rPr>
          <w:rFonts w:hint="eastAsia" w:ascii="Times New Roman" w:hAnsi="Times New Roman" w:eastAsia="宋体" w:cs="Times New Roman"/>
          <w:color w:val="auto"/>
          <w:sz w:val="24"/>
          <w:szCs w:val="24"/>
          <w:highlight w:val="none"/>
        </w:rPr>
        <w:t>本项目有组织废气污染源参数和无组织废气污染源参数分别见下表所示。</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4"/>
          <w:highlight w:val="none"/>
          <w:lang w:val="en-US" w:eastAsia="zh-CN" w:bidi="ar-SA"/>
        </w:rPr>
        <w:t xml:space="preserve">  </w:t>
      </w:r>
      <w:r>
        <w:rPr>
          <w:rFonts w:hint="default" w:ascii="Times New Roman" w:hAnsi="Times New Roman" w:eastAsia="宋体" w:cs="Times New Roman"/>
          <w:b/>
          <w:bCs/>
          <w:color w:val="auto"/>
          <w:kern w:val="2"/>
          <w:sz w:val="21"/>
          <w:szCs w:val="21"/>
          <w:highlight w:val="none"/>
          <w:lang w:val="en-US" w:eastAsia="zh-CN" w:bidi="ar-SA"/>
        </w:rPr>
        <w:t xml:space="preserve">主要废气污染源参数一览表(点源) </w:t>
      </w:r>
    </w:p>
    <w:tbl>
      <w:tblPr>
        <w:tblStyle w:val="91"/>
        <w:tblW w:w="836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95"/>
        <w:gridCol w:w="630"/>
        <w:gridCol w:w="684"/>
        <w:gridCol w:w="1248"/>
        <w:gridCol w:w="852"/>
        <w:gridCol w:w="624"/>
        <w:gridCol w:w="708"/>
        <w:gridCol w:w="600"/>
        <w:gridCol w:w="698"/>
        <w:gridCol w:w="886"/>
        <w:gridCol w:w="6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c>
          <w:tcPr>
            <w:tcW w:w="795"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污染源名称</w:t>
            </w:r>
          </w:p>
        </w:tc>
        <w:tc>
          <w:tcPr>
            <w:tcW w:w="1314" w:type="dxa"/>
            <w:gridSpan w:val="2"/>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排气筒底部中心坐标(</w:t>
            </w:r>
            <w:r>
              <w:rPr>
                <w:rFonts w:hint="default" w:ascii="Times New Roman" w:hAnsi="Times New Roman" w:eastAsia="宋体" w:cs="Times New Roman"/>
                <w:color w:val="auto"/>
                <w:sz w:val="21"/>
                <w:szCs w:val="21"/>
                <w:highlight w:val="none"/>
                <w:vertAlign w:val="superscript"/>
              </w:rPr>
              <w:t>o</w:t>
            </w:r>
            <w:r>
              <w:rPr>
                <w:rFonts w:hint="default" w:ascii="Times New Roman" w:hAnsi="Times New Roman" w:eastAsia="宋体" w:cs="Times New Roman"/>
                <w:color w:val="auto"/>
                <w:sz w:val="21"/>
                <w:szCs w:val="21"/>
                <w:highlight w:val="none"/>
              </w:rPr>
              <w:t>)</w:t>
            </w:r>
          </w:p>
        </w:tc>
        <w:tc>
          <w:tcPr>
            <w:tcW w:w="1248" w:type="dxa"/>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排气筒底部海拔高度(m)</w:t>
            </w:r>
          </w:p>
        </w:tc>
        <w:tc>
          <w:tcPr>
            <w:tcW w:w="2784" w:type="dxa"/>
            <w:gridSpan w:val="4"/>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排气筒参数</w:t>
            </w:r>
          </w:p>
        </w:tc>
        <w:tc>
          <w:tcPr>
            <w:tcW w:w="698" w:type="dxa"/>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污染物名称</w:t>
            </w:r>
          </w:p>
        </w:tc>
        <w:tc>
          <w:tcPr>
            <w:tcW w:w="886" w:type="dxa"/>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排放速率</w:t>
            </w:r>
          </w:p>
        </w:tc>
        <w:tc>
          <w:tcPr>
            <w:tcW w:w="643" w:type="dxa"/>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c>
          <w:tcPr>
            <w:tcW w:w="795" w:type="dxa"/>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30" w:type="dxa"/>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经度</w:t>
            </w:r>
          </w:p>
        </w:tc>
        <w:tc>
          <w:tcPr>
            <w:tcW w:w="684" w:type="dxa"/>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纬度</w:t>
            </w:r>
          </w:p>
        </w:tc>
        <w:tc>
          <w:tcPr>
            <w:tcW w:w="1248" w:type="dxa"/>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52" w:type="dxa"/>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高度</w:t>
            </w:r>
          </w:p>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p>
        </w:tc>
        <w:tc>
          <w:tcPr>
            <w:tcW w:w="624" w:type="dxa"/>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内径</w:t>
            </w:r>
          </w:p>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p>
        </w:tc>
        <w:tc>
          <w:tcPr>
            <w:tcW w:w="708" w:type="dxa"/>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温度</w:t>
            </w:r>
          </w:p>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0" w:type="dxa"/>
            <w:tcBorders>
              <w:top w:val="single" w:color="000000" w:sz="8" w:space="0"/>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流速</w:t>
            </w:r>
          </w:p>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(m/s)</w:t>
            </w:r>
          </w:p>
        </w:tc>
        <w:tc>
          <w:tcPr>
            <w:tcW w:w="698" w:type="dxa"/>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86" w:type="dxa"/>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43" w:type="dxa"/>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9" w:hRule="atLeast"/>
        </w:trPr>
        <w:tc>
          <w:tcPr>
            <w:tcW w:w="795"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b w:val="0"/>
                <w:color w:val="auto"/>
                <w:sz w:val="21"/>
                <w:szCs w:val="21"/>
                <w:highlight w:val="none"/>
                <w:lang w:val="en-US" w:eastAsia="zh-CN"/>
              </w:rPr>
              <w:t>DA001</w:t>
            </w:r>
          </w:p>
        </w:tc>
        <w:tc>
          <w:tcPr>
            <w:tcW w:w="630"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106.841063</w:t>
            </w:r>
          </w:p>
        </w:tc>
        <w:tc>
          <w:tcPr>
            <w:tcW w:w="684"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31.658952</w:t>
            </w:r>
          </w:p>
        </w:tc>
        <w:tc>
          <w:tcPr>
            <w:tcW w:w="1248"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538.00</w:t>
            </w:r>
          </w:p>
        </w:tc>
        <w:tc>
          <w:tcPr>
            <w:tcW w:w="852"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15.00</w:t>
            </w:r>
          </w:p>
        </w:tc>
        <w:tc>
          <w:tcPr>
            <w:tcW w:w="624"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0.50</w:t>
            </w:r>
          </w:p>
        </w:tc>
        <w:tc>
          <w:tcPr>
            <w:tcW w:w="708"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20.00</w:t>
            </w:r>
          </w:p>
        </w:tc>
        <w:tc>
          <w:tcPr>
            <w:tcW w:w="600"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color w:val="auto"/>
                <w:sz w:val="21"/>
                <w:szCs w:val="21"/>
                <w:highlight w:val="none"/>
              </w:rPr>
              <w:t>7.08</w:t>
            </w:r>
          </w:p>
        </w:tc>
        <w:tc>
          <w:tcPr>
            <w:tcW w:w="698" w:type="dxa"/>
            <w:tcBorders>
              <w:bottom w:val="single" w:color="000000"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886" w:type="dxa"/>
            <w:tcBorders>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color w:val="auto"/>
                <w:sz w:val="21"/>
                <w:szCs w:val="21"/>
                <w:highlight w:val="none"/>
              </w:rPr>
              <w:t>0.0012</w:t>
            </w:r>
          </w:p>
        </w:tc>
        <w:tc>
          <w:tcPr>
            <w:tcW w:w="643"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707" w:hRule="atLeast"/>
        </w:trPr>
        <w:tc>
          <w:tcPr>
            <w:tcW w:w="79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630"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684"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248"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52"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624"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708"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600"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698" w:type="dxa"/>
            <w:tcBorders>
              <w:top w:val="single" w:color="000000" w:sz="8" w:space="0"/>
              <w:bottom w:val="single" w:color="000000"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w:t>
            </w:r>
            <w:r>
              <w:rPr>
                <w:rFonts w:hint="default" w:ascii="Times New Roman" w:hAnsi="Times New Roman" w:cs="Times New Roman"/>
                <w:color w:val="auto"/>
                <w:sz w:val="21"/>
                <w:szCs w:val="21"/>
                <w:highlight w:val="none"/>
                <w:vertAlign w:val="subscript"/>
              </w:rPr>
              <w:t>2</w:t>
            </w:r>
            <w:r>
              <w:rPr>
                <w:rFonts w:hint="default" w:ascii="Times New Roman" w:hAnsi="Times New Roman" w:cs="Times New Roman"/>
                <w:color w:val="auto"/>
                <w:sz w:val="21"/>
                <w:szCs w:val="21"/>
                <w:highlight w:val="none"/>
              </w:rPr>
              <w:t>S</w:t>
            </w:r>
          </w:p>
        </w:tc>
        <w:tc>
          <w:tcPr>
            <w:tcW w:w="886" w:type="dxa"/>
            <w:tcBorders>
              <w:top w:val="single" w:color="000000" w:sz="8" w:space="0"/>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b w:val="0"/>
                <w:color w:val="auto"/>
                <w:sz w:val="21"/>
                <w:szCs w:val="21"/>
                <w:highlight w:val="none"/>
              </w:rPr>
              <w:t>0.0002</w:t>
            </w:r>
          </w:p>
        </w:tc>
        <w:tc>
          <w:tcPr>
            <w:tcW w:w="643"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707" w:hRule="atLeast"/>
        </w:trPr>
        <w:tc>
          <w:tcPr>
            <w:tcW w:w="795"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eastAsia="宋体" w:cs="Times New Roman"/>
                <w:b w:val="0"/>
                <w:color w:val="auto"/>
                <w:sz w:val="21"/>
                <w:szCs w:val="21"/>
                <w:highlight w:val="none"/>
                <w:lang w:val="en-US" w:eastAsia="zh-CN"/>
              </w:rPr>
              <w:t>DA002</w:t>
            </w:r>
          </w:p>
        </w:tc>
        <w:tc>
          <w:tcPr>
            <w:tcW w:w="630"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color w:val="auto"/>
                <w:sz w:val="21"/>
                <w:szCs w:val="21"/>
                <w:highlight w:val="none"/>
              </w:rPr>
              <w:t>106.840622</w:t>
            </w:r>
          </w:p>
        </w:tc>
        <w:tc>
          <w:tcPr>
            <w:tcW w:w="684"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color w:val="auto"/>
                <w:sz w:val="21"/>
                <w:szCs w:val="21"/>
                <w:highlight w:val="none"/>
              </w:rPr>
              <w:t>31.654482</w:t>
            </w:r>
          </w:p>
        </w:tc>
        <w:tc>
          <w:tcPr>
            <w:tcW w:w="1248"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color w:val="auto"/>
                <w:sz w:val="21"/>
                <w:szCs w:val="21"/>
                <w:highlight w:val="none"/>
              </w:rPr>
              <w:t>503.00</w:t>
            </w:r>
          </w:p>
        </w:tc>
        <w:tc>
          <w:tcPr>
            <w:tcW w:w="852"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color w:val="auto"/>
                <w:sz w:val="21"/>
                <w:szCs w:val="21"/>
                <w:highlight w:val="none"/>
              </w:rPr>
              <w:t>15.00</w:t>
            </w:r>
          </w:p>
        </w:tc>
        <w:tc>
          <w:tcPr>
            <w:tcW w:w="624"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color w:val="auto"/>
                <w:sz w:val="21"/>
                <w:szCs w:val="21"/>
                <w:highlight w:val="none"/>
              </w:rPr>
              <w:t>0.50</w:t>
            </w:r>
          </w:p>
        </w:tc>
        <w:tc>
          <w:tcPr>
            <w:tcW w:w="708"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color w:val="auto"/>
                <w:sz w:val="21"/>
                <w:szCs w:val="21"/>
                <w:highlight w:val="none"/>
              </w:rPr>
              <w:t>20.00</w:t>
            </w:r>
          </w:p>
        </w:tc>
        <w:tc>
          <w:tcPr>
            <w:tcW w:w="600"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b w:val="0"/>
                <w:color w:val="auto"/>
                <w:sz w:val="21"/>
                <w:szCs w:val="21"/>
                <w:highlight w:val="none"/>
              </w:rPr>
              <w:t>7.08</w:t>
            </w:r>
          </w:p>
        </w:tc>
        <w:tc>
          <w:tcPr>
            <w:tcW w:w="698" w:type="dxa"/>
            <w:tcBorders>
              <w:top w:val="single" w:color="000000" w:sz="8" w:space="0"/>
              <w:bottom w:val="single" w:color="000000" w:sz="8"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886" w:type="dxa"/>
            <w:tcBorders>
              <w:top w:val="single" w:color="000000" w:sz="8" w:space="0"/>
              <w:bottom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0.0</w:t>
            </w:r>
            <w:r>
              <w:rPr>
                <w:rFonts w:hint="eastAsia" w:ascii="Times New Roman" w:hAnsi="Times New Roman" w:eastAsia="宋体" w:cs="Times New Roman"/>
                <w:b w:val="0"/>
                <w:color w:val="auto"/>
                <w:sz w:val="21"/>
                <w:szCs w:val="21"/>
                <w:highlight w:val="none"/>
                <w:lang w:val="en-US" w:eastAsia="zh-CN"/>
              </w:rPr>
              <w:t>0</w:t>
            </w:r>
            <w:r>
              <w:rPr>
                <w:rFonts w:hint="default" w:ascii="Times New Roman" w:hAnsi="Times New Roman" w:eastAsia="宋体" w:cs="Times New Roman"/>
                <w:b w:val="0"/>
                <w:color w:val="auto"/>
                <w:sz w:val="21"/>
                <w:szCs w:val="21"/>
                <w:highlight w:val="none"/>
                <w:lang w:val="en-US" w:eastAsia="zh-CN"/>
              </w:rPr>
              <w:t>003</w:t>
            </w:r>
          </w:p>
        </w:tc>
        <w:tc>
          <w:tcPr>
            <w:tcW w:w="643"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rPr>
              <w:t>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707" w:hRule="atLeast"/>
        </w:trPr>
        <w:tc>
          <w:tcPr>
            <w:tcW w:w="79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630"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684"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248"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52"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624"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708"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600"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698" w:type="dxa"/>
            <w:tcBorders>
              <w:top w:val="single" w:color="000000" w:sz="8"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w:t>
            </w:r>
            <w:r>
              <w:rPr>
                <w:rFonts w:hint="default" w:ascii="Times New Roman" w:hAnsi="Times New Roman" w:cs="Times New Roman"/>
                <w:color w:val="auto"/>
                <w:sz w:val="21"/>
                <w:szCs w:val="21"/>
                <w:highlight w:val="none"/>
                <w:vertAlign w:val="subscript"/>
              </w:rPr>
              <w:t>2</w:t>
            </w:r>
            <w:r>
              <w:rPr>
                <w:rFonts w:hint="default" w:ascii="Times New Roman" w:hAnsi="Times New Roman" w:cs="Times New Roman"/>
                <w:color w:val="auto"/>
                <w:sz w:val="21"/>
                <w:szCs w:val="21"/>
                <w:highlight w:val="none"/>
              </w:rPr>
              <w:t>S</w:t>
            </w:r>
          </w:p>
        </w:tc>
        <w:tc>
          <w:tcPr>
            <w:tcW w:w="886" w:type="dxa"/>
            <w:tcBorders>
              <w:top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0.000</w:t>
            </w:r>
            <w:r>
              <w:rPr>
                <w:rFonts w:hint="eastAsia" w:ascii="Times New Roman" w:hAnsi="Times New Roman" w:eastAsia="宋体" w:cs="Times New Roman"/>
                <w:b w:val="0"/>
                <w:color w:val="auto"/>
                <w:sz w:val="21"/>
                <w:szCs w:val="21"/>
                <w:highlight w:val="none"/>
                <w:lang w:val="en-US" w:eastAsia="zh-CN"/>
              </w:rPr>
              <w:t>00</w:t>
            </w:r>
            <w:r>
              <w:rPr>
                <w:rFonts w:hint="default" w:ascii="Times New Roman" w:hAnsi="Times New Roman" w:eastAsia="宋体" w:cs="Times New Roman"/>
                <w:b w:val="0"/>
                <w:color w:val="auto"/>
                <w:sz w:val="21"/>
                <w:szCs w:val="21"/>
                <w:highlight w:val="none"/>
                <w:lang w:val="en-US" w:eastAsia="zh-CN"/>
              </w:rPr>
              <w:t>1</w:t>
            </w:r>
          </w:p>
        </w:tc>
        <w:tc>
          <w:tcPr>
            <w:tcW w:w="643"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bl>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主要废气污染源参数一览表(面源)</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183"/>
        <w:gridCol w:w="1034"/>
        <w:gridCol w:w="983"/>
        <w:gridCol w:w="867"/>
        <w:gridCol w:w="826"/>
        <w:gridCol w:w="793"/>
        <w:gridCol w:w="801"/>
        <w:gridCol w:w="10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97"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污染源名称</w:t>
            </w:r>
          </w:p>
        </w:tc>
        <w:tc>
          <w:tcPr>
            <w:tcW w:w="1301" w:type="pct"/>
            <w:gridSpan w:val="2"/>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坐标</w:t>
            </w:r>
          </w:p>
        </w:tc>
        <w:tc>
          <w:tcPr>
            <w:tcW w:w="576"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海拔高度/m</w:t>
            </w:r>
          </w:p>
        </w:tc>
        <w:tc>
          <w:tcPr>
            <w:tcW w:w="1459" w:type="pct"/>
            <w:gridSpan w:val="3"/>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矩形面源</w:t>
            </w:r>
          </w:p>
        </w:tc>
        <w:tc>
          <w:tcPr>
            <w:tcW w:w="1065" w:type="pct"/>
            <w:gridSpan w:val="2"/>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排放速率</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597"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94"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X</w:t>
            </w:r>
          </w:p>
        </w:tc>
        <w:tc>
          <w:tcPr>
            <w:tcW w:w="606"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Y</w:t>
            </w:r>
          </w:p>
        </w:tc>
        <w:tc>
          <w:tcPr>
            <w:tcW w:w="5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08"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长度</w:t>
            </w:r>
          </w:p>
        </w:tc>
        <w:tc>
          <w:tcPr>
            <w:tcW w:w="484"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宽度</w:t>
            </w:r>
          </w:p>
        </w:tc>
        <w:tc>
          <w:tcPr>
            <w:tcW w:w="465"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有效高度</w:t>
            </w:r>
          </w:p>
        </w:tc>
        <w:tc>
          <w:tcPr>
            <w:tcW w:w="1065" w:type="pct"/>
            <w:gridSpan w:val="2"/>
            <w:vMerge w:val="continue"/>
            <w:tcBorders>
              <w:bottom w:val="single" w:color="000000" w:sz="8" w:space="0"/>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597"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9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0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8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65"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70" w:type="pct"/>
            <w:tcBorders>
              <w:top w:val="single" w:color="000000" w:sz="8" w:space="0"/>
              <w:right w:val="single" w:color="000000" w:sz="8" w:space="0"/>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595" w:type="pct"/>
            <w:tcBorders>
              <w:top w:val="single" w:color="000000" w:sz="8" w:space="0"/>
              <w:left w:val="single" w:color="000000" w:sz="8" w:space="0"/>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sz w:val="21"/>
                <w:szCs w:val="21"/>
                <w:highlight w:val="none"/>
              </w:rPr>
              <w:t>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圈舍1</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106.843625</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31.660793</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526.00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125.41</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20.55</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470" w:type="pct"/>
            <w:tcBorders>
              <w:right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595" w:type="pct"/>
            <w:tcBorders>
              <w:left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圈舍2</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106.843957</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31.659673</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527.00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18.73</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98.37</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圈舍3</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106.844781</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31.658689</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541.00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172.88</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107.23</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圈舍4</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106.844183</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31.657717</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550.00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46.27</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74.09</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圈舍5</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106.845874</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31.657569</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552.00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90.25</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67.82</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圈舍6</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106.84297</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31.656307</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562.00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124.82</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53.19</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圈舍7</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106.844397</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31.656532</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562.00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40.72</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85.92</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圈舍8</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106.843704</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31.655316</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544.00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72.85</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92.92</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圈舍9</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106.840501</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31.657167</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549.00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116.04</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335.88</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圈舍10</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106.839185</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31.657912</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539.00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134.49</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24.52</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圈舍11</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106.839745</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31.660041</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525.00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136.99</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66.61</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隔离舍1</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106.842549</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31.653465</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509.00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58.70</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138.15</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隔离舍2</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106.844266</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31.65406</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538.00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35.17</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96.01</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801" w:type="dxa"/>
            <w:tcBorders>
              <w:righ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w:t>
            </w:r>
            <w:r>
              <w:rPr>
                <w:rFonts w:hint="default" w:ascii="Times New Roman" w:hAnsi="Times New Roman" w:eastAsia="宋体" w:cs="Times New Roman"/>
                <w:b w:val="0"/>
                <w:color w:val="auto"/>
                <w:sz w:val="21"/>
                <w:szCs w:val="21"/>
                <w:highlight w:val="none"/>
                <w:lang w:val="en-US" w:eastAsia="zh-CN"/>
              </w:rPr>
              <w:t>3</w:t>
            </w:r>
          </w:p>
        </w:tc>
        <w:tc>
          <w:tcPr>
            <w:tcW w:w="1014" w:type="dxa"/>
            <w:tcBorders>
              <w:left w:val="single" w:color="000000"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干</w:t>
            </w:r>
            <w:r>
              <w:rPr>
                <w:rFonts w:hint="default" w:ascii="Times New Roman" w:hAnsi="Times New Roman" w:eastAsia="宋体" w:cs="Times New Roman"/>
                <w:b w:val="0"/>
                <w:color w:val="auto"/>
                <w:sz w:val="21"/>
                <w:szCs w:val="21"/>
                <w:highlight w:val="none"/>
                <w:lang w:eastAsia="zh-CN"/>
              </w:rPr>
              <w:t>粪</w:t>
            </w:r>
            <w:r>
              <w:rPr>
                <w:rFonts w:hint="default" w:ascii="Times New Roman" w:hAnsi="Times New Roman" w:eastAsia="宋体" w:cs="Times New Roman"/>
                <w:b w:val="0"/>
                <w:color w:val="auto"/>
                <w:sz w:val="21"/>
                <w:szCs w:val="21"/>
                <w:highlight w:val="none"/>
              </w:rPr>
              <w:t>棚</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106.840936</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31.659011</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538.00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10.00</w:t>
            </w:r>
          </w:p>
        </w:tc>
        <w:tc>
          <w:tcPr>
            <w:tcW w:w="470" w:type="pct"/>
            <w:tcBorders>
              <w:right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175</w:t>
            </w:r>
          </w:p>
        </w:tc>
        <w:tc>
          <w:tcPr>
            <w:tcW w:w="595" w:type="pct"/>
            <w:tcBorders>
              <w:left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污水处理站</w:t>
            </w:r>
          </w:p>
        </w:tc>
        <w:tc>
          <w:tcPr>
            <w:tcW w:w="69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106.840323</w:t>
            </w:r>
          </w:p>
        </w:tc>
        <w:tc>
          <w:tcPr>
            <w:tcW w:w="60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31.654871</w:t>
            </w:r>
          </w:p>
        </w:tc>
        <w:tc>
          <w:tcPr>
            <w:tcW w:w="57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472.00</w:t>
            </w:r>
          </w:p>
        </w:tc>
        <w:tc>
          <w:tcPr>
            <w:tcW w:w="50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54.01</w:t>
            </w:r>
          </w:p>
        </w:tc>
        <w:tc>
          <w:tcPr>
            <w:tcW w:w="48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42.29</w:t>
            </w:r>
          </w:p>
        </w:tc>
        <w:tc>
          <w:tcPr>
            <w:tcW w:w="46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8.00</w:t>
            </w:r>
          </w:p>
        </w:tc>
        <w:tc>
          <w:tcPr>
            <w:tcW w:w="470" w:type="pct"/>
            <w:tcBorders>
              <w:right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0.0000</w:t>
            </w:r>
            <w:r>
              <w:rPr>
                <w:rFonts w:hint="default" w:ascii="Times New Roman" w:hAnsi="Times New Roman" w:eastAsia="宋体" w:cs="Times New Roman"/>
                <w:b w:val="0"/>
                <w:color w:val="auto"/>
                <w:sz w:val="21"/>
                <w:szCs w:val="21"/>
                <w:highlight w:val="none"/>
                <w:lang w:val="en-US" w:eastAsia="zh-CN"/>
              </w:rPr>
              <w:t>3</w:t>
            </w:r>
          </w:p>
        </w:tc>
        <w:tc>
          <w:tcPr>
            <w:tcW w:w="595" w:type="pct"/>
            <w:tcBorders>
              <w:left w:val="single" w:color="000000"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w:t>
            </w:r>
            <w:r>
              <w:rPr>
                <w:rFonts w:hint="default" w:ascii="Times New Roman" w:hAnsi="Times New Roman" w:eastAsia="宋体" w:cs="Times New Roman"/>
                <w:b w:val="0"/>
                <w:color w:val="auto"/>
                <w:sz w:val="21"/>
                <w:szCs w:val="21"/>
                <w:highlight w:val="none"/>
                <w:lang w:val="en-US" w:eastAsia="zh-CN"/>
              </w:rPr>
              <w:t>0001</w:t>
            </w:r>
          </w:p>
        </w:tc>
      </w:tr>
    </w:tbl>
    <w:p>
      <w:pPr>
        <w:pStyle w:val="2507"/>
        <w:numPr>
          <w:ilvl w:val="0"/>
          <w:numId w:val="0"/>
        </w:numPr>
        <w:adjustRightInd w:val="0"/>
        <w:snapToGrid w:val="0"/>
        <w:spacing w:before="120" w:beforeLines="50"/>
        <w:ind w:leftChars="200" w:right="0" w:rightChars="0"/>
        <w:rPr>
          <w:b/>
          <w:bCs/>
          <w:color w:val="auto"/>
          <w:highlight w:val="none"/>
        </w:rPr>
      </w:pPr>
      <w:r>
        <w:rPr>
          <w:rFonts w:hint="eastAsia"/>
          <w:b/>
          <w:bCs/>
          <w:color w:val="auto"/>
          <w:highlight w:val="none"/>
          <w:lang w:eastAsia="zh-CN"/>
        </w:rPr>
        <w:t>②</w:t>
      </w:r>
      <w:r>
        <w:rPr>
          <w:rFonts w:hint="eastAsia"/>
          <w:b/>
          <w:color w:val="auto"/>
          <w:highlight w:val="none"/>
        </w:rPr>
        <w:t>估算模型参数</w:t>
      </w:r>
    </w:p>
    <w:p>
      <w:pPr>
        <w:adjustRightInd w:val="0"/>
        <w:snapToGrid w:val="0"/>
        <w:spacing w:line="360" w:lineRule="auto"/>
        <w:ind w:firstLine="720" w:firstLineChars="300"/>
        <w:rPr>
          <w:rFonts w:eastAsia="宋体"/>
          <w:color w:val="auto"/>
          <w:sz w:val="24"/>
          <w:szCs w:val="22"/>
          <w:highlight w:val="none"/>
        </w:rPr>
      </w:pPr>
      <w:r>
        <w:rPr>
          <w:rFonts w:eastAsia="宋体"/>
          <w:color w:val="auto"/>
          <w:sz w:val="24"/>
          <w:szCs w:val="22"/>
          <w:highlight w:val="none"/>
        </w:rPr>
        <w:t>估算模式所用参数见</w:t>
      </w:r>
      <w:r>
        <w:rPr>
          <w:rFonts w:hint="eastAsia" w:eastAsia="宋体"/>
          <w:color w:val="auto"/>
          <w:sz w:val="24"/>
          <w:szCs w:val="22"/>
          <w:highlight w:val="none"/>
          <w:lang w:eastAsia="zh-CN"/>
        </w:rPr>
        <w:t>下</w:t>
      </w:r>
      <w:r>
        <w:rPr>
          <w:rFonts w:eastAsia="宋体"/>
          <w:color w:val="auto"/>
          <w:sz w:val="24"/>
          <w:szCs w:val="22"/>
          <w:highlight w:val="none"/>
        </w:rPr>
        <w:t>表。</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val="0"/>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 xml:space="preserve"> 估算模型参数表</w:t>
      </w:r>
    </w:p>
    <w:tbl>
      <w:tblPr>
        <w:tblStyle w:val="2512"/>
        <w:tblW w:w="4998"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4097"/>
        <w:gridCol w:w="2655"/>
        <w:gridCol w:w="1767"/>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8" w:hRule="atLeast"/>
          <w:jc w:val="center"/>
        </w:trPr>
        <w:tc>
          <w:tcPr>
            <w:tcW w:w="6752"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参数</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取值</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6" w:hRule="atLeast"/>
          <w:jc w:val="center"/>
        </w:trPr>
        <w:tc>
          <w:tcPr>
            <w:tcW w:w="4097"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城市/农村选项</w:t>
            </w:r>
          </w:p>
        </w:tc>
        <w:tc>
          <w:tcPr>
            <w:tcW w:w="265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城市/农村</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农村</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6" w:hRule="atLeast"/>
          <w:jc w:val="center"/>
        </w:trPr>
        <w:tc>
          <w:tcPr>
            <w:tcW w:w="4097"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265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人口数(城市人口数)</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6" w:hRule="atLeast"/>
          <w:jc w:val="center"/>
        </w:trPr>
        <w:tc>
          <w:tcPr>
            <w:tcW w:w="6752"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最高环境温度</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40.6</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6" w:hRule="atLeast"/>
          <w:jc w:val="center"/>
        </w:trPr>
        <w:tc>
          <w:tcPr>
            <w:tcW w:w="6752"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最低环境温度</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-5.3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75" w:hRule="atLeast"/>
          <w:jc w:val="center"/>
        </w:trPr>
        <w:tc>
          <w:tcPr>
            <w:tcW w:w="6752"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土地利用类型</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阔叶林</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9" w:hRule="atLeast"/>
          <w:jc w:val="center"/>
        </w:trPr>
        <w:tc>
          <w:tcPr>
            <w:tcW w:w="6752"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区域湿度条件</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潮湿</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05" w:hRule="atLeast"/>
          <w:jc w:val="center"/>
        </w:trPr>
        <w:tc>
          <w:tcPr>
            <w:tcW w:w="4097"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是否考虑地形</w:t>
            </w:r>
          </w:p>
        </w:tc>
        <w:tc>
          <w:tcPr>
            <w:tcW w:w="265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考虑地形</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是</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1" w:hRule="atLeast"/>
          <w:jc w:val="center"/>
        </w:trPr>
        <w:tc>
          <w:tcPr>
            <w:tcW w:w="4097"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265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地形数据分辨率(m)</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90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0" w:hRule="atLeast"/>
          <w:jc w:val="center"/>
        </w:trPr>
        <w:tc>
          <w:tcPr>
            <w:tcW w:w="4097"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是否考虑岸线熏烟</w:t>
            </w:r>
          </w:p>
        </w:tc>
        <w:tc>
          <w:tcPr>
            <w:tcW w:w="265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考虑岸线熏烟</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否</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0" w:hRule="atLeast"/>
          <w:jc w:val="center"/>
        </w:trPr>
        <w:tc>
          <w:tcPr>
            <w:tcW w:w="4097"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265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岸线距离/m</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0" w:hRule="atLeast"/>
          <w:jc w:val="center"/>
        </w:trPr>
        <w:tc>
          <w:tcPr>
            <w:tcW w:w="4097"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265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岸线方向/°</w:t>
            </w:r>
          </w:p>
        </w:tc>
        <w:tc>
          <w:tcPr>
            <w:tcW w:w="1767"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color w:val="auto"/>
                <w:sz w:val="21"/>
                <w:szCs w:val="21"/>
                <w:highlight w:val="none"/>
              </w:rPr>
              <w:t>/</w:t>
            </w:r>
          </w:p>
        </w:tc>
      </w:tr>
    </w:tbl>
    <w:p>
      <w:pPr>
        <w:pStyle w:val="46"/>
        <w:adjustRightInd w:val="0"/>
        <w:snapToGrid w:val="0"/>
        <w:spacing w:line="360" w:lineRule="auto"/>
        <w:ind w:firstLine="452" w:firstLineChars="200"/>
        <w:rPr>
          <w:rFonts w:hint="eastAsia"/>
          <w:color w:val="auto"/>
          <w:spacing w:val="-7"/>
          <w:highlight w:val="none"/>
        </w:rPr>
      </w:pPr>
      <w:r>
        <w:rPr>
          <w:rFonts w:hint="eastAsia"/>
          <w:color w:val="auto"/>
          <w:spacing w:val="-7"/>
          <w:highlight w:val="none"/>
        </w:rPr>
        <w:t>本项目所在区域属于农村地区，周边土地利用类型为</w:t>
      </w:r>
      <w:r>
        <w:rPr>
          <w:rFonts w:hint="eastAsia"/>
          <w:color w:val="auto"/>
          <w:spacing w:val="-7"/>
          <w:highlight w:val="none"/>
          <w:lang w:eastAsia="zh-CN"/>
        </w:rPr>
        <w:t>阔叶林</w:t>
      </w:r>
      <w:r>
        <w:rPr>
          <w:rFonts w:hint="eastAsia"/>
          <w:color w:val="auto"/>
          <w:spacing w:val="-7"/>
          <w:highlight w:val="none"/>
        </w:rPr>
        <w:t>。根据《中国干湿地区划分图》，</w:t>
      </w:r>
      <w:r>
        <w:rPr>
          <w:rFonts w:hint="eastAsia"/>
          <w:color w:val="auto"/>
          <w:spacing w:val="-7"/>
          <w:highlight w:val="none"/>
          <w:lang w:eastAsia="zh-CN"/>
        </w:rPr>
        <w:t>巴州区</w:t>
      </w:r>
      <w:r>
        <w:rPr>
          <w:rFonts w:hint="eastAsia"/>
          <w:color w:val="auto"/>
          <w:spacing w:val="-7"/>
          <w:highlight w:val="none"/>
        </w:rPr>
        <w:t>属于潮湿地区。</w:t>
      </w:r>
    </w:p>
    <w:p>
      <w:pPr>
        <w:pStyle w:val="46"/>
        <w:adjustRightInd w:val="0"/>
        <w:snapToGrid w:val="0"/>
        <w:spacing w:line="360" w:lineRule="auto"/>
        <w:ind w:firstLine="454" w:firstLineChars="200"/>
        <w:rPr>
          <w:rFonts w:hint="eastAsia"/>
          <w:b/>
          <w:bCs/>
          <w:color w:val="auto"/>
          <w:spacing w:val="-7"/>
          <w:highlight w:val="none"/>
        </w:rPr>
      </w:pPr>
      <w:r>
        <w:rPr>
          <w:rFonts w:hint="eastAsia"/>
          <w:b/>
          <w:bCs/>
          <w:color w:val="auto"/>
          <w:spacing w:val="-7"/>
          <w:highlight w:val="none"/>
          <w:lang w:val="en-US" w:eastAsia="zh-CN"/>
        </w:rPr>
        <w:t>4</w:t>
      </w:r>
      <w:r>
        <w:rPr>
          <w:rFonts w:hint="eastAsia"/>
          <w:b/>
          <w:bCs/>
          <w:color w:val="auto"/>
          <w:spacing w:val="-7"/>
          <w:highlight w:val="none"/>
        </w:rPr>
        <w:t>、计算结果</w:t>
      </w:r>
    </w:p>
    <w:p>
      <w:pPr>
        <w:pStyle w:val="46"/>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本项目所在区域为地区，预测过程中不考虑地形因素影响，采用上述预测模式大气污染物预测运行截图见图</w:t>
      </w:r>
      <w:r>
        <w:rPr>
          <w:rFonts w:hint="default" w:ascii="Times New Roman" w:hAnsi="Times New Roman" w:cs="Times New Roman"/>
          <w:color w:val="auto"/>
          <w:sz w:val="24"/>
          <w:szCs w:val="24"/>
          <w:highlight w:val="none"/>
          <w:lang w:val="en-US" w:eastAsia="zh-CN"/>
        </w:rPr>
        <w:t>5.2</w:t>
      </w:r>
      <w:r>
        <w:rPr>
          <w:rFonts w:hint="default" w:ascii="Times New Roman" w:hAnsi="Times New Roman" w:cs="Times New Roman"/>
          <w:color w:val="auto"/>
          <w:sz w:val="24"/>
          <w:szCs w:val="24"/>
          <w:highlight w:val="none"/>
        </w:rPr>
        <w:t>-2所示。</w:t>
      </w:r>
    </w:p>
    <w:p>
      <w:pPr>
        <w:pStyle w:val="46"/>
        <w:adjustRightInd w:val="0"/>
        <w:snapToGrid w:val="0"/>
        <w:spacing w:line="360" w:lineRule="auto"/>
        <w:ind w:left="0" w:leftChars="0" w:firstLine="0" w:firstLineChars="0"/>
        <w:rPr>
          <w:rFonts w:ascii="Times New Roman" w:hAnsi="Times New Roman"/>
          <w:b/>
          <w:bCs/>
          <w:color w:val="auto"/>
          <w:sz w:val="21"/>
          <w:szCs w:val="21"/>
          <w:highlight w:val="none"/>
        </w:rPr>
      </w:pPr>
      <w:r>
        <w:rPr>
          <w:color w:val="auto"/>
          <w:highlight w:val="none"/>
        </w:rPr>
        <w:drawing>
          <wp:inline distT="0" distB="0" distL="114300" distR="114300">
            <wp:extent cx="5271135" cy="4752340"/>
            <wp:effectExtent l="0" t="0" r="5715" b="1016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7"/>
                    <a:stretch>
                      <a:fillRect/>
                    </a:stretch>
                  </pic:blipFill>
                  <pic:spPr>
                    <a:xfrm>
                      <a:off x="0" y="0"/>
                      <a:ext cx="5271135" cy="4752340"/>
                    </a:xfrm>
                    <a:prstGeom prst="rect">
                      <a:avLst/>
                    </a:prstGeom>
                    <a:noFill/>
                    <a:ln>
                      <a:noFill/>
                    </a:ln>
                  </pic:spPr>
                </pic:pic>
              </a:graphicData>
            </a:graphic>
          </wp:inline>
        </w:drawing>
      </w:r>
    </w:p>
    <w:p>
      <w:pPr>
        <w:pStyle w:val="46"/>
        <w:numPr>
          <w:ilvl w:val="0"/>
          <w:numId w:val="35"/>
        </w:numPr>
        <w:adjustRightInd w:val="0"/>
        <w:snapToGrid w:val="0"/>
        <w:spacing w:line="360" w:lineRule="auto"/>
        <w:ind w:left="425" w:leftChars="0" w:hanging="425" w:firstLineChars="0"/>
        <w:jc w:val="center"/>
        <w:rPr>
          <w:rFonts w:hint="eastAsia" w:ascii="Times New Roman" w:hAnsi="Times New Roman"/>
          <w:b/>
          <w:bCs/>
          <w:color w:val="auto"/>
          <w:sz w:val="21"/>
          <w:szCs w:val="21"/>
          <w:highlight w:val="none"/>
        </w:rPr>
      </w:pPr>
      <w:r>
        <w:rPr>
          <w:rFonts w:hint="eastAsia" w:ascii="Times New Roman" w:hAnsi="Times New Roman"/>
          <w:b/>
          <w:bCs/>
          <w:color w:val="auto"/>
          <w:sz w:val="21"/>
          <w:szCs w:val="21"/>
          <w:highlight w:val="none"/>
          <w:lang w:val="en-US" w:eastAsia="zh-CN"/>
        </w:rPr>
        <w:t xml:space="preserve"> </w:t>
      </w:r>
      <w:r>
        <w:rPr>
          <w:rFonts w:ascii="Times New Roman" w:hAnsi="Times New Roman"/>
          <w:b/>
          <w:bCs/>
          <w:color w:val="auto"/>
          <w:sz w:val="21"/>
          <w:szCs w:val="21"/>
          <w:highlight w:val="none"/>
        </w:rPr>
        <w:t>估算模式AERSCREEN运行截图</w:t>
      </w:r>
    </w:p>
    <w:p>
      <w:pPr>
        <w:pStyle w:val="2"/>
        <w:ind w:left="0" w:leftChars="0" w:firstLine="0" w:firstLineChars="0"/>
        <w:rPr>
          <w:rFonts w:hint="eastAsia" w:eastAsiaTheme="minorEastAsia"/>
          <w:color w:val="auto"/>
          <w:highlight w:val="none"/>
          <w:lang w:eastAsia="zh-CN"/>
        </w:rPr>
      </w:pPr>
      <w:r>
        <w:rPr>
          <w:rFonts w:hint="eastAsia"/>
          <w:color w:val="auto"/>
          <w:highlight w:val="none"/>
        </w:rPr>
        <w:t>采用上述预测模式大气污染物预测结果见表</w:t>
      </w:r>
      <w:r>
        <w:rPr>
          <w:rFonts w:hint="eastAsia"/>
          <w:color w:val="auto"/>
          <w:highlight w:val="none"/>
          <w:lang w:val="en-US" w:eastAsia="zh-CN"/>
        </w:rPr>
        <w:t>5.2</w:t>
      </w:r>
      <w:r>
        <w:rPr>
          <w:rFonts w:hint="eastAsia"/>
          <w:color w:val="auto"/>
          <w:highlight w:val="none"/>
        </w:rPr>
        <w:t>-</w:t>
      </w:r>
      <w:r>
        <w:rPr>
          <w:rFonts w:hint="eastAsia"/>
          <w:color w:val="auto"/>
          <w:highlight w:val="none"/>
          <w:lang w:val="en-US" w:eastAsia="zh-CN"/>
        </w:rPr>
        <w:t>2</w:t>
      </w:r>
    </w:p>
    <w:p>
      <w:pPr>
        <w:jc w:val="both"/>
        <w:rPr>
          <w:rFonts w:hint="eastAsia" w:ascii="Times New Roman" w:hAnsi="Times New Roman"/>
          <w:b/>
          <w:bCs/>
          <w:color w:val="auto"/>
          <w:sz w:val="21"/>
          <w:szCs w:val="21"/>
          <w:highlight w:val="none"/>
          <w:lang w:val="en-US" w:eastAsia="zh-CN"/>
        </w:rPr>
      </w:pPr>
      <w:r>
        <w:rPr>
          <w:color w:val="auto"/>
          <w:highlight w:val="none"/>
        </w:rPr>
        <w:drawing>
          <wp:inline distT="0" distB="0" distL="114300" distR="114300">
            <wp:extent cx="5273040" cy="3668395"/>
            <wp:effectExtent l="0" t="0" r="3810" b="8255"/>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48"/>
                    <a:stretch>
                      <a:fillRect/>
                    </a:stretch>
                  </pic:blipFill>
                  <pic:spPr>
                    <a:xfrm>
                      <a:off x="0" y="0"/>
                      <a:ext cx="5273040" cy="3668395"/>
                    </a:xfrm>
                    <a:prstGeom prst="rect">
                      <a:avLst/>
                    </a:prstGeom>
                    <a:noFill/>
                    <a:ln>
                      <a:noFill/>
                    </a:ln>
                  </pic:spPr>
                </pic:pic>
              </a:graphicData>
            </a:graphic>
          </wp:inline>
        </w:drawing>
      </w:r>
    </w:p>
    <w:p>
      <w:pPr>
        <w:pStyle w:val="46"/>
        <w:numPr>
          <w:ilvl w:val="0"/>
          <w:numId w:val="35"/>
        </w:numPr>
        <w:adjustRightInd w:val="0"/>
        <w:snapToGrid w:val="0"/>
        <w:spacing w:line="360" w:lineRule="auto"/>
        <w:ind w:left="425" w:leftChars="0" w:hanging="425" w:firstLineChars="0"/>
        <w:jc w:val="center"/>
        <w:rPr>
          <w:rFonts w:ascii="Times New Roman" w:hAnsi="Times New Roman"/>
          <w:b/>
          <w:bCs/>
          <w:color w:val="auto"/>
          <w:sz w:val="21"/>
          <w:szCs w:val="21"/>
          <w:highlight w:val="none"/>
        </w:rPr>
      </w:pPr>
      <w:r>
        <w:rPr>
          <w:rFonts w:hint="eastAsia" w:ascii="Times New Roman" w:hAnsi="Times New Roman"/>
          <w:b/>
          <w:bCs/>
          <w:color w:val="auto"/>
          <w:sz w:val="21"/>
          <w:szCs w:val="21"/>
          <w:highlight w:val="none"/>
          <w:lang w:val="en-US" w:eastAsia="zh-CN"/>
        </w:rPr>
        <w:t xml:space="preserve">  预测</w:t>
      </w:r>
      <w:r>
        <w:rPr>
          <w:rFonts w:ascii="Times New Roman" w:hAnsi="Times New Roman"/>
          <w:b/>
          <w:bCs/>
          <w:color w:val="auto"/>
          <w:sz w:val="21"/>
          <w:szCs w:val="21"/>
          <w:highlight w:val="none"/>
        </w:rPr>
        <w:t>模式大气污染物预测结果截图</w:t>
      </w:r>
    </w:p>
    <w:p>
      <w:pPr>
        <w:pStyle w:val="46"/>
        <w:adjustRightInd w:val="0"/>
        <w:snapToGrid w:val="0"/>
        <w:spacing w:line="360" w:lineRule="auto"/>
        <w:ind w:firstLine="454" w:firstLineChars="200"/>
        <w:rPr>
          <w:rFonts w:hint="eastAsia"/>
          <w:b/>
          <w:bCs/>
          <w:color w:val="auto"/>
          <w:spacing w:val="-7"/>
          <w:highlight w:val="none"/>
        </w:rPr>
      </w:pPr>
      <w:r>
        <w:rPr>
          <w:rFonts w:hint="eastAsia"/>
          <w:b/>
          <w:bCs/>
          <w:color w:val="auto"/>
          <w:spacing w:val="-7"/>
          <w:highlight w:val="none"/>
          <w:lang w:val="en-US" w:eastAsia="zh-CN"/>
        </w:rPr>
        <w:t>5</w:t>
      </w:r>
      <w:r>
        <w:rPr>
          <w:rFonts w:hint="eastAsia"/>
          <w:b/>
          <w:bCs/>
          <w:color w:val="auto"/>
          <w:spacing w:val="-7"/>
          <w:highlight w:val="none"/>
        </w:rPr>
        <w:t>、</w:t>
      </w:r>
      <w:r>
        <w:rPr>
          <w:rFonts w:hint="eastAsia"/>
          <w:b/>
          <w:bCs/>
          <w:color w:val="auto"/>
          <w:spacing w:val="-7"/>
          <w:highlight w:val="none"/>
          <w:lang w:eastAsia="zh-CN"/>
        </w:rPr>
        <w:t>评价工作等级确定</w:t>
      </w:r>
    </w:p>
    <w:p>
      <w:pPr>
        <w:spacing w:line="480" w:lineRule="exact"/>
        <w:ind w:firstLine="4"/>
        <w:rPr>
          <w:rFonts w:hint="default" w:ascii="Times New Roman" w:hAnsi="Times New Roman" w:eastAsia="宋体" w:cs="Times New Roman"/>
          <w:b/>
          <w:bCs/>
          <w:color w:val="auto"/>
          <w:kern w:val="2"/>
          <w:sz w:val="21"/>
          <w:szCs w:val="21"/>
          <w:highlight w:val="none"/>
          <w:lang w:val="en-US" w:eastAsia="zh-CN" w:bidi="ar-SA"/>
        </w:rPr>
      </w:pPr>
      <w:r>
        <w:rPr>
          <w:rFonts w:ascii="宋体" w:hAnsi="宋体" w:eastAsia="宋体" w:cs="宋体"/>
          <w:b w:val="0"/>
          <w:color w:val="auto"/>
          <w:sz w:val="24"/>
          <w:highlight w:val="none"/>
        </w:rPr>
        <w:t xml:space="preserve"> 本项目所有污染源的正常排放的污染物的Pmax和D10%预测结果如下:</w:t>
      </w:r>
    </w:p>
    <w:p>
      <w:pPr>
        <w:widowControl w:val="0"/>
        <w:numPr>
          <w:ilvl w:val="0"/>
          <w:numId w:val="34"/>
        </w:numPr>
        <w:spacing w:after="0" w:afterLines="0" w:line="360" w:lineRule="auto"/>
        <w:ind w:left="0" w:leftChars="0" w:firstLine="0" w:firstLineChars="0"/>
        <w:jc w:val="center"/>
        <w:rPr>
          <w:b/>
          <w:bCs/>
          <w:color w:val="auto"/>
          <w:highlight w:val="none"/>
        </w:rPr>
      </w:pPr>
      <w:r>
        <w:rPr>
          <w:rFonts w:hint="default" w:ascii="Times New Roman" w:hAnsi="Times New Roman" w:eastAsia="宋体" w:cs="Times New Roman"/>
          <w:b/>
          <w:bCs/>
          <w:color w:val="auto"/>
          <w:kern w:val="2"/>
          <w:sz w:val="21"/>
          <w:szCs w:val="21"/>
          <w:highlight w:val="none"/>
          <w:lang w:val="en-US" w:eastAsia="zh-CN" w:bidi="ar-SA"/>
        </w:rPr>
        <w:t xml:space="preserve"> Pmax和D10%预测和计算结果一览表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641"/>
        <w:gridCol w:w="1175"/>
        <w:gridCol w:w="1891"/>
        <w:gridCol w:w="1514"/>
        <w:gridCol w:w="1123"/>
        <w:gridCol w:w="1175"/>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污染源名称</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评价因子</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评价标准(μg/m³)</w:t>
            </w:r>
          </w:p>
        </w:tc>
        <w:tc>
          <w:tcPr>
            <w:tcW w:w="8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Cmax(μg/m³)</w:t>
            </w:r>
          </w:p>
        </w:tc>
        <w:tc>
          <w:tcPr>
            <w:tcW w:w="65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Pmax(%)</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D10%(m)</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圈舍1</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0.1996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0.0998</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0.0772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0.7718</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圈舍2</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0.2265</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0.1132</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0.0876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0.8757</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圈舍3</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0.1032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0.0516</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0.0399</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0.3990</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圈舍4</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0.1982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0.0991</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0.0766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0.7665</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圈舍5</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0.1549</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0.0774</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0.0599</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0.5988</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圈舍6</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0.1528</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0.0764</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0.0591</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0.5909</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圈舍7</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0.1961</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0.0981</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0.0758</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0.7584</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color w:val="auto"/>
                <w:sz w:val="21"/>
                <w:szCs w:val="21"/>
                <w:highlight w:val="none"/>
              </w:rPr>
              <w:t>圈舍8</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0.1463</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0.0731</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0.0566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0.5657</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圈舍9</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0.0832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0.0416</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0.0322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0.3217</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圈舍10</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0.1856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0.0928</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0.0718</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0.7176</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圈舍11</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0.1366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0.0683</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0.0528</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0.5283</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隔离舍1</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0.1412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0.0706</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0.0546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0.5461</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隔离舍2</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0.1946</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0.0973</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0.0752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0.7525</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干</w:t>
            </w:r>
            <w:r>
              <w:rPr>
                <w:rFonts w:hint="default" w:ascii="Times New Roman" w:hAnsi="Times New Roman" w:eastAsia="宋体" w:cs="Times New Roman"/>
                <w:b w:val="0"/>
                <w:color w:val="auto"/>
                <w:sz w:val="21"/>
                <w:szCs w:val="21"/>
                <w:highlight w:val="none"/>
                <w:lang w:eastAsia="zh-CN"/>
              </w:rPr>
              <w:t>粪</w:t>
            </w:r>
            <w:r>
              <w:rPr>
                <w:rFonts w:hint="default" w:ascii="Times New Roman" w:hAnsi="Times New Roman" w:eastAsia="宋体" w:cs="Times New Roman"/>
                <w:b w:val="0"/>
                <w:color w:val="auto"/>
                <w:sz w:val="21"/>
                <w:szCs w:val="21"/>
                <w:highlight w:val="none"/>
              </w:rPr>
              <w:t>棚</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3.1881</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1.5940</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0.1822</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1.8218</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污水处理站</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0.0289</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0.0145</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0.0010</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0.0096</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lang w:val="en-US" w:eastAsia="zh-CN"/>
              </w:rPr>
              <w:t>DA001</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1.7200</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0.8600</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0.2867</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2.8667</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restar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lang w:val="en-US" w:eastAsia="zh-CN"/>
              </w:rPr>
              <w:t>DA002</w:t>
            </w: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NH</w:t>
            </w:r>
            <w:r>
              <w:rPr>
                <w:rFonts w:hint="default" w:ascii="Times New Roman" w:hAnsi="Times New Roman" w:eastAsia="宋体" w:cs="Times New Roman"/>
                <w:b w:val="0"/>
                <w:color w:val="auto"/>
                <w:sz w:val="21"/>
                <w:szCs w:val="21"/>
                <w:highlight w:val="none"/>
                <w:vertAlign w:val="subscript"/>
              </w:rPr>
              <w:t>3</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200.0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0.2677</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0.1339</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8" w:hRule="atLeast"/>
        </w:trPr>
        <w:tc>
          <w:tcPr>
            <w:tcW w:w="96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75"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H</w:t>
            </w:r>
            <w:r>
              <w:rPr>
                <w:rFonts w:hint="default" w:ascii="Times New Roman" w:hAnsi="Times New Roman" w:eastAsia="宋体" w:cs="Times New Roman"/>
                <w:b w:val="0"/>
                <w:color w:val="auto"/>
                <w:sz w:val="21"/>
                <w:szCs w:val="21"/>
                <w:highlight w:val="none"/>
                <w:vertAlign w:val="subscript"/>
              </w:rPr>
              <w:t>2</w:t>
            </w:r>
            <w:r>
              <w:rPr>
                <w:rFonts w:hint="default" w:ascii="Times New Roman" w:hAnsi="Times New Roman" w:eastAsia="宋体" w:cs="Times New Roman"/>
                <w:b w:val="0"/>
                <w:color w:val="auto"/>
                <w:sz w:val="21"/>
                <w:szCs w:val="21"/>
                <w:highlight w:val="none"/>
              </w:rPr>
              <w:t>S</w:t>
            </w:r>
          </w:p>
        </w:tc>
        <w:tc>
          <w:tcPr>
            <w:tcW w:w="11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10.0</w:t>
            </w:r>
          </w:p>
        </w:tc>
        <w:tc>
          <w:tcPr>
            <w:tcW w:w="151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0.0089</w:t>
            </w:r>
          </w:p>
        </w:tc>
        <w:tc>
          <w:tcPr>
            <w:tcW w:w="11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0.0892</w:t>
            </w:r>
          </w:p>
        </w:tc>
        <w:tc>
          <w:tcPr>
            <w:tcW w:w="68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rPr>
              <w:t>/</w:t>
            </w:r>
          </w:p>
        </w:tc>
      </w:tr>
    </w:tbl>
    <w:p>
      <w:pPr>
        <w:spacing w:line="440" w:lineRule="exact"/>
        <w:ind w:firstLine="480" w:firstLineChars="200"/>
        <w:rPr>
          <w:rFonts w:ascii="Times New Roman" w:hAnsi="Times New Roman" w:eastAsia="宋体" w:cs="Times New Roman"/>
          <w:b/>
          <w:color w:val="auto"/>
          <w:sz w:val="24"/>
          <w:szCs w:val="24"/>
          <w:highlight w:val="none"/>
        </w:rPr>
      </w:pPr>
      <w:r>
        <w:rPr>
          <w:rFonts w:hint="default" w:ascii="Times New Roman" w:hAnsi="Times New Roman" w:eastAsia="宋体" w:cs="Times New Roman"/>
          <w:b w:val="0"/>
          <w:color w:val="auto"/>
          <w:sz w:val="24"/>
          <w:highlight w:val="none"/>
          <w:lang w:eastAsia="zh-CN"/>
        </w:rPr>
        <w:t>本项目Pmax最大值出现为DA001排放的H</w:t>
      </w:r>
      <w:r>
        <w:rPr>
          <w:rFonts w:hint="default" w:ascii="Times New Roman" w:hAnsi="Times New Roman" w:eastAsia="宋体" w:cs="Times New Roman"/>
          <w:b w:val="0"/>
          <w:color w:val="auto"/>
          <w:sz w:val="24"/>
          <w:highlight w:val="none"/>
          <w:vertAlign w:val="subscript"/>
          <w:lang w:eastAsia="zh-CN"/>
        </w:rPr>
        <w:t>2</w:t>
      </w:r>
      <w:r>
        <w:rPr>
          <w:rFonts w:hint="default" w:ascii="Times New Roman" w:hAnsi="Times New Roman" w:eastAsia="宋体" w:cs="Times New Roman"/>
          <w:b w:val="0"/>
          <w:color w:val="auto"/>
          <w:sz w:val="24"/>
          <w:highlight w:val="none"/>
          <w:lang w:eastAsia="zh-CN"/>
        </w:rPr>
        <w:t>SPmax值为2.8667%，Cmax为0.2867μg/m³，</w:t>
      </w:r>
      <w:r>
        <w:rPr>
          <w:rFonts w:hint="eastAsia" w:ascii="Times New Roman" w:hAnsi="Times New Roman" w:eastAsia="宋体" w:cs="Times New Roman"/>
          <w:color w:val="auto"/>
          <w:sz w:val="24"/>
          <w:szCs w:val="24"/>
          <w:highlight w:val="none"/>
          <w:lang w:eastAsia="zh-CN"/>
        </w:rPr>
        <w:t>根据</w:t>
      </w:r>
      <w:r>
        <w:rPr>
          <w:rFonts w:ascii="Times New Roman" w:hAnsi="Times New Roman" w:eastAsia="宋体" w:cs="Times New Roman"/>
          <w:color w:val="auto"/>
          <w:sz w:val="24"/>
          <w:szCs w:val="24"/>
          <w:highlight w:val="none"/>
        </w:rPr>
        <w:t>《环境影响评价技术导则  大气环境》（HJ2.2-2018）等级判定依据，1.0%≤</w:t>
      </w:r>
      <w:r>
        <w:rPr>
          <w:rFonts w:ascii="Times New Roman" w:hAnsi="Times New Roman" w:eastAsia="宋体" w:cs="Times New Roman"/>
          <w:i/>
          <w:color w:val="auto"/>
          <w:sz w:val="24"/>
          <w:szCs w:val="24"/>
          <w:highlight w:val="none"/>
        </w:rPr>
        <w:t>Pi</w:t>
      </w:r>
      <w:r>
        <w:rPr>
          <w:rFonts w:ascii="Times New Roman" w:hAnsi="Times New Roman" w:eastAsia="宋体" w:cs="Times New Roman"/>
          <w:color w:val="auto"/>
          <w:sz w:val="24"/>
          <w:szCs w:val="24"/>
          <w:highlight w:val="none"/>
          <w:vertAlign w:val="subscript"/>
        </w:rPr>
        <w:t>max</w:t>
      </w:r>
      <w:r>
        <w:rPr>
          <w:rFonts w:ascii="Times New Roman" w:hAnsi="Times New Roman" w:eastAsia="宋体" w:cs="Times New Roman"/>
          <w:color w:val="auto"/>
          <w:sz w:val="24"/>
          <w:szCs w:val="24"/>
          <w:highlight w:val="none"/>
        </w:rPr>
        <w:t>＜10%，确定本项目大气环境影响评价工作等级为二级。</w:t>
      </w:r>
      <w:r>
        <w:rPr>
          <w:rFonts w:ascii="Times New Roman" w:hAnsi="Times New Roman" w:eastAsia="宋体" w:cs="Times New Roman"/>
          <w:b/>
          <w:color w:val="auto"/>
          <w:sz w:val="24"/>
          <w:szCs w:val="24"/>
          <w:highlight w:val="none"/>
        </w:rPr>
        <w:t>根据《环境影响评价技术导则大气环境》（HJ2.2-2018），第 8.1.2 条规定：二级评价项目不进行进一步预测与评价，只对污染物排放量进行核算。</w:t>
      </w:r>
    </w:p>
    <w:p>
      <w:pPr>
        <w:pStyle w:val="46"/>
        <w:numPr>
          <w:ilvl w:val="0"/>
          <w:numId w:val="32"/>
        </w:numPr>
        <w:adjustRightInd w:val="0"/>
        <w:snapToGrid w:val="0"/>
        <w:spacing w:line="360" w:lineRule="auto"/>
        <w:ind w:left="0" w:leftChars="0" w:firstLine="454" w:firstLineChars="200"/>
        <w:rPr>
          <w:rFonts w:hint="eastAsia"/>
          <w:b/>
          <w:bCs/>
          <w:color w:val="auto"/>
          <w:spacing w:val="-7"/>
          <w:highlight w:val="none"/>
          <w:lang w:eastAsia="zh-CN"/>
        </w:rPr>
      </w:pPr>
      <w:r>
        <w:rPr>
          <w:rFonts w:hint="eastAsia"/>
          <w:b/>
          <w:bCs/>
          <w:color w:val="auto"/>
          <w:spacing w:val="-7"/>
          <w:highlight w:val="none"/>
          <w:lang w:eastAsia="zh-CN"/>
        </w:rPr>
        <w:t>评价范围确定</w:t>
      </w:r>
    </w:p>
    <w:p>
      <w:pPr>
        <w:pStyle w:val="4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color w:val="auto"/>
          <w:highlight w:val="none"/>
        </w:rPr>
      </w:pPr>
      <w:r>
        <w:rPr>
          <w:rFonts w:hint="default" w:ascii="Times New Roman" w:hAnsi="Times New Roman" w:eastAsia="宋体" w:cs="Times New Roman"/>
          <w:color w:val="auto"/>
          <w:kern w:val="2"/>
          <w:sz w:val="24"/>
          <w:szCs w:val="24"/>
          <w:highlight w:val="none"/>
          <w:lang w:val="en-US" w:eastAsia="zh-CN" w:bidi="ar-SA"/>
        </w:rPr>
        <w:t>根据《环境影响评价技术导则 大气环境》（HJ2.2-2018）分级判据，确定本项目大气环境影响评价工作等级为二级</w:t>
      </w:r>
      <w:r>
        <w:rPr>
          <w:rFonts w:hint="eastAsia" w:ascii="Times New Roman" w:hAnsi="Times New Roman" w:cs="Times New Roman"/>
          <w:color w:val="auto"/>
          <w:kern w:val="2"/>
          <w:sz w:val="24"/>
          <w:szCs w:val="24"/>
          <w:highlight w:val="none"/>
          <w:lang w:val="en-US" w:eastAsia="zh-CN" w:bidi="ar-SA"/>
        </w:rPr>
        <w:t>。</w:t>
      </w:r>
      <w:r>
        <w:rPr>
          <w:rFonts w:hint="eastAsia"/>
          <w:color w:val="auto"/>
          <w:szCs w:val="21"/>
          <w:highlight w:val="none"/>
          <w:lang w:eastAsia="zh-CN"/>
        </w:rPr>
        <w:t>二级</w:t>
      </w:r>
      <w:r>
        <w:rPr>
          <w:rFonts w:hint="eastAsia"/>
          <w:color w:val="auto"/>
          <w:szCs w:val="21"/>
          <w:highlight w:val="none"/>
        </w:rPr>
        <w:t>评价范围为以厂址为中心</w:t>
      </w:r>
      <w:r>
        <w:rPr>
          <w:rFonts w:hint="eastAsia"/>
          <w:color w:val="auto"/>
          <w:szCs w:val="21"/>
          <w:highlight w:val="none"/>
          <w:lang w:eastAsia="zh-CN"/>
        </w:rPr>
        <w:t>，</w:t>
      </w:r>
      <w:r>
        <w:rPr>
          <w:rFonts w:hint="default"/>
          <w:color w:val="auto"/>
          <w:szCs w:val="21"/>
          <w:highlight w:val="none"/>
        </w:rPr>
        <w:t>边长5km的矩形区域</w:t>
      </w:r>
    </w:p>
    <w:p>
      <w:pPr>
        <w:pStyle w:val="114"/>
        <w:ind w:left="0" w:leftChars="0" w:firstLine="0" w:firstLineChars="0"/>
        <w:rPr>
          <w:rFonts w:hint="eastAsia" w:ascii="Times New Roman" w:hAnsi="Times New Roman"/>
          <w:b/>
          <w:bCs/>
          <w:color w:val="auto"/>
          <w:sz w:val="21"/>
          <w:szCs w:val="21"/>
          <w:highlight w:val="none"/>
          <w:lang w:val="en-US" w:eastAsia="zh-CN"/>
        </w:rPr>
      </w:pPr>
      <w:r>
        <w:rPr>
          <w:color w:val="auto"/>
          <w:highlight w:val="none"/>
        </w:rPr>
        <w:drawing>
          <wp:inline distT="0" distB="0" distL="114300" distR="114300">
            <wp:extent cx="5269865" cy="5043805"/>
            <wp:effectExtent l="0" t="0" r="6985" b="4445"/>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49"/>
                    <a:stretch>
                      <a:fillRect/>
                    </a:stretch>
                  </pic:blipFill>
                  <pic:spPr>
                    <a:xfrm>
                      <a:off x="0" y="0"/>
                      <a:ext cx="5269865" cy="5043805"/>
                    </a:xfrm>
                    <a:prstGeom prst="rect">
                      <a:avLst/>
                    </a:prstGeom>
                    <a:noFill/>
                    <a:ln>
                      <a:noFill/>
                    </a:ln>
                  </pic:spPr>
                </pic:pic>
              </a:graphicData>
            </a:graphic>
          </wp:inline>
        </w:drawing>
      </w:r>
    </w:p>
    <w:p>
      <w:pPr>
        <w:pStyle w:val="46"/>
        <w:numPr>
          <w:ilvl w:val="0"/>
          <w:numId w:val="35"/>
        </w:numPr>
        <w:adjustRightInd w:val="0"/>
        <w:snapToGrid w:val="0"/>
        <w:spacing w:line="360" w:lineRule="auto"/>
        <w:ind w:left="425" w:leftChars="0" w:hanging="425" w:firstLineChars="0"/>
        <w:jc w:val="center"/>
        <w:rPr>
          <w:rFonts w:ascii="Times New Roman" w:hAnsi="Times New Roman"/>
          <w:b/>
          <w:bCs/>
          <w:color w:val="auto"/>
          <w:sz w:val="21"/>
          <w:szCs w:val="21"/>
          <w:highlight w:val="none"/>
        </w:rPr>
      </w:pPr>
      <w:r>
        <w:rPr>
          <w:rFonts w:hint="default" w:ascii="Times New Roman" w:hAnsi="Times New Roman"/>
          <w:b/>
          <w:bCs/>
          <w:color w:val="auto"/>
          <w:sz w:val="21"/>
          <w:szCs w:val="21"/>
          <w:highlight w:val="none"/>
          <w:lang w:val="en-US" w:eastAsia="zh-CN"/>
        </w:rPr>
        <w:t xml:space="preserve">   </w:t>
      </w:r>
      <w:r>
        <w:rPr>
          <w:rFonts w:hint="default" w:ascii="Times New Roman" w:hAnsi="Times New Roman"/>
          <w:b/>
          <w:bCs/>
          <w:color w:val="auto"/>
          <w:sz w:val="21"/>
          <w:szCs w:val="21"/>
          <w:highlight w:val="none"/>
        </w:rPr>
        <w:t>项目</w:t>
      </w:r>
      <w:r>
        <w:rPr>
          <w:rFonts w:hint="eastAsia" w:ascii="Times New Roman" w:hAnsi="Times New Roman"/>
          <w:b/>
          <w:bCs/>
          <w:color w:val="auto"/>
          <w:sz w:val="21"/>
          <w:szCs w:val="21"/>
          <w:highlight w:val="none"/>
          <w:lang w:eastAsia="zh-CN"/>
        </w:rPr>
        <w:t>大气</w:t>
      </w:r>
      <w:r>
        <w:rPr>
          <w:rFonts w:hint="default" w:ascii="Times New Roman" w:hAnsi="Times New Roman"/>
          <w:b/>
          <w:bCs/>
          <w:color w:val="auto"/>
          <w:sz w:val="21"/>
          <w:szCs w:val="21"/>
          <w:highlight w:val="none"/>
        </w:rPr>
        <w:t>评价范围图</w:t>
      </w:r>
    </w:p>
    <w:p>
      <w:pPr>
        <w:pStyle w:val="9"/>
        <w:bidi w:val="0"/>
        <w:spacing w:line="360" w:lineRule="auto"/>
        <w:rPr>
          <w:rFonts w:hint="eastAsia" w:eastAsia="宋体" w:cs="Times New Roman"/>
          <w:color w:val="auto"/>
          <w:sz w:val="24"/>
          <w:szCs w:val="24"/>
          <w:highlight w:val="none"/>
          <w:lang w:val="en-US" w:eastAsia="zh-CN"/>
        </w:rPr>
      </w:pPr>
      <w:r>
        <w:rPr>
          <w:rFonts w:hint="eastAsia" w:eastAsia="宋体" w:cs="Times New Roman"/>
          <w:color w:val="auto"/>
          <w:sz w:val="24"/>
          <w:szCs w:val="24"/>
          <w:highlight w:val="none"/>
          <w:lang w:val="en-US" w:eastAsia="zh-CN"/>
        </w:rPr>
        <w:t>污染物排放量核算</w:t>
      </w:r>
    </w:p>
    <w:p>
      <w:pPr>
        <w:spacing w:line="440" w:lineRule="exact"/>
        <w:ind w:firstLine="480" w:firstLineChars="200"/>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项目大气污染物有组织及无组织排放量核算</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大气污染物</w:t>
      </w:r>
      <w:r>
        <w:rPr>
          <w:rFonts w:hint="eastAsia" w:ascii="Times New Roman" w:hAnsi="Times New Roman" w:eastAsia="宋体" w:cs="Times New Roman"/>
          <w:b/>
          <w:bCs/>
          <w:color w:val="auto"/>
          <w:kern w:val="2"/>
          <w:sz w:val="21"/>
          <w:szCs w:val="21"/>
          <w:highlight w:val="none"/>
          <w:lang w:val="en-US" w:eastAsia="zh-CN" w:bidi="ar-SA"/>
        </w:rPr>
        <w:t>有</w:t>
      </w:r>
      <w:r>
        <w:rPr>
          <w:rFonts w:hint="default" w:ascii="Times New Roman" w:hAnsi="Times New Roman" w:eastAsia="宋体" w:cs="Times New Roman"/>
          <w:b/>
          <w:bCs/>
          <w:color w:val="auto"/>
          <w:kern w:val="2"/>
          <w:sz w:val="21"/>
          <w:szCs w:val="21"/>
          <w:highlight w:val="none"/>
          <w:lang w:val="en-US" w:eastAsia="zh-CN" w:bidi="ar-SA"/>
        </w:rPr>
        <w:t>组织排放量核算表</w:t>
      </w:r>
    </w:p>
    <w:tbl>
      <w:tblPr>
        <w:tblStyle w:val="91"/>
        <w:tblW w:w="8528"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645"/>
        <w:gridCol w:w="931"/>
        <w:gridCol w:w="1529"/>
        <w:gridCol w:w="2388"/>
        <w:gridCol w:w="1492"/>
        <w:gridCol w:w="154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645"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b/>
                <w:bCs/>
                <w:color w:val="auto"/>
                <w:highlight w:val="none"/>
              </w:rPr>
              <w:t>序号</w:t>
            </w:r>
          </w:p>
        </w:tc>
        <w:tc>
          <w:tcPr>
            <w:tcW w:w="931"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b/>
                <w:bCs/>
                <w:color w:val="auto"/>
                <w:highlight w:val="none"/>
              </w:rPr>
              <w:t>排放口编号</w:t>
            </w:r>
          </w:p>
        </w:tc>
        <w:tc>
          <w:tcPr>
            <w:tcW w:w="152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b/>
                <w:bCs/>
                <w:color w:val="auto"/>
                <w:highlight w:val="none"/>
              </w:rPr>
              <w:t>污染物</w:t>
            </w:r>
          </w:p>
        </w:tc>
        <w:tc>
          <w:tcPr>
            <w:tcW w:w="2388"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核算排放浓度</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highlight w:val="none"/>
              </w:rPr>
            </w:pPr>
            <w:r>
              <w:rPr>
                <w:rFonts w:hint="default" w:ascii="Times New Roman" w:hAnsi="Times New Roman" w:cs="Times New Roman"/>
                <w:b/>
                <w:bCs/>
                <w:color w:val="auto"/>
                <w:highlight w:val="none"/>
              </w:rPr>
              <w:t>（mg/m</w:t>
            </w:r>
            <w:r>
              <w:rPr>
                <w:rFonts w:hint="default" w:ascii="Times New Roman" w:hAnsi="Times New Roman" w:cs="Times New Roman"/>
                <w:b/>
                <w:bCs/>
                <w:color w:val="auto"/>
                <w:highlight w:val="none"/>
                <w:vertAlign w:val="superscript"/>
              </w:rPr>
              <w:t>3</w:t>
            </w:r>
            <w:r>
              <w:rPr>
                <w:rFonts w:hint="default" w:ascii="Times New Roman" w:hAnsi="Times New Roman" w:cs="Times New Roman"/>
                <w:b/>
                <w:bCs/>
                <w:color w:val="auto"/>
                <w:highlight w:val="none"/>
              </w:rPr>
              <w:t>）</w:t>
            </w:r>
          </w:p>
        </w:tc>
        <w:tc>
          <w:tcPr>
            <w:tcW w:w="149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highlight w:val="none"/>
              </w:rPr>
            </w:pPr>
            <w:r>
              <w:rPr>
                <w:rFonts w:hint="default" w:ascii="Times New Roman" w:hAnsi="Times New Roman" w:cs="Times New Roman"/>
                <w:b/>
                <w:bCs/>
                <w:color w:val="auto"/>
                <w:highlight w:val="none"/>
              </w:rPr>
              <w:t>核算排放速率（kg/h）</w:t>
            </w:r>
          </w:p>
        </w:tc>
        <w:tc>
          <w:tcPr>
            <w:tcW w:w="154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highlight w:val="none"/>
              </w:rPr>
            </w:pPr>
            <w:r>
              <w:rPr>
                <w:rFonts w:hint="default" w:ascii="Times New Roman" w:hAnsi="Times New Roman" w:cs="Times New Roman"/>
                <w:b/>
                <w:bCs/>
                <w:color w:val="auto"/>
                <w:highlight w:val="none"/>
              </w:rPr>
              <w:t>核算年排放量（t/a）</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1" w:hRule="atLeast"/>
        </w:trPr>
        <w:tc>
          <w:tcPr>
            <w:tcW w:w="645"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highlight w:val="none"/>
              </w:rPr>
            </w:pPr>
            <w:r>
              <w:rPr>
                <w:rFonts w:hint="default" w:ascii="Times New Roman" w:hAnsi="Times New Roman" w:cs="Times New Roman"/>
                <w:color w:val="auto"/>
                <w:highlight w:val="none"/>
              </w:rPr>
              <w:t>1</w:t>
            </w:r>
          </w:p>
        </w:tc>
        <w:tc>
          <w:tcPr>
            <w:tcW w:w="931" w:type="dxa"/>
            <w:vMerge w:val="restart"/>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0"/>
                <w:highlight w:val="none"/>
              </w:rPr>
            </w:pPr>
            <w:r>
              <w:rPr>
                <w:rFonts w:hint="eastAsia" w:ascii="Times New Roman" w:hAnsi="Times New Roman" w:eastAsia="宋体" w:cs="Times New Roman"/>
                <w:color w:val="auto"/>
                <w:kern w:val="0"/>
                <w:sz w:val="21"/>
                <w:szCs w:val="21"/>
                <w:highlight w:val="none"/>
                <w:lang w:val="en-US" w:eastAsia="zh-CN"/>
              </w:rPr>
              <w:t>DA001</w:t>
            </w:r>
          </w:p>
        </w:tc>
        <w:tc>
          <w:tcPr>
            <w:tcW w:w="1529"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highlight w:val="none"/>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238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0.0275</w:t>
            </w:r>
          </w:p>
        </w:tc>
        <w:tc>
          <w:tcPr>
            <w:tcW w:w="149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kern w:val="0"/>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0.0001</w:t>
            </w:r>
          </w:p>
        </w:tc>
        <w:tc>
          <w:tcPr>
            <w:tcW w:w="154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kern w:val="0"/>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0.0012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62" w:hRule="atLeast"/>
        </w:trPr>
        <w:tc>
          <w:tcPr>
            <w:tcW w:w="645"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931"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1529"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highlight w:val="none"/>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238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highlight w:val="none"/>
                <w:lang w:val="en-US" w:bidi="ar"/>
              </w:rPr>
            </w:pPr>
            <w:r>
              <w:rPr>
                <w:rFonts w:hint="default" w:ascii="Times New Roman" w:hAnsi="Times New Roman" w:eastAsia="宋体" w:cs="Times New Roman"/>
                <w:i w:val="0"/>
                <w:iCs w:val="0"/>
                <w:color w:val="auto"/>
                <w:kern w:val="0"/>
                <w:sz w:val="21"/>
                <w:szCs w:val="21"/>
                <w:highlight w:val="none"/>
                <w:u w:val="none"/>
                <w:lang w:val="en-US" w:eastAsia="zh-CN" w:bidi="ar"/>
              </w:rPr>
              <w:t>0.0055</w:t>
            </w:r>
          </w:p>
        </w:tc>
        <w:tc>
          <w:tcPr>
            <w:tcW w:w="149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kern w:val="0"/>
                <w:highlight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0.00003</w:t>
            </w:r>
          </w:p>
        </w:tc>
        <w:tc>
          <w:tcPr>
            <w:tcW w:w="154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kern w:val="0"/>
                <w:highlight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62" w:hRule="atLeast"/>
        </w:trPr>
        <w:tc>
          <w:tcPr>
            <w:tcW w:w="645"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2</w:t>
            </w:r>
          </w:p>
        </w:tc>
        <w:tc>
          <w:tcPr>
            <w:tcW w:w="931" w:type="dxa"/>
            <w:vMerge w:val="restart"/>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ascii="Times New Roman" w:hAnsi="Times New Roman" w:eastAsia="宋体" w:cs="Times New Roman"/>
                <w:color w:val="auto"/>
                <w:kern w:val="0"/>
                <w:sz w:val="21"/>
                <w:szCs w:val="21"/>
                <w:highlight w:val="none"/>
                <w:lang w:val="en-US" w:eastAsia="zh-CN"/>
              </w:rPr>
              <w:t>DA002</w:t>
            </w:r>
          </w:p>
        </w:tc>
        <w:tc>
          <w:tcPr>
            <w:tcW w:w="1529"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0"/>
                <w:position w:val="2"/>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238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1.28425E-07</w:t>
            </w:r>
          </w:p>
        </w:tc>
        <w:tc>
          <w:tcPr>
            <w:tcW w:w="149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color w:val="auto"/>
                <w:kern w:val="0"/>
                <w:highlight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2.56849E-05</w:t>
            </w:r>
          </w:p>
        </w:tc>
        <w:tc>
          <w:tcPr>
            <w:tcW w:w="154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color w:val="auto"/>
                <w:kern w:val="0"/>
                <w:highlight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0.000225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62" w:hRule="atLeast"/>
        </w:trPr>
        <w:tc>
          <w:tcPr>
            <w:tcW w:w="645"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931"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1529"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0"/>
                <w:position w:val="2"/>
                <w:sz w:val="21"/>
                <w:szCs w:val="21"/>
                <w:highlight w:val="none"/>
                <w:lang w:val="en-US" w:eastAsia="zh-CN" w:bidi="ar-SA"/>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238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5.13699E-09</w:t>
            </w:r>
          </w:p>
        </w:tc>
        <w:tc>
          <w:tcPr>
            <w:tcW w:w="149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color w:val="auto"/>
                <w:kern w:val="0"/>
                <w:highlight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1.02740E-06</w:t>
            </w:r>
          </w:p>
        </w:tc>
        <w:tc>
          <w:tcPr>
            <w:tcW w:w="154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color w:val="auto"/>
                <w:kern w:val="0"/>
                <w:highlight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0.000009</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576" w:type="dxa"/>
            <w:gridSpan w:val="2"/>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highlight w:val="none"/>
              </w:rPr>
            </w:pPr>
            <w:r>
              <w:rPr>
                <w:rFonts w:hint="default" w:ascii="Times New Roman" w:hAnsi="Times New Roman" w:cs="Times New Roman"/>
                <w:color w:val="auto"/>
                <w:kern w:val="0"/>
                <w:highlight w:val="none"/>
              </w:rPr>
              <w:t>有组织排放总计</w:t>
            </w:r>
          </w:p>
        </w:tc>
        <w:tc>
          <w:tcPr>
            <w:tcW w:w="1529"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kern w:val="0"/>
                <w:highlight w:val="none"/>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238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0.0275</w:t>
            </w:r>
          </w:p>
        </w:tc>
        <w:tc>
          <w:tcPr>
            <w:tcW w:w="149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0.0001</w:t>
            </w:r>
          </w:p>
        </w:tc>
        <w:tc>
          <w:tcPr>
            <w:tcW w:w="154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0.0014</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1576" w:type="dxa"/>
            <w:gridSpan w:val="2"/>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highlight w:val="none"/>
              </w:rPr>
            </w:pPr>
          </w:p>
        </w:tc>
        <w:tc>
          <w:tcPr>
            <w:tcW w:w="1529"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kern w:val="0"/>
                <w:highlight w:val="none"/>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238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0.0055</w:t>
            </w:r>
          </w:p>
        </w:tc>
        <w:tc>
          <w:tcPr>
            <w:tcW w:w="149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0.00003</w:t>
            </w:r>
          </w:p>
        </w:tc>
        <w:tc>
          <w:tcPr>
            <w:tcW w:w="154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0.0002</w:t>
            </w:r>
          </w:p>
        </w:tc>
      </w:tr>
    </w:tbl>
    <w:p>
      <w:pPr>
        <w:widowControl w:val="0"/>
        <w:numPr>
          <w:ilvl w:val="0"/>
          <w:numId w:val="34"/>
        </w:numPr>
        <w:spacing w:after="0" w:afterLines="0" w:line="360" w:lineRule="auto"/>
        <w:ind w:left="0" w:leftChars="0" w:firstLine="0" w:firstLineChars="0"/>
        <w:jc w:val="center"/>
        <w:rPr>
          <w:rFonts w:hint="default" w:ascii="Times New Roman" w:hAnsi="Times New Roman" w:cs="Times New Roman"/>
          <w:b/>
          <w:bCs/>
          <w:color w:val="auto"/>
          <w:highlight w:val="none"/>
        </w:rPr>
      </w:pPr>
      <w:r>
        <w:rPr>
          <w:rFonts w:hint="default" w:ascii="Times New Roman" w:hAnsi="Times New Roman" w:eastAsia="宋体" w:cs="Times New Roman"/>
          <w:b/>
          <w:bCs/>
          <w:color w:val="auto"/>
          <w:kern w:val="2"/>
          <w:sz w:val="21"/>
          <w:szCs w:val="21"/>
          <w:highlight w:val="none"/>
          <w:lang w:val="en-US" w:eastAsia="zh-CN" w:bidi="ar-SA"/>
        </w:rPr>
        <w:t>大气污染物无组织排放量核算表</w:t>
      </w:r>
    </w:p>
    <w:tbl>
      <w:tblPr>
        <w:tblStyle w:val="91"/>
        <w:tblW w:w="8586"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678"/>
        <w:gridCol w:w="660"/>
        <w:gridCol w:w="3825"/>
        <w:gridCol w:w="1230"/>
        <w:gridCol w:w="1189"/>
        <w:gridCol w:w="1004"/>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678"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产污环节</w:t>
            </w:r>
          </w:p>
        </w:tc>
        <w:tc>
          <w:tcPr>
            <w:tcW w:w="660"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3825"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主要污染防治措施</w:t>
            </w:r>
          </w:p>
        </w:tc>
        <w:tc>
          <w:tcPr>
            <w:tcW w:w="2419" w:type="dxa"/>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国家或地方污染物排放标准</w:t>
            </w:r>
          </w:p>
        </w:tc>
        <w:tc>
          <w:tcPr>
            <w:tcW w:w="1004"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年排放量（t/a）</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678"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p>
        </w:tc>
        <w:tc>
          <w:tcPr>
            <w:tcW w:w="660"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p>
        </w:tc>
        <w:tc>
          <w:tcPr>
            <w:tcW w:w="3825"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p>
        </w:tc>
        <w:tc>
          <w:tcPr>
            <w:tcW w:w="1230" w:type="dxa"/>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标准名称</w:t>
            </w:r>
          </w:p>
        </w:tc>
        <w:tc>
          <w:tcPr>
            <w:tcW w:w="1189" w:type="dxa"/>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浓度限值（μm/m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w:t>
            </w:r>
          </w:p>
        </w:tc>
        <w:tc>
          <w:tcPr>
            <w:tcW w:w="1004"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678" w:type="dxa"/>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牛舍恶臭</w:t>
            </w:r>
          </w:p>
        </w:tc>
        <w:tc>
          <w:tcPr>
            <w:tcW w:w="660" w:type="dxa"/>
            <w:vMerge w:val="restart"/>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3825" w:type="dxa"/>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①科学设计日粮，提高饲料利用率，合理使用饲料添加剂；②加强圈舍管理，采用干清粪工艺；③对牛舍定期喷洒除臭剂；④加强牛舍消毒措施；⑤合理种植绿化隔离带。</w:t>
            </w:r>
          </w:p>
        </w:tc>
        <w:tc>
          <w:tcPr>
            <w:tcW w:w="1230"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eastAsia="zh-CN"/>
              </w:rPr>
              <w:t>恶臭污染物</w:t>
            </w:r>
            <w:r>
              <w:rPr>
                <w:rFonts w:hint="default" w:ascii="Times New Roman" w:hAnsi="Times New Roman" w:eastAsia="宋体" w:cs="Times New Roman"/>
                <w:color w:val="auto"/>
                <w:sz w:val="21"/>
                <w:szCs w:val="21"/>
                <w:highlight w:val="none"/>
              </w:rPr>
              <w:t>排放标准》（GB</w:t>
            </w:r>
            <w:r>
              <w:rPr>
                <w:rFonts w:hint="default" w:ascii="Times New Roman" w:hAnsi="Times New Roman" w:eastAsia="宋体" w:cs="Times New Roman"/>
                <w:color w:val="auto"/>
                <w:sz w:val="21"/>
                <w:szCs w:val="21"/>
                <w:highlight w:val="none"/>
                <w:lang w:val="en-US" w:eastAsia="zh-CN"/>
              </w:rPr>
              <w:t>14554</w:t>
            </w:r>
            <w:r>
              <w:rPr>
                <w:rFonts w:hint="default" w:ascii="Times New Roman" w:hAnsi="Times New Roman" w:eastAsia="宋体" w:cs="Times New Roman"/>
                <w:color w:val="auto"/>
                <w:sz w:val="21"/>
                <w:szCs w:val="21"/>
                <w:highlight w:val="none"/>
              </w:rPr>
              <w:t>-9</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w:t>
            </w:r>
          </w:p>
        </w:tc>
        <w:tc>
          <w:tcPr>
            <w:tcW w:w="1189" w:type="dxa"/>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1004" w:type="dxa"/>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bidi="ar"/>
              </w:rPr>
              <w:t>0.0312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678" w:type="dxa"/>
            <w:tcBorders>
              <w:bottom w:val="single" w:color="000000" w:sz="8" w:space="0"/>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污水处理站恶臭</w:t>
            </w:r>
          </w:p>
        </w:tc>
        <w:tc>
          <w:tcPr>
            <w:tcW w:w="660"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3825" w:type="dxa"/>
            <w:tcBorders>
              <w:bottom w:val="single" w:color="000000" w:sz="8" w:space="0"/>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①选用合适设备，并进行密闭；②设置于场地地势较低处，利用地势高差减少废水在圈舍及集污池的停留时间；③投放吸附剂、除臭剂，定期进行杀虫灭蝇工作；④加强污水处理系统周边的绿化</w:t>
            </w:r>
          </w:p>
        </w:tc>
        <w:tc>
          <w:tcPr>
            <w:tcW w:w="1230"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p>
        </w:tc>
        <w:tc>
          <w:tcPr>
            <w:tcW w:w="1189" w:type="dxa"/>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1004" w:type="dxa"/>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0.000225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678" w:type="dxa"/>
            <w:tcBorders>
              <w:top w:val="single" w:color="000000" w:sz="8" w:space="0"/>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干粪棚</w:t>
            </w:r>
          </w:p>
        </w:tc>
        <w:tc>
          <w:tcPr>
            <w:tcW w:w="660"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3825" w:type="dxa"/>
            <w:tcBorders>
              <w:top w:val="single" w:color="000000" w:sz="8" w:space="0"/>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①产生的干粪日产日清，保持干粪棚的清洁和干燥；②加强消毒；③夏季在干粪棚内投放吸附剂、除臭剂；④对不能及时清运的干粪，投洒除臭剂、EM菌液；⑤加强周边绿化等。</w:t>
            </w:r>
          </w:p>
        </w:tc>
        <w:tc>
          <w:tcPr>
            <w:tcW w:w="1230"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rPr>
            </w:pPr>
          </w:p>
        </w:tc>
        <w:tc>
          <w:tcPr>
            <w:tcW w:w="1189" w:type="dxa"/>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1004" w:type="dxa"/>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0.0001</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678" w:type="dxa"/>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牛舍恶臭</w:t>
            </w:r>
          </w:p>
        </w:tc>
        <w:tc>
          <w:tcPr>
            <w:tcW w:w="660" w:type="dxa"/>
            <w:vMerge w:val="restart"/>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3825" w:type="dxa"/>
            <w:tcBorders>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①科学设计日粮，提高饲料利用率，合理使用饲料添加剂；②加强圈舍管理，采用干清粪工艺；③对牛舍定期喷洒除臭剂；④加强牛舍消毒措施；⑤合理种植绿化隔离带。</w:t>
            </w:r>
          </w:p>
        </w:tc>
        <w:tc>
          <w:tcPr>
            <w:tcW w:w="1230"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189" w:type="dxa"/>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0.06</w:t>
            </w:r>
          </w:p>
        </w:tc>
        <w:tc>
          <w:tcPr>
            <w:tcW w:w="1004" w:type="dxa"/>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bidi="ar"/>
              </w:rPr>
              <w:t>0.0119</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678" w:type="dxa"/>
            <w:tcBorders>
              <w:bottom w:val="single" w:color="000000" w:sz="8" w:space="0"/>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污水处理站恶臭</w:t>
            </w:r>
          </w:p>
        </w:tc>
        <w:tc>
          <w:tcPr>
            <w:tcW w:w="660"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3825" w:type="dxa"/>
            <w:tcBorders>
              <w:bottom w:val="single" w:color="000000" w:sz="8" w:space="0"/>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①选用合适设备，并进行密闭；②设置于场地地势较低处，利用地势高差减少废水在圈舍及集污池的停留时间；③投放吸附剂、除臭剂，定期进行杀虫灭蝇工作；④加强污水处理系统周边的绿化</w:t>
            </w:r>
          </w:p>
        </w:tc>
        <w:tc>
          <w:tcPr>
            <w:tcW w:w="1230"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189" w:type="dxa"/>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0.06</w:t>
            </w:r>
          </w:p>
        </w:tc>
        <w:tc>
          <w:tcPr>
            <w:tcW w:w="1004" w:type="dxa"/>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0.000009</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678" w:type="dxa"/>
            <w:tcBorders>
              <w:top w:val="single" w:color="000000" w:sz="8" w:space="0"/>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干粪棚</w:t>
            </w:r>
          </w:p>
        </w:tc>
        <w:tc>
          <w:tcPr>
            <w:tcW w:w="660"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3825" w:type="dxa"/>
            <w:tcBorders>
              <w:top w:val="single" w:color="000000" w:sz="8" w:space="0"/>
              <w:tl2br w:val="nil"/>
              <w:tr2bl w:val="nil"/>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①产生的干粪日产日清，保持干粪棚的清洁和干燥；②加强消毒；③夏季在干粪棚内投放吸附剂、除臭剂；④对不能及时清运的干粪，投洒除臭剂、EM菌液；⑤加强周边绿化等。</w:t>
            </w:r>
          </w:p>
        </w:tc>
        <w:tc>
          <w:tcPr>
            <w:tcW w:w="1230"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189" w:type="dxa"/>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0.06</w:t>
            </w:r>
          </w:p>
        </w:tc>
        <w:tc>
          <w:tcPr>
            <w:tcW w:w="1004" w:type="dxa"/>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02" w:hRule="atLeast"/>
        </w:trPr>
        <w:tc>
          <w:tcPr>
            <w:tcW w:w="5163" w:type="dxa"/>
            <w:gridSpan w:val="3"/>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无组织排放总计</w:t>
            </w:r>
          </w:p>
        </w:tc>
        <w:tc>
          <w:tcPr>
            <w:tcW w:w="2419" w:type="dxa"/>
            <w:gridSpan w:val="2"/>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position w:val="2"/>
                <w:sz w:val="21"/>
                <w:szCs w:val="21"/>
                <w:highlight w:val="none"/>
                <w:lang w:val="en-US" w:eastAsia="zh-CN" w:bidi="ar-SA"/>
              </w:rPr>
              <w:t>NH</w:t>
            </w:r>
            <w:r>
              <w:rPr>
                <w:rFonts w:hint="default" w:ascii="Times New Roman" w:hAnsi="Times New Roman" w:eastAsia="宋体" w:cs="Times New Roman"/>
                <w:color w:val="auto"/>
                <w:kern w:val="0"/>
                <w:position w:val="2"/>
                <w:sz w:val="21"/>
                <w:szCs w:val="21"/>
                <w:highlight w:val="none"/>
                <w:vertAlign w:val="subscript"/>
                <w:lang w:val="en-US" w:eastAsia="zh-CN" w:bidi="ar-SA"/>
              </w:rPr>
              <w:t>3</w:t>
            </w:r>
          </w:p>
        </w:tc>
        <w:tc>
          <w:tcPr>
            <w:tcW w:w="100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color w:val="auto"/>
                <w:kern w:val="2"/>
                <w:sz w:val="21"/>
                <w:szCs w:val="21"/>
                <w:highlight w:val="none"/>
                <w:u w:val="none"/>
                <w:lang w:val="en-US" w:eastAsia="zh-CN" w:bidi="ar-SA"/>
              </w:rPr>
            </w:pPr>
            <w:r>
              <w:rPr>
                <w:rFonts w:hint="default" w:ascii="Times New Roman" w:hAnsi="Times New Roman" w:eastAsia="宋体" w:cs="Times New Roman"/>
                <w:b/>
                <w:bCs/>
                <w:i w:val="0"/>
                <w:color w:val="auto"/>
                <w:kern w:val="2"/>
                <w:sz w:val="21"/>
                <w:szCs w:val="21"/>
                <w:highlight w:val="none"/>
                <w:u w:val="none"/>
                <w:lang w:val="en-US" w:eastAsia="zh-CN" w:bidi="ar-SA"/>
              </w:rPr>
              <w:t>0.0315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02" w:hRule="atLeast"/>
        </w:trPr>
        <w:tc>
          <w:tcPr>
            <w:tcW w:w="5163" w:type="dxa"/>
            <w:gridSpan w:val="3"/>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rPr>
            </w:pPr>
          </w:p>
        </w:tc>
        <w:tc>
          <w:tcPr>
            <w:tcW w:w="2419" w:type="dxa"/>
            <w:gridSpan w:val="2"/>
            <w:tcBorders>
              <w:tl2br w:val="nil"/>
              <w:tr2bl w:val="nil"/>
            </w:tcBorders>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position w:val="2"/>
                <w:sz w:val="21"/>
                <w:szCs w:val="21"/>
                <w:highlight w:val="none"/>
                <w:lang w:val="en-US" w:eastAsia="zh-CN" w:bidi="ar-SA"/>
              </w:rPr>
              <w:t>H</w:t>
            </w:r>
            <w:r>
              <w:rPr>
                <w:rFonts w:hint="default" w:ascii="Times New Roman" w:hAnsi="Times New Roman" w:eastAsia="宋体" w:cs="Times New Roman"/>
                <w:color w:val="auto"/>
                <w:kern w:val="0"/>
                <w:position w:val="2"/>
                <w:sz w:val="21"/>
                <w:szCs w:val="21"/>
                <w:highlight w:val="none"/>
                <w:vertAlign w:val="subscript"/>
                <w:lang w:val="en-US" w:eastAsia="zh-CN" w:bidi="ar-SA"/>
              </w:rPr>
              <w:t>2</w:t>
            </w:r>
            <w:r>
              <w:rPr>
                <w:rFonts w:hint="default" w:ascii="Times New Roman" w:hAnsi="Times New Roman" w:eastAsia="宋体" w:cs="Times New Roman"/>
                <w:color w:val="auto"/>
                <w:kern w:val="0"/>
                <w:position w:val="2"/>
                <w:sz w:val="21"/>
                <w:szCs w:val="21"/>
                <w:highlight w:val="none"/>
                <w:lang w:val="en-US" w:eastAsia="zh-CN" w:bidi="ar-SA"/>
              </w:rPr>
              <w:t>S</w:t>
            </w:r>
          </w:p>
        </w:tc>
        <w:tc>
          <w:tcPr>
            <w:tcW w:w="100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0.0119</w:t>
            </w:r>
          </w:p>
        </w:tc>
      </w:tr>
    </w:tbl>
    <w:p>
      <w:pPr>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本项目大气污染物年排放量核算情况见表5.2-</w:t>
      </w:r>
      <w:r>
        <w:rPr>
          <w:rFonts w:hint="eastAsia"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w:t>
      </w:r>
    </w:p>
    <w:p>
      <w:pPr>
        <w:widowControl w:val="0"/>
        <w:numPr>
          <w:ilvl w:val="0"/>
          <w:numId w:val="34"/>
        </w:numPr>
        <w:spacing w:after="0" w:afterLines="0" w:line="360" w:lineRule="auto"/>
        <w:ind w:left="0" w:leftChars="0" w:firstLine="0" w:firstLineChars="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大气污染物年排放量核算表</w:t>
      </w:r>
    </w:p>
    <w:tbl>
      <w:tblPr>
        <w:tblStyle w:val="91"/>
        <w:tblW w:w="8787" w:type="dxa"/>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986"/>
        <w:gridCol w:w="3320"/>
        <w:gridCol w:w="3481"/>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986" w:type="dxa"/>
            <w:noWrap w:val="0"/>
            <w:vAlign w:val="center"/>
          </w:tcPr>
          <w:p>
            <w:pPr>
              <w:pStyle w:val="167"/>
              <w:keepNext w:val="0"/>
              <w:keepLines w:val="0"/>
              <w:suppressLineNumbers w:val="0"/>
              <w:kinsoku w:val="0"/>
              <w:overflowPunct w:val="0"/>
              <w:spacing w:before="0" w:beforeAutospacing="0" w:after="0" w:afterAutospacing="0"/>
              <w:ind w:left="0" w:right="3"/>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3320" w:type="dxa"/>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污染物</w:t>
            </w:r>
          </w:p>
        </w:tc>
        <w:tc>
          <w:tcPr>
            <w:tcW w:w="3481"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年排放量/（t/a）</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986"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w w:val="99"/>
                <w:sz w:val="21"/>
                <w:szCs w:val="21"/>
                <w:highlight w:val="none"/>
                <w:lang w:val="en-US" w:eastAsia="zh-CN"/>
              </w:rPr>
            </w:pPr>
            <w:r>
              <w:rPr>
                <w:rFonts w:hint="default" w:ascii="Times New Roman" w:hAnsi="Times New Roman" w:eastAsia="宋体" w:cs="Times New Roman"/>
                <w:color w:val="auto"/>
                <w:w w:val="99"/>
                <w:sz w:val="21"/>
                <w:szCs w:val="21"/>
                <w:highlight w:val="none"/>
                <w:lang w:val="en-US" w:eastAsia="zh-CN"/>
              </w:rPr>
              <w:t>1</w:t>
            </w:r>
          </w:p>
        </w:tc>
        <w:tc>
          <w:tcPr>
            <w:tcW w:w="332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position w:val="2"/>
                <w:sz w:val="21"/>
                <w:szCs w:val="21"/>
                <w:highlight w:val="none"/>
              </w:rPr>
            </w:pPr>
            <w:r>
              <w:rPr>
                <w:rFonts w:hint="default" w:ascii="Times New Roman" w:hAnsi="Times New Roman" w:eastAsia="宋体" w:cs="Times New Roman"/>
                <w:color w:val="auto"/>
                <w:position w:val="2"/>
                <w:sz w:val="21"/>
                <w:szCs w:val="21"/>
                <w:highlight w:val="none"/>
              </w:rPr>
              <w:t>NH</w:t>
            </w:r>
            <w:r>
              <w:rPr>
                <w:rFonts w:hint="default" w:ascii="Times New Roman" w:hAnsi="Times New Roman" w:eastAsia="宋体" w:cs="Times New Roman"/>
                <w:color w:val="auto"/>
                <w:position w:val="2"/>
                <w:sz w:val="21"/>
                <w:szCs w:val="21"/>
                <w:highlight w:val="none"/>
                <w:vertAlign w:val="subscript"/>
              </w:rPr>
              <w:t>3</w:t>
            </w:r>
          </w:p>
        </w:tc>
        <w:tc>
          <w:tcPr>
            <w:tcW w:w="348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w w:val="99"/>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0.0330</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1986"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3320" w:type="dxa"/>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position w:val="2"/>
                <w:sz w:val="21"/>
                <w:szCs w:val="21"/>
                <w:highlight w:val="none"/>
              </w:rPr>
              <w:t>H</w:t>
            </w:r>
            <w:r>
              <w:rPr>
                <w:rFonts w:hint="default" w:ascii="Times New Roman" w:hAnsi="Times New Roman" w:eastAsia="宋体" w:cs="Times New Roman"/>
                <w:color w:val="auto"/>
                <w:position w:val="2"/>
                <w:sz w:val="21"/>
                <w:szCs w:val="21"/>
                <w:highlight w:val="none"/>
                <w:vertAlign w:val="subscript"/>
              </w:rPr>
              <w:t>2</w:t>
            </w:r>
            <w:r>
              <w:rPr>
                <w:rFonts w:hint="default" w:ascii="Times New Roman" w:hAnsi="Times New Roman" w:eastAsia="宋体" w:cs="Times New Roman"/>
                <w:color w:val="auto"/>
                <w:position w:val="2"/>
                <w:sz w:val="21"/>
                <w:szCs w:val="21"/>
                <w:highlight w:val="none"/>
              </w:rPr>
              <w:t>S</w:t>
            </w:r>
          </w:p>
        </w:tc>
        <w:tc>
          <w:tcPr>
            <w:tcW w:w="348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0.0121</w:t>
            </w:r>
          </w:p>
        </w:tc>
      </w:tr>
    </w:tbl>
    <w:p>
      <w:pPr>
        <w:pStyle w:val="9"/>
        <w:bidi w:val="0"/>
        <w:spacing w:line="360" w:lineRule="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防护距离分析</w:t>
      </w:r>
    </w:p>
    <w:p>
      <w:pPr>
        <w:spacing w:line="440" w:lineRule="exact"/>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1、大气环境防护距离</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根据《环境影响评价技术导则  大气环境》（HJ2.2-2018）中8.7.5.1规定：对于项目厂界浓度满足大气污染物厂界浓度限值，但厂界外大气污染物短期浓度贡献值超过环境质量浓度限值的，可以自厂界向外设置一定范围的大气环境防护区域，以确保大气环境防护区域外的污染物贡献浓度满足环境质量标准。</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本项目排放的大气污染物主要来源于</w:t>
      </w:r>
      <w:r>
        <w:rPr>
          <w:rFonts w:hint="eastAsia" w:ascii="Times New Roman" w:hAnsi="Times New Roman" w:eastAsia="宋体" w:cs="Times New Roman"/>
          <w:color w:val="auto"/>
          <w:sz w:val="24"/>
          <w:szCs w:val="24"/>
          <w:highlight w:val="none"/>
          <w:lang w:eastAsia="zh-CN"/>
        </w:rPr>
        <w:t>牛</w:t>
      </w:r>
      <w:r>
        <w:rPr>
          <w:rFonts w:hint="eastAsia" w:ascii="Times New Roman" w:hAnsi="Times New Roman" w:eastAsia="宋体" w:cs="Times New Roman"/>
          <w:color w:val="auto"/>
          <w:sz w:val="24"/>
          <w:szCs w:val="24"/>
          <w:highlight w:val="none"/>
        </w:rPr>
        <w:t>舍、污水处理站和</w:t>
      </w:r>
      <w:r>
        <w:rPr>
          <w:rFonts w:hint="eastAsia" w:ascii="Times New Roman" w:hAnsi="Times New Roman" w:eastAsia="宋体" w:cs="Times New Roman"/>
          <w:color w:val="auto"/>
          <w:sz w:val="24"/>
          <w:szCs w:val="24"/>
          <w:highlight w:val="none"/>
          <w:lang w:eastAsia="zh-CN"/>
        </w:rPr>
        <w:t>干粪棚</w:t>
      </w:r>
      <w:r>
        <w:rPr>
          <w:rFonts w:hint="eastAsia" w:ascii="Times New Roman" w:hAnsi="Times New Roman" w:eastAsia="宋体" w:cs="Times New Roman"/>
          <w:color w:val="auto"/>
          <w:sz w:val="24"/>
          <w:szCs w:val="24"/>
          <w:highlight w:val="none"/>
        </w:rPr>
        <w:t>产生的NH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、H</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S等恶臭物质。根据《环境影响评价技术导则  大气环境》（HJ2.2-2018）大气环境防护距离确定方法，本项目大气环境防护距离计算结果见表5.2-</w:t>
      </w:r>
      <w:r>
        <w:rPr>
          <w:rFonts w:hint="eastAsia" w:ascii="Times New Roman" w:hAnsi="Times New Roman" w:eastAsia="宋体" w:cs="Times New Roman"/>
          <w:color w:val="auto"/>
          <w:sz w:val="24"/>
          <w:szCs w:val="24"/>
          <w:highlight w:val="none"/>
          <w:lang w:val="en-US" w:eastAsia="zh-CN"/>
        </w:rPr>
        <w:t>10</w:t>
      </w:r>
      <w:r>
        <w:rPr>
          <w:rFonts w:hint="eastAsia" w:ascii="Times New Roman" w:hAnsi="Times New Roman" w:eastAsia="宋体" w:cs="Times New Roman"/>
          <w:color w:val="auto"/>
          <w:sz w:val="24"/>
          <w:szCs w:val="24"/>
          <w:highlight w:val="none"/>
        </w:rPr>
        <w:t>。</w:t>
      </w:r>
    </w:p>
    <w:p>
      <w:pPr>
        <w:widowControl w:val="0"/>
        <w:numPr>
          <w:ilvl w:val="0"/>
          <w:numId w:val="34"/>
        </w:numPr>
        <w:spacing w:after="0" w:afterLines="0" w:line="360" w:lineRule="auto"/>
        <w:ind w:left="0" w:leftChars="0" w:firstLine="0" w:firstLineChars="0"/>
        <w:jc w:val="center"/>
        <w:rPr>
          <w:rFonts w:ascii="Times New Roman" w:hAnsi="Times New Roman" w:eastAsia="宋体" w:cs="Times New Roman"/>
          <w:b/>
          <w:color w:val="auto"/>
          <w:kern w:val="2"/>
          <w:sz w:val="21"/>
          <w:szCs w:val="24"/>
          <w:highlight w:val="none"/>
          <w:lang w:val="en-US" w:eastAsia="zh-CN" w:bidi="ar-SA"/>
        </w:rPr>
      </w:pPr>
      <w:r>
        <w:rPr>
          <w:rFonts w:hint="default" w:ascii="Times New Roman" w:hAnsi="Times New Roman" w:cs="Times New Roman"/>
          <w:b/>
          <w:bCs/>
          <w:color w:val="auto"/>
          <w:highlight w:val="none"/>
          <w:lang w:val="en-US" w:eastAsia="zh-CN"/>
        </w:rPr>
        <w:t xml:space="preserve"> </w:t>
      </w:r>
      <w:r>
        <w:rPr>
          <w:rFonts w:hint="eastAsia" w:ascii="Times New Roman" w:hAnsi="Times New Roman" w:cs="Times New Roman"/>
          <w:b/>
          <w:bCs/>
          <w:color w:val="auto"/>
          <w:highlight w:val="none"/>
          <w:lang w:val="en-US" w:eastAsia="zh-CN"/>
        </w:rPr>
        <w:t xml:space="preserve"> </w:t>
      </w:r>
      <w:r>
        <w:rPr>
          <w:rFonts w:hint="eastAsia" w:ascii="Times New Roman" w:hAnsi="Times New Roman" w:eastAsia="宋体" w:cs="Times New Roman"/>
          <w:b/>
          <w:color w:val="auto"/>
          <w:kern w:val="2"/>
          <w:sz w:val="21"/>
          <w:szCs w:val="24"/>
          <w:highlight w:val="none"/>
          <w:lang w:val="en-US" w:eastAsia="zh-CN" w:bidi="ar-SA"/>
        </w:rPr>
        <w:t>大气环境防护距离计算结果一览表</w:t>
      </w:r>
    </w:p>
    <w:tbl>
      <w:tblPr>
        <w:tblStyle w:val="91"/>
        <w:tblW w:w="4998" w:type="pct"/>
        <w:tblInd w:w="0" w:type="dxa"/>
        <w:tblLayout w:type="autofit"/>
        <w:tblCellMar>
          <w:top w:w="0" w:type="dxa"/>
          <w:left w:w="0" w:type="dxa"/>
          <w:bottom w:w="0" w:type="dxa"/>
          <w:right w:w="0" w:type="dxa"/>
        </w:tblCellMar>
      </w:tblPr>
      <w:tblGrid>
        <w:gridCol w:w="1137"/>
        <w:gridCol w:w="1103"/>
        <w:gridCol w:w="2246"/>
        <w:gridCol w:w="1617"/>
        <w:gridCol w:w="2200"/>
      </w:tblGrid>
      <w:tr>
        <w:tblPrEx>
          <w:tblCellMar>
            <w:top w:w="0" w:type="dxa"/>
            <w:left w:w="0" w:type="dxa"/>
            <w:bottom w:w="0" w:type="dxa"/>
            <w:right w:w="0" w:type="dxa"/>
          </w:tblCellMar>
        </w:tblPrEx>
        <w:tc>
          <w:tcPr>
            <w:tcW w:w="684" w:type="pct"/>
            <w:tcBorders>
              <w:top w:val="single" w:color="auto" w:sz="12" w:space="0"/>
              <w:bottom w:val="single" w:color="000000" w:sz="4"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矩形面源</w:t>
            </w:r>
          </w:p>
        </w:tc>
        <w:tc>
          <w:tcPr>
            <w:tcW w:w="664" w:type="pct"/>
            <w:tcBorders>
              <w:top w:val="single" w:color="auto" w:sz="12" w:space="0"/>
              <w:left w:val="single" w:color="000000" w:sz="4" w:space="0"/>
              <w:bottom w:val="single" w:color="000000" w:sz="4" w:space="0"/>
              <w:right w:val="single" w:color="auto"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2" w:lineRule="exact"/>
              <w:ind w:left="0" w:right="0" w:firstLine="0" w:firstLineChars="0"/>
              <w:jc w:val="center"/>
              <w:rPr>
                <w:rFonts w:hint="eastAsia"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污染物</w:t>
            </w:r>
          </w:p>
        </w:tc>
        <w:tc>
          <w:tcPr>
            <w:tcW w:w="1352" w:type="pct"/>
            <w:tcBorders>
              <w:top w:val="single" w:color="auto" w:sz="12" w:space="0"/>
              <w:left w:val="single" w:color="auto" w:sz="4" w:space="0"/>
              <w:bottom w:val="single" w:color="000000" w:sz="4" w:space="0"/>
              <w:right w:val="single" w:color="auto"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2" w:lineRule="exact"/>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最大落地浓度</w:t>
            </w:r>
            <w:r>
              <w:rPr>
                <w:rFonts w:hint="default" w:ascii="Times New Roman" w:hAnsi="Times New Roman" w:eastAsia="宋体" w:cs="Times New Roman"/>
                <w:b/>
                <w:bCs/>
                <w:color w:val="auto"/>
                <w:kern w:val="0"/>
                <w:sz w:val="21"/>
                <w:szCs w:val="21"/>
                <w:highlight w:val="none"/>
                <w:lang w:val="en-US" w:eastAsia="zh-CN" w:bidi="ar-SA"/>
              </w:rPr>
              <w:t>（μg/m</w:t>
            </w:r>
            <w:r>
              <w:rPr>
                <w:rFonts w:hint="default" w:ascii="Times New Roman" w:hAnsi="Times New Roman" w:eastAsia="宋体" w:cs="Times New Roman"/>
                <w:b/>
                <w:bCs/>
                <w:color w:val="auto"/>
                <w:kern w:val="0"/>
                <w:sz w:val="21"/>
                <w:szCs w:val="21"/>
                <w:highlight w:val="none"/>
                <w:vertAlign w:val="superscript"/>
                <w:lang w:val="en-US" w:eastAsia="zh-CN" w:bidi="ar-SA"/>
              </w:rPr>
              <w:t>3</w:t>
            </w:r>
            <w:r>
              <w:rPr>
                <w:rFonts w:hint="eastAsia" w:ascii="Times New Roman" w:hAnsi="Times New Roman" w:eastAsia="宋体" w:cs="Times New Roman"/>
                <w:b/>
                <w:bCs/>
                <w:color w:val="auto"/>
                <w:kern w:val="0"/>
                <w:sz w:val="21"/>
                <w:szCs w:val="21"/>
                <w:highlight w:val="none"/>
                <w:lang w:val="en-US" w:eastAsia="zh-CN" w:bidi="ar-SA"/>
              </w:rPr>
              <w:t>）</w:t>
            </w:r>
          </w:p>
        </w:tc>
        <w:tc>
          <w:tcPr>
            <w:tcW w:w="973" w:type="pct"/>
            <w:tcBorders>
              <w:top w:val="single" w:color="auto" w:sz="12" w:space="0"/>
              <w:left w:val="single" w:color="auto" w:sz="4" w:space="0"/>
              <w:bottom w:val="single" w:color="000000" w:sz="4" w:space="0"/>
              <w:right w:val="single" w:color="auto"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2" w:lineRule="exact"/>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 xml:space="preserve">最大浓度占标率 </w:t>
            </w:r>
          </w:p>
        </w:tc>
        <w:tc>
          <w:tcPr>
            <w:tcW w:w="1324" w:type="pct"/>
            <w:tcBorders>
              <w:top w:val="single" w:color="auto" w:sz="12" w:space="0"/>
              <w:left w:val="single" w:color="auto" w:sz="4" w:space="0"/>
              <w:bottom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2" w:lineRule="exact"/>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 xml:space="preserve">大气环境防护距离（m） </w:t>
            </w:r>
          </w:p>
        </w:tc>
      </w:tr>
      <w:tr>
        <w:tblPrEx>
          <w:tblCellMar>
            <w:top w:w="0" w:type="dxa"/>
            <w:left w:w="0" w:type="dxa"/>
            <w:bottom w:w="0" w:type="dxa"/>
            <w:right w:w="0" w:type="dxa"/>
          </w:tblCellMar>
        </w:tblPrEx>
        <w:trPr>
          <w:trHeight w:val="278" w:hRule="atLeast"/>
        </w:trPr>
        <w:tc>
          <w:tcPr>
            <w:tcW w:w="684" w:type="pct"/>
            <w:vMerge w:val="restart"/>
            <w:tcBorders>
              <w:top w:val="single" w:color="000000" w:sz="4" w:space="0"/>
              <w:right w:val="single" w:color="auto"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厂区</w:t>
            </w:r>
          </w:p>
        </w:tc>
        <w:tc>
          <w:tcPr>
            <w:tcW w:w="664" w:type="pct"/>
            <w:tcBorders>
              <w:top w:val="single" w:color="000000" w:sz="4" w:space="0"/>
              <w:left w:val="single" w:color="auto" w:sz="4" w:space="0"/>
              <w:bottom w:val="single" w:color="000000" w:sz="4" w:space="0"/>
              <w:right w:val="single" w:color="auto" w:sz="4" w:space="0"/>
            </w:tcBorders>
            <w:noWrap w:val="0"/>
            <w:vAlign w:val="center"/>
          </w:tcPr>
          <w:p>
            <w:pPr>
              <w:keepNext w:val="0"/>
              <w:keepLines w:val="0"/>
              <w:widowControl w:val="0"/>
              <w:suppressLineNumbers w:val="0"/>
              <w:kinsoku w:val="0"/>
              <w:overflowPunct w:val="0"/>
              <w:autoSpaceDE w:val="0"/>
              <w:autoSpaceDN w:val="0"/>
              <w:adjustRightInd w:val="0"/>
              <w:spacing w:before="48"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NH</w:t>
            </w:r>
            <w:r>
              <w:rPr>
                <w:rFonts w:hint="eastAsia" w:ascii="Times New Roman" w:hAnsi="Times New Roman" w:eastAsia="宋体" w:cs="Times New Roman"/>
                <w:color w:val="auto"/>
                <w:kern w:val="0"/>
                <w:sz w:val="21"/>
                <w:szCs w:val="21"/>
                <w:highlight w:val="none"/>
                <w:vertAlign w:val="subscript"/>
                <w:lang w:val="en-US" w:eastAsia="zh-CN" w:bidi="ar-SA"/>
              </w:rPr>
              <w:t>3</w:t>
            </w:r>
          </w:p>
        </w:tc>
        <w:tc>
          <w:tcPr>
            <w:tcW w:w="1352" w:type="pct"/>
            <w:tcBorders>
              <w:top w:val="single" w:color="000000" w:sz="4" w:space="0"/>
              <w:left w:val="single" w:color="auto" w:sz="4" w:space="0"/>
              <w:bottom w:val="single" w:color="000000" w:sz="4" w:space="0"/>
              <w:right w:val="single" w:color="auto" w:sz="4" w:space="0"/>
            </w:tcBorders>
            <w:noWrap w:val="0"/>
            <w:vAlign w:val="center"/>
          </w:tcPr>
          <w:p>
            <w:pPr>
              <w:keepNext w:val="0"/>
              <w:keepLines w:val="0"/>
              <w:widowControl w:val="0"/>
              <w:suppressLineNumbers w:val="0"/>
              <w:kinsoku w:val="0"/>
              <w:overflowPunct w:val="0"/>
              <w:autoSpaceDE w:val="0"/>
              <w:autoSpaceDN w:val="0"/>
              <w:adjustRightInd w:val="0"/>
              <w:spacing w:before="48"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3.1881</w:t>
            </w:r>
          </w:p>
        </w:tc>
        <w:tc>
          <w:tcPr>
            <w:tcW w:w="973" w:type="pct"/>
            <w:tcBorders>
              <w:top w:val="single" w:color="000000" w:sz="4" w:space="0"/>
              <w:left w:val="single" w:color="auto" w:sz="4" w:space="0"/>
              <w:bottom w:val="single" w:color="000000" w:sz="4" w:space="0"/>
              <w:right w:val="single" w:color="auto"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1.594%</w:t>
            </w:r>
          </w:p>
        </w:tc>
        <w:tc>
          <w:tcPr>
            <w:tcW w:w="1324" w:type="pct"/>
            <w:tcBorders>
              <w:top w:val="single" w:color="000000" w:sz="4" w:space="0"/>
              <w:left w:val="single" w:color="auto" w:sz="4" w:space="0"/>
              <w:bottom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无超标点</w:t>
            </w:r>
          </w:p>
        </w:tc>
      </w:tr>
      <w:tr>
        <w:tblPrEx>
          <w:tblCellMar>
            <w:top w:w="0" w:type="dxa"/>
            <w:left w:w="0" w:type="dxa"/>
            <w:bottom w:w="0" w:type="dxa"/>
            <w:right w:w="0" w:type="dxa"/>
          </w:tblCellMar>
        </w:tblPrEx>
        <w:tc>
          <w:tcPr>
            <w:tcW w:w="684" w:type="pct"/>
            <w:vMerge w:val="continue"/>
            <w:tcBorders>
              <w:bottom w:val="single" w:color="auto" w:sz="12" w:space="0"/>
              <w:right w:val="single" w:color="auto"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lang w:val="en-US" w:eastAsia="zh-CN" w:bidi="ar-SA"/>
              </w:rPr>
            </w:pPr>
          </w:p>
        </w:tc>
        <w:tc>
          <w:tcPr>
            <w:tcW w:w="664" w:type="pct"/>
            <w:tcBorders>
              <w:top w:val="single" w:color="000000" w:sz="4" w:space="0"/>
              <w:left w:val="single" w:color="auto" w:sz="4" w:space="0"/>
              <w:bottom w:val="single" w:color="auto" w:sz="12" w:space="0"/>
              <w:right w:val="single" w:color="000000" w:sz="4"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H</w:t>
            </w:r>
            <w:r>
              <w:rPr>
                <w:rFonts w:hint="eastAsia" w:ascii="Times New Roman" w:hAnsi="Times New Roman" w:eastAsia="宋体" w:cs="Times New Roman"/>
                <w:color w:val="auto"/>
                <w:kern w:val="0"/>
                <w:sz w:val="21"/>
                <w:szCs w:val="21"/>
                <w:highlight w:val="none"/>
                <w:vertAlign w:val="subscript"/>
                <w:lang w:val="en-US" w:eastAsia="zh-CN" w:bidi="ar-SA"/>
              </w:rPr>
              <w:t>2</w:t>
            </w:r>
            <w:r>
              <w:rPr>
                <w:rFonts w:hint="eastAsia" w:ascii="Times New Roman" w:hAnsi="Times New Roman" w:eastAsia="宋体" w:cs="Times New Roman"/>
                <w:color w:val="auto"/>
                <w:kern w:val="0"/>
                <w:sz w:val="21"/>
                <w:szCs w:val="21"/>
                <w:highlight w:val="none"/>
                <w:lang w:val="en-US" w:eastAsia="zh-CN" w:bidi="ar-SA"/>
              </w:rPr>
              <w:t>S</w:t>
            </w:r>
          </w:p>
        </w:tc>
        <w:tc>
          <w:tcPr>
            <w:tcW w:w="1352" w:type="pct"/>
            <w:tcBorders>
              <w:top w:val="single" w:color="000000" w:sz="4" w:space="0"/>
              <w:left w:val="single" w:color="000000" w:sz="4" w:space="0"/>
              <w:bottom w:val="single" w:color="auto" w:sz="12"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color w:val="auto"/>
                <w:sz w:val="21"/>
                <w:szCs w:val="21"/>
                <w:highlight w:val="none"/>
                <w:lang w:val="en-US" w:eastAsia="zh-CN"/>
              </w:rPr>
              <w:t>0.1822</w:t>
            </w:r>
          </w:p>
        </w:tc>
        <w:tc>
          <w:tcPr>
            <w:tcW w:w="973" w:type="pct"/>
            <w:tcBorders>
              <w:top w:val="single" w:color="000000" w:sz="4" w:space="0"/>
              <w:left w:val="single" w:color="auto" w:sz="4" w:space="0"/>
              <w:bottom w:val="single" w:color="auto" w:sz="12"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color w:val="auto"/>
                <w:sz w:val="21"/>
                <w:szCs w:val="21"/>
                <w:highlight w:val="none"/>
                <w:lang w:val="en-US" w:eastAsia="zh-CN"/>
              </w:rPr>
              <w:t>1.8218%</w:t>
            </w:r>
          </w:p>
        </w:tc>
        <w:tc>
          <w:tcPr>
            <w:tcW w:w="1324" w:type="pct"/>
            <w:tcBorders>
              <w:top w:val="single" w:color="000000" w:sz="4" w:space="0"/>
              <w:left w:val="single" w:color="auto" w:sz="4" w:space="0"/>
              <w:bottom w:val="single" w:color="auto" w:sz="12" w:space="0"/>
            </w:tcBorders>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无超标点</w:t>
            </w:r>
          </w:p>
        </w:tc>
      </w:tr>
    </w:tbl>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根据上述计算结果可知，本项目无组织排放的NH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、H</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S短期浓度贡献值未超过环境质量浓度限值，下风向落地浓度无超标点，主要影响区域在厂区内，故项目不需设置大气环境防护距离。</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w:t>
      </w:r>
      <w:r>
        <w:rPr>
          <w:rFonts w:hint="eastAsia" w:ascii="Times New Roman" w:hAnsi="Times New Roman" w:eastAsia="宋体" w:cs="Times New Roman"/>
          <w:b/>
          <w:color w:val="auto"/>
          <w:sz w:val="24"/>
          <w:szCs w:val="24"/>
          <w:highlight w:val="none"/>
        </w:rPr>
        <w:t>、卫生防护距离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大气有害物质无组织排放卫生防护距离推导技术导则》(GB/T39499-2020)适用于地处平原地区产生大气有害物质无组织排放的各种行业的新建、改建、扩建工程（不包含排放放射性污染物的行业），复杂地形地区的卫生防护距离推导可参照本标准实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本项目根据《大气有害物质无组织排放卫生防护距离推导技术导则》(GB/T39499-2020)的有关规定，以无组织排放源所在的</w:t>
      </w:r>
      <w:r>
        <w:rPr>
          <w:rFonts w:hint="default" w:ascii="Times New Roman" w:hAnsi="Times New Roman" w:cs="Times New Roman"/>
          <w:color w:val="auto"/>
          <w:sz w:val="24"/>
          <w:szCs w:val="24"/>
          <w:highlight w:val="none"/>
          <w:lang w:eastAsia="zh-CN"/>
        </w:rPr>
        <w:t>牛舍</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污水处理站</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干粪棚</w:t>
      </w:r>
      <w:r>
        <w:rPr>
          <w:rFonts w:hint="default" w:ascii="Times New Roman" w:hAnsi="Times New Roman" w:cs="Times New Roman"/>
          <w:color w:val="auto"/>
          <w:sz w:val="24"/>
          <w:szCs w:val="24"/>
          <w:highlight w:val="none"/>
        </w:rPr>
        <w:t>边界为起点，计算本项目无组织排放源的卫生防护距离。</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rPr>
        <w:t>）计算模式</w:t>
      </w:r>
    </w:p>
    <w:p>
      <w:pPr>
        <w:spacing w:line="440" w:lineRule="exact"/>
        <w:ind w:firstLine="480" w:firstLineChars="200"/>
        <w:rPr>
          <w:rFonts w:hint="eastAsia"/>
          <w:color w:val="auto"/>
          <w:highlight w:val="none"/>
        </w:rPr>
      </w:pPr>
      <w:r>
        <w:rPr>
          <w:rFonts w:hint="eastAsia" w:ascii="Times New Roman" w:hAnsi="Times New Roman" w:eastAsia="宋体" w:cs="Times New Roman"/>
          <w:color w:val="auto"/>
          <w:sz w:val="24"/>
          <w:szCs w:val="24"/>
          <w:highlight w:val="none"/>
          <w:lang w:eastAsia="zh-CN"/>
        </w:rPr>
        <w:t>计算</w:t>
      </w:r>
      <w:r>
        <w:rPr>
          <w:rFonts w:hint="eastAsia" w:ascii="Times New Roman" w:hAnsi="Times New Roman" w:eastAsia="宋体" w:cs="Times New Roman"/>
          <w:color w:val="auto"/>
          <w:sz w:val="24"/>
          <w:szCs w:val="24"/>
          <w:highlight w:val="none"/>
        </w:rPr>
        <w:t>公式如下：</w:t>
      </w:r>
    </w:p>
    <w:p>
      <w:pPr>
        <w:ind w:firstLine="480" w:firstLineChars="200"/>
        <w:rPr>
          <w:color w:val="auto"/>
          <w:sz w:val="24"/>
          <w:highlight w:val="none"/>
        </w:rPr>
      </w:pPr>
      <w:r>
        <w:rPr>
          <w:rFonts w:hint="eastAsia"/>
          <w:color w:val="auto"/>
          <w:sz w:val="24"/>
          <w:highlight w:val="none"/>
        </w:rPr>
        <w:t>计算公式为：</w:t>
      </w:r>
      <w:r>
        <w:rPr>
          <w:rFonts w:hint="eastAsia"/>
          <w:color w:val="auto"/>
          <w:position w:val="-30"/>
          <w:sz w:val="24"/>
          <w:highlight w:val="none"/>
        </w:rPr>
        <w:object>
          <v:shape id="_x0000_i1032" o:spt="75" type="#_x0000_t75" style="height:33.6pt;width:144pt;" o:ole="t" fillcolor="#ACA899" filled="f" o:preferrelative="t" stroked="f" coordsize="21600,21600">
            <v:path/>
            <v:fill on="f" focussize="0,0"/>
            <v:stroke on="f" joinstyle="miter"/>
            <v:imagedata r:id="rId51" o:title=""/>
            <o:lock v:ext="edit" aspectratio="t"/>
            <w10:wrap type="none"/>
            <w10:anchorlock/>
          </v:shape>
          <o:OLEObject Type="Embed" ProgID="Equation.3" ShapeID="_x0000_i1032" DrawAspect="Content" ObjectID="_1468075732" r:id="rId50">
            <o:LockedField>false</o:LockedField>
          </o:OLEObject>
        </w:object>
      </w:r>
    </w:p>
    <w:p>
      <w:pPr>
        <w:ind w:firstLine="480" w:firstLineChars="200"/>
        <w:rPr>
          <w:color w:val="auto"/>
          <w:sz w:val="24"/>
          <w:highlight w:val="none"/>
        </w:rPr>
      </w:pPr>
      <w:r>
        <w:rPr>
          <w:rFonts w:hint="eastAsia"/>
          <w:color w:val="auto"/>
          <w:sz w:val="24"/>
          <w:highlight w:val="none"/>
        </w:rPr>
        <w:t>式中：</w:t>
      </w:r>
      <w:r>
        <w:rPr>
          <w:color w:val="auto"/>
          <w:sz w:val="24"/>
          <w:highlight w:val="none"/>
        </w:rPr>
        <w:t>C</w:t>
      </w:r>
      <w:r>
        <w:rPr>
          <w:color w:val="auto"/>
          <w:sz w:val="24"/>
          <w:highlight w:val="none"/>
          <w:vertAlign w:val="subscript"/>
        </w:rPr>
        <w:t>m</w:t>
      </w:r>
      <w:r>
        <w:rPr>
          <w:color w:val="auto"/>
          <w:sz w:val="24"/>
          <w:highlight w:val="none"/>
        </w:rPr>
        <w:t>——</w:t>
      </w:r>
      <w:r>
        <w:rPr>
          <w:rFonts w:hint="eastAsia"/>
          <w:color w:val="auto"/>
          <w:sz w:val="24"/>
          <w:highlight w:val="none"/>
        </w:rPr>
        <w:t>标准浓度限值，</w:t>
      </w:r>
      <w:r>
        <w:rPr>
          <w:color w:val="auto"/>
          <w:sz w:val="24"/>
          <w:highlight w:val="none"/>
        </w:rPr>
        <w:t>mg/m</w:t>
      </w:r>
      <w:r>
        <w:rPr>
          <w:color w:val="auto"/>
          <w:sz w:val="24"/>
          <w:highlight w:val="none"/>
          <w:vertAlign w:val="superscript"/>
        </w:rPr>
        <w:t>3</w:t>
      </w:r>
      <w:r>
        <w:rPr>
          <w:rFonts w:hint="eastAsia"/>
          <w:color w:val="auto"/>
          <w:sz w:val="24"/>
          <w:highlight w:val="none"/>
        </w:rPr>
        <w:t>；</w:t>
      </w:r>
    </w:p>
    <w:p>
      <w:pPr>
        <w:ind w:firstLine="480" w:firstLineChars="200"/>
        <w:rPr>
          <w:color w:val="auto"/>
          <w:sz w:val="24"/>
          <w:highlight w:val="none"/>
        </w:rPr>
      </w:pPr>
      <w:r>
        <w:rPr>
          <w:color w:val="auto"/>
          <w:sz w:val="24"/>
          <w:highlight w:val="none"/>
        </w:rPr>
        <w:t>L——</w:t>
      </w:r>
      <w:r>
        <w:rPr>
          <w:rFonts w:hint="eastAsia"/>
          <w:color w:val="auto"/>
          <w:sz w:val="24"/>
          <w:highlight w:val="none"/>
        </w:rPr>
        <w:t>工业企业所需卫生防护距离，</w:t>
      </w:r>
      <w:r>
        <w:rPr>
          <w:color w:val="auto"/>
          <w:sz w:val="24"/>
          <w:highlight w:val="none"/>
        </w:rPr>
        <w:t>m</w:t>
      </w:r>
      <w:r>
        <w:rPr>
          <w:rFonts w:hint="eastAsia"/>
          <w:color w:val="auto"/>
          <w:sz w:val="24"/>
          <w:highlight w:val="none"/>
        </w:rPr>
        <w:t>；</w:t>
      </w:r>
    </w:p>
    <w:p>
      <w:pPr>
        <w:ind w:firstLine="480" w:firstLineChars="200"/>
        <w:rPr>
          <w:color w:val="auto"/>
          <w:sz w:val="24"/>
          <w:highlight w:val="none"/>
        </w:rPr>
      </w:pPr>
      <w:r>
        <w:rPr>
          <w:color w:val="auto"/>
          <w:sz w:val="24"/>
          <w:highlight w:val="none"/>
        </w:rPr>
        <w:t>R——</w:t>
      </w:r>
      <w:r>
        <w:rPr>
          <w:rFonts w:hint="eastAsia"/>
          <w:color w:val="auto"/>
          <w:sz w:val="24"/>
          <w:highlight w:val="none"/>
        </w:rPr>
        <w:t>有害气体无组织排放源所在生产单元的等效半径，</w:t>
      </w:r>
      <w:r>
        <w:rPr>
          <w:color w:val="auto"/>
          <w:sz w:val="24"/>
          <w:highlight w:val="none"/>
        </w:rPr>
        <w:t>m</w:t>
      </w:r>
      <w:r>
        <w:rPr>
          <w:rFonts w:hint="eastAsia"/>
          <w:color w:val="auto"/>
          <w:sz w:val="24"/>
          <w:highlight w:val="none"/>
        </w:rPr>
        <w:t>。根据该生产单元占地面积</w:t>
      </w:r>
      <w:r>
        <w:rPr>
          <w:color w:val="auto"/>
          <w:sz w:val="24"/>
          <w:highlight w:val="none"/>
        </w:rPr>
        <w:t>S</w:t>
      </w:r>
      <w:r>
        <w:rPr>
          <w:rFonts w:hint="eastAsia"/>
          <w:color w:val="auto"/>
          <w:sz w:val="24"/>
          <w:highlight w:val="none"/>
        </w:rPr>
        <w:t>（</w:t>
      </w:r>
      <w:r>
        <w:rPr>
          <w:color w:val="auto"/>
          <w:sz w:val="24"/>
          <w:highlight w:val="none"/>
        </w:rPr>
        <w:t>m</w:t>
      </w:r>
      <w:r>
        <w:rPr>
          <w:color w:val="auto"/>
          <w:sz w:val="24"/>
          <w:highlight w:val="none"/>
          <w:vertAlign w:val="superscript"/>
        </w:rPr>
        <w:t>2</w:t>
      </w:r>
      <w:r>
        <w:rPr>
          <w:rFonts w:hint="eastAsia"/>
          <w:color w:val="auto"/>
          <w:sz w:val="24"/>
          <w:highlight w:val="none"/>
        </w:rPr>
        <w:t>）计算，</w:t>
      </w:r>
      <w:r>
        <w:rPr>
          <w:color w:val="auto"/>
          <w:sz w:val="24"/>
          <w:highlight w:val="none"/>
        </w:rPr>
        <w:t>r=</w:t>
      </w:r>
      <w:r>
        <w:rPr>
          <w:rFonts w:hint="eastAsia"/>
          <w:color w:val="auto"/>
          <w:sz w:val="24"/>
          <w:highlight w:val="none"/>
        </w:rPr>
        <w:t>（</w:t>
      </w:r>
      <w:r>
        <w:rPr>
          <w:color w:val="auto"/>
          <w:sz w:val="24"/>
          <w:highlight w:val="none"/>
        </w:rPr>
        <w:t>S/π</w:t>
      </w:r>
      <w:r>
        <w:rPr>
          <w:rFonts w:hint="eastAsia"/>
          <w:color w:val="auto"/>
          <w:sz w:val="24"/>
          <w:highlight w:val="none"/>
        </w:rPr>
        <w:t>）</w:t>
      </w:r>
      <w:r>
        <w:rPr>
          <w:color w:val="auto"/>
          <w:sz w:val="24"/>
          <w:highlight w:val="none"/>
          <w:vertAlign w:val="superscript"/>
        </w:rPr>
        <w:t>0.5</w:t>
      </w:r>
      <w:r>
        <w:rPr>
          <w:rFonts w:hint="eastAsia"/>
          <w:color w:val="auto"/>
          <w:sz w:val="24"/>
          <w:highlight w:val="none"/>
        </w:rPr>
        <w:t>；</w:t>
      </w:r>
    </w:p>
    <w:p>
      <w:pPr>
        <w:ind w:firstLine="480" w:firstLineChars="200"/>
        <w:rPr>
          <w:color w:val="auto"/>
          <w:sz w:val="24"/>
          <w:highlight w:val="none"/>
        </w:rPr>
      </w:pPr>
      <w:r>
        <w:rPr>
          <w:color w:val="auto"/>
          <w:sz w:val="24"/>
          <w:highlight w:val="none"/>
        </w:rPr>
        <w:t>Q</w:t>
      </w:r>
      <w:r>
        <w:rPr>
          <w:color w:val="auto"/>
          <w:sz w:val="24"/>
          <w:highlight w:val="none"/>
          <w:vertAlign w:val="subscript"/>
        </w:rPr>
        <w:t>c</w:t>
      </w:r>
      <w:r>
        <w:rPr>
          <w:color w:val="auto"/>
          <w:sz w:val="24"/>
          <w:highlight w:val="none"/>
        </w:rPr>
        <w:t>——</w:t>
      </w:r>
      <w:r>
        <w:rPr>
          <w:rFonts w:hint="eastAsia"/>
          <w:color w:val="auto"/>
          <w:sz w:val="24"/>
          <w:highlight w:val="none"/>
        </w:rPr>
        <w:t>工业企业有害气体无组织排放量可以达到的控制水平，</w:t>
      </w:r>
      <w:r>
        <w:rPr>
          <w:color w:val="auto"/>
          <w:sz w:val="24"/>
          <w:highlight w:val="none"/>
        </w:rPr>
        <w:t>kg/h</w:t>
      </w:r>
      <w:r>
        <w:rPr>
          <w:rFonts w:hint="eastAsia"/>
          <w:color w:val="auto"/>
          <w:sz w:val="24"/>
          <w:highlight w:val="none"/>
        </w:rPr>
        <w:t>。</w:t>
      </w:r>
    </w:p>
    <w:p>
      <w:pPr>
        <w:numPr>
          <w:ilvl w:val="0"/>
          <w:numId w:val="36"/>
        </w:numPr>
        <w:ind w:firstLine="480" w:firstLineChars="200"/>
        <w:rPr>
          <w:rFonts w:hint="eastAsia"/>
          <w:color w:val="auto"/>
          <w:sz w:val="24"/>
          <w:highlight w:val="none"/>
        </w:rPr>
      </w:pPr>
      <w:r>
        <w:rPr>
          <w:color w:val="auto"/>
          <w:sz w:val="24"/>
          <w:highlight w:val="none"/>
        </w:rPr>
        <w:t>B</w:t>
      </w:r>
      <w:r>
        <w:rPr>
          <w:rFonts w:hint="eastAsia"/>
          <w:color w:val="auto"/>
          <w:sz w:val="24"/>
          <w:highlight w:val="none"/>
        </w:rPr>
        <w:t>、</w:t>
      </w:r>
      <w:r>
        <w:rPr>
          <w:color w:val="auto"/>
          <w:sz w:val="24"/>
          <w:highlight w:val="none"/>
        </w:rPr>
        <w:t>C</w:t>
      </w:r>
      <w:r>
        <w:rPr>
          <w:rFonts w:hint="eastAsia"/>
          <w:color w:val="auto"/>
          <w:sz w:val="24"/>
          <w:highlight w:val="none"/>
        </w:rPr>
        <w:t>、</w:t>
      </w:r>
      <w:r>
        <w:rPr>
          <w:color w:val="auto"/>
          <w:sz w:val="24"/>
          <w:highlight w:val="none"/>
        </w:rPr>
        <w:t>D—</w:t>
      </w:r>
      <w:r>
        <w:rPr>
          <w:rFonts w:hint="eastAsia"/>
          <w:color w:val="auto"/>
          <w:sz w:val="24"/>
          <w:highlight w:val="none"/>
        </w:rPr>
        <w:t>卫生防护距离计算系数，根据工业企业所在地区近五年平均风速及工业企业大气污染源构成类别从《制定地方大气污染排放标准的技术方法》（</w:t>
      </w:r>
      <w:r>
        <w:rPr>
          <w:color w:val="auto"/>
          <w:sz w:val="24"/>
          <w:highlight w:val="none"/>
        </w:rPr>
        <w:t>GB/T3840-91</w:t>
      </w:r>
      <w:r>
        <w:rPr>
          <w:rFonts w:hint="eastAsia"/>
          <w:color w:val="auto"/>
          <w:sz w:val="24"/>
          <w:highlight w:val="none"/>
        </w:rPr>
        <w:t>）查取，详见下表。</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 xml:space="preserve"> </w:t>
      </w:r>
      <w:r>
        <w:rPr>
          <w:rFonts w:hint="default" w:ascii="Times New Roman" w:hAnsi="Times New Roman" w:eastAsia="宋体"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卫生防护距离计算系数</w:t>
      </w:r>
    </w:p>
    <w:tbl>
      <w:tblPr>
        <w:tblStyle w:val="91"/>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791"/>
        <w:gridCol w:w="1524"/>
        <w:gridCol w:w="734"/>
        <w:gridCol w:w="734"/>
        <w:gridCol w:w="587"/>
        <w:gridCol w:w="881"/>
        <w:gridCol w:w="917"/>
        <w:gridCol w:w="736"/>
        <w:gridCol w:w="661"/>
        <w:gridCol w:w="588"/>
        <w:gridCol w:w="58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791" w:type="dxa"/>
            <w:vMerge w:val="restart"/>
            <w:noWrap w:val="0"/>
            <w:vAlign w:val="center"/>
          </w:tcPr>
          <w:p>
            <w:pPr>
              <w:pStyle w:val="167"/>
              <w:keepNext w:val="0"/>
              <w:keepLines w:val="0"/>
              <w:suppressLineNumbers w:val="0"/>
              <w:spacing w:before="0" w:beforeAutospacing="0" w:after="0" w:afterAutospacing="0"/>
              <w:ind w:left="0" w:right="162"/>
              <w:jc w:val="center"/>
              <w:rPr>
                <w:rFonts w:hint="default"/>
                <w:color w:val="auto"/>
                <w:sz w:val="21"/>
                <w:highlight w:val="none"/>
              </w:rPr>
            </w:pPr>
            <w:r>
              <w:rPr>
                <w:rFonts w:hint="default"/>
                <w:color w:val="auto"/>
                <w:sz w:val="21"/>
                <w:highlight w:val="none"/>
              </w:rPr>
              <w:t>计算系数</w:t>
            </w:r>
          </w:p>
        </w:tc>
        <w:tc>
          <w:tcPr>
            <w:tcW w:w="1524" w:type="dxa"/>
            <w:vMerge w:val="restart"/>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工业企业所在地区近五年平均风速m/s</w:t>
            </w:r>
          </w:p>
        </w:tc>
        <w:tc>
          <w:tcPr>
            <w:tcW w:w="6425" w:type="dxa"/>
            <w:gridSpan w:val="9"/>
            <w:noWrap w:val="0"/>
            <w:vAlign w:val="center"/>
          </w:tcPr>
          <w:p>
            <w:pPr>
              <w:pStyle w:val="167"/>
              <w:keepNext w:val="0"/>
              <w:keepLines w:val="0"/>
              <w:suppressLineNumbers w:val="0"/>
              <w:spacing w:before="0" w:beforeAutospacing="0" w:after="0" w:afterAutospacing="0"/>
              <w:ind w:left="0" w:right="-20"/>
              <w:jc w:val="center"/>
              <w:rPr>
                <w:rFonts w:hint="default"/>
                <w:color w:val="auto"/>
                <w:sz w:val="21"/>
                <w:highlight w:val="none"/>
              </w:rPr>
            </w:pPr>
            <w:r>
              <w:rPr>
                <w:rFonts w:hint="default"/>
                <w:color w:val="auto"/>
                <w:sz w:val="21"/>
                <w:highlight w:val="none"/>
              </w:rPr>
              <w:t>卫生防护距离 L，m</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91" w:type="dxa"/>
            <w:vMerge w:val="continue"/>
            <w:noWrap w:val="0"/>
            <w:vAlign w:val="center"/>
          </w:tcPr>
          <w:p>
            <w:pPr>
              <w:keepNext w:val="0"/>
              <w:keepLines w:val="0"/>
              <w:suppressLineNumbers w:val="0"/>
              <w:spacing w:before="0" w:beforeAutospacing="0" w:after="0" w:afterAutospacing="0" w:line="240" w:lineRule="auto"/>
              <w:ind w:left="0" w:right="0" w:firstLine="40"/>
              <w:jc w:val="center"/>
              <w:rPr>
                <w:rFonts w:hint="default"/>
                <w:color w:val="auto"/>
                <w:sz w:val="2"/>
                <w:szCs w:val="2"/>
                <w:highlight w:val="none"/>
              </w:rPr>
            </w:pPr>
          </w:p>
        </w:tc>
        <w:tc>
          <w:tcPr>
            <w:tcW w:w="1524" w:type="dxa"/>
            <w:vMerge w:val="continue"/>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p>
        </w:tc>
        <w:tc>
          <w:tcPr>
            <w:tcW w:w="2055" w:type="dxa"/>
            <w:gridSpan w:val="3"/>
            <w:noWrap w:val="0"/>
            <w:vAlign w:val="center"/>
          </w:tcPr>
          <w:p>
            <w:pPr>
              <w:pStyle w:val="167"/>
              <w:keepNext w:val="0"/>
              <w:keepLines w:val="0"/>
              <w:suppressLineNumbers w:val="0"/>
              <w:tabs>
                <w:tab w:val="left" w:pos="1200"/>
              </w:tabs>
              <w:spacing w:before="0" w:beforeAutospacing="0" w:after="0" w:afterAutospacing="0"/>
              <w:ind w:left="0" w:right="-15"/>
              <w:jc w:val="center"/>
              <w:rPr>
                <w:rFonts w:hint="default"/>
                <w:color w:val="auto"/>
                <w:sz w:val="21"/>
                <w:highlight w:val="none"/>
              </w:rPr>
            </w:pPr>
            <w:r>
              <w:rPr>
                <w:rFonts w:hint="default"/>
                <w:color w:val="auto"/>
                <w:sz w:val="21"/>
                <w:highlight w:val="none"/>
              </w:rPr>
              <w:t>L&lt;200</w:t>
            </w:r>
          </w:p>
        </w:tc>
        <w:tc>
          <w:tcPr>
            <w:tcW w:w="2534" w:type="dxa"/>
            <w:gridSpan w:val="3"/>
            <w:noWrap w:val="0"/>
            <w:vAlign w:val="center"/>
          </w:tcPr>
          <w:p>
            <w:pPr>
              <w:pStyle w:val="167"/>
              <w:keepNext w:val="0"/>
              <w:keepLines w:val="0"/>
              <w:suppressLineNumbers w:val="0"/>
              <w:spacing w:before="0" w:beforeAutospacing="0" w:after="0" w:afterAutospacing="0"/>
              <w:ind w:left="0" w:right="0"/>
              <w:jc w:val="center"/>
              <w:rPr>
                <w:rFonts w:hint="default"/>
                <w:color w:val="auto"/>
                <w:sz w:val="21"/>
                <w:highlight w:val="none"/>
              </w:rPr>
            </w:pPr>
            <w:r>
              <w:rPr>
                <w:rFonts w:hint="default"/>
                <w:color w:val="auto"/>
                <w:sz w:val="21"/>
                <w:highlight w:val="none"/>
              </w:rPr>
              <w:t>200&lt;L&lt;2000</w:t>
            </w:r>
          </w:p>
        </w:tc>
        <w:tc>
          <w:tcPr>
            <w:tcW w:w="1836" w:type="dxa"/>
            <w:gridSpan w:val="3"/>
            <w:noWrap w:val="0"/>
            <w:vAlign w:val="center"/>
          </w:tcPr>
          <w:p>
            <w:pPr>
              <w:pStyle w:val="167"/>
              <w:keepNext w:val="0"/>
              <w:keepLines w:val="0"/>
              <w:suppressLineNumbers w:val="0"/>
              <w:spacing w:before="0" w:beforeAutospacing="0" w:after="0" w:afterAutospacing="0"/>
              <w:ind w:left="0" w:right="0"/>
              <w:jc w:val="center"/>
              <w:rPr>
                <w:rFonts w:hint="default"/>
                <w:color w:val="auto"/>
                <w:sz w:val="21"/>
                <w:highlight w:val="none"/>
              </w:rPr>
            </w:pPr>
            <w:r>
              <w:rPr>
                <w:rFonts w:hint="default"/>
                <w:color w:val="auto"/>
                <w:sz w:val="21"/>
                <w:highlight w:val="none"/>
              </w:rPr>
              <w:t>L&gt;2000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91" w:type="dxa"/>
            <w:vMerge w:val="continue"/>
            <w:noWrap w:val="0"/>
            <w:vAlign w:val="center"/>
          </w:tcPr>
          <w:p>
            <w:pPr>
              <w:keepNext w:val="0"/>
              <w:keepLines w:val="0"/>
              <w:suppressLineNumbers w:val="0"/>
              <w:spacing w:before="0" w:beforeAutospacing="0" w:after="0" w:afterAutospacing="0" w:line="240" w:lineRule="auto"/>
              <w:ind w:left="0" w:right="0" w:firstLine="40"/>
              <w:jc w:val="center"/>
              <w:rPr>
                <w:rFonts w:hint="default"/>
                <w:color w:val="auto"/>
                <w:sz w:val="2"/>
                <w:szCs w:val="2"/>
                <w:highlight w:val="none"/>
              </w:rPr>
            </w:pPr>
          </w:p>
        </w:tc>
        <w:tc>
          <w:tcPr>
            <w:tcW w:w="1524" w:type="dxa"/>
            <w:vMerge w:val="continue"/>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p>
        </w:tc>
        <w:tc>
          <w:tcPr>
            <w:tcW w:w="6425" w:type="dxa"/>
            <w:gridSpan w:val="9"/>
            <w:noWrap w:val="0"/>
            <w:vAlign w:val="center"/>
          </w:tcPr>
          <w:p>
            <w:pPr>
              <w:pStyle w:val="167"/>
              <w:keepNext w:val="0"/>
              <w:keepLines w:val="0"/>
              <w:suppressLineNumbers w:val="0"/>
              <w:spacing w:before="0" w:beforeAutospacing="0" w:after="0" w:afterAutospacing="0"/>
              <w:ind w:left="0" w:right="0"/>
              <w:jc w:val="center"/>
              <w:rPr>
                <w:rFonts w:hint="default"/>
                <w:color w:val="auto"/>
                <w:sz w:val="21"/>
                <w:highlight w:val="none"/>
              </w:rPr>
            </w:pPr>
            <w:r>
              <w:rPr>
                <w:rFonts w:hint="default"/>
                <w:color w:val="auto"/>
                <w:sz w:val="21"/>
                <w:highlight w:val="none"/>
              </w:rPr>
              <w:t>工业企业大气污染源构成类别</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91" w:type="dxa"/>
            <w:vMerge w:val="continue"/>
            <w:noWrap w:val="0"/>
            <w:vAlign w:val="center"/>
          </w:tcPr>
          <w:p>
            <w:pPr>
              <w:keepNext w:val="0"/>
              <w:keepLines w:val="0"/>
              <w:suppressLineNumbers w:val="0"/>
              <w:spacing w:before="0" w:beforeAutospacing="0" w:after="0" w:afterAutospacing="0" w:line="240" w:lineRule="auto"/>
              <w:ind w:left="0" w:right="0" w:firstLine="40"/>
              <w:jc w:val="center"/>
              <w:rPr>
                <w:rFonts w:hint="default"/>
                <w:color w:val="auto"/>
                <w:sz w:val="2"/>
                <w:szCs w:val="2"/>
                <w:highlight w:val="none"/>
              </w:rPr>
            </w:pPr>
          </w:p>
        </w:tc>
        <w:tc>
          <w:tcPr>
            <w:tcW w:w="1524" w:type="dxa"/>
            <w:vMerge w:val="continue"/>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p>
        </w:tc>
        <w:tc>
          <w:tcPr>
            <w:tcW w:w="734" w:type="dxa"/>
            <w:noWrap w:val="0"/>
            <w:vAlign w:val="center"/>
          </w:tcPr>
          <w:p>
            <w:pPr>
              <w:pStyle w:val="167"/>
              <w:keepNext w:val="0"/>
              <w:keepLines w:val="0"/>
              <w:suppressLineNumbers w:val="0"/>
              <w:spacing w:before="0" w:beforeAutospacing="0" w:after="0" w:afterAutospacing="0"/>
              <w:ind w:left="18" w:right="-13" w:rightChars="-6"/>
              <w:jc w:val="center"/>
              <w:rPr>
                <w:rFonts w:hint="default"/>
                <w:color w:val="auto"/>
                <w:sz w:val="21"/>
                <w:highlight w:val="none"/>
              </w:rPr>
            </w:pPr>
            <w:r>
              <w:rPr>
                <w:rFonts w:hint="default"/>
                <w:color w:val="auto"/>
                <w:kern w:val="2"/>
                <w:sz w:val="21"/>
                <w:szCs w:val="21"/>
                <w:highlight w:val="none"/>
              </w:rPr>
              <w:t>Ⅰ</w:t>
            </w:r>
          </w:p>
        </w:tc>
        <w:tc>
          <w:tcPr>
            <w:tcW w:w="73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kern w:val="2"/>
                <w:sz w:val="21"/>
                <w:szCs w:val="21"/>
                <w:highlight w:val="none"/>
              </w:rPr>
              <w:t>Ⅱ</w:t>
            </w:r>
          </w:p>
        </w:tc>
        <w:tc>
          <w:tcPr>
            <w:tcW w:w="58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Ⅲ</w:t>
            </w:r>
          </w:p>
        </w:tc>
        <w:tc>
          <w:tcPr>
            <w:tcW w:w="881"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Ⅰ</w:t>
            </w:r>
          </w:p>
        </w:tc>
        <w:tc>
          <w:tcPr>
            <w:tcW w:w="91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Ⅱ</w:t>
            </w:r>
          </w:p>
        </w:tc>
        <w:tc>
          <w:tcPr>
            <w:tcW w:w="736"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Ⅲ</w:t>
            </w:r>
          </w:p>
        </w:tc>
        <w:tc>
          <w:tcPr>
            <w:tcW w:w="661"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Ⅰ</w:t>
            </w:r>
          </w:p>
        </w:tc>
        <w:tc>
          <w:tcPr>
            <w:tcW w:w="588"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Ⅱ</w:t>
            </w:r>
          </w:p>
        </w:tc>
        <w:tc>
          <w:tcPr>
            <w:tcW w:w="58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Ⅲ</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91" w:type="dxa"/>
            <w:vMerge w:val="restart"/>
            <w:noWrap w:val="0"/>
            <w:vAlign w:val="center"/>
          </w:tcPr>
          <w:p>
            <w:pPr>
              <w:pStyle w:val="167"/>
              <w:keepNext w:val="0"/>
              <w:keepLines w:val="0"/>
              <w:suppressLineNumbers w:val="0"/>
              <w:spacing w:before="0" w:beforeAutospacing="0" w:after="0" w:afterAutospacing="0"/>
              <w:ind w:left="21" w:right="0"/>
              <w:jc w:val="center"/>
              <w:rPr>
                <w:rFonts w:hint="default"/>
                <w:color w:val="auto"/>
                <w:sz w:val="21"/>
                <w:highlight w:val="none"/>
              </w:rPr>
            </w:pPr>
            <w:r>
              <w:rPr>
                <w:rFonts w:hint="default"/>
                <w:color w:val="auto"/>
                <w:w w:val="99"/>
                <w:sz w:val="21"/>
                <w:highlight w:val="none"/>
              </w:rPr>
              <w:t>A</w:t>
            </w:r>
          </w:p>
        </w:tc>
        <w:tc>
          <w:tcPr>
            <w:tcW w:w="152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&lt;2</w:t>
            </w:r>
          </w:p>
        </w:tc>
        <w:tc>
          <w:tcPr>
            <w:tcW w:w="73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400</w:t>
            </w:r>
          </w:p>
        </w:tc>
        <w:tc>
          <w:tcPr>
            <w:tcW w:w="73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400</w:t>
            </w:r>
          </w:p>
        </w:tc>
        <w:tc>
          <w:tcPr>
            <w:tcW w:w="58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400</w:t>
            </w:r>
          </w:p>
        </w:tc>
        <w:tc>
          <w:tcPr>
            <w:tcW w:w="881"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400</w:t>
            </w:r>
          </w:p>
        </w:tc>
        <w:tc>
          <w:tcPr>
            <w:tcW w:w="91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400</w:t>
            </w:r>
          </w:p>
        </w:tc>
        <w:tc>
          <w:tcPr>
            <w:tcW w:w="736"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400</w:t>
            </w:r>
          </w:p>
        </w:tc>
        <w:tc>
          <w:tcPr>
            <w:tcW w:w="661"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80</w:t>
            </w:r>
          </w:p>
        </w:tc>
        <w:tc>
          <w:tcPr>
            <w:tcW w:w="588"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80</w:t>
            </w:r>
          </w:p>
        </w:tc>
        <w:tc>
          <w:tcPr>
            <w:tcW w:w="58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91" w:type="dxa"/>
            <w:vMerge w:val="continue"/>
            <w:noWrap w:val="0"/>
            <w:vAlign w:val="center"/>
          </w:tcPr>
          <w:p>
            <w:pPr>
              <w:keepNext w:val="0"/>
              <w:keepLines w:val="0"/>
              <w:suppressLineNumbers w:val="0"/>
              <w:spacing w:before="0" w:beforeAutospacing="0" w:after="0" w:afterAutospacing="0" w:line="240" w:lineRule="auto"/>
              <w:ind w:left="0" w:right="0" w:firstLine="40"/>
              <w:jc w:val="center"/>
              <w:rPr>
                <w:rFonts w:hint="default"/>
                <w:color w:val="auto"/>
                <w:sz w:val="2"/>
                <w:szCs w:val="2"/>
                <w:highlight w:val="none"/>
              </w:rPr>
            </w:pPr>
          </w:p>
        </w:tc>
        <w:tc>
          <w:tcPr>
            <w:tcW w:w="152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2~4</w:t>
            </w:r>
          </w:p>
        </w:tc>
        <w:tc>
          <w:tcPr>
            <w:tcW w:w="73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700</w:t>
            </w:r>
          </w:p>
        </w:tc>
        <w:tc>
          <w:tcPr>
            <w:tcW w:w="73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470</w:t>
            </w:r>
          </w:p>
        </w:tc>
        <w:tc>
          <w:tcPr>
            <w:tcW w:w="58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350</w:t>
            </w:r>
          </w:p>
        </w:tc>
        <w:tc>
          <w:tcPr>
            <w:tcW w:w="881"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700</w:t>
            </w:r>
          </w:p>
        </w:tc>
        <w:tc>
          <w:tcPr>
            <w:tcW w:w="91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470</w:t>
            </w:r>
          </w:p>
        </w:tc>
        <w:tc>
          <w:tcPr>
            <w:tcW w:w="736"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350</w:t>
            </w:r>
          </w:p>
        </w:tc>
        <w:tc>
          <w:tcPr>
            <w:tcW w:w="661"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380</w:t>
            </w:r>
          </w:p>
        </w:tc>
        <w:tc>
          <w:tcPr>
            <w:tcW w:w="588"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250</w:t>
            </w:r>
          </w:p>
        </w:tc>
        <w:tc>
          <w:tcPr>
            <w:tcW w:w="58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190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91" w:type="dxa"/>
            <w:vMerge w:val="continue"/>
            <w:noWrap w:val="0"/>
            <w:vAlign w:val="center"/>
          </w:tcPr>
          <w:p>
            <w:pPr>
              <w:keepNext w:val="0"/>
              <w:keepLines w:val="0"/>
              <w:suppressLineNumbers w:val="0"/>
              <w:spacing w:before="0" w:beforeAutospacing="0" w:after="0" w:afterAutospacing="0" w:line="240" w:lineRule="auto"/>
              <w:ind w:left="0" w:right="0" w:firstLine="40"/>
              <w:jc w:val="center"/>
              <w:rPr>
                <w:rFonts w:hint="default"/>
                <w:color w:val="auto"/>
                <w:sz w:val="2"/>
                <w:szCs w:val="2"/>
                <w:highlight w:val="none"/>
              </w:rPr>
            </w:pPr>
          </w:p>
        </w:tc>
        <w:tc>
          <w:tcPr>
            <w:tcW w:w="152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&gt;4</w:t>
            </w:r>
          </w:p>
        </w:tc>
        <w:tc>
          <w:tcPr>
            <w:tcW w:w="73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530</w:t>
            </w:r>
          </w:p>
        </w:tc>
        <w:tc>
          <w:tcPr>
            <w:tcW w:w="73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350</w:t>
            </w:r>
          </w:p>
        </w:tc>
        <w:tc>
          <w:tcPr>
            <w:tcW w:w="58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260</w:t>
            </w:r>
          </w:p>
        </w:tc>
        <w:tc>
          <w:tcPr>
            <w:tcW w:w="881"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530</w:t>
            </w:r>
          </w:p>
        </w:tc>
        <w:tc>
          <w:tcPr>
            <w:tcW w:w="91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350</w:t>
            </w:r>
          </w:p>
        </w:tc>
        <w:tc>
          <w:tcPr>
            <w:tcW w:w="736"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260</w:t>
            </w:r>
          </w:p>
        </w:tc>
        <w:tc>
          <w:tcPr>
            <w:tcW w:w="661"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290</w:t>
            </w:r>
          </w:p>
        </w:tc>
        <w:tc>
          <w:tcPr>
            <w:tcW w:w="588"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190</w:t>
            </w:r>
          </w:p>
        </w:tc>
        <w:tc>
          <w:tcPr>
            <w:tcW w:w="587"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110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791" w:type="dxa"/>
            <w:vMerge w:val="restart"/>
            <w:noWrap w:val="0"/>
            <w:vAlign w:val="center"/>
          </w:tcPr>
          <w:p>
            <w:pPr>
              <w:pStyle w:val="167"/>
              <w:keepNext w:val="0"/>
              <w:keepLines w:val="0"/>
              <w:suppressLineNumbers w:val="0"/>
              <w:spacing w:before="0" w:beforeAutospacing="0" w:after="0" w:afterAutospacing="0"/>
              <w:ind w:left="24" w:right="0"/>
              <w:jc w:val="center"/>
              <w:rPr>
                <w:rFonts w:hint="default"/>
                <w:color w:val="auto"/>
                <w:sz w:val="21"/>
                <w:highlight w:val="none"/>
              </w:rPr>
            </w:pPr>
            <w:r>
              <w:rPr>
                <w:rFonts w:hint="default"/>
                <w:color w:val="auto"/>
                <w:w w:val="99"/>
                <w:sz w:val="21"/>
                <w:highlight w:val="none"/>
              </w:rPr>
              <w:t>B</w:t>
            </w:r>
          </w:p>
        </w:tc>
        <w:tc>
          <w:tcPr>
            <w:tcW w:w="152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&lt;2</w:t>
            </w:r>
          </w:p>
        </w:tc>
        <w:tc>
          <w:tcPr>
            <w:tcW w:w="2055" w:type="dxa"/>
            <w:gridSpan w:val="3"/>
            <w:noWrap w:val="0"/>
            <w:vAlign w:val="center"/>
          </w:tcPr>
          <w:p>
            <w:pPr>
              <w:pStyle w:val="167"/>
              <w:keepNext w:val="0"/>
              <w:keepLines w:val="0"/>
              <w:suppressLineNumbers w:val="0"/>
              <w:spacing w:before="0" w:beforeAutospacing="0" w:after="0" w:afterAutospacing="0"/>
              <w:ind w:left="0" w:right="-21" w:rightChars="-10"/>
              <w:jc w:val="center"/>
              <w:rPr>
                <w:rFonts w:hint="default"/>
                <w:color w:val="auto"/>
                <w:sz w:val="21"/>
                <w:highlight w:val="none"/>
              </w:rPr>
            </w:pPr>
            <w:r>
              <w:rPr>
                <w:rFonts w:hint="default"/>
                <w:color w:val="auto"/>
                <w:sz w:val="21"/>
                <w:highlight w:val="none"/>
              </w:rPr>
              <w:t>0.01</w:t>
            </w:r>
          </w:p>
        </w:tc>
        <w:tc>
          <w:tcPr>
            <w:tcW w:w="2534" w:type="dxa"/>
            <w:gridSpan w:val="3"/>
            <w:noWrap w:val="0"/>
            <w:vAlign w:val="center"/>
          </w:tcPr>
          <w:p>
            <w:pPr>
              <w:pStyle w:val="167"/>
              <w:keepNext w:val="0"/>
              <w:keepLines w:val="0"/>
              <w:suppressLineNumbers w:val="0"/>
              <w:spacing w:before="0" w:beforeAutospacing="0" w:after="0" w:afterAutospacing="0"/>
              <w:ind w:left="0" w:right="55" w:rightChars="26"/>
              <w:jc w:val="center"/>
              <w:rPr>
                <w:rFonts w:hint="default"/>
                <w:color w:val="auto"/>
                <w:sz w:val="21"/>
                <w:highlight w:val="none"/>
              </w:rPr>
            </w:pPr>
            <w:r>
              <w:rPr>
                <w:rFonts w:hint="default"/>
                <w:color w:val="auto"/>
                <w:sz w:val="21"/>
                <w:highlight w:val="none"/>
              </w:rPr>
              <w:t>0.015</w:t>
            </w:r>
          </w:p>
        </w:tc>
        <w:tc>
          <w:tcPr>
            <w:tcW w:w="1836" w:type="dxa"/>
            <w:gridSpan w:val="3"/>
            <w:noWrap w:val="0"/>
            <w:vAlign w:val="center"/>
          </w:tcPr>
          <w:p>
            <w:pPr>
              <w:pStyle w:val="167"/>
              <w:keepNext w:val="0"/>
              <w:keepLines w:val="0"/>
              <w:suppressLineNumbers w:val="0"/>
              <w:spacing w:before="0" w:beforeAutospacing="0" w:after="0" w:afterAutospacing="0"/>
              <w:ind w:left="0" w:right="6"/>
              <w:jc w:val="center"/>
              <w:rPr>
                <w:rFonts w:hint="default"/>
                <w:color w:val="auto"/>
                <w:sz w:val="21"/>
                <w:highlight w:val="none"/>
              </w:rPr>
            </w:pPr>
            <w:r>
              <w:rPr>
                <w:rFonts w:hint="default"/>
                <w:color w:val="auto"/>
                <w:sz w:val="21"/>
                <w:highlight w:val="none"/>
              </w:rPr>
              <w:t>0.015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91" w:type="dxa"/>
            <w:vMerge w:val="continue"/>
            <w:noWrap w:val="0"/>
            <w:vAlign w:val="center"/>
          </w:tcPr>
          <w:p>
            <w:pPr>
              <w:keepNext w:val="0"/>
              <w:keepLines w:val="0"/>
              <w:suppressLineNumbers w:val="0"/>
              <w:spacing w:before="0" w:beforeAutospacing="0" w:after="0" w:afterAutospacing="0" w:line="240" w:lineRule="auto"/>
              <w:ind w:left="0" w:right="0" w:firstLine="40"/>
              <w:jc w:val="center"/>
              <w:rPr>
                <w:rFonts w:hint="default"/>
                <w:color w:val="auto"/>
                <w:sz w:val="2"/>
                <w:szCs w:val="2"/>
                <w:highlight w:val="none"/>
              </w:rPr>
            </w:pPr>
          </w:p>
        </w:tc>
        <w:tc>
          <w:tcPr>
            <w:tcW w:w="152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&gt;2</w:t>
            </w:r>
          </w:p>
        </w:tc>
        <w:tc>
          <w:tcPr>
            <w:tcW w:w="2055" w:type="dxa"/>
            <w:gridSpan w:val="3"/>
            <w:noWrap w:val="0"/>
            <w:vAlign w:val="center"/>
          </w:tcPr>
          <w:p>
            <w:pPr>
              <w:pStyle w:val="167"/>
              <w:keepNext w:val="0"/>
              <w:keepLines w:val="0"/>
              <w:suppressLineNumbers w:val="0"/>
              <w:spacing w:before="0" w:beforeAutospacing="0" w:after="0" w:afterAutospacing="0"/>
              <w:ind w:left="0" w:right="-21" w:rightChars="-10"/>
              <w:jc w:val="center"/>
              <w:rPr>
                <w:rFonts w:hint="default"/>
                <w:color w:val="auto"/>
                <w:sz w:val="21"/>
                <w:highlight w:val="none"/>
              </w:rPr>
            </w:pPr>
            <w:r>
              <w:rPr>
                <w:rFonts w:hint="default"/>
                <w:color w:val="auto"/>
                <w:sz w:val="21"/>
                <w:highlight w:val="none"/>
              </w:rPr>
              <w:t>0.021</w:t>
            </w:r>
          </w:p>
        </w:tc>
        <w:tc>
          <w:tcPr>
            <w:tcW w:w="2534" w:type="dxa"/>
            <w:gridSpan w:val="3"/>
            <w:noWrap w:val="0"/>
            <w:vAlign w:val="center"/>
          </w:tcPr>
          <w:p>
            <w:pPr>
              <w:pStyle w:val="167"/>
              <w:keepNext w:val="0"/>
              <w:keepLines w:val="0"/>
              <w:suppressLineNumbers w:val="0"/>
              <w:spacing w:before="0" w:beforeAutospacing="0" w:after="0" w:afterAutospacing="0"/>
              <w:ind w:left="0" w:right="55" w:rightChars="26"/>
              <w:jc w:val="center"/>
              <w:rPr>
                <w:rFonts w:hint="default"/>
                <w:color w:val="auto"/>
                <w:sz w:val="21"/>
                <w:highlight w:val="none"/>
              </w:rPr>
            </w:pPr>
            <w:r>
              <w:rPr>
                <w:rFonts w:hint="default"/>
                <w:color w:val="auto"/>
                <w:sz w:val="21"/>
                <w:highlight w:val="none"/>
              </w:rPr>
              <w:t>0.036</w:t>
            </w:r>
          </w:p>
        </w:tc>
        <w:tc>
          <w:tcPr>
            <w:tcW w:w="1836" w:type="dxa"/>
            <w:gridSpan w:val="3"/>
            <w:noWrap w:val="0"/>
            <w:vAlign w:val="center"/>
          </w:tcPr>
          <w:p>
            <w:pPr>
              <w:pStyle w:val="167"/>
              <w:keepNext w:val="0"/>
              <w:keepLines w:val="0"/>
              <w:suppressLineNumbers w:val="0"/>
              <w:spacing w:before="0" w:beforeAutospacing="0" w:after="0" w:afterAutospacing="0"/>
              <w:ind w:left="0" w:right="6"/>
              <w:jc w:val="center"/>
              <w:rPr>
                <w:rFonts w:hint="default"/>
                <w:color w:val="auto"/>
                <w:sz w:val="21"/>
                <w:highlight w:val="none"/>
              </w:rPr>
            </w:pPr>
            <w:r>
              <w:rPr>
                <w:rFonts w:hint="default"/>
                <w:color w:val="auto"/>
                <w:sz w:val="21"/>
                <w:highlight w:val="none"/>
              </w:rPr>
              <w:t>0.036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91" w:type="dxa"/>
            <w:vMerge w:val="restart"/>
            <w:noWrap w:val="0"/>
            <w:vAlign w:val="center"/>
          </w:tcPr>
          <w:p>
            <w:pPr>
              <w:pStyle w:val="167"/>
              <w:keepNext w:val="0"/>
              <w:keepLines w:val="0"/>
              <w:suppressLineNumbers w:val="0"/>
              <w:spacing w:before="0" w:beforeAutospacing="0" w:after="0" w:afterAutospacing="0"/>
              <w:ind w:left="24" w:right="0"/>
              <w:jc w:val="center"/>
              <w:rPr>
                <w:rFonts w:hint="default"/>
                <w:color w:val="auto"/>
                <w:sz w:val="21"/>
                <w:highlight w:val="none"/>
              </w:rPr>
            </w:pPr>
            <w:r>
              <w:rPr>
                <w:rFonts w:hint="default"/>
                <w:color w:val="auto"/>
                <w:w w:val="99"/>
                <w:sz w:val="21"/>
                <w:highlight w:val="none"/>
              </w:rPr>
              <w:t>C</w:t>
            </w:r>
          </w:p>
        </w:tc>
        <w:tc>
          <w:tcPr>
            <w:tcW w:w="152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&lt;2</w:t>
            </w:r>
          </w:p>
        </w:tc>
        <w:tc>
          <w:tcPr>
            <w:tcW w:w="2055" w:type="dxa"/>
            <w:gridSpan w:val="3"/>
            <w:noWrap w:val="0"/>
            <w:vAlign w:val="center"/>
          </w:tcPr>
          <w:p>
            <w:pPr>
              <w:pStyle w:val="167"/>
              <w:keepNext w:val="0"/>
              <w:keepLines w:val="0"/>
              <w:suppressLineNumbers w:val="0"/>
              <w:spacing w:before="0" w:beforeAutospacing="0" w:after="0" w:afterAutospacing="0"/>
              <w:ind w:left="0" w:right="-21" w:rightChars="-10"/>
              <w:jc w:val="center"/>
              <w:rPr>
                <w:rFonts w:hint="default"/>
                <w:color w:val="auto"/>
                <w:sz w:val="21"/>
                <w:highlight w:val="none"/>
              </w:rPr>
            </w:pPr>
            <w:r>
              <w:rPr>
                <w:rFonts w:hint="default"/>
                <w:color w:val="auto"/>
                <w:sz w:val="21"/>
                <w:highlight w:val="none"/>
              </w:rPr>
              <w:t>1.85</w:t>
            </w:r>
          </w:p>
        </w:tc>
        <w:tc>
          <w:tcPr>
            <w:tcW w:w="2534" w:type="dxa"/>
            <w:gridSpan w:val="3"/>
            <w:noWrap w:val="0"/>
            <w:vAlign w:val="center"/>
          </w:tcPr>
          <w:p>
            <w:pPr>
              <w:pStyle w:val="167"/>
              <w:keepNext w:val="0"/>
              <w:keepLines w:val="0"/>
              <w:suppressLineNumbers w:val="0"/>
              <w:spacing w:before="0" w:beforeAutospacing="0" w:after="0" w:afterAutospacing="0"/>
              <w:ind w:left="0" w:right="55" w:rightChars="26"/>
              <w:jc w:val="center"/>
              <w:rPr>
                <w:rFonts w:hint="default"/>
                <w:color w:val="auto"/>
                <w:sz w:val="21"/>
                <w:highlight w:val="none"/>
              </w:rPr>
            </w:pPr>
            <w:r>
              <w:rPr>
                <w:rFonts w:hint="default"/>
                <w:color w:val="auto"/>
                <w:sz w:val="21"/>
                <w:highlight w:val="none"/>
              </w:rPr>
              <w:t>1.79</w:t>
            </w:r>
          </w:p>
        </w:tc>
        <w:tc>
          <w:tcPr>
            <w:tcW w:w="1836" w:type="dxa"/>
            <w:gridSpan w:val="3"/>
            <w:noWrap w:val="0"/>
            <w:vAlign w:val="center"/>
          </w:tcPr>
          <w:p>
            <w:pPr>
              <w:pStyle w:val="167"/>
              <w:keepNext w:val="0"/>
              <w:keepLines w:val="0"/>
              <w:suppressLineNumbers w:val="0"/>
              <w:spacing w:before="0" w:beforeAutospacing="0" w:after="0" w:afterAutospacing="0"/>
              <w:ind w:left="0" w:right="6"/>
              <w:jc w:val="center"/>
              <w:rPr>
                <w:rFonts w:hint="default"/>
                <w:color w:val="auto"/>
                <w:sz w:val="21"/>
                <w:highlight w:val="none"/>
              </w:rPr>
            </w:pPr>
            <w:r>
              <w:rPr>
                <w:rFonts w:hint="default"/>
                <w:color w:val="auto"/>
                <w:sz w:val="21"/>
                <w:highlight w:val="none"/>
              </w:rPr>
              <w:t>1.79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91" w:type="dxa"/>
            <w:vMerge w:val="continue"/>
            <w:noWrap w:val="0"/>
            <w:vAlign w:val="center"/>
          </w:tcPr>
          <w:p>
            <w:pPr>
              <w:keepNext w:val="0"/>
              <w:keepLines w:val="0"/>
              <w:suppressLineNumbers w:val="0"/>
              <w:spacing w:before="0" w:beforeAutospacing="0" w:after="0" w:afterAutospacing="0" w:line="240" w:lineRule="auto"/>
              <w:ind w:left="0" w:right="0" w:firstLine="40"/>
              <w:jc w:val="center"/>
              <w:rPr>
                <w:rFonts w:hint="default"/>
                <w:color w:val="auto"/>
                <w:sz w:val="2"/>
                <w:szCs w:val="2"/>
                <w:highlight w:val="none"/>
              </w:rPr>
            </w:pPr>
          </w:p>
        </w:tc>
        <w:tc>
          <w:tcPr>
            <w:tcW w:w="152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&gt;2</w:t>
            </w:r>
          </w:p>
        </w:tc>
        <w:tc>
          <w:tcPr>
            <w:tcW w:w="2055" w:type="dxa"/>
            <w:gridSpan w:val="3"/>
            <w:noWrap w:val="0"/>
            <w:vAlign w:val="center"/>
          </w:tcPr>
          <w:p>
            <w:pPr>
              <w:pStyle w:val="167"/>
              <w:keepNext w:val="0"/>
              <w:keepLines w:val="0"/>
              <w:suppressLineNumbers w:val="0"/>
              <w:spacing w:before="0" w:beforeAutospacing="0" w:after="0" w:afterAutospacing="0"/>
              <w:ind w:left="0" w:right="-21" w:rightChars="-10"/>
              <w:jc w:val="center"/>
              <w:rPr>
                <w:rFonts w:hint="default"/>
                <w:color w:val="auto"/>
                <w:sz w:val="21"/>
                <w:highlight w:val="none"/>
              </w:rPr>
            </w:pPr>
            <w:r>
              <w:rPr>
                <w:rFonts w:hint="default"/>
                <w:color w:val="auto"/>
                <w:sz w:val="21"/>
                <w:highlight w:val="none"/>
              </w:rPr>
              <w:t>1.85</w:t>
            </w:r>
          </w:p>
        </w:tc>
        <w:tc>
          <w:tcPr>
            <w:tcW w:w="2534" w:type="dxa"/>
            <w:gridSpan w:val="3"/>
            <w:noWrap w:val="0"/>
            <w:vAlign w:val="center"/>
          </w:tcPr>
          <w:p>
            <w:pPr>
              <w:pStyle w:val="167"/>
              <w:keepNext w:val="0"/>
              <w:keepLines w:val="0"/>
              <w:suppressLineNumbers w:val="0"/>
              <w:spacing w:before="0" w:beforeAutospacing="0" w:after="0" w:afterAutospacing="0"/>
              <w:ind w:left="0" w:right="55" w:rightChars="26"/>
              <w:jc w:val="center"/>
              <w:rPr>
                <w:rFonts w:hint="default"/>
                <w:color w:val="auto"/>
                <w:sz w:val="21"/>
                <w:highlight w:val="none"/>
              </w:rPr>
            </w:pPr>
            <w:r>
              <w:rPr>
                <w:rFonts w:hint="default"/>
                <w:color w:val="auto"/>
                <w:sz w:val="21"/>
                <w:highlight w:val="none"/>
              </w:rPr>
              <w:t>1.77</w:t>
            </w:r>
          </w:p>
        </w:tc>
        <w:tc>
          <w:tcPr>
            <w:tcW w:w="1836" w:type="dxa"/>
            <w:gridSpan w:val="3"/>
            <w:noWrap w:val="0"/>
            <w:vAlign w:val="center"/>
          </w:tcPr>
          <w:p>
            <w:pPr>
              <w:pStyle w:val="167"/>
              <w:keepNext w:val="0"/>
              <w:keepLines w:val="0"/>
              <w:suppressLineNumbers w:val="0"/>
              <w:spacing w:before="0" w:beforeAutospacing="0" w:after="0" w:afterAutospacing="0"/>
              <w:ind w:left="0" w:right="6"/>
              <w:jc w:val="center"/>
              <w:rPr>
                <w:rFonts w:hint="default"/>
                <w:color w:val="auto"/>
                <w:sz w:val="21"/>
                <w:highlight w:val="none"/>
              </w:rPr>
            </w:pPr>
            <w:r>
              <w:rPr>
                <w:rFonts w:hint="default"/>
                <w:color w:val="auto"/>
                <w:sz w:val="21"/>
                <w:highlight w:val="none"/>
              </w:rPr>
              <w:t>1.77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91" w:type="dxa"/>
            <w:vMerge w:val="restart"/>
            <w:noWrap w:val="0"/>
            <w:vAlign w:val="center"/>
          </w:tcPr>
          <w:p>
            <w:pPr>
              <w:pStyle w:val="167"/>
              <w:keepNext w:val="0"/>
              <w:keepLines w:val="0"/>
              <w:suppressLineNumbers w:val="0"/>
              <w:spacing w:before="0" w:beforeAutospacing="0" w:after="0" w:afterAutospacing="0"/>
              <w:ind w:left="21" w:right="0"/>
              <w:jc w:val="center"/>
              <w:rPr>
                <w:rFonts w:hint="default"/>
                <w:color w:val="auto"/>
                <w:sz w:val="21"/>
                <w:highlight w:val="none"/>
              </w:rPr>
            </w:pPr>
            <w:r>
              <w:rPr>
                <w:rFonts w:hint="default"/>
                <w:color w:val="auto"/>
                <w:w w:val="99"/>
                <w:sz w:val="21"/>
                <w:highlight w:val="none"/>
              </w:rPr>
              <w:t>D</w:t>
            </w:r>
          </w:p>
        </w:tc>
        <w:tc>
          <w:tcPr>
            <w:tcW w:w="152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&lt;2</w:t>
            </w:r>
          </w:p>
        </w:tc>
        <w:tc>
          <w:tcPr>
            <w:tcW w:w="2055" w:type="dxa"/>
            <w:gridSpan w:val="3"/>
            <w:noWrap w:val="0"/>
            <w:vAlign w:val="center"/>
          </w:tcPr>
          <w:p>
            <w:pPr>
              <w:pStyle w:val="167"/>
              <w:keepNext w:val="0"/>
              <w:keepLines w:val="0"/>
              <w:suppressLineNumbers w:val="0"/>
              <w:spacing w:before="0" w:beforeAutospacing="0" w:after="0" w:afterAutospacing="0"/>
              <w:ind w:left="0" w:right="-21" w:rightChars="-10"/>
              <w:jc w:val="center"/>
              <w:rPr>
                <w:rFonts w:hint="default"/>
                <w:color w:val="auto"/>
                <w:sz w:val="21"/>
                <w:highlight w:val="none"/>
              </w:rPr>
            </w:pPr>
            <w:r>
              <w:rPr>
                <w:rFonts w:hint="default"/>
                <w:color w:val="auto"/>
                <w:sz w:val="21"/>
                <w:highlight w:val="none"/>
              </w:rPr>
              <w:t>0.78</w:t>
            </w:r>
          </w:p>
        </w:tc>
        <w:tc>
          <w:tcPr>
            <w:tcW w:w="2534" w:type="dxa"/>
            <w:gridSpan w:val="3"/>
            <w:noWrap w:val="0"/>
            <w:vAlign w:val="center"/>
          </w:tcPr>
          <w:p>
            <w:pPr>
              <w:pStyle w:val="167"/>
              <w:keepNext w:val="0"/>
              <w:keepLines w:val="0"/>
              <w:suppressLineNumbers w:val="0"/>
              <w:spacing w:before="0" w:beforeAutospacing="0" w:after="0" w:afterAutospacing="0"/>
              <w:ind w:left="0" w:right="55" w:rightChars="26"/>
              <w:jc w:val="center"/>
              <w:rPr>
                <w:rFonts w:hint="default"/>
                <w:color w:val="auto"/>
                <w:sz w:val="21"/>
                <w:highlight w:val="none"/>
              </w:rPr>
            </w:pPr>
            <w:r>
              <w:rPr>
                <w:rFonts w:hint="default"/>
                <w:color w:val="auto"/>
                <w:sz w:val="21"/>
                <w:highlight w:val="none"/>
              </w:rPr>
              <w:t>0.78</w:t>
            </w:r>
          </w:p>
        </w:tc>
        <w:tc>
          <w:tcPr>
            <w:tcW w:w="1836" w:type="dxa"/>
            <w:gridSpan w:val="3"/>
            <w:noWrap w:val="0"/>
            <w:vAlign w:val="center"/>
          </w:tcPr>
          <w:p>
            <w:pPr>
              <w:pStyle w:val="167"/>
              <w:keepNext w:val="0"/>
              <w:keepLines w:val="0"/>
              <w:suppressLineNumbers w:val="0"/>
              <w:spacing w:before="0" w:beforeAutospacing="0" w:after="0" w:afterAutospacing="0"/>
              <w:ind w:left="0" w:right="6"/>
              <w:jc w:val="center"/>
              <w:rPr>
                <w:rFonts w:hint="default"/>
                <w:color w:val="auto"/>
                <w:sz w:val="21"/>
                <w:highlight w:val="none"/>
              </w:rPr>
            </w:pPr>
            <w:r>
              <w:rPr>
                <w:rFonts w:hint="default"/>
                <w:color w:val="auto"/>
                <w:sz w:val="21"/>
                <w:highlight w:val="none"/>
              </w:rPr>
              <w:t>0.57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91" w:type="dxa"/>
            <w:vMerge w:val="continue"/>
            <w:noWrap w:val="0"/>
            <w:vAlign w:val="center"/>
          </w:tcPr>
          <w:p>
            <w:pPr>
              <w:keepNext w:val="0"/>
              <w:keepLines w:val="0"/>
              <w:suppressLineNumbers w:val="0"/>
              <w:spacing w:before="0" w:beforeAutospacing="0" w:after="0" w:afterAutospacing="0" w:line="240" w:lineRule="auto"/>
              <w:ind w:left="0" w:right="0" w:firstLine="40"/>
              <w:jc w:val="center"/>
              <w:rPr>
                <w:rFonts w:hint="default"/>
                <w:color w:val="auto"/>
                <w:sz w:val="2"/>
                <w:szCs w:val="2"/>
                <w:highlight w:val="none"/>
              </w:rPr>
            </w:pPr>
          </w:p>
        </w:tc>
        <w:tc>
          <w:tcPr>
            <w:tcW w:w="1524" w:type="dxa"/>
            <w:noWrap w:val="0"/>
            <w:vAlign w:val="center"/>
          </w:tcPr>
          <w:p>
            <w:pPr>
              <w:pStyle w:val="167"/>
              <w:keepNext w:val="0"/>
              <w:keepLines w:val="0"/>
              <w:suppressLineNumbers w:val="0"/>
              <w:spacing w:before="0" w:beforeAutospacing="0" w:after="0" w:afterAutospacing="0"/>
              <w:ind w:left="0" w:right="-16"/>
              <w:jc w:val="center"/>
              <w:rPr>
                <w:rFonts w:hint="default"/>
                <w:color w:val="auto"/>
                <w:sz w:val="21"/>
                <w:highlight w:val="none"/>
              </w:rPr>
            </w:pPr>
            <w:r>
              <w:rPr>
                <w:rFonts w:hint="default"/>
                <w:color w:val="auto"/>
                <w:sz w:val="21"/>
                <w:highlight w:val="none"/>
              </w:rPr>
              <w:t>&gt;2</w:t>
            </w:r>
          </w:p>
        </w:tc>
        <w:tc>
          <w:tcPr>
            <w:tcW w:w="2055" w:type="dxa"/>
            <w:gridSpan w:val="3"/>
            <w:noWrap w:val="0"/>
            <w:vAlign w:val="center"/>
          </w:tcPr>
          <w:p>
            <w:pPr>
              <w:pStyle w:val="167"/>
              <w:keepNext w:val="0"/>
              <w:keepLines w:val="0"/>
              <w:suppressLineNumbers w:val="0"/>
              <w:spacing w:before="0" w:beforeAutospacing="0" w:after="0" w:afterAutospacing="0"/>
              <w:ind w:left="0" w:right="-21" w:rightChars="-10"/>
              <w:jc w:val="center"/>
              <w:rPr>
                <w:rFonts w:hint="default"/>
                <w:color w:val="auto"/>
                <w:sz w:val="21"/>
                <w:highlight w:val="none"/>
              </w:rPr>
            </w:pPr>
            <w:r>
              <w:rPr>
                <w:rFonts w:hint="default"/>
                <w:color w:val="auto"/>
                <w:sz w:val="21"/>
                <w:highlight w:val="none"/>
              </w:rPr>
              <w:t>0.84</w:t>
            </w:r>
          </w:p>
        </w:tc>
        <w:tc>
          <w:tcPr>
            <w:tcW w:w="2534" w:type="dxa"/>
            <w:gridSpan w:val="3"/>
            <w:noWrap w:val="0"/>
            <w:vAlign w:val="center"/>
          </w:tcPr>
          <w:p>
            <w:pPr>
              <w:pStyle w:val="167"/>
              <w:keepNext w:val="0"/>
              <w:keepLines w:val="0"/>
              <w:suppressLineNumbers w:val="0"/>
              <w:spacing w:before="0" w:beforeAutospacing="0" w:after="0" w:afterAutospacing="0"/>
              <w:ind w:left="0" w:right="55" w:rightChars="26"/>
              <w:jc w:val="center"/>
              <w:rPr>
                <w:rFonts w:hint="default"/>
                <w:color w:val="auto"/>
                <w:sz w:val="21"/>
                <w:highlight w:val="none"/>
              </w:rPr>
            </w:pPr>
            <w:r>
              <w:rPr>
                <w:rFonts w:hint="default"/>
                <w:color w:val="auto"/>
                <w:sz w:val="21"/>
                <w:highlight w:val="none"/>
              </w:rPr>
              <w:t>0.84</w:t>
            </w:r>
          </w:p>
        </w:tc>
        <w:tc>
          <w:tcPr>
            <w:tcW w:w="1836" w:type="dxa"/>
            <w:gridSpan w:val="3"/>
            <w:noWrap w:val="0"/>
            <w:vAlign w:val="center"/>
          </w:tcPr>
          <w:p>
            <w:pPr>
              <w:pStyle w:val="167"/>
              <w:keepNext w:val="0"/>
              <w:keepLines w:val="0"/>
              <w:suppressLineNumbers w:val="0"/>
              <w:spacing w:before="0" w:beforeAutospacing="0" w:after="0" w:afterAutospacing="0"/>
              <w:ind w:left="0" w:right="6"/>
              <w:jc w:val="center"/>
              <w:rPr>
                <w:rFonts w:hint="default"/>
                <w:color w:val="auto"/>
                <w:sz w:val="21"/>
                <w:highlight w:val="none"/>
              </w:rPr>
            </w:pPr>
            <w:r>
              <w:rPr>
                <w:rFonts w:hint="default"/>
                <w:color w:val="auto"/>
                <w:sz w:val="21"/>
                <w:highlight w:val="none"/>
              </w:rPr>
              <w:t>0.76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133" w:hRule="atLeast"/>
          <w:jc w:val="center"/>
        </w:trPr>
        <w:tc>
          <w:tcPr>
            <w:tcW w:w="8740" w:type="dxa"/>
            <w:gridSpan w:val="11"/>
            <w:noWrap w:val="0"/>
            <w:vAlign w:val="top"/>
          </w:tcPr>
          <w:p>
            <w:pPr>
              <w:keepNext w:val="0"/>
              <w:keepLines w:val="0"/>
              <w:suppressLineNumbers w:val="0"/>
              <w:spacing w:before="0" w:beforeAutospacing="0" w:after="0" w:afterAutospacing="0" w:line="240" w:lineRule="auto"/>
              <w:ind w:left="0" w:right="0" w:firstLine="0" w:firstLineChars="0"/>
              <w:rPr>
                <w:rFonts w:hint="default"/>
                <w:color w:val="auto"/>
                <w:sz w:val="21"/>
                <w:szCs w:val="21"/>
                <w:highlight w:val="none"/>
              </w:rPr>
            </w:pPr>
            <w:r>
              <w:rPr>
                <w:rFonts w:hint="default"/>
                <w:color w:val="auto"/>
                <w:sz w:val="21"/>
                <w:szCs w:val="21"/>
                <w:highlight w:val="none"/>
              </w:rPr>
              <w:t>注:1）工业企业大气污染源构成分为三类</w:t>
            </w:r>
            <w:r>
              <w:rPr>
                <w:rFonts w:hint="eastAsia"/>
                <w:color w:val="auto"/>
                <w:sz w:val="21"/>
                <w:szCs w:val="21"/>
                <w:highlight w:val="none"/>
              </w:rPr>
              <w:t>：</w:t>
            </w:r>
          </w:p>
          <w:p>
            <w:pPr>
              <w:keepNext w:val="0"/>
              <w:keepLines w:val="0"/>
              <w:suppressLineNumbers w:val="0"/>
              <w:spacing w:before="0" w:beforeAutospacing="0" w:after="0" w:afterAutospacing="0" w:line="240" w:lineRule="auto"/>
              <w:ind w:left="0" w:right="0" w:firstLine="0" w:firstLineChars="0"/>
              <w:rPr>
                <w:rFonts w:hint="eastAsia"/>
                <w:color w:val="auto"/>
                <w:sz w:val="21"/>
                <w:szCs w:val="21"/>
                <w:highlight w:val="none"/>
              </w:rPr>
            </w:pPr>
            <w:r>
              <w:rPr>
                <w:rFonts w:hint="default"/>
                <w:color w:val="auto"/>
                <w:sz w:val="21"/>
                <w:szCs w:val="21"/>
                <w:highlight w:val="none"/>
              </w:rPr>
              <w:t>Ⅰ类：与无组织排放源共存的排放同种有害气体的排气筒的排放量，大于标准</w:t>
            </w:r>
            <w:r>
              <w:rPr>
                <w:rFonts w:hint="eastAsia"/>
                <w:color w:val="auto"/>
                <w:sz w:val="21"/>
                <w:szCs w:val="21"/>
                <w:highlight w:val="none"/>
              </w:rPr>
              <w:t>规</w:t>
            </w:r>
            <w:r>
              <w:rPr>
                <w:rFonts w:hint="default"/>
                <w:color w:val="auto"/>
                <w:sz w:val="21"/>
                <w:szCs w:val="21"/>
                <w:highlight w:val="none"/>
              </w:rPr>
              <w:t>定的允许排</w:t>
            </w:r>
            <w:r>
              <w:rPr>
                <w:rFonts w:hint="eastAsia"/>
                <w:color w:val="auto"/>
                <w:sz w:val="21"/>
                <w:szCs w:val="21"/>
                <w:highlight w:val="none"/>
              </w:rPr>
              <w:t>放量的三分之一者。</w:t>
            </w:r>
          </w:p>
          <w:p>
            <w:pPr>
              <w:keepNext w:val="0"/>
              <w:keepLines w:val="0"/>
              <w:suppressLineNumbers w:val="0"/>
              <w:spacing w:before="0" w:beforeAutospacing="0" w:after="0" w:afterAutospacing="0" w:line="240" w:lineRule="auto"/>
              <w:ind w:left="0" w:right="0" w:firstLine="0" w:firstLineChars="0"/>
              <w:rPr>
                <w:rFonts w:hint="eastAsia"/>
                <w:color w:val="auto"/>
                <w:sz w:val="21"/>
                <w:szCs w:val="21"/>
                <w:highlight w:val="none"/>
              </w:rPr>
            </w:pPr>
            <w:r>
              <w:rPr>
                <w:rFonts w:hint="default"/>
                <w:color w:val="auto"/>
                <w:sz w:val="21"/>
                <w:szCs w:val="21"/>
                <w:highlight w:val="none"/>
              </w:rPr>
              <w:t>Ⅱ</w:t>
            </w:r>
            <w:r>
              <w:rPr>
                <w:rFonts w:hint="eastAsia"/>
                <w:color w:val="auto"/>
                <w:sz w:val="21"/>
                <w:szCs w:val="21"/>
                <w:highlight w:val="none"/>
              </w:rPr>
              <w:t>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keepNext w:val="0"/>
              <w:keepLines w:val="0"/>
              <w:suppressLineNumbers w:val="0"/>
              <w:spacing w:before="0" w:beforeAutospacing="0" w:after="0" w:afterAutospacing="0" w:line="240" w:lineRule="auto"/>
              <w:ind w:left="0" w:right="0" w:firstLine="0" w:firstLineChars="0"/>
              <w:rPr>
                <w:rFonts w:hint="eastAsia"/>
                <w:color w:val="auto"/>
                <w:szCs w:val="21"/>
                <w:highlight w:val="none"/>
              </w:rPr>
            </w:pPr>
            <w:r>
              <w:rPr>
                <w:rFonts w:hint="default"/>
                <w:color w:val="auto"/>
                <w:sz w:val="21"/>
                <w:szCs w:val="21"/>
                <w:highlight w:val="none"/>
              </w:rPr>
              <w:t>Ⅲ</w:t>
            </w:r>
            <w:r>
              <w:rPr>
                <w:rFonts w:hint="eastAsia"/>
                <w:color w:val="auto"/>
                <w:sz w:val="21"/>
                <w:szCs w:val="21"/>
                <w:highlight w:val="none"/>
              </w:rPr>
              <w:t>类：无排放同种有害物质的排气筒与无组织排放源共存，且无组织排放的有害物质的容许浓度是按慢性反应指标确定者。</w:t>
            </w:r>
          </w:p>
        </w:tc>
      </w:tr>
    </w:tbl>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（2）计算结果</w:t>
      </w:r>
    </w:p>
    <w:p>
      <w:pPr>
        <w:wordWrap w:val="0"/>
        <w:spacing w:line="440" w:lineRule="exact"/>
        <w:ind w:firstLine="480" w:firstLineChars="200"/>
        <w:rPr>
          <w:rFonts w:hint="default" w:ascii="Times New Roman" w:hAnsi="Times New Roman" w:eastAsia="宋体" w:cs="Times New Roman"/>
          <w:b/>
          <w:bCs/>
          <w:color w:val="auto"/>
          <w:highlight w:val="none"/>
        </w:rPr>
      </w:pPr>
      <w:r>
        <w:rPr>
          <w:rFonts w:hint="eastAsia" w:ascii="Times New Roman" w:hAnsi="Times New Roman" w:eastAsia="宋体" w:cs="Times New Roman"/>
          <w:color w:val="auto"/>
          <w:sz w:val="24"/>
          <w:szCs w:val="24"/>
          <w:highlight w:val="none"/>
        </w:rPr>
        <w:t>本项目在生产过程中的无组织排放废气主要是各生产单元无组织排放的恶臭，其污染因子主要是NH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、H</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S，恶臭类污染物评价标准执行取GB 14554中规定的</w:t>
      </w:r>
      <w:r>
        <w:rPr>
          <w:rFonts w:hint="eastAsia" w:ascii="Times New Roman" w:hAnsi="Times New Roman" w:eastAsia="宋体" w:cs="Times New Roman"/>
          <w:color w:val="auto"/>
          <w:sz w:val="24"/>
          <w:szCs w:val="24"/>
          <w:highlight w:val="none"/>
          <w:lang w:eastAsia="zh-CN"/>
        </w:rPr>
        <w:t>二</w:t>
      </w:r>
      <w:r>
        <w:rPr>
          <w:rFonts w:hint="eastAsia" w:ascii="Times New Roman" w:hAnsi="Times New Roman" w:eastAsia="宋体" w:cs="Times New Roman"/>
          <w:color w:val="auto"/>
          <w:sz w:val="24"/>
          <w:szCs w:val="24"/>
          <w:highlight w:val="none"/>
        </w:rPr>
        <w:t>级标准值。根据上述公式计算，可得出无组织排放恶臭的卫生防护距离，计算结果见表</w:t>
      </w:r>
      <w:r>
        <w:rPr>
          <w:rFonts w:ascii="Times New Roman" w:hAnsi="Times New Roman" w:eastAsia="宋体" w:cs="Times New Roman"/>
          <w:color w:val="auto"/>
          <w:sz w:val="24"/>
          <w:szCs w:val="24"/>
          <w:highlight w:val="none"/>
        </w:rPr>
        <w:t>5.2-</w:t>
      </w:r>
      <w:r>
        <w:rPr>
          <w:rFonts w:hint="eastAsia" w:ascii="Times New Roman" w:hAnsi="Times New Roman" w:eastAsia="宋体" w:cs="Times New Roman"/>
          <w:color w:val="auto"/>
          <w:sz w:val="24"/>
          <w:szCs w:val="24"/>
          <w:highlight w:val="none"/>
          <w:lang w:val="en-US" w:eastAsia="zh-CN"/>
        </w:rPr>
        <w:t>12</w:t>
      </w:r>
      <w:r>
        <w:rPr>
          <w:rFonts w:hint="eastAsia" w:ascii="Times New Roman" w:hAnsi="Times New Roman" w:eastAsia="宋体" w:cs="Times New Roman"/>
          <w:color w:val="auto"/>
          <w:sz w:val="24"/>
          <w:szCs w:val="24"/>
          <w:highlight w:val="none"/>
        </w:rPr>
        <w:t>。</w:t>
      </w:r>
    </w:p>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color w:val="auto"/>
          <w:kern w:val="2"/>
          <w:sz w:val="21"/>
          <w:szCs w:val="24"/>
          <w:highlight w:val="none"/>
          <w:lang w:val="en-US" w:eastAsia="zh-CN" w:bidi="ar-SA"/>
        </w:rPr>
      </w:pPr>
      <w:r>
        <w:rPr>
          <w:rFonts w:hint="default" w:ascii="Times New Roman" w:hAnsi="Times New Roman" w:eastAsia="宋体" w:cs="Times New Roman"/>
          <w:b/>
          <w:bCs/>
          <w:color w:val="auto"/>
          <w:highlight w:val="none"/>
          <w:lang w:val="en-US" w:eastAsia="zh-CN"/>
        </w:rPr>
        <w:t xml:space="preserve">  </w:t>
      </w:r>
      <w:r>
        <w:rPr>
          <w:rFonts w:hint="eastAsia" w:ascii="Times New Roman" w:hAnsi="Times New Roman" w:eastAsia="宋体" w:cs="Times New Roman"/>
          <w:b/>
          <w:color w:val="auto"/>
          <w:kern w:val="2"/>
          <w:sz w:val="21"/>
          <w:szCs w:val="24"/>
          <w:highlight w:val="none"/>
          <w:lang w:val="en-US" w:eastAsia="zh-CN" w:bidi="ar-SA"/>
        </w:rPr>
        <w:t>项目卫生防护距离计算结果</w:t>
      </w:r>
    </w:p>
    <w:tbl>
      <w:tblPr>
        <w:tblStyle w:val="91"/>
        <w:tblW w:w="4997"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Layout w:type="autofit"/>
        <w:tblCellMar>
          <w:top w:w="0" w:type="dxa"/>
          <w:left w:w="0" w:type="dxa"/>
          <w:bottom w:w="0" w:type="dxa"/>
          <w:right w:w="0" w:type="dxa"/>
        </w:tblCellMar>
      </w:tblPr>
      <w:tblGrid>
        <w:gridCol w:w="733"/>
        <w:gridCol w:w="579"/>
        <w:gridCol w:w="456"/>
        <w:gridCol w:w="457"/>
        <w:gridCol w:w="492"/>
        <w:gridCol w:w="495"/>
        <w:gridCol w:w="673"/>
        <w:gridCol w:w="1132"/>
        <w:gridCol w:w="1134"/>
        <w:gridCol w:w="728"/>
        <w:gridCol w:w="746"/>
        <w:gridCol w:w="676"/>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65" w:hRule="atLeast"/>
          <w:jc w:val="center"/>
        </w:trPr>
        <w:tc>
          <w:tcPr>
            <w:tcW w:w="442"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污染源</w:t>
            </w:r>
          </w:p>
        </w:tc>
        <w:tc>
          <w:tcPr>
            <w:tcW w:w="349"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污染物</w:t>
            </w:r>
          </w:p>
        </w:tc>
        <w:tc>
          <w:tcPr>
            <w:tcW w:w="1144" w:type="pct"/>
            <w:gridSpan w:val="4"/>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计算系数</w:t>
            </w:r>
          </w:p>
        </w:tc>
        <w:tc>
          <w:tcPr>
            <w:tcW w:w="405"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五年平均风速m/s</w:t>
            </w:r>
          </w:p>
        </w:tc>
        <w:tc>
          <w:tcPr>
            <w:tcW w:w="681"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排放速率（kg/h）</w:t>
            </w:r>
          </w:p>
        </w:tc>
        <w:tc>
          <w:tcPr>
            <w:tcW w:w="681"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标准浓度Cm（mg/Nm</w:t>
            </w:r>
            <w:r>
              <w:rPr>
                <w:rFonts w:hint="default" w:ascii="Times New Roman" w:hAnsi="Times New Roman" w:eastAsia="宋体" w:cs="Times New Roman"/>
                <w:color w:val="auto"/>
                <w:kern w:val="0"/>
                <w:sz w:val="21"/>
                <w:szCs w:val="24"/>
                <w:highlight w:val="none"/>
                <w:vertAlign w:val="superscript"/>
                <w:lang w:val="en-US" w:eastAsia="zh-CN" w:bidi="ar-SA"/>
              </w:rPr>
              <w:t>3</w:t>
            </w:r>
            <w:r>
              <w:rPr>
                <w:rFonts w:hint="default" w:ascii="Times New Roman" w:hAnsi="Times New Roman" w:eastAsia="宋体" w:cs="Times New Roman"/>
                <w:color w:val="auto"/>
                <w:kern w:val="0"/>
                <w:sz w:val="21"/>
                <w:szCs w:val="24"/>
                <w:highlight w:val="none"/>
                <w:lang w:val="en-US" w:eastAsia="zh-CN" w:bidi="ar-SA"/>
              </w:rPr>
              <w:t>）</w:t>
            </w:r>
          </w:p>
        </w:tc>
        <w:tc>
          <w:tcPr>
            <w:tcW w:w="438"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生产单元面积(m</w:t>
            </w:r>
            <w:r>
              <w:rPr>
                <w:rFonts w:hint="default" w:ascii="Times New Roman" w:hAnsi="Times New Roman" w:eastAsia="宋体" w:cs="Times New Roman"/>
                <w:color w:val="auto"/>
                <w:kern w:val="0"/>
                <w:sz w:val="21"/>
                <w:szCs w:val="24"/>
                <w:highlight w:val="none"/>
                <w:vertAlign w:val="superscript"/>
                <w:lang w:val="en-US" w:eastAsia="zh-CN" w:bidi="ar-SA"/>
              </w:rPr>
              <w:t>2</w:t>
            </w:r>
            <w:r>
              <w:rPr>
                <w:rFonts w:hint="default" w:ascii="Times New Roman" w:hAnsi="Times New Roman" w:eastAsia="宋体" w:cs="Times New Roman"/>
                <w:color w:val="auto"/>
                <w:kern w:val="0"/>
                <w:sz w:val="21"/>
                <w:szCs w:val="24"/>
                <w:highlight w:val="none"/>
                <w:lang w:val="en-US" w:eastAsia="zh-CN" w:bidi="ar-SA"/>
              </w:rPr>
              <w:t>）</w:t>
            </w:r>
          </w:p>
        </w:tc>
        <w:tc>
          <w:tcPr>
            <w:tcW w:w="449"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卫生防护距离L（m）</w:t>
            </w:r>
          </w:p>
        </w:tc>
        <w:tc>
          <w:tcPr>
            <w:tcW w:w="407"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2"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卫生防护距离(m）</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634" w:hRule="atLeast"/>
          <w:jc w:val="center"/>
        </w:trPr>
        <w:tc>
          <w:tcPr>
            <w:tcW w:w="442"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349"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A</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B</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C</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D</w:t>
            </w:r>
          </w:p>
        </w:tc>
        <w:tc>
          <w:tcPr>
            <w:tcW w:w="405"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681"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681"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43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449"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407"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PrEx>
        <w:trPr>
          <w:trHeight w:val="341" w:hRule="atLeast"/>
          <w:jc w:val="center"/>
        </w:trPr>
        <w:tc>
          <w:tcPr>
            <w:tcW w:w="733"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b w:val="0"/>
                <w:color w:val="auto"/>
                <w:sz w:val="21"/>
                <w:szCs w:val="21"/>
                <w:highlight w:val="none"/>
                <w:lang w:eastAsia="zh-CN"/>
              </w:rPr>
              <w:t>牛舍恶臭</w:t>
            </w:r>
          </w:p>
        </w:tc>
        <w:tc>
          <w:tcPr>
            <w:tcW w:w="3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NH</w:t>
            </w:r>
            <w:r>
              <w:rPr>
                <w:rFonts w:hint="default" w:ascii="Times New Roman" w:hAnsi="Times New Roman" w:eastAsia="宋体" w:cs="Times New Roman"/>
                <w:color w:val="auto"/>
                <w:kern w:val="0"/>
                <w:sz w:val="21"/>
                <w:szCs w:val="24"/>
                <w:highlight w:val="none"/>
                <w:vertAlign w:val="subscript"/>
                <w:lang w:val="en-US" w:eastAsia="zh-CN" w:bidi="ar-SA"/>
              </w:rPr>
              <w:t>3</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both"/>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400</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0.01</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1.85</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0.78</w:t>
            </w:r>
          </w:p>
        </w:tc>
        <w:tc>
          <w:tcPr>
            <w:tcW w:w="405"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0.9</w:t>
            </w:r>
          </w:p>
        </w:tc>
        <w:tc>
          <w:tcPr>
            <w:tcW w:w="1132"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snapToGrid w:val="0"/>
                <w:color w:val="auto"/>
                <w:kern w:val="0"/>
                <w:szCs w:val="21"/>
                <w:highlight w:val="none"/>
                <w:lang w:val="en-US" w:eastAsia="zh-CN"/>
              </w:rPr>
              <w:t>0.0036</w:t>
            </w:r>
          </w:p>
        </w:tc>
        <w:tc>
          <w:tcPr>
            <w:tcW w:w="1134" w:type="dxa"/>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1.5</w:t>
            </w:r>
          </w:p>
        </w:tc>
        <w:tc>
          <w:tcPr>
            <w:tcW w:w="728" w:type="dxa"/>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bCs/>
                <w:snapToGrid w:val="0"/>
                <w:color w:val="auto"/>
                <w:kern w:val="0"/>
                <w:szCs w:val="21"/>
                <w:highlight w:val="none"/>
                <w:lang w:val="en-US" w:eastAsia="zh-CN"/>
              </w:rPr>
              <w:t>109815</w:t>
            </w:r>
          </w:p>
        </w:tc>
        <w:tc>
          <w:tcPr>
            <w:tcW w:w="4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0.003</w:t>
            </w:r>
          </w:p>
        </w:tc>
        <w:tc>
          <w:tcPr>
            <w:tcW w:w="40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50</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PrEx>
        <w:trPr>
          <w:trHeight w:val="341" w:hRule="atLeast"/>
          <w:jc w:val="center"/>
        </w:trPr>
        <w:tc>
          <w:tcPr>
            <w:tcW w:w="442"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3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H</w:t>
            </w:r>
            <w:r>
              <w:rPr>
                <w:rFonts w:hint="default" w:ascii="Times New Roman" w:hAnsi="Times New Roman" w:eastAsia="宋体" w:cs="Times New Roman"/>
                <w:color w:val="auto"/>
                <w:kern w:val="0"/>
                <w:sz w:val="21"/>
                <w:szCs w:val="24"/>
                <w:highlight w:val="none"/>
                <w:vertAlign w:val="subscript"/>
                <w:lang w:val="en-US" w:eastAsia="zh-CN" w:bidi="ar-SA"/>
              </w:rPr>
              <w:t>2</w:t>
            </w:r>
            <w:r>
              <w:rPr>
                <w:rFonts w:hint="default" w:ascii="Times New Roman" w:hAnsi="Times New Roman" w:eastAsia="宋体" w:cs="Times New Roman"/>
                <w:color w:val="auto"/>
                <w:kern w:val="0"/>
                <w:sz w:val="21"/>
                <w:szCs w:val="24"/>
                <w:highlight w:val="none"/>
                <w:lang w:val="en-US" w:eastAsia="zh-CN" w:bidi="ar-SA"/>
              </w:rPr>
              <w:t>S</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400</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0.01</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1.85</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0.78</w:t>
            </w:r>
          </w:p>
        </w:tc>
        <w:tc>
          <w:tcPr>
            <w:tcW w:w="405"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132"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cs="Times New Roman"/>
                <w:snapToGrid w:val="0"/>
                <w:color w:val="auto"/>
                <w:kern w:val="0"/>
                <w:szCs w:val="21"/>
                <w:highlight w:val="none"/>
                <w:lang w:val="en-US" w:eastAsia="zh-CN"/>
              </w:rPr>
              <w:t>0.0014</w:t>
            </w:r>
          </w:p>
        </w:tc>
        <w:tc>
          <w:tcPr>
            <w:tcW w:w="1134" w:type="dxa"/>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0.0</w:t>
            </w:r>
            <w:r>
              <w:rPr>
                <w:rFonts w:hint="eastAsia" w:ascii="Times New Roman" w:hAnsi="Times New Roman" w:eastAsia="宋体" w:cs="Times New Roman"/>
                <w:color w:val="auto"/>
                <w:kern w:val="0"/>
                <w:sz w:val="21"/>
                <w:szCs w:val="24"/>
                <w:highlight w:val="none"/>
                <w:lang w:val="en-US" w:eastAsia="zh-CN" w:bidi="ar-SA"/>
              </w:rPr>
              <w:t>6</w:t>
            </w:r>
          </w:p>
        </w:tc>
        <w:tc>
          <w:tcPr>
            <w:tcW w:w="43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4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0.052</w:t>
            </w:r>
          </w:p>
        </w:tc>
        <w:tc>
          <w:tcPr>
            <w:tcW w:w="40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50</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733"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b w:val="0"/>
                <w:color w:val="auto"/>
                <w:sz w:val="21"/>
                <w:szCs w:val="21"/>
                <w:highlight w:val="none"/>
                <w:lang w:eastAsia="zh-CN"/>
              </w:rPr>
              <w:t>污水处理站恶臭</w:t>
            </w:r>
          </w:p>
        </w:tc>
        <w:tc>
          <w:tcPr>
            <w:tcW w:w="3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NH</w:t>
            </w:r>
            <w:r>
              <w:rPr>
                <w:rFonts w:hint="default" w:ascii="Times New Roman" w:hAnsi="Times New Roman" w:eastAsia="宋体" w:cs="Times New Roman"/>
                <w:color w:val="auto"/>
                <w:kern w:val="0"/>
                <w:sz w:val="21"/>
                <w:szCs w:val="24"/>
                <w:highlight w:val="none"/>
                <w:vertAlign w:val="subscript"/>
                <w:lang w:val="en-US" w:eastAsia="zh-CN" w:bidi="ar-SA"/>
              </w:rPr>
              <w:t>3</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400</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0.01</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1.85</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0.78</w:t>
            </w:r>
          </w:p>
        </w:tc>
        <w:tc>
          <w:tcPr>
            <w:tcW w:w="405"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132"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snapToGrid w:val="0"/>
                <w:color w:val="auto"/>
                <w:kern w:val="0"/>
                <w:szCs w:val="21"/>
                <w:highlight w:val="none"/>
                <w:lang w:val="en-US" w:eastAsia="zh-CN"/>
              </w:rPr>
              <w:t>0.00003</w:t>
            </w:r>
          </w:p>
        </w:tc>
        <w:tc>
          <w:tcPr>
            <w:tcW w:w="1134" w:type="dxa"/>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1.5</w:t>
            </w:r>
          </w:p>
        </w:tc>
        <w:tc>
          <w:tcPr>
            <w:tcW w:w="728" w:type="dxa"/>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cs="Times New Roman"/>
                <w:bCs/>
                <w:snapToGrid w:val="0"/>
                <w:color w:val="auto"/>
                <w:kern w:val="0"/>
                <w:szCs w:val="21"/>
                <w:highlight w:val="none"/>
                <w:lang w:val="en-US" w:eastAsia="zh-CN"/>
              </w:rPr>
              <w:t>650</w:t>
            </w:r>
          </w:p>
        </w:tc>
        <w:tc>
          <w:tcPr>
            <w:tcW w:w="4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0.001</w:t>
            </w:r>
          </w:p>
        </w:tc>
        <w:tc>
          <w:tcPr>
            <w:tcW w:w="40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50</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PrEx>
        <w:trPr>
          <w:trHeight w:val="341" w:hRule="atLeast"/>
          <w:jc w:val="center"/>
        </w:trPr>
        <w:tc>
          <w:tcPr>
            <w:tcW w:w="442"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3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H</w:t>
            </w:r>
            <w:r>
              <w:rPr>
                <w:rFonts w:hint="default" w:ascii="Times New Roman" w:hAnsi="Times New Roman" w:eastAsia="宋体" w:cs="Times New Roman"/>
                <w:color w:val="auto"/>
                <w:kern w:val="0"/>
                <w:sz w:val="21"/>
                <w:szCs w:val="24"/>
                <w:highlight w:val="none"/>
                <w:vertAlign w:val="subscript"/>
                <w:lang w:val="en-US" w:eastAsia="zh-CN" w:bidi="ar-SA"/>
              </w:rPr>
              <w:t>2</w:t>
            </w:r>
            <w:r>
              <w:rPr>
                <w:rFonts w:hint="default" w:ascii="Times New Roman" w:hAnsi="Times New Roman" w:eastAsia="宋体" w:cs="Times New Roman"/>
                <w:color w:val="auto"/>
                <w:kern w:val="0"/>
                <w:sz w:val="21"/>
                <w:szCs w:val="24"/>
                <w:highlight w:val="none"/>
                <w:lang w:val="en-US" w:eastAsia="zh-CN" w:bidi="ar-SA"/>
              </w:rPr>
              <w:t>S</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400</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0.01</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1.85</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0.78</w:t>
            </w:r>
          </w:p>
        </w:tc>
        <w:tc>
          <w:tcPr>
            <w:tcW w:w="405"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132"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cs="Times New Roman"/>
                <w:snapToGrid w:val="0"/>
                <w:color w:val="auto"/>
                <w:kern w:val="0"/>
                <w:szCs w:val="21"/>
                <w:highlight w:val="none"/>
                <w:lang w:val="en-US" w:eastAsia="zh-CN"/>
              </w:rPr>
              <w:t>0.000001</w:t>
            </w:r>
          </w:p>
        </w:tc>
        <w:tc>
          <w:tcPr>
            <w:tcW w:w="1134" w:type="dxa"/>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0.0</w:t>
            </w:r>
            <w:r>
              <w:rPr>
                <w:rFonts w:hint="eastAsia" w:ascii="Times New Roman" w:hAnsi="Times New Roman" w:eastAsia="宋体" w:cs="Times New Roman"/>
                <w:color w:val="auto"/>
                <w:kern w:val="0"/>
                <w:sz w:val="21"/>
                <w:szCs w:val="24"/>
                <w:highlight w:val="none"/>
                <w:lang w:val="en-US" w:eastAsia="zh-CN" w:bidi="ar-SA"/>
              </w:rPr>
              <w:t>6</w:t>
            </w:r>
          </w:p>
        </w:tc>
        <w:tc>
          <w:tcPr>
            <w:tcW w:w="43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4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0.0115</w:t>
            </w:r>
          </w:p>
        </w:tc>
        <w:tc>
          <w:tcPr>
            <w:tcW w:w="40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50</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PrEx>
        <w:trPr>
          <w:trHeight w:val="341" w:hRule="atLeast"/>
          <w:jc w:val="center"/>
        </w:trPr>
        <w:tc>
          <w:tcPr>
            <w:tcW w:w="733"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b w:val="0"/>
                <w:color w:val="auto"/>
                <w:sz w:val="21"/>
                <w:szCs w:val="21"/>
                <w:highlight w:val="none"/>
                <w:lang w:eastAsia="zh-CN"/>
              </w:rPr>
              <w:t>干粪棚恶臭</w:t>
            </w:r>
          </w:p>
        </w:tc>
        <w:tc>
          <w:tcPr>
            <w:tcW w:w="3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NH</w:t>
            </w:r>
            <w:r>
              <w:rPr>
                <w:rFonts w:hint="default" w:ascii="Times New Roman" w:hAnsi="Times New Roman" w:eastAsia="宋体" w:cs="Times New Roman"/>
                <w:color w:val="auto"/>
                <w:kern w:val="0"/>
                <w:sz w:val="21"/>
                <w:szCs w:val="24"/>
                <w:highlight w:val="none"/>
                <w:vertAlign w:val="subscript"/>
                <w:lang w:val="en-US" w:eastAsia="zh-CN" w:bidi="ar-SA"/>
              </w:rPr>
              <w:t>3</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400</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0.01</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1.85</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0.78</w:t>
            </w:r>
          </w:p>
        </w:tc>
        <w:tc>
          <w:tcPr>
            <w:tcW w:w="405"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132"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cs="Times New Roman"/>
                <w:snapToGrid w:val="0"/>
                <w:color w:val="auto"/>
                <w:kern w:val="0"/>
                <w:szCs w:val="21"/>
                <w:highlight w:val="none"/>
                <w:lang w:val="en-US" w:eastAsia="zh-CN"/>
              </w:rPr>
              <w:t>0.00175</w:t>
            </w:r>
          </w:p>
        </w:tc>
        <w:tc>
          <w:tcPr>
            <w:tcW w:w="1134" w:type="dxa"/>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1.5</w:t>
            </w:r>
          </w:p>
        </w:tc>
        <w:tc>
          <w:tcPr>
            <w:tcW w:w="728" w:type="dxa"/>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cs="Times New Roman"/>
                <w:bCs/>
                <w:snapToGrid w:val="0"/>
                <w:color w:val="auto"/>
                <w:kern w:val="0"/>
                <w:szCs w:val="21"/>
                <w:highlight w:val="none"/>
                <w:lang w:val="en-US" w:eastAsia="zh-CN"/>
              </w:rPr>
              <w:t>100</w:t>
            </w:r>
          </w:p>
        </w:tc>
        <w:tc>
          <w:tcPr>
            <w:tcW w:w="4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0.1</w:t>
            </w:r>
          </w:p>
        </w:tc>
        <w:tc>
          <w:tcPr>
            <w:tcW w:w="40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50</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70" w:hRule="atLeast"/>
          <w:jc w:val="center"/>
        </w:trPr>
        <w:tc>
          <w:tcPr>
            <w:tcW w:w="442"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3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H</w:t>
            </w:r>
            <w:r>
              <w:rPr>
                <w:rFonts w:hint="default" w:ascii="Times New Roman" w:hAnsi="Times New Roman" w:eastAsia="宋体" w:cs="Times New Roman"/>
                <w:color w:val="auto"/>
                <w:kern w:val="0"/>
                <w:sz w:val="21"/>
                <w:szCs w:val="24"/>
                <w:highlight w:val="none"/>
                <w:vertAlign w:val="subscript"/>
                <w:lang w:val="en-US" w:eastAsia="zh-CN" w:bidi="ar-SA"/>
              </w:rPr>
              <w:t>2</w:t>
            </w:r>
            <w:r>
              <w:rPr>
                <w:rFonts w:hint="default" w:ascii="Times New Roman" w:hAnsi="Times New Roman" w:eastAsia="宋体" w:cs="Times New Roman"/>
                <w:color w:val="auto"/>
                <w:kern w:val="0"/>
                <w:sz w:val="21"/>
                <w:szCs w:val="24"/>
                <w:highlight w:val="none"/>
                <w:lang w:val="en-US" w:eastAsia="zh-CN" w:bidi="ar-SA"/>
              </w:rPr>
              <w:t>S</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400</w:t>
            </w:r>
          </w:p>
        </w:tc>
        <w:tc>
          <w:tcPr>
            <w:tcW w:w="275"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0.01</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1.85</w:t>
            </w:r>
          </w:p>
        </w:tc>
        <w:tc>
          <w:tcPr>
            <w:tcW w:w="296"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0.78</w:t>
            </w:r>
          </w:p>
        </w:tc>
        <w:tc>
          <w:tcPr>
            <w:tcW w:w="405"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132"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cs="Times New Roman"/>
                <w:snapToGrid w:val="0"/>
                <w:color w:val="auto"/>
                <w:kern w:val="0"/>
                <w:szCs w:val="21"/>
                <w:highlight w:val="none"/>
                <w:lang w:val="en-US" w:eastAsia="zh-CN"/>
              </w:rPr>
              <w:t>0.0001</w:t>
            </w:r>
          </w:p>
        </w:tc>
        <w:tc>
          <w:tcPr>
            <w:tcW w:w="1134" w:type="dxa"/>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0.0</w:t>
            </w:r>
            <w:r>
              <w:rPr>
                <w:rFonts w:hint="eastAsia" w:ascii="Times New Roman" w:hAnsi="Times New Roman" w:eastAsia="宋体" w:cs="Times New Roman"/>
                <w:color w:val="auto"/>
                <w:kern w:val="0"/>
                <w:sz w:val="21"/>
                <w:szCs w:val="24"/>
                <w:highlight w:val="none"/>
                <w:lang w:val="en-US" w:eastAsia="zh-CN" w:bidi="ar-SA"/>
              </w:rPr>
              <w:t>6</w:t>
            </w:r>
          </w:p>
        </w:tc>
        <w:tc>
          <w:tcPr>
            <w:tcW w:w="43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449"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0.157</w:t>
            </w:r>
          </w:p>
        </w:tc>
        <w:tc>
          <w:tcPr>
            <w:tcW w:w="40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50</w:t>
            </w:r>
          </w:p>
        </w:tc>
      </w:tr>
    </w:tbl>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rPr>
        <w:t>3）与本项目卫生防护距离相关的规定</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大气有害物质无组织排放卫生防护距离推导技术导则》(GB/T39499-2020)中“6.1.1卫生防护距离初值小于50m时，级差为50m；6.2多种特征大气有害物质终值的确定：当企业某生产单元的无组织排放存在多种特征大气有害物质时，如果分别推导出的卫生防护距离初值在同一级别时，则该企业的卫生防护距离终值应提高一级”的规定，本项目的卫生防护距离应为100m。</w:t>
      </w:r>
    </w:p>
    <w:p>
      <w:pPr>
        <w:spacing w:line="360" w:lineRule="auto"/>
        <w:ind w:firstLine="480" w:firstLineChars="200"/>
        <w:rPr>
          <w:rFonts w:hint="eastAsia" w:ascii="Times New Roman" w:hAnsi="Times New Roman" w:eastAsia="宋体" w:cs="Times New Roman"/>
          <w:b/>
          <w:bCs/>
          <w:color w:val="auto"/>
          <w:sz w:val="24"/>
          <w:szCs w:val="24"/>
          <w:highlight w:val="none"/>
        </w:rPr>
      </w:pPr>
      <w:r>
        <w:rPr>
          <w:rFonts w:hint="eastAsia" w:ascii="Times New Roman" w:hAnsi="Times New Roman" w:eastAsia="宋体" w:cs="Times New Roman"/>
          <w:color w:val="auto"/>
          <w:sz w:val="24"/>
          <w:szCs w:val="24"/>
          <w:highlight w:val="none"/>
        </w:rPr>
        <w:t>同时根据《畜禽养殖业污染防治技术规范》（HJ/T81-2001）、《村镇规划卫生规范》（GB18055-2012）中关于养殖场卫生防护距离的规定：复杂地形条件下的住宅区与产生有害因素场所之间卫生防护距离，应根据环境影响报告，由建设单位主管部门与项目所在省、市、自治区的卫生、环境卫生部门共同确定。</w:t>
      </w:r>
    </w:p>
    <w:p>
      <w:pPr>
        <w:spacing w:line="360" w:lineRule="auto"/>
        <w:ind w:firstLine="482"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b/>
          <w:bCs/>
          <w:color w:val="auto"/>
          <w:sz w:val="24"/>
          <w:szCs w:val="24"/>
          <w:highlight w:val="none"/>
        </w:rPr>
        <w:t>根据建设单位提供资料，本项目所在区域</w:t>
      </w:r>
      <w:r>
        <w:rPr>
          <w:rFonts w:hint="eastAsia" w:ascii="Times New Roman" w:hAnsi="Times New Roman" w:eastAsia="宋体" w:cs="Times New Roman"/>
          <w:b/>
          <w:bCs/>
          <w:color w:val="auto"/>
          <w:sz w:val="24"/>
          <w:szCs w:val="24"/>
          <w:highlight w:val="none"/>
          <w:lang w:eastAsia="zh-CN"/>
        </w:rPr>
        <w:t>位于山顶，四周均为山坡，养殖场</w:t>
      </w:r>
      <w:r>
        <w:rPr>
          <w:rFonts w:hint="eastAsia" w:ascii="Times New Roman" w:hAnsi="Times New Roman" w:eastAsia="宋体" w:cs="Times New Roman"/>
          <w:b/>
          <w:bCs/>
          <w:color w:val="auto"/>
          <w:sz w:val="24"/>
          <w:szCs w:val="24"/>
          <w:highlight w:val="none"/>
        </w:rPr>
        <w:t>厂区最高高程为</w:t>
      </w:r>
      <w:r>
        <w:rPr>
          <w:rFonts w:hint="eastAsia" w:ascii="Times New Roman" w:hAnsi="Times New Roman" w:eastAsia="宋体" w:cs="Times New Roman"/>
          <w:b/>
          <w:bCs/>
          <w:color w:val="auto"/>
          <w:sz w:val="24"/>
          <w:szCs w:val="24"/>
          <w:highlight w:val="none"/>
          <w:lang w:val="en-US" w:eastAsia="zh-CN"/>
        </w:rPr>
        <w:t>555</w:t>
      </w:r>
      <w:r>
        <w:rPr>
          <w:rFonts w:hint="eastAsia" w:ascii="Times New Roman" w:hAnsi="Times New Roman" w:eastAsia="宋体" w:cs="Times New Roman"/>
          <w:b/>
          <w:bCs/>
          <w:color w:val="auto"/>
          <w:sz w:val="24"/>
          <w:szCs w:val="24"/>
          <w:highlight w:val="none"/>
        </w:rPr>
        <w:t>m，最低高程</w:t>
      </w:r>
      <w:r>
        <w:rPr>
          <w:rFonts w:hint="eastAsia" w:ascii="Times New Roman" w:hAnsi="Times New Roman" w:eastAsia="宋体" w:cs="Times New Roman"/>
          <w:b/>
          <w:bCs/>
          <w:color w:val="auto"/>
          <w:sz w:val="24"/>
          <w:szCs w:val="24"/>
          <w:highlight w:val="none"/>
          <w:lang w:val="en-US" w:eastAsia="zh-CN"/>
        </w:rPr>
        <w:t>492</w:t>
      </w:r>
      <w:r>
        <w:rPr>
          <w:rFonts w:hint="eastAsia" w:ascii="Times New Roman" w:hAnsi="Times New Roman" w:eastAsia="宋体" w:cs="Times New Roman"/>
          <w:b/>
          <w:bCs/>
          <w:color w:val="auto"/>
          <w:sz w:val="24"/>
          <w:szCs w:val="24"/>
          <w:highlight w:val="none"/>
        </w:rPr>
        <w:t>m，</w:t>
      </w:r>
      <w:r>
        <w:rPr>
          <w:rFonts w:hint="eastAsia" w:ascii="Times New Roman" w:hAnsi="Times New Roman" w:eastAsia="宋体" w:cs="Times New Roman"/>
          <w:b/>
          <w:bCs/>
          <w:color w:val="auto"/>
          <w:sz w:val="24"/>
          <w:szCs w:val="24"/>
          <w:highlight w:val="none"/>
          <w:lang w:eastAsia="zh-CN"/>
        </w:rPr>
        <w:t>高差较大，且本项目位于巴中市巴州区鼎山镇，为典型山区地形，故本项目属于</w:t>
      </w:r>
      <w:r>
        <w:rPr>
          <w:rFonts w:hint="eastAsia" w:ascii="Times New Roman" w:hAnsi="Times New Roman" w:eastAsia="宋体" w:cs="Times New Roman"/>
          <w:b/>
          <w:bCs/>
          <w:color w:val="auto"/>
          <w:sz w:val="24"/>
          <w:szCs w:val="24"/>
          <w:highlight w:val="none"/>
        </w:rPr>
        <w:t>复杂地形。因此结合当地地形、气象条件及本次计算结果，最终确定本项目的卫生防护距离为200m（以</w:t>
      </w:r>
      <w:r>
        <w:rPr>
          <w:rFonts w:hint="eastAsia" w:ascii="Times New Roman" w:hAnsi="Times New Roman" w:eastAsia="宋体" w:cs="Times New Roman"/>
          <w:b/>
          <w:bCs/>
          <w:color w:val="auto"/>
          <w:sz w:val="24"/>
          <w:szCs w:val="24"/>
          <w:highlight w:val="none"/>
          <w:lang w:eastAsia="zh-CN"/>
        </w:rPr>
        <w:t>牛舍</w:t>
      </w:r>
      <w:r>
        <w:rPr>
          <w:rFonts w:hint="eastAsia" w:ascii="Times New Roman" w:hAnsi="Times New Roman" w:eastAsia="宋体" w:cs="Times New Roman"/>
          <w:b/>
          <w:bCs/>
          <w:color w:val="auto"/>
          <w:sz w:val="24"/>
          <w:szCs w:val="24"/>
          <w:highlight w:val="none"/>
        </w:rPr>
        <w:t>、污水处理站、</w:t>
      </w:r>
      <w:r>
        <w:rPr>
          <w:rFonts w:hint="eastAsia" w:ascii="Times New Roman" w:hAnsi="Times New Roman" w:eastAsia="宋体" w:cs="Times New Roman"/>
          <w:b/>
          <w:bCs/>
          <w:color w:val="auto"/>
          <w:sz w:val="24"/>
          <w:szCs w:val="24"/>
          <w:highlight w:val="none"/>
          <w:lang w:eastAsia="zh-CN"/>
        </w:rPr>
        <w:t>干粪棚</w:t>
      </w:r>
      <w:r>
        <w:rPr>
          <w:rFonts w:hint="eastAsia" w:ascii="Times New Roman" w:hAnsi="Times New Roman" w:eastAsia="宋体" w:cs="Times New Roman"/>
          <w:b/>
          <w:bCs/>
          <w:color w:val="auto"/>
          <w:sz w:val="24"/>
          <w:szCs w:val="24"/>
          <w:highlight w:val="none"/>
        </w:rPr>
        <w:t>边界起外扩200m包络线）。</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根据公式计算结果，本次评价确定本项目最终设置的卫生防护距离为</w:t>
      </w:r>
      <w:r>
        <w:rPr>
          <w:rFonts w:ascii="Times New Roman" w:hAnsi="Times New Roman" w:eastAsia="宋体" w:cs="Times New Roman"/>
          <w:color w:val="auto"/>
          <w:sz w:val="24"/>
          <w:szCs w:val="24"/>
          <w:highlight w:val="none"/>
        </w:rPr>
        <w:t>200m</w:t>
      </w:r>
      <w:r>
        <w:rPr>
          <w:rFonts w:hint="eastAsia" w:ascii="Times New Roman" w:hAnsi="Times New Roman" w:eastAsia="宋体" w:cs="Times New Roman"/>
          <w:color w:val="auto"/>
          <w:sz w:val="24"/>
          <w:szCs w:val="24"/>
          <w:highlight w:val="none"/>
        </w:rPr>
        <w:t>，该距离以牛舍、污水处理站、干粪棚边界为起点向外计算的包络线范围。同时本项目以牛舍、污水处理站、干粪棚边界有绿化带及围墙进行隔离，因此本项目以牛舍、污水处理站、干粪棚边界为起点，在上风向、下风向以及侧风向均设置</w:t>
      </w:r>
      <w:r>
        <w:rPr>
          <w:rFonts w:ascii="Times New Roman" w:hAnsi="Times New Roman" w:eastAsia="宋体" w:cs="Times New Roman"/>
          <w:color w:val="auto"/>
          <w:sz w:val="24"/>
          <w:szCs w:val="24"/>
          <w:highlight w:val="none"/>
        </w:rPr>
        <w:t>200m</w:t>
      </w:r>
      <w:r>
        <w:rPr>
          <w:rFonts w:hint="eastAsia" w:ascii="Times New Roman" w:hAnsi="Times New Roman" w:eastAsia="宋体" w:cs="Times New Roman"/>
          <w:color w:val="auto"/>
          <w:sz w:val="24"/>
          <w:szCs w:val="24"/>
          <w:highlight w:val="none"/>
        </w:rPr>
        <w:t>的卫生防护距离。</w:t>
      </w:r>
    </w:p>
    <w:p>
      <w:pPr>
        <w:spacing w:line="360" w:lineRule="auto"/>
        <w:ind w:firstLine="482" w:firstLineChars="200"/>
        <w:rPr>
          <w:color w:val="auto"/>
          <w:highlight w:val="none"/>
        </w:rPr>
      </w:pPr>
      <w:r>
        <w:rPr>
          <w:rFonts w:hint="eastAsia" w:ascii="Times New Roman" w:hAnsi="Times New Roman" w:eastAsia="宋体" w:cs="Times New Roman"/>
          <w:b/>
          <w:bCs/>
          <w:color w:val="auto"/>
          <w:sz w:val="24"/>
          <w:szCs w:val="24"/>
          <w:highlight w:val="none"/>
        </w:rPr>
        <w:t>卫生防护距离的执行：该距离内不得建设为“城市和城镇居民区，包括文教科研区、</w:t>
      </w:r>
      <w:r>
        <w:rPr>
          <w:rFonts w:ascii="Times New Roman" w:hAnsi="Times New Roman" w:eastAsia="宋体" w:cs="Times New Roman"/>
          <w:b/>
          <w:bCs/>
          <w:color w:val="auto"/>
          <w:sz w:val="24"/>
          <w:szCs w:val="24"/>
          <w:highlight w:val="none"/>
        </w:rPr>
        <w:t xml:space="preserve"> </w:t>
      </w:r>
      <w:r>
        <w:rPr>
          <w:rFonts w:hint="eastAsia" w:ascii="Times New Roman" w:hAnsi="Times New Roman" w:eastAsia="宋体" w:cs="Times New Roman"/>
          <w:b/>
          <w:bCs/>
          <w:color w:val="auto"/>
          <w:sz w:val="24"/>
          <w:szCs w:val="24"/>
          <w:highlight w:val="none"/>
        </w:rPr>
        <w:t>医疗区、商业区、工业区、游览区等人口集中区”等禁建设施。</w:t>
      </w:r>
      <w:r>
        <w:rPr>
          <w:rFonts w:hint="eastAsia" w:ascii="Times New Roman" w:hAnsi="Times New Roman" w:eastAsia="宋体" w:cs="Times New Roman"/>
          <w:color w:val="auto"/>
          <w:sz w:val="24"/>
          <w:szCs w:val="24"/>
          <w:highlight w:val="none"/>
        </w:rPr>
        <w:t>根据现场踏勘调查，本项目卫生防护距离200m范围内有</w:t>
      </w:r>
      <w:r>
        <w:rPr>
          <w:rFonts w:hint="eastAsia" w:ascii="Times New Roman" w:hAnsi="Times New Roman" w:eastAsia="宋体"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rPr>
        <w:t>栋农户自用房，拟由公司长期租赁用作项目</w:t>
      </w:r>
      <w:r>
        <w:rPr>
          <w:rFonts w:hint="eastAsia" w:ascii="Times New Roman" w:hAnsi="Times New Roman" w:eastAsia="宋体" w:cs="Times New Roman"/>
          <w:color w:val="auto"/>
          <w:sz w:val="24"/>
          <w:szCs w:val="24"/>
          <w:highlight w:val="none"/>
          <w:lang w:eastAsia="zh-CN"/>
        </w:rPr>
        <w:t>生产管理用房</w:t>
      </w:r>
      <w:r>
        <w:rPr>
          <w:rFonts w:hint="eastAsia" w:ascii="Times New Roman" w:hAnsi="Times New Roman" w:eastAsia="宋体" w:cs="Times New Roman"/>
          <w:color w:val="auto"/>
          <w:sz w:val="24"/>
          <w:szCs w:val="24"/>
          <w:highlight w:val="none"/>
        </w:rPr>
        <w:t>；项目建成后，卫生防护距离范围内无学校、居民、医疗卫生、行政办公等环境敏感目标，</w:t>
      </w:r>
      <w:r>
        <w:rPr>
          <w:rFonts w:hint="eastAsia" w:ascii="Times New Roman" w:hAnsi="Times New Roman" w:eastAsia="宋体" w:cs="Times New Roman"/>
          <w:b/>
          <w:bCs/>
          <w:color w:val="auto"/>
          <w:sz w:val="24"/>
          <w:szCs w:val="24"/>
          <w:highlight w:val="none"/>
        </w:rPr>
        <w:t>本项目无环保搬迁。</w:t>
      </w:r>
      <w:r>
        <w:rPr>
          <w:rFonts w:hint="eastAsia" w:ascii="Times New Roman" w:hAnsi="Times New Roman" w:eastAsia="宋体" w:cs="Times New Roman"/>
          <w:color w:val="auto"/>
          <w:sz w:val="24"/>
          <w:szCs w:val="24"/>
          <w:highlight w:val="none"/>
        </w:rPr>
        <w:t>且环评要求：在卫生防护距离范围内</w:t>
      </w:r>
      <w:r>
        <w:rPr>
          <w:rFonts w:hint="eastAsia" w:ascii="Times New Roman" w:hAnsi="Times New Roman" w:eastAsia="宋体" w:cs="Times New Roman"/>
          <w:b/>
          <w:bCs/>
          <w:color w:val="auto"/>
          <w:sz w:val="24"/>
          <w:szCs w:val="24"/>
          <w:highlight w:val="none"/>
          <w:u w:val="single"/>
        </w:rPr>
        <w:t>不得规划新建集中居民区、医院、学校及食品医药加工企业等易受本项目恶臭影响的建设项目。</w:t>
      </w:r>
    </w:p>
    <w:p>
      <w:pPr>
        <w:pStyle w:val="9"/>
        <w:bidi w:val="0"/>
        <w:spacing w:line="360" w:lineRule="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沼气环境影响分析</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根据《畜禽养殖业污染治理工程技术规范》（</w:t>
      </w:r>
      <w:r>
        <w:rPr>
          <w:rFonts w:ascii="Times New Roman" w:hAnsi="Times New Roman" w:eastAsia="宋体" w:cs="Times New Roman"/>
          <w:color w:val="auto"/>
          <w:sz w:val="24"/>
          <w:szCs w:val="24"/>
          <w:highlight w:val="none"/>
        </w:rPr>
        <w:t>HJ497-2009</w:t>
      </w:r>
      <w:r>
        <w:rPr>
          <w:rFonts w:hint="eastAsia" w:ascii="Times New Roman" w:hAnsi="Times New Roman" w:eastAsia="宋体" w:cs="Times New Roman"/>
          <w:color w:val="auto"/>
          <w:sz w:val="24"/>
          <w:szCs w:val="24"/>
          <w:highlight w:val="none"/>
        </w:rPr>
        <w:t>）中“厌氧处理产生的沼气须完全利用，不得直接向环境排放。经净化处理后通过输配气系统可用于居民生活用气、锅炉燃烧、沼气发电等”的规定。本项目沼气将用于养殖场内的燃烧使用，项目拟建双膜储气袋容积</w:t>
      </w:r>
      <w:r>
        <w:rPr>
          <w:rFonts w:hint="eastAsia" w:ascii="Times New Roman" w:hAnsi="Times New Roman" w:eastAsia="宋体" w:cs="Times New Roman"/>
          <w:color w:val="auto"/>
          <w:sz w:val="24"/>
          <w:szCs w:val="24"/>
          <w:highlight w:val="none"/>
          <w:lang w:val="en-US" w:eastAsia="zh-CN"/>
        </w:rPr>
        <w:t>150</w:t>
      </w:r>
      <w:r>
        <w:rPr>
          <w:rFonts w:ascii="Times New Roman" w:hAnsi="Times New Roman" w:eastAsia="宋体" w:cs="Times New Roman"/>
          <w:color w:val="auto"/>
          <w:sz w:val="24"/>
          <w:szCs w:val="24"/>
          <w:highlight w:val="none"/>
        </w:rPr>
        <w:t>m</w:t>
      </w:r>
      <w:r>
        <w:rPr>
          <w:rFonts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。经净化后的沼气属于清洁能源，燃烧后的产物为二氧化碳和水，不会污染环境。</w:t>
      </w:r>
    </w:p>
    <w:p>
      <w:pPr>
        <w:pStyle w:val="9"/>
        <w:bidi w:val="0"/>
        <w:spacing w:line="360" w:lineRule="auto"/>
        <w:rPr>
          <w:rFonts w:hint="eastAsia" w:ascii="Times New Roman" w:hAnsi="Times New Roman" w:eastAsia="宋体" w:cs="Times New Roman"/>
          <w:color w:val="auto"/>
          <w:sz w:val="24"/>
          <w:szCs w:val="24"/>
          <w:highlight w:val="none"/>
          <w:lang w:val="en-US" w:eastAsia="zh-CN"/>
        </w:rPr>
      </w:pPr>
      <w:bookmarkStart w:id="234" w:name="5.2.1.6油烟废气"/>
      <w:bookmarkEnd w:id="234"/>
      <w:r>
        <w:rPr>
          <w:rFonts w:hint="eastAsia" w:ascii="Times New Roman" w:hAnsi="Times New Roman" w:eastAsia="宋体" w:cs="Times New Roman"/>
          <w:color w:val="auto"/>
          <w:sz w:val="24"/>
          <w:szCs w:val="24"/>
          <w:highlight w:val="none"/>
          <w:lang w:val="en-US" w:eastAsia="zh-CN"/>
        </w:rPr>
        <w:t>油烟废气环境影响分析</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本项目食堂产生的餐饮油烟经油烟罩收集与处理后，再经油烟净化设备处理，油烟的净化率可达</w:t>
      </w:r>
      <w:r>
        <w:rPr>
          <w:rFonts w:ascii="Times New Roman" w:hAnsi="Times New Roman" w:eastAsia="宋体" w:cs="Times New Roman"/>
          <w:color w:val="auto"/>
          <w:sz w:val="24"/>
          <w:szCs w:val="24"/>
          <w:highlight w:val="none"/>
        </w:rPr>
        <w:t>75%</w:t>
      </w:r>
      <w:r>
        <w:rPr>
          <w:rFonts w:hint="eastAsia" w:ascii="Times New Roman" w:hAnsi="Times New Roman" w:eastAsia="宋体" w:cs="Times New Roman"/>
          <w:color w:val="auto"/>
          <w:sz w:val="24"/>
          <w:szCs w:val="24"/>
          <w:highlight w:val="none"/>
        </w:rPr>
        <w:t>以上，然后引至食堂屋顶排入大气，处理后油烟排放的浓度能达到《饮食业油烟排放标准》（</w:t>
      </w:r>
      <w:r>
        <w:rPr>
          <w:rFonts w:ascii="Times New Roman" w:hAnsi="Times New Roman" w:eastAsia="宋体" w:cs="Times New Roman"/>
          <w:color w:val="auto"/>
          <w:sz w:val="24"/>
          <w:szCs w:val="24"/>
          <w:highlight w:val="none"/>
        </w:rPr>
        <w:t>GB18483-2001</w:t>
      </w:r>
      <w:r>
        <w:rPr>
          <w:rFonts w:hint="eastAsia" w:ascii="Times New Roman" w:hAnsi="Times New Roman" w:eastAsia="宋体" w:cs="Times New Roman"/>
          <w:color w:val="auto"/>
          <w:sz w:val="24"/>
          <w:szCs w:val="24"/>
          <w:highlight w:val="none"/>
        </w:rPr>
        <w:t>）小型规模标准。</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食堂燃用天然气，属清洁燃料，且用量较小，污染较小，对其不作评价。</w:t>
      </w:r>
    </w:p>
    <w:p>
      <w:pPr>
        <w:pStyle w:val="9"/>
        <w:bidi w:val="0"/>
        <w:spacing w:line="360" w:lineRule="auto"/>
        <w:rPr>
          <w:rFonts w:hint="eastAsia" w:ascii="Times New Roman" w:hAnsi="Times New Roman" w:eastAsia="宋体" w:cs="Times New Roman"/>
          <w:color w:val="auto"/>
          <w:sz w:val="24"/>
          <w:szCs w:val="24"/>
          <w:highlight w:val="none"/>
          <w:lang w:val="en-US" w:eastAsia="zh-CN"/>
        </w:rPr>
      </w:pPr>
      <w:bookmarkStart w:id="235" w:name="5.2.1.7发电机废气"/>
      <w:bookmarkEnd w:id="235"/>
      <w:r>
        <w:rPr>
          <w:rFonts w:hint="eastAsia" w:ascii="Times New Roman" w:hAnsi="Times New Roman" w:eastAsia="宋体" w:cs="Times New Roman"/>
          <w:color w:val="auto"/>
          <w:sz w:val="24"/>
          <w:szCs w:val="24"/>
          <w:highlight w:val="none"/>
          <w:lang w:val="en-US" w:eastAsia="zh-CN"/>
        </w:rPr>
        <w:t>发电机废气环境影响分析</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应急柴油发电机设置于专用发电机房内，发电机只有在停电时或紧急用电时才使用，故使用频率不高，产生的少量废气，经发电机配置的排风系统排放，排放口设置朝向绿化，对环境无明显影响。</w:t>
      </w:r>
    </w:p>
    <w:p>
      <w:pPr>
        <w:pStyle w:val="9"/>
        <w:bidi w:val="0"/>
        <w:spacing w:line="360" w:lineRule="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大气环境影响评价结论</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rPr>
        <w:t>）达标区环境可接受性</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项目所在区域环境空气质量为达标区，环境空气质量能够满足《环境空气质量标准》（GB3095-2012）及其修改单中二级标准要求；本项目营运期排放的主要废气为</w:t>
      </w: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S</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NH</w:t>
      </w:r>
      <w:r>
        <w:rPr>
          <w:rFonts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。根据《环境影响评价技术导则</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大气环境》（</w:t>
      </w:r>
      <w:r>
        <w:rPr>
          <w:rFonts w:ascii="Times New Roman" w:hAnsi="Times New Roman" w:eastAsia="宋体" w:cs="Times New Roman"/>
          <w:color w:val="auto"/>
          <w:sz w:val="24"/>
          <w:szCs w:val="24"/>
          <w:highlight w:val="none"/>
        </w:rPr>
        <w:t>HJ2.2-2018</w:t>
      </w:r>
      <w:r>
        <w:rPr>
          <w:rFonts w:hint="eastAsia" w:ascii="Times New Roman" w:hAnsi="Times New Roman" w:eastAsia="宋体" w:cs="Times New Roman"/>
          <w:color w:val="auto"/>
          <w:sz w:val="24"/>
          <w:szCs w:val="24"/>
          <w:highlight w:val="none"/>
        </w:rPr>
        <w:t>），采用附录</w:t>
      </w:r>
      <w:r>
        <w:rPr>
          <w:rFonts w:ascii="Times New Roman" w:hAnsi="Times New Roman" w:eastAsia="宋体" w:cs="Times New Roman"/>
          <w:color w:val="auto"/>
          <w:sz w:val="24"/>
          <w:szCs w:val="24"/>
          <w:highlight w:val="none"/>
        </w:rPr>
        <w:t>A</w:t>
      </w:r>
      <w:r>
        <w:rPr>
          <w:rFonts w:hint="eastAsia" w:ascii="Times New Roman" w:hAnsi="Times New Roman" w:eastAsia="宋体" w:cs="Times New Roman"/>
          <w:color w:val="auto"/>
          <w:sz w:val="24"/>
          <w:szCs w:val="24"/>
          <w:highlight w:val="none"/>
        </w:rPr>
        <w:t>推荐模型中估算模式</w:t>
      </w:r>
      <w:r>
        <w:rPr>
          <w:rFonts w:ascii="Times New Roman" w:hAnsi="Times New Roman" w:eastAsia="宋体" w:cs="Times New Roman"/>
          <w:color w:val="auto"/>
          <w:sz w:val="24"/>
          <w:szCs w:val="24"/>
          <w:highlight w:val="none"/>
        </w:rPr>
        <w:t>ARESCREEN</w:t>
      </w:r>
      <w:r>
        <w:rPr>
          <w:rFonts w:hint="eastAsia" w:ascii="Times New Roman" w:hAnsi="Times New Roman" w:eastAsia="宋体" w:cs="Times New Roman"/>
          <w:color w:val="auto"/>
          <w:sz w:val="24"/>
          <w:szCs w:val="24"/>
          <w:highlight w:val="none"/>
        </w:rPr>
        <w:t>分别计算项目污染源的最大环境影响。经计算，本项目排放的污染物中</w:t>
      </w:r>
      <w:r>
        <w:rPr>
          <w:rFonts w:hint="default" w:ascii="Times New Roman" w:hAnsi="Times New Roman" w:eastAsia="宋体" w:cs="Times New Roman"/>
          <w:b w:val="0"/>
          <w:color w:val="auto"/>
          <w:sz w:val="24"/>
          <w:highlight w:val="none"/>
          <w:lang w:eastAsia="zh-CN"/>
        </w:rPr>
        <w:t>H</w:t>
      </w:r>
      <w:r>
        <w:rPr>
          <w:rFonts w:hint="default" w:ascii="Times New Roman" w:hAnsi="Times New Roman" w:eastAsia="宋体" w:cs="Times New Roman"/>
          <w:b w:val="0"/>
          <w:color w:val="auto"/>
          <w:sz w:val="24"/>
          <w:highlight w:val="none"/>
          <w:vertAlign w:val="subscript"/>
          <w:lang w:eastAsia="zh-CN"/>
        </w:rPr>
        <w:t>2</w:t>
      </w:r>
      <w:r>
        <w:rPr>
          <w:rFonts w:hint="default" w:ascii="Times New Roman" w:hAnsi="Times New Roman" w:eastAsia="宋体" w:cs="Times New Roman"/>
          <w:b w:val="0"/>
          <w:color w:val="auto"/>
          <w:sz w:val="24"/>
          <w:highlight w:val="none"/>
          <w:lang w:eastAsia="zh-CN"/>
        </w:rPr>
        <w:t>S</w:t>
      </w:r>
      <w:r>
        <w:rPr>
          <w:rFonts w:hint="eastAsia" w:ascii="Times New Roman" w:hAnsi="Times New Roman" w:eastAsia="宋体" w:cs="Times New Roman"/>
          <w:color w:val="auto"/>
          <w:sz w:val="24"/>
          <w:szCs w:val="24"/>
          <w:highlight w:val="none"/>
        </w:rPr>
        <w:t>占标率最大的为</w:t>
      </w:r>
      <w:r>
        <w:rPr>
          <w:rFonts w:hint="eastAsia" w:ascii="Times New Roman" w:hAnsi="Times New Roman" w:eastAsia="宋体" w:cs="Times New Roman"/>
          <w:color w:val="auto"/>
          <w:sz w:val="24"/>
          <w:szCs w:val="24"/>
          <w:highlight w:val="none"/>
          <w:lang w:val="en-US" w:eastAsia="zh-CN"/>
        </w:rPr>
        <w:t>2.8667</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rPr>
        <w:t>，落地点</w:t>
      </w:r>
      <w:r>
        <w:rPr>
          <w:rFonts w:hint="eastAsia" w:ascii="Times New Roman" w:hAnsi="Times New Roman" w:eastAsia="宋体" w:cs="Times New Roman"/>
          <w:color w:val="auto"/>
          <w:sz w:val="24"/>
          <w:szCs w:val="24"/>
          <w:highlight w:val="none"/>
          <w:lang w:val="en-US" w:eastAsia="zh-CN"/>
        </w:rPr>
        <w:t>122</w:t>
      </w:r>
      <w:r>
        <w:rPr>
          <w:rFonts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rPr>
        <w:t>，因此本项目排放的污染物量较小，对环境影响可接受。</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）环境防护距离</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根据《环境影响评价技术导则</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大气环境》（</w:t>
      </w:r>
      <w:r>
        <w:rPr>
          <w:rFonts w:ascii="Times New Roman" w:hAnsi="Times New Roman" w:eastAsia="宋体" w:cs="Times New Roman"/>
          <w:color w:val="auto"/>
          <w:sz w:val="24"/>
          <w:szCs w:val="24"/>
          <w:highlight w:val="none"/>
        </w:rPr>
        <w:t>HJ2.2-2018</w:t>
      </w:r>
      <w:r>
        <w:rPr>
          <w:rFonts w:hint="eastAsia" w:ascii="Times New Roman" w:hAnsi="Times New Roman" w:eastAsia="宋体" w:cs="Times New Roman"/>
          <w:color w:val="auto"/>
          <w:sz w:val="24"/>
          <w:szCs w:val="24"/>
          <w:highlight w:val="none"/>
        </w:rPr>
        <w:t>）推荐的估算模式计算，本项目无超标点，不需设置大气环境防护距离。</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根据卫生防护距离计算，本次评价确定本项目以牛舍、污水处理站、干粪棚边界为起点，在上风向、下风向以及侧风向均设置</w:t>
      </w:r>
      <w:r>
        <w:rPr>
          <w:rFonts w:ascii="Times New Roman" w:hAnsi="Times New Roman" w:eastAsia="宋体" w:cs="Times New Roman"/>
          <w:color w:val="auto"/>
          <w:sz w:val="24"/>
          <w:szCs w:val="24"/>
          <w:highlight w:val="none"/>
        </w:rPr>
        <w:t>200m</w:t>
      </w:r>
      <w:r>
        <w:rPr>
          <w:rFonts w:hint="eastAsia" w:ascii="Times New Roman" w:hAnsi="Times New Roman" w:eastAsia="宋体" w:cs="Times New Roman"/>
          <w:color w:val="auto"/>
          <w:sz w:val="24"/>
          <w:szCs w:val="24"/>
          <w:highlight w:val="none"/>
        </w:rPr>
        <w:t>的卫生防护距离。</w:t>
      </w:r>
      <w:r>
        <w:rPr>
          <w:rFonts w:hint="eastAsia" w:ascii="Times New Roman" w:hAnsi="Times New Roman" w:eastAsia="宋体" w:cs="Times New Roman"/>
          <w:b/>
          <w:bCs/>
          <w:color w:val="auto"/>
          <w:sz w:val="24"/>
          <w:szCs w:val="24"/>
          <w:highlight w:val="none"/>
        </w:rPr>
        <w:t>卫生防护距离的执行：该距离内不得建设为“城市和城镇居民区，包括文教科研区、</w:t>
      </w:r>
      <w:r>
        <w:rPr>
          <w:rFonts w:ascii="Times New Roman" w:hAnsi="Times New Roman" w:eastAsia="宋体" w:cs="Times New Roman"/>
          <w:b/>
          <w:bCs/>
          <w:color w:val="auto"/>
          <w:sz w:val="24"/>
          <w:szCs w:val="24"/>
          <w:highlight w:val="none"/>
        </w:rPr>
        <w:t xml:space="preserve"> </w:t>
      </w:r>
      <w:r>
        <w:rPr>
          <w:rFonts w:hint="eastAsia" w:ascii="Times New Roman" w:hAnsi="Times New Roman" w:eastAsia="宋体" w:cs="Times New Roman"/>
          <w:b/>
          <w:bCs/>
          <w:color w:val="auto"/>
          <w:sz w:val="24"/>
          <w:szCs w:val="24"/>
          <w:highlight w:val="none"/>
        </w:rPr>
        <w:t>医疗区、商业区、工业区、游览区等人口集中”等禁建设施。</w:t>
      </w:r>
      <w:r>
        <w:rPr>
          <w:rFonts w:hint="eastAsia" w:ascii="Times New Roman" w:hAnsi="Times New Roman" w:eastAsia="宋体" w:cs="Times New Roman"/>
          <w:color w:val="auto"/>
          <w:sz w:val="24"/>
          <w:szCs w:val="24"/>
          <w:highlight w:val="none"/>
        </w:rPr>
        <w:t>本项目卫生防护距离范围内无学校、居民、医疗卫生、行政办公等环境敏感目标，</w:t>
      </w:r>
      <w:r>
        <w:rPr>
          <w:rFonts w:hint="eastAsia" w:ascii="Times New Roman" w:hAnsi="Times New Roman" w:eastAsia="宋体" w:cs="Times New Roman"/>
          <w:b/>
          <w:bCs/>
          <w:color w:val="auto"/>
          <w:sz w:val="24"/>
          <w:szCs w:val="24"/>
          <w:highlight w:val="none"/>
        </w:rPr>
        <w:t>本项目无环保搬迁。</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本项目大气环境影响评价自查表见附表。</w:t>
      </w:r>
    </w:p>
    <w:p>
      <w:pPr>
        <w:widowControl/>
        <w:spacing w:line="240" w:lineRule="auto"/>
        <w:jc w:val="left"/>
        <w:rPr>
          <w:color w:val="auto"/>
          <w:sz w:val="24"/>
          <w:highlight w:val="none"/>
        </w:rPr>
      </w:pPr>
      <w:r>
        <w:rPr>
          <w:color w:val="auto"/>
          <w:sz w:val="24"/>
          <w:highlight w:val="none"/>
        </w:rPr>
        <w:br w:type="page"/>
      </w:r>
    </w:p>
    <w:p>
      <w:pPr>
        <w:pStyle w:val="8"/>
        <w:spacing w:before="0" w:after="0" w:line="360" w:lineRule="auto"/>
        <w:ind w:left="0" w:firstLine="0"/>
        <w:rPr>
          <w:rFonts w:cs="Times New Roman"/>
          <w:color w:val="auto"/>
          <w:highlight w:val="none"/>
        </w:rPr>
      </w:pPr>
      <w:bookmarkStart w:id="236" w:name="_Toc7427"/>
      <w:r>
        <w:rPr>
          <w:rFonts w:cs="Times New Roman"/>
          <w:color w:val="auto"/>
          <w:highlight w:val="none"/>
        </w:rPr>
        <w:t>地表水环境影响分析</w:t>
      </w:r>
      <w:bookmarkEnd w:id="236"/>
    </w:p>
    <w:p>
      <w:pPr>
        <w:pStyle w:val="9"/>
        <w:bidi w:val="0"/>
        <w:spacing w:line="360" w:lineRule="auto"/>
        <w:rPr>
          <w:rFonts w:hint="default" w:ascii="Times New Roman" w:hAnsi="Times New Roman" w:eastAsia="宋体" w:cs="Times New Roman"/>
          <w:bCs/>
          <w:color w:val="auto"/>
          <w:kern w:val="2"/>
          <w:sz w:val="24"/>
          <w:szCs w:val="28"/>
          <w:highlight w:val="none"/>
          <w:lang w:val="en-US" w:eastAsia="zh-CN" w:bidi="ar-SA"/>
        </w:rPr>
      </w:pPr>
      <w:r>
        <w:rPr>
          <w:rFonts w:hint="eastAsia" w:ascii="Times New Roman" w:hAnsi="Times New Roman" w:eastAsia="宋体" w:cs="Times New Roman"/>
          <w:bCs/>
          <w:color w:val="auto"/>
          <w:kern w:val="2"/>
          <w:sz w:val="24"/>
          <w:szCs w:val="28"/>
          <w:highlight w:val="none"/>
          <w:lang w:val="en-US" w:eastAsia="zh-CN" w:bidi="ar-SA"/>
        </w:rPr>
        <w:t>废水排放情况</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实施雨污分流，雨水管网采用雨水渠形式布置，断面尺寸为0.4m×0.25m~0.4m室外雨水（初期雨水除外）通过雨水沟渠自然排放。污水管网采用d500波纹管，污水通过污水管网收集后排入污水处理站处理。运营期产生的废水主要为</w:t>
      </w:r>
      <w:r>
        <w:rPr>
          <w:rFonts w:hint="eastAsia" w:ascii="Times New Roman" w:hAnsi="Times New Roman" w:eastAsia="宋体" w:cs="Times New Roman"/>
          <w:color w:val="auto"/>
          <w:sz w:val="24"/>
          <w:szCs w:val="24"/>
          <w:highlight w:val="none"/>
          <w:lang w:eastAsia="zh-CN"/>
        </w:rPr>
        <w:t>养殖废水</w:t>
      </w:r>
      <w:r>
        <w:rPr>
          <w:rFonts w:hint="eastAsia" w:ascii="Times New Roman" w:hAnsi="Times New Roman" w:eastAsia="宋体" w:cs="Times New Roman"/>
          <w:color w:val="auto"/>
          <w:sz w:val="24"/>
          <w:szCs w:val="24"/>
          <w:highlight w:val="none"/>
        </w:rPr>
        <w:t>以及职工办公生活污水。</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根据建设单位提供的资料，本项目拟采用干清粪工艺，不将清水用作圈舍粪尿日常清理，大大减少了污粪产生量并实现粪尿及时清理。根据工程分析，项目运营期废水产生总量为</w:t>
      </w:r>
      <w:r>
        <w:rPr>
          <w:rFonts w:hint="eastAsia" w:ascii="Times New Roman" w:hAnsi="Times New Roman" w:eastAsia="宋体" w:cs="Times New Roman"/>
          <w:color w:val="auto"/>
          <w:sz w:val="24"/>
          <w:szCs w:val="24"/>
          <w:highlight w:val="none"/>
          <w:lang w:val="en-US" w:eastAsia="zh-CN"/>
        </w:rPr>
        <w:t>248.76</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/d，其中养殖废水产生总量为</w:t>
      </w:r>
      <w:r>
        <w:rPr>
          <w:rFonts w:hint="eastAsia" w:ascii="Times New Roman" w:hAnsi="Times New Roman" w:eastAsia="宋体" w:cs="Times New Roman"/>
          <w:color w:val="auto"/>
          <w:sz w:val="24"/>
          <w:szCs w:val="24"/>
          <w:highlight w:val="none"/>
          <w:lang w:val="en-US" w:eastAsia="zh-CN"/>
        </w:rPr>
        <w:t>237.56</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/d，生活污水产生总量为</w:t>
      </w:r>
      <w:r>
        <w:rPr>
          <w:rFonts w:hint="eastAsia" w:ascii="Times New Roman" w:hAnsi="Times New Roman" w:eastAsia="宋体" w:cs="Times New Roman"/>
          <w:color w:val="auto"/>
          <w:sz w:val="24"/>
          <w:szCs w:val="24"/>
          <w:highlight w:val="none"/>
          <w:lang w:val="en-US" w:eastAsia="zh-CN"/>
        </w:rPr>
        <w:t>11.2</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/d。</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育肥</w:t>
      </w:r>
      <w:r>
        <w:rPr>
          <w:rFonts w:hint="eastAsia" w:ascii="Times New Roman" w:hAnsi="Times New Roman" w:eastAsia="宋体" w:cs="Times New Roman"/>
          <w:color w:val="auto"/>
          <w:sz w:val="24"/>
          <w:szCs w:val="24"/>
          <w:highlight w:val="none"/>
        </w:rPr>
        <w:t>场养殖废水和生活污水经收集后，进入拟建的“</w:t>
      </w:r>
      <w:r>
        <w:rPr>
          <w:rFonts w:hint="default" w:ascii="Times New Roman" w:hAnsi="Times New Roman" w:eastAsia="宋体" w:cs="Times New Roman"/>
          <w:color w:val="auto"/>
          <w:sz w:val="24"/>
          <w:szCs w:val="24"/>
          <w:highlight w:val="none"/>
        </w:rPr>
        <w:t>固液分离+UASB厌氧+絮凝沉淀+两级A/O系统+混凝絮凝沉淀+消毒</w:t>
      </w:r>
      <w:r>
        <w:rPr>
          <w:rFonts w:hint="eastAsia" w:ascii="Times New Roman" w:hAnsi="Times New Roman" w:eastAsia="宋体" w:cs="Times New Roman"/>
          <w:color w:val="auto"/>
          <w:sz w:val="24"/>
          <w:szCs w:val="24"/>
          <w:highlight w:val="none"/>
        </w:rPr>
        <w:t>”污水处理设施处理达《农田灌溉水质标准》（</w:t>
      </w:r>
      <w:r>
        <w:rPr>
          <w:rFonts w:hint="eastAsia" w:ascii="Times New Roman" w:hAnsi="Times New Roman" w:eastAsia="宋体" w:cs="Times New Roman"/>
          <w:color w:val="auto"/>
          <w:sz w:val="24"/>
          <w:szCs w:val="24"/>
          <w:highlight w:val="none"/>
          <w:lang w:eastAsia="zh-CN"/>
        </w:rPr>
        <w:t>GB5084-2021</w:t>
      </w:r>
      <w:r>
        <w:rPr>
          <w:rFonts w:hint="eastAsia" w:ascii="Times New Roman" w:hAnsi="Times New Roman" w:eastAsia="宋体" w:cs="Times New Roman"/>
          <w:color w:val="auto"/>
          <w:sz w:val="24"/>
          <w:szCs w:val="24"/>
          <w:highlight w:val="none"/>
        </w:rPr>
        <w:t>）中</w:t>
      </w:r>
      <w:r>
        <w:rPr>
          <w:rFonts w:hint="eastAsia" w:ascii="Times New Roman" w:hAnsi="Times New Roman" w:eastAsia="宋体" w:cs="Times New Roman"/>
          <w:color w:val="auto"/>
          <w:sz w:val="24"/>
          <w:szCs w:val="24"/>
          <w:highlight w:val="none"/>
          <w:lang w:eastAsia="zh-CN"/>
        </w:rPr>
        <w:t>蔬菜</w:t>
      </w:r>
      <w:r>
        <w:rPr>
          <w:rFonts w:hint="eastAsia" w:ascii="Times New Roman" w:hAnsi="Times New Roman" w:eastAsia="宋体" w:cs="Times New Roman"/>
          <w:color w:val="auto"/>
          <w:sz w:val="24"/>
          <w:szCs w:val="24"/>
          <w:highlight w:val="none"/>
        </w:rPr>
        <w:t>标准后暂存于储存池内，</w:t>
      </w:r>
      <w:r>
        <w:rPr>
          <w:rFonts w:hint="eastAsia" w:ascii="Times New Roman" w:hAnsi="Times New Roman" w:eastAsia="宋体" w:cs="Times New Roman"/>
          <w:color w:val="auto"/>
          <w:sz w:val="24"/>
          <w:szCs w:val="24"/>
          <w:highlight w:val="none"/>
          <w:lang w:eastAsia="zh-CN"/>
        </w:rPr>
        <w:t>用于周围林地及农田灌溉，不外排</w:t>
      </w:r>
      <w:r>
        <w:rPr>
          <w:rFonts w:hint="eastAsia" w:ascii="Times New Roman" w:hAnsi="Times New Roman" w:eastAsia="宋体" w:cs="Times New Roman"/>
          <w:color w:val="auto"/>
          <w:sz w:val="24"/>
          <w:szCs w:val="24"/>
          <w:highlight w:val="none"/>
        </w:rPr>
        <w:t>。</w:t>
      </w:r>
    </w:p>
    <w:p>
      <w:pPr>
        <w:pStyle w:val="9"/>
        <w:bidi w:val="0"/>
        <w:spacing w:line="360" w:lineRule="auto"/>
        <w:rPr>
          <w:rFonts w:hint="default" w:ascii="Times New Roman" w:hAnsi="Times New Roman" w:eastAsia="宋体" w:cs="Times New Roman"/>
          <w:bCs/>
          <w:color w:val="auto"/>
          <w:kern w:val="2"/>
          <w:sz w:val="24"/>
          <w:szCs w:val="28"/>
          <w:highlight w:val="none"/>
          <w:lang w:val="en-US" w:eastAsia="zh-CN" w:bidi="ar-SA"/>
        </w:rPr>
      </w:pPr>
      <w:r>
        <w:rPr>
          <w:rFonts w:hint="eastAsia" w:eastAsia="宋体" w:cs="Times New Roman"/>
          <w:bCs/>
          <w:color w:val="auto"/>
          <w:kern w:val="2"/>
          <w:sz w:val="24"/>
          <w:szCs w:val="28"/>
          <w:highlight w:val="none"/>
          <w:lang w:val="en-US" w:eastAsia="zh-CN" w:bidi="ar-SA"/>
        </w:rPr>
        <w:t>评价等级判定</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项目产生的污水均进入厂区污水处理站处理，处理后的废水用作耕地、林地灌溉，不外排。根据《环境影响评价技术导则地表水环境》（HJ2.3-2018），本项目地表水评价等级为三级B。</w:t>
      </w:r>
    </w:p>
    <w:p>
      <w:pPr>
        <w:pStyle w:val="9"/>
        <w:bidi w:val="0"/>
        <w:spacing w:line="360" w:lineRule="auto"/>
        <w:rPr>
          <w:rFonts w:hint="default" w:ascii="Times New Roman" w:hAnsi="Times New Roman" w:eastAsia="宋体" w:cs="Times New Roman"/>
          <w:bCs/>
          <w:color w:val="auto"/>
          <w:kern w:val="2"/>
          <w:sz w:val="24"/>
          <w:szCs w:val="28"/>
          <w:highlight w:val="none"/>
          <w:lang w:val="en-US" w:eastAsia="zh-CN" w:bidi="ar-SA"/>
        </w:rPr>
      </w:pPr>
      <w:r>
        <w:rPr>
          <w:rFonts w:hint="eastAsia" w:eastAsia="宋体" w:cs="Times New Roman"/>
          <w:bCs/>
          <w:color w:val="auto"/>
          <w:kern w:val="2"/>
          <w:sz w:val="24"/>
          <w:szCs w:val="28"/>
          <w:highlight w:val="none"/>
          <w:lang w:val="en-US" w:eastAsia="zh-CN" w:bidi="ar-SA"/>
        </w:rPr>
        <w:t>废水处理工艺可行性分析</w:t>
      </w:r>
    </w:p>
    <w:p>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本项目污水采用“固液分离+UASB厌氧+絮凝沉淀+两级A/O系统+混凝絮凝沉淀+消毒”处理工艺，设计处理规模300m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/d。</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ascii="宋体" w:hAnsi="宋体" w:cs="宋体"/>
          <w:color w:val="auto"/>
          <w:sz w:val="24"/>
          <w:highlight w:val="none"/>
        </w:rPr>
        <w:t>根据工程分析，本项目废水主要为有机污染物，</w:t>
      </w:r>
      <w:r>
        <w:rPr>
          <w:rFonts w:hint="eastAsia" w:ascii="宋体" w:hAnsi="宋体" w:cs="宋体"/>
          <w:color w:val="auto"/>
          <w:sz w:val="24"/>
          <w:highlight w:val="none"/>
        </w:rPr>
        <w:t>不含一类污染物，</w:t>
      </w:r>
      <w:r>
        <w:rPr>
          <w:rFonts w:ascii="宋体" w:hAnsi="宋体" w:cs="宋体"/>
          <w:color w:val="auto"/>
          <w:sz w:val="24"/>
          <w:highlight w:val="none"/>
        </w:rPr>
        <w:t>项目废水</w:t>
      </w:r>
      <w:r>
        <w:rPr>
          <w:rFonts w:hint="eastAsia" w:ascii="宋体" w:hAnsi="宋体" w:cs="宋体"/>
          <w:color w:val="auto"/>
          <w:sz w:val="24"/>
          <w:highlight w:val="none"/>
        </w:rPr>
        <w:t>满足污水站设计</w:t>
      </w:r>
      <w:r>
        <w:rPr>
          <w:rFonts w:ascii="宋体" w:hAnsi="宋体" w:cs="宋体"/>
          <w:color w:val="auto"/>
          <w:sz w:val="24"/>
          <w:highlight w:val="none"/>
        </w:rPr>
        <w:t>进水水质要求。</w:t>
      </w:r>
    </w:p>
    <w:p>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rPr>
        <w:t>本项目污水预处理系统能够将来水中的较重的固体颗粒去除；UASB厌氧反应器能处理高浓度有机废水，处理后COD浓度将低5％，AO工艺包含了厌氧、好氧池，并设置了混合液回流、污泥回流，同时具有去除COD、BOD</w:t>
      </w:r>
      <w:r>
        <w:rPr>
          <w:rFonts w:hint="eastAsia" w:ascii="Times New Roman" w:hAnsi="Times New Roman" w:eastAsia="宋体" w:cs="Times New Roman"/>
          <w:color w:val="auto"/>
          <w:sz w:val="24"/>
          <w:szCs w:val="24"/>
          <w:highlight w:val="none"/>
          <w:vertAlign w:val="subscript"/>
        </w:rPr>
        <w:t>5</w:t>
      </w:r>
      <w:r>
        <w:rPr>
          <w:rFonts w:hint="eastAsia" w:ascii="Times New Roman" w:hAnsi="Times New Roman" w:eastAsia="宋体" w:cs="Times New Roman"/>
          <w:color w:val="auto"/>
          <w:sz w:val="24"/>
          <w:szCs w:val="24"/>
          <w:highlight w:val="none"/>
        </w:rPr>
        <w:t>、TN、TP、SS的功能；针对好氧池出水中含有的大量活性污泥以及对TP去除的要求，本项目采用絮凝沉淀，在沉淀池前端加入除磷剂，可有效除磷和SS；为保证出水生物指标达标，工艺采用了H</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O</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对尾水进行消毒处理。由此可知，本项目污水处理工艺针对进水水质和出水要求设计了相应的处理单元，能有效去除污水中的污染物，确保出水达标</w:t>
      </w:r>
      <w:r>
        <w:rPr>
          <w:rFonts w:hint="eastAsia" w:ascii="Times New Roman" w:hAnsi="Times New Roman" w:eastAsia="宋体" w:cs="Times New Roman"/>
          <w:color w:val="auto"/>
          <w:sz w:val="24"/>
          <w:szCs w:val="24"/>
          <w:highlight w:val="none"/>
          <w:lang w:eastAsia="zh-CN"/>
        </w:rPr>
        <w:t>。</w:t>
      </w:r>
    </w:p>
    <w:p>
      <w:pPr>
        <w:pStyle w:val="78"/>
        <w:rPr>
          <w:rFonts w:hint="default" w:ascii="Times New Roman" w:hAnsi="Times New Roman" w:eastAsia="宋体" w:cs="Times New Roman"/>
          <w:b/>
          <w:color w:val="auto"/>
          <w:sz w:val="21"/>
          <w:szCs w:val="21"/>
          <w:highlight w:val="none"/>
          <w:lang w:eastAsia="zh-CN"/>
        </w:rPr>
      </w:pPr>
      <w:r>
        <w:rPr>
          <w:rFonts w:hint="default" w:ascii="Times New Roman" w:hAnsi="Times New Roman" w:cs="Times New Roman"/>
          <w:snapToGrid w:val="0"/>
          <w:color w:val="auto"/>
          <w:sz w:val="24"/>
          <w:szCs w:val="24"/>
          <w:highlight w:val="none"/>
        </w:rPr>
        <w:t>项目废水处理情况见</w:t>
      </w:r>
      <w:r>
        <w:rPr>
          <w:rFonts w:hint="eastAsia" w:ascii="Times New Roman" w:hAnsi="Times New Roman" w:cs="Times New Roman"/>
          <w:snapToGrid w:val="0"/>
          <w:color w:val="auto"/>
          <w:sz w:val="24"/>
          <w:szCs w:val="24"/>
          <w:highlight w:val="none"/>
          <w:lang w:eastAsia="zh-CN"/>
        </w:rPr>
        <w:t>下</w:t>
      </w:r>
      <w:r>
        <w:rPr>
          <w:rFonts w:hint="default" w:ascii="Times New Roman" w:hAnsi="Times New Roman" w:cs="Times New Roman"/>
          <w:snapToGrid w:val="0"/>
          <w:color w:val="auto"/>
          <w:sz w:val="24"/>
          <w:szCs w:val="24"/>
          <w:highlight w:val="none"/>
        </w:rPr>
        <w:t>表所示。</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 xml:space="preserve">   项目废水主要污染物产生、处理和排放情况统计表</w:t>
      </w:r>
    </w:p>
    <w:tbl>
      <w:tblPr>
        <w:tblStyle w:val="91"/>
        <w:tblW w:w="4998" w:type="pct"/>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999"/>
        <w:gridCol w:w="1061"/>
        <w:gridCol w:w="908"/>
        <w:gridCol w:w="883"/>
        <w:gridCol w:w="883"/>
        <w:gridCol w:w="1005"/>
        <w:gridCol w:w="795"/>
        <w:gridCol w:w="607"/>
        <w:gridCol w:w="465"/>
        <w:gridCol w:w="697"/>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restart"/>
            <w:tcBorders>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污水</w:t>
            </w:r>
          </w:p>
          <w:p>
            <w:pPr>
              <w:pStyle w:val="167"/>
              <w:keepNext w:val="0"/>
              <w:keepLines w:val="0"/>
              <w:suppressLineNumbers w:val="0"/>
              <w:kinsoku w:val="0"/>
              <w:overflowPunct w:val="0"/>
              <w:spacing w:before="0" w:beforeAutospacing="0" w:after="0" w:afterAutospacing="0"/>
              <w:ind w:left="0" w:leftChars="0" w:right="0" w:rightChars="0"/>
              <w:jc w:val="center"/>
              <w:rPr>
                <w:rFonts w:hint="eastAsia" w:ascii="Times New Roman" w:hAnsi="Times New Roman"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rPr>
              <w:t>种类</w:t>
            </w:r>
          </w:p>
        </w:tc>
        <w:tc>
          <w:tcPr>
            <w:tcW w:w="1061" w:type="dxa"/>
            <w:vMerge w:val="restart"/>
            <w:tcBorders>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排放量</w:t>
            </w:r>
          </w:p>
          <w:p>
            <w:pPr>
              <w:pStyle w:val="167"/>
              <w:keepNext w:val="0"/>
              <w:keepLines w:val="0"/>
              <w:suppressLineNumbers w:val="0"/>
              <w:kinsoku w:val="0"/>
              <w:overflowPunct w:val="0"/>
              <w:spacing w:before="0" w:beforeAutospacing="0" w:after="0" w:afterAutospacing="0"/>
              <w:ind w:left="0" w:leftChars="0" w:right="1" w:rightChars="0"/>
              <w:jc w:val="center"/>
              <w:rPr>
                <w:rFonts w:hint="default" w:ascii="Times New Roman" w:hAnsi="Times New Roman" w:eastAsia="宋体" w:cs="Times New Roman"/>
                <w:b/>
                <w:color w:val="auto"/>
                <w:sz w:val="21"/>
                <w:szCs w:val="21"/>
                <w:highlight w:val="none"/>
                <w:lang w:val="en-US"/>
              </w:rPr>
            </w:pPr>
            <w:r>
              <w:rPr>
                <w:rFonts w:hint="default" w:ascii="Times New Roman" w:hAnsi="Times New Roman" w:eastAsia="宋体" w:cs="Times New Roman"/>
                <w:b/>
                <w:color w:val="auto"/>
                <w:sz w:val="21"/>
                <w:szCs w:val="21"/>
                <w:highlight w:val="none"/>
              </w:rPr>
              <w:t>m</w:t>
            </w:r>
            <w:r>
              <w:rPr>
                <w:rFonts w:hint="default" w:ascii="Times New Roman" w:hAnsi="Times New Roman" w:eastAsia="宋体" w:cs="Times New Roman"/>
                <w:b/>
                <w:color w:val="auto"/>
                <w:sz w:val="21"/>
                <w:szCs w:val="21"/>
                <w:highlight w:val="none"/>
                <w:vertAlign w:val="superscript"/>
              </w:rPr>
              <w:t>3</w:t>
            </w:r>
            <w:r>
              <w:rPr>
                <w:rFonts w:hint="default" w:ascii="Times New Roman" w:hAnsi="Times New Roman" w:eastAsia="宋体" w:cs="Times New Roman"/>
                <w:b/>
                <w:color w:val="auto"/>
                <w:sz w:val="21"/>
                <w:szCs w:val="21"/>
                <w:highlight w:val="none"/>
              </w:rPr>
              <w:t>/a</w:t>
            </w:r>
          </w:p>
        </w:tc>
        <w:tc>
          <w:tcPr>
            <w:tcW w:w="908" w:type="dxa"/>
            <w:vMerge w:val="restart"/>
            <w:tcBorders>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leftChars="0" w:right="0" w:rightChars="0"/>
              <w:jc w:val="center"/>
              <w:rPr>
                <w:rFonts w:hint="default" w:ascii="Times New Roman" w:hAnsi="Times New Roman" w:eastAsia="宋体" w:cs="Times New Roman"/>
                <w:b/>
                <w:color w:val="auto"/>
                <w:sz w:val="21"/>
                <w:szCs w:val="21"/>
                <w:highlight w:val="none"/>
                <w:lang w:val="en-US"/>
              </w:rPr>
            </w:pPr>
            <w:r>
              <w:rPr>
                <w:rFonts w:hint="default" w:ascii="Times New Roman" w:hAnsi="Times New Roman" w:eastAsia="宋体" w:cs="Times New Roman"/>
                <w:b/>
                <w:color w:val="auto"/>
                <w:sz w:val="21"/>
                <w:szCs w:val="21"/>
                <w:highlight w:val="none"/>
              </w:rPr>
              <w:t>项目</w:t>
            </w:r>
          </w:p>
        </w:tc>
        <w:tc>
          <w:tcPr>
            <w:tcW w:w="5335" w:type="dxa"/>
            <w:gridSpan w:val="7"/>
            <w:tcBorders>
              <w:left w:val="single" w:color="auto" w:sz="8"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污染物名称</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continue"/>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061" w:type="dxa"/>
            <w:vMerge w:val="continue"/>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478" w:right="0"/>
              <w:jc w:val="center"/>
              <w:rPr>
                <w:rFonts w:hint="default" w:ascii="Times New Roman" w:hAnsi="Times New Roman" w:eastAsia="宋体" w:cs="Times New Roman"/>
                <w:b/>
                <w:color w:val="auto"/>
                <w:sz w:val="21"/>
                <w:szCs w:val="21"/>
                <w:highlight w:val="none"/>
              </w:rPr>
            </w:pPr>
          </w:p>
        </w:tc>
        <w:tc>
          <w:tcPr>
            <w:tcW w:w="908" w:type="dxa"/>
            <w:vMerge w:val="continue"/>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478" w:right="0"/>
              <w:jc w:val="center"/>
              <w:rPr>
                <w:rFonts w:hint="default" w:ascii="Times New Roman" w:hAnsi="Times New Roman" w:eastAsia="宋体" w:cs="Times New Roman"/>
                <w:b/>
                <w:color w:val="auto"/>
                <w:sz w:val="21"/>
                <w:szCs w:val="21"/>
                <w:highlight w:val="none"/>
              </w:rPr>
            </w:pPr>
          </w:p>
        </w:tc>
        <w:tc>
          <w:tcPr>
            <w:tcW w:w="883"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COD</w:t>
            </w:r>
          </w:p>
        </w:tc>
        <w:tc>
          <w:tcPr>
            <w:tcW w:w="883"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BOD</w:t>
            </w:r>
            <w:r>
              <w:rPr>
                <w:rFonts w:hint="default" w:ascii="Times New Roman" w:hAnsi="Times New Roman" w:eastAsia="宋体" w:cs="Times New Roman"/>
                <w:b/>
                <w:color w:val="auto"/>
                <w:sz w:val="21"/>
                <w:szCs w:val="21"/>
                <w:highlight w:val="none"/>
                <w:vertAlign w:val="subscript"/>
              </w:rPr>
              <w:t>5</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SS</w:t>
            </w:r>
          </w:p>
        </w:tc>
        <w:tc>
          <w:tcPr>
            <w:tcW w:w="795"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NH</w:t>
            </w:r>
            <w:r>
              <w:rPr>
                <w:rFonts w:hint="default" w:ascii="Times New Roman" w:hAnsi="Times New Roman" w:eastAsia="宋体" w:cs="Times New Roman"/>
                <w:b/>
                <w:color w:val="auto"/>
                <w:sz w:val="21"/>
                <w:szCs w:val="21"/>
                <w:highlight w:val="none"/>
                <w:vertAlign w:val="subscript"/>
              </w:rPr>
              <w:t>3</w:t>
            </w:r>
            <w:r>
              <w:rPr>
                <w:rFonts w:hint="default" w:ascii="Times New Roman" w:hAnsi="Times New Roman" w:eastAsia="宋体" w:cs="Times New Roman"/>
                <w:b/>
                <w:color w:val="auto"/>
                <w:position w:val="2"/>
                <w:sz w:val="21"/>
                <w:szCs w:val="21"/>
                <w:highlight w:val="none"/>
              </w:rPr>
              <w:t>-N</w:t>
            </w:r>
          </w:p>
        </w:tc>
        <w:tc>
          <w:tcPr>
            <w:tcW w:w="607"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TP</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TN</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粪大肠</w:t>
            </w:r>
          </w:p>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菌群</w:t>
            </w:r>
          </w:p>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（个</w:t>
            </w:r>
          </w:p>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rPr>
              <w:t>/mL</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restart"/>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养殖废水</w:t>
            </w:r>
          </w:p>
        </w:tc>
        <w:tc>
          <w:tcPr>
            <w:tcW w:w="1061"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color w:val="auto"/>
                <w:kern w:val="0"/>
                <w:sz w:val="21"/>
                <w:szCs w:val="21"/>
                <w:highlight w:val="none"/>
                <w:u w:val="none"/>
                <w:lang w:val="en-US" w:eastAsia="zh-CN" w:bidi="ar"/>
              </w:rPr>
              <w:t>86709.4</w:t>
            </w: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w:t>
            </w:r>
          </w:p>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887</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266</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400</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22.1</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5.31</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41.1</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leftChars="0" w:right="0" w:rightChars="0"/>
              <w:jc w:val="center"/>
              <w:rPr>
                <w:rFonts w:hint="eastAsia"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cs="Times New Roman"/>
                <w:b w:val="0"/>
                <w:bCs/>
                <w:color w:val="auto"/>
                <w:sz w:val="21"/>
                <w:szCs w:val="21"/>
                <w:highlight w:val="none"/>
                <w:lang w:val="en-US" w:eastAsia="zh-CN"/>
              </w:rPr>
              <w:t>20000个/mL</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continue"/>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31" w:right="0"/>
              <w:jc w:val="center"/>
              <w:rPr>
                <w:rFonts w:hint="default" w:ascii="Times New Roman" w:hAnsi="Times New Roman" w:eastAsia="宋体" w:cs="Times New Roman"/>
                <w:color w:val="auto"/>
                <w:sz w:val="21"/>
                <w:szCs w:val="21"/>
                <w:highlight w:val="none"/>
              </w:rPr>
            </w:pPr>
          </w:p>
        </w:tc>
        <w:tc>
          <w:tcPr>
            <w:tcW w:w="1061" w:type="dxa"/>
            <w:vMerge w:val="continue"/>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31" w:right="0"/>
              <w:jc w:val="center"/>
              <w:rPr>
                <w:rFonts w:hint="default" w:ascii="Times New Roman" w:hAnsi="Times New Roman" w:eastAsia="宋体" w:cs="Times New Roman"/>
                <w:color w:val="auto"/>
                <w:sz w:val="21"/>
                <w:szCs w:val="21"/>
                <w:highlight w:val="none"/>
              </w:rPr>
            </w:pP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产生量</w:t>
            </w:r>
            <w:r>
              <w:rPr>
                <w:rFonts w:hint="default" w:ascii="Times New Roman" w:hAnsi="Times New Roman" w:eastAsia="宋体" w:cs="Times New Roman"/>
                <w:color w:val="auto"/>
                <w:spacing w:val="-59"/>
                <w:sz w:val="21"/>
                <w:szCs w:val="21"/>
                <w:highlight w:val="none"/>
              </w:rPr>
              <w:t xml:space="preserve"> </w:t>
            </w:r>
            <w:r>
              <w:rPr>
                <w:rFonts w:hint="default" w:ascii="Times New Roman" w:hAnsi="Times New Roman" w:eastAsia="宋体" w:cs="Times New Roman"/>
                <w:color w:val="auto"/>
                <w:sz w:val="21"/>
                <w:szCs w:val="21"/>
                <w:highlight w:val="none"/>
              </w:rPr>
              <w:t>t/a</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76.91</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23.06</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34.68</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1.92</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0.46</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3.56</w:t>
            </w:r>
          </w:p>
        </w:tc>
        <w:tc>
          <w:tcPr>
            <w:tcW w:w="697" w:type="dxa"/>
            <w:tcBorders>
              <w:top w:val="single" w:color="auto" w:sz="8" w:space="0"/>
              <w:left w:val="single" w:color="000000" w:sz="6" w:space="0"/>
              <w:bottom w:val="single" w:color="auto" w:sz="8" w:space="0"/>
              <w:right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restart"/>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w:t>
            </w:r>
          </w:p>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污水</w:t>
            </w:r>
          </w:p>
        </w:tc>
        <w:tc>
          <w:tcPr>
            <w:tcW w:w="1061"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color w:val="auto"/>
                <w:kern w:val="0"/>
                <w:sz w:val="21"/>
                <w:szCs w:val="21"/>
                <w:highlight w:val="none"/>
                <w:u w:val="none"/>
                <w:lang w:val="en-US" w:eastAsia="zh-CN" w:bidi="ar"/>
              </w:rPr>
              <w:t>4088</w:t>
            </w: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w:t>
            </w:r>
          </w:p>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350</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150</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250</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25</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3</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continue"/>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871" w:right="0"/>
              <w:jc w:val="center"/>
              <w:rPr>
                <w:rFonts w:hint="default" w:ascii="Times New Roman" w:hAnsi="Times New Roman" w:eastAsia="宋体" w:cs="Times New Roman"/>
                <w:color w:val="auto"/>
                <w:sz w:val="21"/>
                <w:szCs w:val="21"/>
                <w:highlight w:val="none"/>
              </w:rPr>
            </w:pPr>
          </w:p>
        </w:tc>
        <w:tc>
          <w:tcPr>
            <w:tcW w:w="1061" w:type="dxa"/>
            <w:vMerge w:val="continue"/>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871" w:right="0"/>
              <w:jc w:val="center"/>
              <w:rPr>
                <w:rFonts w:hint="default" w:ascii="Times New Roman" w:hAnsi="Times New Roman" w:eastAsia="宋体" w:cs="Times New Roman"/>
                <w:color w:val="auto"/>
                <w:sz w:val="21"/>
                <w:szCs w:val="21"/>
                <w:highlight w:val="none"/>
              </w:rPr>
            </w:pP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产生量</w:t>
            </w:r>
            <w:r>
              <w:rPr>
                <w:rFonts w:hint="default" w:ascii="Times New Roman" w:hAnsi="Times New Roman" w:eastAsia="宋体" w:cs="Times New Roman"/>
                <w:color w:val="auto"/>
                <w:spacing w:val="-59"/>
                <w:sz w:val="21"/>
                <w:szCs w:val="21"/>
                <w:highlight w:val="none"/>
              </w:rPr>
              <w:t xml:space="preserve"> </w:t>
            </w:r>
            <w:r>
              <w:rPr>
                <w:rFonts w:hint="default" w:ascii="Times New Roman" w:hAnsi="Times New Roman" w:eastAsia="宋体" w:cs="Times New Roman"/>
                <w:color w:val="auto"/>
                <w:sz w:val="21"/>
                <w:szCs w:val="21"/>
                <w:highlight w:val="none"/>
              </w:rPr>
              <w:t>t/a</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1.43</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0.61</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1.02</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0.10</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restart"/>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混合后</w:t>
            </w:r>
          </w:p>
        </w:tc>
        <w:tc>
          <w:tcPr>
            <w:tcW w:w="1061"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90797.4</w:t>
            </w: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w:t>
            </w:r>
          </w:p>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862.80</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260.69</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393.18</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22.25</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5.18</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20000个/mL</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continue"/>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31" w:right="0"/>
              <w:jc w:val="center"/>
              <w:rPr>
                <w:rFonts w:hint="default" w:ascii="Times New Roman" w:hAnsi="Times New Roman" w:eastAsia="宋体" w:cs="Times New Roman"/>
                <w:color w:val="auto"/>
                <w:sz w:val="21"/>
                <w:szCs w:val="21"/>
                <w:highlight w:val="none"/>
              </w:rPr>
            </w:pPr>
          </w:p>
        </w:tc>
        <w:tc>
          <w:tcPr>
            <w:tcW w:w="1061" w:type="dxa"/>
            <w:vMerge w:val="continue"/>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31" w:right="0"/>
              <w:jc w:val="center"/>
              <w:rPr>
                <w:rFonts w:hint="default" w:ascii="Times New Roman" w:hAnsi="Times New Roman" w:eastAsia="宋体" w:cs="Times New Roman"/>
                <w:color w:val="auto"/>
                <w:sz w:val="21"/>
                <w:szCs w:val="21"/>
                <w:highlight w:val="none"/>
              </w:rPr>
            </w:pP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产生量</w:t>
            </w:r>
            <w:r>
              <w:rPr>
                <w:rFonts w:hint="default" w:ascii="Times New Roman" w:hAnsi="Times New Roman" w:eastAsia="宋体" w:cs="Times New Roman"/>
                <w:color w:val="auto"/>
                <w:spacing w:val="-59"/>
                <w:sz w:val="21"/>
                <w:szCs w:val="21"/>
                <w:highlight w:val="none"/>
              </w:rPr>
              <w:t xml:space="preserve"> </w:t>
            </w:r>
            <w:r>
              <w:rPr>
                <w:rFonts w:hint="default" w:ascii="Times New Roman" w:hAnsi="Times New Roman" w:eastAsia="宋体" w:cs="Times New Roman"/>
                <w:color w:val="auto"/>
                <w:sz w:val="21"/>
                <w:szCs w:val="21"/>
                <w:highlight w:val="none"/>
              </w:rPr>
              <w:t>t/a</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78.34</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23.67</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35.7</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2.02</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0.47</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restart"/>
            <w:tcBorders>
              <w:top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处理后</w:t>
            </w:r>
          </w:p>
        </w:tc>
        <w:tc>
          <w:tcPr>
            <w:tcW w:w="1061"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90797.4</w:t>
            </w:r>
          </w:p>
        </w:tc>
        <w:tc>
          <w:tcPr>
            <w:tcW w:w="908" w:type="dxa"/>
            <w:tcBorders>
              <w:top w:val="single" w:color="auto" w:sz="8" w:space="0"/>
              <w:left w:val="single" w:color="auto" w:sz="8" w:space="0"/>
              <w:bottom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排放浓度</w:t>
            </w:r>
          </w:p>
          <w:p>
            <w:pPr>
              <w:pStyle w:val="167"/>
              <w:keepNext w:val="0"/>
              <w:keepLines w:val="0"/>
              <w:suppressLineNumbers w:val="0"/>
              <w:kinsoku w:val="0"/>
              <w:overflowPunct w:val="0"/>
              <w:spacing w:before="0" w:beforeAutospacing="0" w:after="0" w:afterAutospacing="0"/>
              <w:ind w:left="0" w:right="1"/>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100</w:t>
            </w:r>
          </w:p>
        </w:tc>
        <w:tc>
          <w:tcPr>
            <w:tcW w:w="88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40</w:t>
            </w:r>
          </w:p>
        </w:tc>
        <w:tc>
          <w:tcPr>
            <w:tcW w:w="100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79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15</w:t>
            </w:r>
          </w:p>
        </w:tc>
        <w:tc>
          <w:tcPr>
            <w:tcW w:w="6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0.73</w:t>
            </w:r>
          </w:p>
        </w:tc>
        <w:tc>
          <w:tcPr>
            <w:tcW w:w="465" w:type="dxa"/>
            <w:tcBorders>
              <w:top w:val="single" w:color="auto" w:sz="8" w:space="0"/>
              <w:left w:val="single" w:color="auto" w:sz="8" w:space="0"/>
              <w:bottom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bottom w:val="single" w:color="auto" w:sz="8"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4000个/ml</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jc w:val="center"/>
        </w:trPr>
        <w:tc>
          <w:tcPr>
            <w:tcW w:w="999" w:type="dxa"/>
            <w:vMerge w:val="continue"/>
            <w:tcBorders>
              <w:top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04" w:right="0"/>
              <w:jc w:val="center"/>
              <w:rPr>
                <w:rFonts w:hint="default" w:ascii="Times New Roman" w:hAnsi="Times New Roman" w:eastAsia="宋体" w:cs="Times New Roman"/>
                <w:color w:val="auto"/>
                <w:sz w:val="21"/>
                <w:szCs w:val="21"/>
                <w:highlight w:val="none"/>
              </w:rPr>
            </w:pPr>
          </w:p>
        </w:tc>
        <w:tc>
          <w:tcPr>
            <w:tcW w:w="1061" w:type="dxa"/>
            <w:vMerge w:val="continue"/>
            <w:tcBorders>
              <w:top w:val="single" w:color="auto" w:sz="8" w:space="0"/>
              <w:left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304" w:right="0"/>
              <w:jc w:val="center"/>
              <w:rPr>
                <w:rFonts w:hint="default" w:ascii="Times New Roman" w:hAnsi="Times New Roman" w:eastAsia="宋体" w:cs="Times New Roman"/>
                <w:color w:val="auto"/>
                <w:sz w:val="21"/>
                <w:szCs w:val="21"/>
                <w:highlight w:val="none"/>
              </w:rPr>
            </w:pPr>
          </w:p>
        </w:tc>
        <w:tc>
          <w:tcPr>
            <w:tcW w:w="908" w:type="dxa"/>
            <w:tcBorders>
              <w:top w:val="single" w:color="auto" w:sz="8" w:space="0"/>
              <w:left w:val="single" w:color="auto" w:sz="8" w:space="0"/>
              <w:right w:val="single" w:color="auto" w:sz="8"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排放量</w:t>
            </w:r>
            <w:r>
              <w:rPr>
                <w:rFonts w:hint="default" w:ascii="Times New Roman" w:hAnsi="Times New Roman" w:eastAsia="宋体" w:cs="Times New Roman"/>
                <w:color w:val="auto"/>
                <w:spacing w:val="-59"/>
                <w:sz w:val="21"/>
                <w:szCs w:val="21"/>
                <w:highlight w:val="none"/>
              </w:rPr>
              <w:t xml:space="preserve"> </w:t>
            </w:r>
            <w:r>
              <w:rPr>
                <w:rFonts w:hint="default" w:ascii="Times New Roman" w:hAnsi="Times New Roman" w:eastAsia="宋体" w:cs="Times New Roman"/>
                <w:color w:val="auto"/>
                <w:sz w:val="21"/>
                <w:szCs w:val="21"/>
                <w:highlight w:val="none"/>
              </w:rPr>
              <w:t>t/a</w:t>
            </w:r>
          </w:p>
        </w:tc>
        <w:tc>
          <w:tcPr>
            <w:tcW w:w="883" w:type="dxa"/>
            <w:tcBorders>
              <w:top w:val="single" w:color="auto" w:sz="8" w:space="0"/>
              <w:left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9.08</w:t>
            </w:r>
          </w:p>
        </w:tc>
        <w:tc>
          <w:tcPr>
            <w:tcW w:w="883" w:type="dxa"/>
            <w:tcBorders>
              <w:top w:val="single" w:color="auto" w:sz="8" w:space="0"/>
              <w:left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3.63</w:t>
            </w:r>
          </w:p>
        </w:tc>
        <w:tc>
          <w:tcPr>
            <w:tcW w:w="1005" w:type="dxa"/>
            <w:tcBorders>
              <w:top w:val="single" w:color="auto" w:sz="8" w:space="0"/>
              <w:left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5.45</w:t>
            </w:r>
          </w:p>
        </w:tc>
        <w:tc>
          <w:tcPr>
            <w:tcW w:w="795" w:type="dxa"/>
            <w:tcBorders>
              <w:top w:val="single" w:color="auto" w:sz="8" w:space="0"/>
              <w:left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1.36</w:t>
            </w:r>
          </w:p>
        </w:tc>
        <w:tc>
          <w:tcPr>
            <w:tcW w:w="607" w:type="dxa"/>
            <w:tcBorders>
              <w:top w:val="single" w:color="auto" w:sz="8" w:space="0"/>
              <w:left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0.07</w:t>
            </w:r>
          </w:p>
        </w:tc>
        <w:tc>
          <w:tcPr>
            <w:tcW w:w="465" w:type="dxa"/>
            <w:tcBorders>
              <w:top w:val="single" w:color="auto" w:sz="8" w:space="0"/>
              <w:left w:val="single" w:color="auto" w:sz="8" w:space="0"/>
              <w:right w:val="single" w:color="000000" w:sz="6" w:space="0"/>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97" w:type="dxa"/>
            <w:tcBorders>
              <w:top w:val="single" w:color="auto" w:sz="8" w:space="0"/>
              <w:left w:val="single" w:color="000000" w:sz="6" w:space="0"/>
              <w:right w:val="nil"/>
            </w:tcBorders>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bl>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结合《畜禽养殖业污染治理工程技术规范》（HJ497-2009）可知，本项目污水处理工艺采用该规范推荐的“模式Ⅲ”，厌氧反应器采用该规范推荐的升流式固体反应器（UASB厌氧反应器），好氧生物处理采用该规范推荐的“缺氧/好氧（AO）生物处理工艺”，自然处理方式选用该规范推荐的“</w:t>
      </w:r>
      <w:r>
        <w:rPr>
          <w:rFonts w:hint="eastAsia" w:ascii="Times New Roman" w:hAnsi="Times New Roman" w:eastAsia="宋体" w:cs="Times New Roman"/>
          <w:color w:val="auto"/>
          <w:sz w:val="24"/>
          <w:szCs w:val="24"/>
          <w:highlight w:val="none"/>
          <w:lang w:val="en-US" w:eastAsia="zh-CN"/>
        </w:rPr>
        <w:t>土地处理方式</w:t>
      </w:r>
      <w:r>
        <w:rPr>
          <w:rFonts w:hint="eastAsia" w:ascii="Times New Roman" w:hAnsi="Times New Roman" w:eastAsia="宋体" w:cs="Times New Roman"/>
          <w:color w:val="auto"/>
          <w:sz w:val="24"/>
          <w:szCs w:val="24"/>
          <w:highlight w:val="none"/>
        </w:rPr>
        <w:t>”，消毒剂采用该规范推荐的“H</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O</w:t>
      </w:r>
      <w:r>
        <w:rPr>
          <w:rFonts w:hint="eastAsia" w:ascii="Times New Roman" w:hAnsi="Times New Roman" w:eastAsia="宋体" w:cs="Times New Roman"/>
          <w:color w:val="auto"/>
          <w:sz w:val="24"/>
          <w:szCs w:val="24"/>
          <w:highlight w:val="none"/>
          <w:vertAlign w:val="subscript"/>
          <w:lang w:val="en-US" w:eastAsia="zh-CN"/>
        </w:rPr>
        <w:t>2</w:t>
      </w:r>
      <w:r>
        <w:rPr>
          <w:rFonts w:hint="eastAsia" w:ascii="Times New Roman" w:hAnsi="Times New Roman" w:eastAsia="宋体" w:cs="Times New Roman"/>
          <w:color w:val="auto"/>
          <w:sz w:val="24"/>
          <w:szCs w:val="24"/>
          <w:highlight w:val="none"/>
        </w:rPr>
        <w:t>”，污泥处理采用该规范推荐的“好氧堆肥技术”。因此污水站工艺符合《畜禽养殖业污染治理工程技术规范》（HJ497-2009）的要求，选用的污水处理工艺合理可行。</w:t>
      </w:r>
    </w:p>
    <w:p>
      <w:pPr>
        <w:pStyle w:val="9"/>
        <w:bidi w:val="0"/>
        <w:spacing w:line="360" w:lineRule="auto"/>
        <w:rPr>
          <w:rFonts w:hint="default" w:ascii="Times New Roman" w:hAnsi="Times New Roman" w:eastAsia="宋体" w:cs="Times New Roman"/>
          <w:bCs/>
          <w:color w:val="auto"/>
          <w:kern w:val="2"/>
          <w:sz w:val="24"/>
          <w:szCs w:val="28"/>
          <w:highlight w:val="none"/>
          <w:lang w:val="en-US" w:eastAsia="zh-CN" w:bidi="ar-SA"/>
        </w:rPr>
      </w:pPr>
      <w:r>
        <w:rPr>
          <w:rFonts w:hint="eastAsia" w:eastAsia="宋体" w:cs="Times New Roman"/>
          <w:bCs/>
          <w:color w:val="auto"/>
          <w:kern w:val="2"/>
          <w:sz w:val="24"/>
          <w:szCs w:val="28"/>
          <w:highlight w:val="none"/>
          <w:lang w:val="en-US" w:eastAsia="zh-CN" w:bidi="ar-SA"/>
        </w:rPr>
        <w:t>农灌可行性分析</w:t>
      </w:r>
    </w:p>
    <w:p>
      <w:pPr>
        <w:ind w:firstLine="480" w:firstLineChars="200"/>
        <w:rPr>
          <w:rFonts w:hint="default"/>
          <w:color w:val="auto"/>
          <w:highlight w:val="none"/>
          <w:lang w:val="en-US" w:eastAsia="zh-CN"/>
        </w:rPr>
      </w:pPr>
      <w:r>
        <w:rPr>
          <w:rFonts w:hint="eastAsia" w:ascii="Times New Roman" w:cs="Times New Roman"/>
          <w:color w:val="auto"/>
          <w:sz w:val="24"/>
          <w:szCs w:val="24"/>
          <w:highlight w:val="none"/>
        </w:rPr>
        <w:t>根据现场调查，项目周边均为</w:t>
      </w:r>
      <w:r>
        <w:rPr>
          <w:rFonts w:hint="eastAsia" w:ascii="Times New Roman" w:cs="Times New Roman"/>
          <w:color w:val="auto"/>
          <w:sz w:val="24"/>
          <w:szCs w:val="24"/>
          <w:highlight w:val="none"/>
          <w:lang w:eastAsia="zh-CN"/>
        </w:rPr>
        <w:t>林地、</w:t>
      </w:r>
      <w:r>
        <w:rPr>
          <w:rFonts w:hint="eastAsia" w:ascii="Times New Roman" w:cs="Times New Roman"/>
          <w:color w:val="auto"/>
          <w:sz w:val="24"/>
          <w:szCs w:val="24"/>
          <w:highlight w:val="none"/>
        </w:rPr>
        <w:t>农田、蔬菜地。</w:t>
      </w:r>
      <w:r>
        <w:rPr>
          <w:rFonts w:hint="eastAsia" w:ascii="Times New Roman" w:cs="Times New Roman"/>
          <w:color w:val="auto"/>
          <w:sz w:val="24"/>
          <w:szCs w:val="24"/>
          <w:highlight w:val="none"/>
          <w:lang w:eastAsia="zh-CN"/>
        </w:rPr>
        <w:t>根据调查本项目直线距离约</w:t>
      </w:r>
      <w:r>
        <w:rPr>
          <w:rFonts w:hint="eastAsia" w:ascii="Times New Roman" w:cs="Times New Roman"/>
          <w:color w:val="auto"/>
          <w:sz w:val="24"/>
          <w:szCs w:val="24"/>
          <w:highlight w:val="none"/>
          <w:lang w:val="en-US" w:eastAsia="zh-CN"/>
        </w:rPr>
        <w:t>330m</w:t>
      </w:r>
      <w:r>
        <w:rPr>
          <w:rFonts w:hint="eastAsia" w:ascii="Times New Roman" w:cs="Times New Roman"/>
          <w:color w:val="auto"/>
          <w:sz w:val="24"/>
          <w:szCs w:val="24"/>
          <w:highlight w:val="none"/>
          <w:lang w:eastAsia="zh-CN"/>
        </w:rPr>
        <w:t>有一家养猪场，该养殖场养殖规模小于</w:t>
      </w:r>
      <w:r>
        <w:rPr>
          <w:rFonts w:hint="eastAsia" w:ascii="Times New Roman" w:cs="Times New Roman"/>
          <w:color w:val="auto"/>
          <w:sz w:val="24"/>
          <w:szCs w:val="24"/>
          <w:highlight w:val="none"/>
          <w:lang w:val="en-US" w:eastAsia="zh-CN"/>
        </w:rPr>
        <w:t>5000，养殖规模较小，且该养殖场消纳土地范围为杨家湾附近，与本项目消纳土地相隔较远，直线距离约1.5km左右，且有山体相隔。</w:t>
      </w:r>
    </w:p>
    <w:p>
      <w:pPr>
        <w:ind w:firstLine="480" w:firstLineChars="200"/>
        <w:rPr>
          <w:rFonts w:hint="eastAsia" w:ascii="Times New Roman" w:cs="Times New Roman"/>
          <w:color w:val="auto"/>
          <w:sz w:val="24"/>
          <w:szCs w:val="24"/>
          <w:highlight w:val="none"/>
        </w:rPr>
      </w:pPr>
      <w:r>
        <w:rPr>
          <w:rFonts w:hint="eastAsia" w:ascii="Times New Roman" w:cs="Times New Roman"/>
          <w:color w:val="auto"/>
          <w:sz w:val="24"/>
          <w:szCs w:val="24"/>
          <w:highlight w:val="none"/>
        </w:rPr>
        <w:t>本项目采用种养结合的方式，本项目配套建设农灌系统，农灌系统主要由恒压供水系统、阀门、</w:t>
      </w:r>
      <w:r>
        <w:rPr>
          <w:rFonts w:hint="eastAsia" w:ascii="Times New Roman" w:cs="Times New Roman"/>
          <w:color w:val="auto"/>
          <w:sz w:val="24"/>
          <w:szCs w:val="24"/>
          <w:highlight w:val="none"/>
          <w:lang w:eastAsia="zh-CN"/>
        </w:rPr>
        <w:t>田</w:t>
      </w:r>
      <w:r>
        <w:rPr>
          <w:rFonts w:hint="eastAsia" w:ascii="Times New Roman" w:cs="Times New Roman"/>
          <w:color w:val="auto"/>
          <w:sz w:val="24"/>
          <w:szCs w:val="24"/>
          <w:highlight w:val="none"/>
        </w:rPr>
        <w:t>间管道等组成。本项目废水储存池至</w:t>
      </w:r>
      <w:r>
        <w:rPr>
          <w:rFonts w:hint="eastAsia" w:ascii="Times New Roman" w:cs="Times New Roman"/>
          <w:color w:val="auto"/>
          <w:sz w:val="24"/>
          <w:szCs w:val="24"/>
          <w:highlight w:val="none"/>
          <w:lang w:eastAsia="zh-CN"/>
        </w:rPr>
        <w:t>灌溉区储存池</w:t>
      </w:r>
      <w:r>
        <w:rPr>
          <w:rFonts w:hint="eastAsia" w:ascii="Times New Roman" w:cs="Times New Roman"/>
          <w:color w:val="auto"/>
          <w:sz w:val="24"/>
          <w:szCs w:val="24"/>
          <w:highlight w:val="none"/>
        </w:rPr>
        <w:t>采用PE材质dn</w:t>
      </w:r>
      <w:r>
        <w:rPr>
          <w:rFonts w:hint="eastAsia" w:ascii="Times New Roman" w:cs="Times New Roman"/>
          <w:color w:val="auto"/>
          <w:sz w:val="24"/>
          <w:szCs w:val="24"/>
          <w:highlight w:val="none"/>
          <w:lang w:val="en-US" w:eastAsia="zh-CN"/>
        </w:rPr>
        <w:t>200</w:t>
      </w:r>
      <w:r>
        <w:rPr>
          <w:rFonts w:hint="eastAsia" w:ascii="Times New Roman" w:cs="Times New Roman"/>
          <w:color w:val="auto"/>
          <w:sz w:val="24"/>
          <w:szCs w:val="24"/>
          <w:highlight w:val="none"/>
        </w:rPr>
        <w:t>管道作为主管，田间支管采用PE材质dn50和dn32管道。本项目租用的</w:t>
      </w:r>
      <w:r>
        <w:rPr>
          <w:rFonts w:hint="eastAsia" w:ascii="Times New Roman" w:cs="Times New Roman"/>
          <w:color w:val="auto"/>
          <w:sz w:val="24"/>
          <w:szCs w:val="24"/>
          <w:highlight w:val="none"/>
          <w:lang w:eastAsia="zh-CN"/>
        </w:rPr>
        <w:t>农田</w:t>
      </w:r>
      <w:r>
        <w:rPr>
          <w:rFonts w:hint="eastAsia" w:ascii="Times New Roman" w:cs="Times New Roman"/>
          <w:color w:val="auto"/>
          <w:sz w:val="24"/>
          <w:szCs w:val="24"/>
          <w:highlight w:val="none"/>
        </w:rPr>
        <w:t>用户打开浇灌系统阀门，恒压供水系统自动运行，将储存池废水输送至</w:t>
      </w:r>
      <w:r>
        <w:rPr>
          <w:rFonts w:hint="eastAsia" w:ascii="Times New Roman" w:cs="Times New Roman"/>
          <w:color w:val="auto"/>
          <w:sz w:val="24"/>
          <w:szCs w:val="24"/>
          <w:highlight w:val="none"/>
          <w:lang w:eastAsia="zh-CN"/>
        </w:rPr>
        <w:t>农田</w:t>
      </w:r>
      <w:r>
        <w:rPr>
          <w:rFonts w:hint="eastAsia" w:ascii="Times New Roman" w:cs="Times New Roman"/>
          <w:color w:val="auto"/>
          <w:sz w:val="24"/>
          <w:szCs w:val="24"/>
          <w:highlight w:val="none"/>
        </w:rPr>
        <w:t>浇灌。</w:t>
      </w:r>
    </w:p>
    <w:p>
      <w:pPr>
        <w:pStyle w:val="24"/>
        <w:numPr>
          <w:ilvl w:val="0"/>
          <w:numId w:val="37"/>
        </w:numPr>
        <w:spacing w:line="360" w:lineRule="auto"/>
        <w:ind w:firstLine="480"/>
        <w:rPr>
          <w:rFonts w:hint="eastAsia"/>
          <w:b/>
          <w:bCs/>
          <w:color w:val="auto"/>
          <w:highlight w:val="none"/>
        </w:rPr>
      </w:pPr>
      <w:r>
        <w:rPr>
          <w:rFonts w:hint="eastAsia" w:ascii="Times New Roman" w:hAnsi="Times New Roman" w:eastAsia="宋体" w:cs="Times New Roman"/>
          <w:b/>
          <w:bCs/>
          <w:color w:val="auto"/>
          <w:sz w:val="24"/>
          <w:szCs w:val="24"/>
          <w:highlight w:val="none"/>
        </w:rPr>
        <w:t>废水还田可行性</w:t>
      </w:r>
    </w:p>
    <w:p>
      <w:pPr>
        <w:spacing w:line="360" w:lineRule="auto"/>
        <w:ind w:firstLine="482" w:firstLineChars="200"/>
        <w:jc w:val="both"/>
        <w:rPr>
          <w:rFonts w:ascii="Times New Roman" w:hAnsi="Times New Roman" w:eastAsia="宋体" w:cs="Times New Roman"/>
          <w:b/>
          <w:bCs/>
          <w:color w:val="auto"/>
          <w:sz w:val="24"/>
          <w:szCs w:val="24"/>
          <w:highlight w:val="none"/>
          <w:lang w:eastAsia="zh-CN"/>
        </w:rPr>
      </w:pPr>
      <w:r>
        <w:rPr>
          <w:rFonts w:hint="eastAsia" w:ascii="宋体" w:hAnsi="宋体" w:eastAsia="宋体" w:cs="宋体"/>
          <w:b/>
          <w:bCs/>
          <w:color w:val="auto"/>
          <w:sz w:val="24"/>
          <w:szCs w:val="24"/>
          <w:highlight w:val="none"/>
          <w:lang w:eastAsia="zh-CN"/>
        </w:rPr>
        <w:t>①</w:t>
      </w:r>
      <w:r>
        <w:rPr>
          <w:rFonts w:ascii="Times New Roman" w:hAnsi="Times New Roman" w:eastAsia="宋体" w:cs="Times New Roman"/>
          <w:b/>
          <w:bCs/>
          <w:color w:val="auto"/>
          <w:sz w:val="24"/>
          <w:szCs w:val="24"/>
          <w:highlight w:val="none"/>
          <w:lang w:eastAsia="zh-CN"/>
        </w:rPr>
        <w:t>消纳面积合理性分析</w:t>
      </w:r>
    </w:p>
    <w:p>
      <w:pPr>
        <w:spacing w:line="360" w:lineRule="auto"/>
        <w:ind w:firstLine="480" w:firstLineChars="200"/>
        <w:jc w:val="both"/>
        <w:rPr>
          <w:rFonts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根据《四川省用水定额》（川府函[2021]8号），巴州区属于Ⅱ类盆中丘陵区，灌溉用水定额详见下表：</w:t>
      </w:r>
    </w:p>
    <w:p>
      <w:pPr>
        <w:widowControl w:val="0"/>
        <w:numPr>
          <w:ilvl w:val="0"/>
          <w:numId w:val="34"/>
        </w:numPr>
        <w:spacing w:after="0" w:afterLines="0" w:line="360" w:lineRule="auto"/>
        <w:ind w:left="0" w:leftChars="0" w:firstLine="0" w:firstLineChars="0"/>
        <w:jc w:val="center"/>
        <w:rPr>
          <w:rFonts w:ascii="Times New Roman" w:hAnsi="Times New Roman" w:eastAsia="宋体" w:cs="Times New Roman"/>
          <w:b/>
          <w:color w:val="auto"/>
          <w:sz w:val="21"/>
          <w:szCs w:val="21"/>
          <w:highlight w:val="none"/>
          <w:lang w:eastAsia="zh-CN"/>
        </w:rPr>
      </w:pPr>
      <w:r>
        <w:rPr>
          <w:rFonts w:hint="eastAsia" w:ascii="Times New Roman" w:hAnsi="Times New Roman" w:eastAsia="宋体" w:cs="Times New Roman"/>
          <w:b/>
          <w:color w:val="auto"/>
          <w:sz w:val="21"/>
          <w:szCs w:val="21"/>
          <w:highlight w:val="none"/>
          <w:lang w:eastAsia="zh-CN"/>
        </w:rPr>
        <w:t>灌溉用水定额表    单位：m</w:t>
      </w:r>
      <w:r>
        <w:rPr>
          <w:rFonts w:hint="eastAsia" w:ascii="Times New Roman" w:hAnsi="Times New Roman" w:eastAsia="宋体" w:cs="Times New Roman"/>
          <w:b/>
          <w:color w:val="auto"/>
          <w:sz w:val="21"/>
          <w:szCs w:val="21"/>
          <w:highlight w:val="none"/>
          <w:vertAlign w:val="superscript"/>
          <w:lang w:eastAsia="zh-CN"/>
        </w:rPr>
        <w:t>3</w:t>
      </w:r>
      <w:r>
        <w:rPr>
          <w:rFonts w:hint="eastAsia" w:ascii="Times New Roman" w:hAnsi="Times New Roman" w:eastAsia="宋体" w:cs="Times New Roman"/>
          <w:b/>
          <w:color w:val="auto"/>
          <w:sz w:val="21"/>
          <w:szCs w:val="21"/>
          <w:highlight w:val="none"/>
          <w:lang w:eastAsia="zh-CN"/>
        </w:rPr>
        <w:t xml:space="preserve"> /亩</w:t>
      </w:r>
    </w:p>
    <w:tbl>
      <w:tblPr>
        <w:tblStyle w:val="9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3"/>
        <w:gridCol w:w="1822"/>
        <w:gridCol w:w="2427"/>
        <w:gridCol w:w="914"/>
        <w:gridCol w:w="914"/>
        <w:gridCol w:w="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pct"/>
            <w:vMerge w:val="restart"/>
            <w:tcBorders>
              <w:top w:val="single" w:color="auto" w:sz="12" w:space="0"/>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行业代码</w:t>
            </w:r>
          </w:p>
        </w:tc>
        <w:tc>
          <w:tcPr>
            <w:tcW w:w="1069" w:type="pct"/>
            <w:vMerge w:val="restart"/>
            <w:tcBorders>
              <w:top w:val="single" w:color="auto" w:sz="12"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行业名称</w:t>
            </w:r>
          </w:p>
        </w:tc>
        <w:tc>
          <w:tcPr>
            <w:tcW w:w="1424" w:type="pct"/>
            <w:vMerge w:val="restart"/>
            <w:tcBorders>
              <w:top w:val="single" w:color="auto" w:sz="12"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名称</w:t>
            </w:r>
          </w:p>
        </w:tc>
        <w:tc>
          <w:tcPr>
            <w:tcW w:w="1611" w:type="pct"/>
            <w:gridSpan w:val="3"/>
            <w:tcBorders>
              <w:top w:val="single" w:color="auto" w:sz="12" w:space="0"/>
              <w:left w:val="single" w:color="auto" w:sz="8" w:space="0"/>
              <w:bottom w:val="single" w:color="auto" w:sz="8"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灌溉分区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pct"/>
            <w:vMerge w:val="continue"/>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p>
        </w:tc>
        <w:tc>
          <w:tcPr>
            <w:tcW w:w="1069" w:type="pct"/>
            <w:vMerge w:val="continue"/>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p>
        </w:tc>
        <w:tc>
          <w:tcPr>
            <w:tcW w:w="1424" w:type="pct"/>
            <w:vMerge w:val="continue"/>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p>
        </w:tc>
        <w:tc>
          <w:tcPr>
            <w:tcW w:w="1611" w:type="pct"/>
            <w:gridSpan w:val="3"/>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II区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pct"/>
            <w:vMerge w:val="continue"/>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p>
        </w:tc>
        <w:tc>
          <w:tcPr>
            <w:tcW w:w="1069" w:type="pct"/>
            <w:vMerge w:val="continue"/>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p>
        </w:tc>
        <w:tc>
          <w:tcPr>
            <w:tcW w:w="1424" w:type="pct"/>
            <w:vMerge w:val="continue"/>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p>
        </w:tc>
        <w:tc>
          <w:tcPr>
            <w:tcW w:w="1611" w:type="pct"/>
            <w:gridSpan w:val="3"/>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灌溉保证率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894" w:type="pct"/>
            <w:vMerge w:val="continue"/>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p>
        </w:tc>
        <w:tc>
          <w:tcPr>
            <w:tcW w:w="1069" w:type="pct"/>
            <w:vMerge w:val="continue"/>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p>
        </w:tc>
        <w:tc>
          <w:tcPr>
            <w:tcW w:w="1424" w:type="pct"/>
            <w:vMerge w:val="continue"/>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p>
        </w:tc>
        <w:tc>
          <w:tcPr>
            <w:tcW w:w="536"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50%</w:t>
            </w:r>
          </w:p>
        </w:tc>
        <w:tc>
          <w:tcPr>
            <w:tcW w:w="536"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75%</w:t>
            </w:r>
          </w:p>
        </w:tc>
        <w:tc>
          <w:tcPr>
            <w:tcW w:w="537" w:type="pct"/>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pct"/>
            <w:vMerge w:val="restart"/>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A0141</w:t>
            </w:r>
          </w:p>
        </w:tc>
        <w:tc>
          <w:tcPr>
            <w:tcW w:w="1069" w:type="pct"/>
            <w:vMerge w:val="restar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蔬菜种植</w:t>
            </w:r>
          </w:p>
        </w:tc>
        <w:tc>
          <w:tcPr>
            <w:tcW w:w="1424"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大棚（茎叶类）</w:t>
            </w:r>
          </w:p>
        </w:tc>
        <w:tc>
          <w:tcPr>
            <w:tcW w:w="1611" w:type="pct"/>
            <w:gridSpan w:val="3"/>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pct"/>
            <w:vMerge w:val="continue"/>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1069" w:type="pct"/>
            <w:vMerge w:val="continue"/>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p>
        </w:tc>
        <w:tc>
          <w:tcPr>
            <w:tcW w:w="1424"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大棚（茄果类）</w:t>
            </w:r>
          </w:p>
        </w:tc>
        <w:tc>
          <w:tcPr>
            <w:tcW w:w="1611" w:type="pct"/>
            <w:gridSpan w:val="3"/>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pct"/>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A01</w:t>
            </w:r>
            <w:r>
              <w:rPr>
                <w:rFonts w:hint="eastAsia" w:ascii="Times New Roman" w:hAnsi="Times New Roman" w:eastAsia="宋体" w:cs="Times New Roman"/>
                <w:color w:val="auto"/>
                <w:sz w:val="21"/>
                <w:szCs w:val="21"/>
                <w:highlight w:val="none"/>
                <w:lang w:val="en-US" w:eastAsia="zh-CN"/>
              </w:rPr>
              <w:t>13</w:t>
            </w:r>
          </w:p>
        </w:tc>
        <w:tc>
          <w:tcPr>
            <w:tcW w:w="1069"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玉米</w:t>
            </w:r>
            <w:r>
              <w:rPr>
                <w:rFonts w:hint="default" w:ascii="Times New Roman" w:hAnsi="Times New Roman" w:eastAsia="宋体" w:cs="Times New Roman"/>
                <w:color w:val="auto"/>
                <w:sz w:val="21"/>
                <w:szCs w:val="21"/>
                <w:highlight w:val="none"/>
                <w:lang w:eastAsia="zh-CN"/>
              </w:rPr>
              <w:t>种植</w:t>
            </w:r>
          </w:p>
        </w:tc>
        <w:tc>
          <w:tcPr>
            <w:tcW w:w="1424"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玉米</w:t>
            </w:r>
          </w:p>
        </w:tc>
        <w:tc>
          <w:tcPr>
            <w:tcW w:w="536"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w:t>
            </w:r>
          </w:p>
        </w:tc>
        <w:tc>
          <w:tcPr>
            <w:tcW w:w="536"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40</w:t>
            </w:r>
          </w:p>
        </w:tc>
        <w:tc>
          <w:tcPr>
            <w:tcW w:w="537" w:type="pct"/>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pct"/>
            <w:tcBorders>
              <w:top w:val="single" w:color="auto" w:sz="8" w:space="0"/>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A01</w:t>
            </w:r>
            <w:r>
              <w:rPr>
                <w:rFonts w:hint="eastAsia" w:ascii="Times New Roman" w:hAnsi="Times New Roman" w:eastAsia="宋体" w:cs="Times New Roman"/>
                <w:color w:val="auto"/>
                <w:sz w:val="21"/>
                <w:szCs w:val="21"/>
                <w:highlight w:val="none"/>
                <w:lang w:val="en-US" w:eastAsia="zh-CN"/>
              </w:rPr>
              <w:t>21</w:t>
            </w:r>
          </w:p>
        </w:tc>
        <w:tc>
          <w:tcPr>
            <w:tcW w:w="1069"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豆类</w:t>
            </w:r>
            <w:r>
              <w:rPr>
                <w:rFonts w:hint="default" w:ascii="Times New Roman" w:hAnsi="Times New Roman" w:eastAsia="宋体" w:cs="Times New Roman"/>
                <w:color w:val="auto"/>
                <w:sz w:val="21"/>
                <w:szCs w:val="21"/>
                <w:highlight w:val="none"/>
                <w:lang w:eastAsia="zh-CN"/>
              </w:rPr>
              <w:t>种植</w:t>
            </w:r>
          </w:p>
        </w:tc>
        <w:tc>
          <w:tcPr>
            <w:tcW w:w="1424"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大豆</w:t>
            </w:r>
          </w:p>
        </w:tc>
        <w:tc>
          <w:tcPr>
            <w:tcW w:w="536"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w:t>
            </w:r>
          </w:p>
        </w:tc>
        <w:tc>
          <w:tcPr>
            <w:tcW w:w="536" w:type="pct"/>
            <w:tcBorders>
              <w:top w:val="single" w:color="auto" w:sz="8" w:space="0"/>
              <w:left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40</w:t>
            </w:r>
          </w:p>
        </w:tc>
        <w:tc>
          <w:tcPr>
            <w:tcW w:w="537" w:type="pct"/>
            <w:tcBorders>
              <w:top w:val="single" w:color="auto" w:sz="8" w:space="0"/>
              <w:left w:val="single" w:color="auto" w:sz="8" w:space="0"/>
              <w:bottom w:val="single" w:color="auto" w:sz="8"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pct"/>
            <w:tcBorders>
              <w:top w:val="single" w:color="auto" w:sz="8" w:space="0"/>
              <w:left w:val="nil"/>
              <w:bottom w:val="single" w:color="auto" w:sz="12"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A0</w:t>
            </w:r>
            <w:r>
              <w:rPr>
                <w:rFonts w:hint="eastAsia" w:ascii="Times New Roman" w:hAnsi="Times New Roman" w:eastAsia="宋体" w:cs="Times New Roman"/>
                <w:color w:val="auto"/>
                <w:sz w:val="21"/>
                <w:szCs w:val="21"/>
                <w:highlight w:val="none"/>
                <w:lang w:val="en-US" w:eastAsia="zh-CN"/>
              </w:rPr>
              <w:t>212</w:t>
            </w:r>
          </w:p>
        </w:tc>
        <w:tc>
          <w:tcPr>
            <w:tcW w:w="1069" w:type="pct"/>
            <w:tcBorders>
              <w:top w:val="single" w:color="auto" w:sz="8" w:space="0"/>
              <w:left w:val="single" w:color="auto" w:sz="8" w:space="0"/>
              <w:bottom w:val="single" w:color="auto" w:sz="12"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林木育苗</w:t>
            </w:r>
          </w:p>
        </w:tc>
        <w:tc>
          <w:tcPr>
            <w:tcW w:w="1424" w:type="pct"/>
            <w:tcBorders>
              <w:top w:val="single" w:color="auto" w:sz="8" w:space="0"/>
              <w:left w:val="single" w:color="auto" w:sz="8" w:space="0"/>
              <w:bottom w:val="single" w:color="auto" w:sz="12"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苗圃</w:t>
            </w:r>
          </w:p>
        </w:tc>
        <w:tc>
          <w:tcPr>
            <w:tcW w:w="536" w:type="pct"/>
            <w:tcBorders>
              <w:top w:val="single" w:color="auto" w:sz="8" w:space="0"/>
              <w:left w:val="single" w:color="auto" w:sz="8" w:space="0"/>
              <w:bottom w:val="single" w:color="auto" w:sz="12"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70</w:t>
            </w:r>
          </w:p>
        </w:tc>
        <w:tc>
          <w:tcPr>
            <w:tcW w:w="536" w:type="pct"/>
            <w:tcBorders>
              <w:top w:val="single" w:color="auto" w:sz="8" w:space="0"/>
              <w:left w:val="single" w:color="auto" w:sz="8" w:space="0"/>
              <w:bottom w:val="single" w:color="auto" w:sz="12"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80</w:t>
            </w:r>
          </w:p>
        </w:tc>
        <w:tc>
          <w:tcPr>
            <w:tcW w:w="537" w:type="pct"/>
            <w:tcBorders>
              <w:top w:val="single" w:color="auto" w:sz="8" w:space="0"/>
              <w:left w:val="single" w:color="auto" w:sz="8" w:space="0"/>
              <w:bottom w:val="single" w:color="auto" w:sz="12"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w:t>
            </w:r>
          </w:p>
        </w:tc>
      </w:tr>
    </w:tbl>
    <w:p>
      <w:pPr>
        <w:spacing w:line="360" w:lineRule="auto"/>
        <w:ind w:firstLine="480" w:firstLineChars="200"/>
        <w:jc w:val="both"/>
        <w:rPr>
          <w:rFonts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本项目消纳区除本项目自身绿化及周边林地外，其余主要种植</w:t>
      </w:r>
      <w:r>
        <w:rPr>
          <w:rFonts w:hint="eastAsia" w:ascii="Times New Roman" w:hAnsi="Times New Roman" w:cs="Times New Roman"/>
          <w:color w:val="auto"/>
          <w:sz w:val="24"/>
          <w:szCs w:val="24"/>
          <w:highlight w:val="none"/>
          <w:lang w:eastAsia="zh-CN"/>
        </w:rPr>
        <w:t>大棚蔬菜、玉米、大豆</w:t>
      </w:r>
      <w:r>
        <w:rPr>
          <w:rFonts w:hint="eastAsia" w:ascii="Times New Roman" w:hAnsi="Times New Roman" w:eastAsia="宋体" w:cs="Times New Roman"/>
          <w:color w:val="auto"/>
          <w:sz w:val="24"/>
          <w:szCs w:val="24"/>
          <w:highlight w:val="none"/>
          <w:lang w:eastAsia="zh-CN"/>
        </w:rPr>
        <w:t>等，保守估计，绿化及林地本次按照按50%灌溉保证率，同时考虑最不利情况，以</w:t>
      </w:r>
      <w:r>
        <w:rPr>
          <w:rFonts w:hint="eastAsia" w:ascii="Times New Roman" w:hAnsi="Times New Roman" w:eastAsia="宋体" w:cs="Times New Roman"/>
          <w:color w:val="auto"/>
          <w:sz w:val="24"/>
          <w:szCs w:val="24"/>
          <w:highlight w:val="none"/>
          <w:lang w:val="en-US" w:eastAsia="zh-CN"/>
        </w:rPr>
        <w:t>70</w:t>
      </w:r>
      <w:r>
        <w:rPr>
          <w:rFonts w:hint="eastAsia" w:ascii="Times New Roman" w:hAnsi="Times New Roman" w:eastAsia="宋体" w:cs="Times New Roman"/>
          <w:color w:val="auto"/>
          <w:sz w:val="24"/>
          <w:szCs w:val="24"/>
          <w:highlight w:val="none"/>
          <w:lang w:eastAsia="zh-CN"/>
        </w:rPr>
        <w:t>m</w:t>
      </w:r>
      <w:r>
        <w:rPr>
          <w:rFonts w:hint="eastAsia" w:ascii="Times New Roman" w:hAnsi="Times New Roman" w:eastAsia="宋体" w:cs="Times New Roman"/>
          <w:color w:val="auto"/>
          <w:sz w:val="24"/>
          <w:szCs w:val="24"/>
          <w:highlight w:val="none"/>
          <w:vertAlign w:val="superscript"/>
          <w:lang w:eastAsia="zh-CN"/>
        </w:rPr>
        <w:t>3</w:t>
      </w:r>
      <w:r>
        <w:rPr>
          <w:rFonts w:hint="eastAsia" w:ascii="Times New Roman" w:hAnsi="Times New Roman" w:eastAsia="宋体" w:cs="Times New Roman"/>
          <w:color w:val="auto"/>
          <w:sz w:val="24"/>
          <w:szCs w:val="24"/>
          <w:highlight w:val="none"/>
          <w:lang w:eastAsia="zh-CN"/>
        </w:rPr>
        <w:t>/亩进行计算，玉米、大豆类本次评价按50%灌溉保证率，同时考虑最不利情况，以</w:t>
      </w:r>
      <w:r>
        <w:rPr>
          <w:rFonts w:hint="eastAsia" w:ascii="Times New Roman" w:hAnsi="Times New Roman" w:eastAsia="宋体" w:cs="Times New Roman"/>
          <w:color w:val="auto"/>
          <w:sz w:val="24"/>
          <w:szCs w:val="24"/>
          <w:highlight w:val="none"/>
          <w:lang w:val="en-US" w:eastAsia="zh-CN"/>
        </w:rPr>
        <w:t>30</w:t>
      </w:r>
      <w:r>
        <w:rPr>
          <w:rFonts w:hint="eastAsia" w:ascii="Times New Roman" w:hAnsi="Times New Roman" w:eastAsia="宋体" w:cs="Times New Roman"/>
          <w:color w:val="auto"/>
          <w:sz w:val="24"/>
          <w:szCs w:val="24"/>
          <w:highlight w:val="none"/>
          <w:lang w:eastAsia="zh-CN"/>
        </w:rPr>
        <w:t>m</w:t>
      </w:r>
      <w:r>
        <w:rPr>
          <w:rFonts w:hint="eastAsia" w:ascii="Times New Roman" w:hAnsi="Times New Roman" w:eastAsia="宋体" w:cs="Times New Roman"/>
          <w:color w:val="auto"/>
          <w:sz w:val="24"/>
          <w:szCs w:val="24"/>
          <w:highlight w:val="none"/>
          <w:vertAlign w:val="superscript"/>
          <w:lang w:eastAsia="zh-CN"/>
        </w:rPr>
        <w:t>3</w:t>
      </w:r>
      <w:r>
        <w:rPr>
          <w:rFonts w:hint="eastAsia" w:ascii="Times New Roman" w:hAnsi="Times New Roman" w:eastAsia="宋体" w:cs="Times New Roman"/>
          <w:color w:val="auto"/>
          <w:sz w:val="24"/>
          <w:szCs w:val="24"/>
          <w:highlight w:val="none"/>
          <w:lang w:eastAsia="zh-CN"/>
        </w:rPr>
        <w:t>/亩进行计算，</w:t>
      </w:r>
      <w:r>
        <w:rPr>
          <w:rFonts w:hint="default" w:ascii="Times New Roman" w:hAnsi="Times New Roman" w:eastAsia="宋体" w:cs="Times New Roman"/>
          <w:color w:val="auto"/>
          <w:sz w:val="24"/>
          <w:szCs w:val="24"/>
          <w:highlight w:val="none"/>
          <w:lang w:eastAsia="zh-CN"/>
        </w:rPr>
        <w:t>蔬菜种植</w:t>
      </w:r>
      <w:r>
        <w:rPr>
          <w:rFonts w:hint="eastAsia" w:ascii="Times New Roman" w:hAnsi="Times New Roman" w:eastAsia="宋体" w:cs="Times New Roman"/>
          <w:color w:val="auto"/>
          <w:sz w:val="24"/>
          <w:szCs w:val="24"/>
          <w:highlight w:val="none"/>
          <w:lang w:eastAsia="zh-CN"/>
        </w:rPr>
        <w:t>以</w:t>
      </w:r>
      <w:r>
        <w:rPr>
          <w:rFonts w:hint="eastAsia" w:ascii="Times New Roman" w:hAnsi="Times New Roman" w:eastAsia="宋体" w:cs="Times New Roman"/>
          <w:color w:val="auto"/>
          <w:sz w:val="24"/>
          <w:szCs w:val="24"/>
          <w:highlight w:val="none"/>
          <w:lang w:val="en-US" w:eastAsia="zh-CN"/>
        </w:rPr>
        <w:t>333</w:t>
      </w:r>
      <w:r>
        <w:rPr>
          <w:rFonts w:hint="eastAsia" w:ascii="Times New Roman" w:hAnsi="Times New Roman" w:eastAsia="宋体" w:cs="Times New Roman"/>
          <w:color w:val="auto"/>
          <w:sz w:val="24"/>
          <w:szCs w:val="24"/>
          <w:highlight w:val="none"/>
          <w:lang w:eastAsia="zh-CN"/>
        </w:rPr>
        <w:t>m</w:t>
      </w:r>
      <w:r>
        <w:rPr>
          <w:rFonts w:hint="eastAsia" w:ascii="Times New Roman" w:hAnsi="Times New Roman" w:eastAsia="宋体" w:cs="Times New Roman"/>
          <w:color w:val="auto"/>
          <w:sz w:val="24"/>
          <w:szCs w:val="24"/>
          <w:highlight w:val="none"/>
          <w:vertAlign w:val="superscript"/>
          <w:lang w:eastAsia="zh-CN"/>
        </w:rPr>
        <w:t>3</w:t>
      </w:r>
      <w:r>
        <w:rPr>
          <w:rFonts w:hint="eastAsia" w:ascii="Times New Roman" w:hAnsi="Times New Roman" w:eastAsia="宋体" w:cs="Times New Roman"/>
          <w:color w:val="auto"/>
          <w:sz w:val="24"/>
          <w:szCs w:val="24"/>
          <w:highlight w:val="none"/>
          <w:lang w:eastAsia="zh-CN"/>
        </w:rPr>
        <w:t>/亩进行计算，本项目废水产生量为</w:t>
      </w:r>
      <w:r>
        <w:rPr>
          <w:rFonts w:hint="eastAsia" w:ascii="Times New Roman" w:hAnsi="Times New Roman" w:eastAsia="宋体" w:cs="Times New Roman"/>
          <w:color w:val="auto"/>
          <w:sz w:val="24"/>
          <w:szCs w:val="24"/>
          <w:highlight w:val="none"/>
          <w:lang w:val="en-US" w:eastAsia="zh-CN"/>
        </w:rPr>
        <w:t>90797</w:t>
      </w:r>
      <w:r>
        <w:rPr>
          <w:rFonts w:hint="eastAsia" w:ascii="Times New Roman" w:hAnsi="Times New Roman" w:eastAsia="宋体" w:cs="Times New Roman"/>
          <w:color w:val="auto"/>
          <w:sz w:val="24"/>
          <w:szCs w:val="24"/>
          <w:highlight w:val="none"/>
          <w:lang w:eastAsia="zh-CN"/>
        </w:rPr>
        <w:t>m</w:t>
      </w:r>
      <w:r>
        <w:rPr>
          <w:rFonts w:hint="eastAsia" w:ascii="Times New Roman" w:hAnsi="Times New Roman" w:eastAsia="宋体" w:cs="Times New Roman"/>
          <w:color w:val="auto"/>
          <w:sz w:val="24"/>
          <w:szCs w:val="24"/>
          <w:highlight w:val="none"/>
          <w:vertAlign w:val="superscript"/>
          <w:lang w:eastAsia="zh-CN"/>
        </w:rPr>
        <w:t>3</w:t>
      </w:r>
      <w:r>
        <w:rPr>
          <w:rFonts w:hint="eastAsia" w:ascii="Times New Roman" w:hAnsi="Times New Roman" w:eastAsia="宋体" w:cs="Times New Roman"/>
          <w:color w:val="auto"/>
          <w:sz w:val="24"/>
          <w:szCs w:val="24"/>
          <w:highlight w:val="none"/>
          <w:lang w:eastAsia="zh-CN"/>
        </w:rPr>
        <w:t>/a。本项目厂区内绿化及林地面积约为</w:t>
      </w:r>
      <w:r>
        <w:rPr>
          <w:rFonts w:hint="eastAsia" w:ascii="Times New Roman" w:hAnsi="Times New Roman" w:eastAsia="宋体" w:cs="Times New Roman"/>
          <w:color w:val="auto"/>
          <w:sz w:val="24"/>
          <w:szCs w:val="24"/>
          <w:highlight w:val="none"/>
          <w:lang w:val="en-US" w:eastAsia="zh-CN"/>
        </w:rPr>
        <w:t>1300亩，厂外玉米、大豆种植面积约为1000亩，蔬菜种植约为500亩，</w:t>
      </w:r>
      <w:r>
        <w:rPr>
          <w:rFonts w:hint="eastAsia" w:ascii="Times New Roman" w:hAnsi="Times New Roman" w:eastAsia="宋体" w:cs="Times New Roman"/>
          <w:color w:val="auto"/>
          <w:sz w:val="24"/>
          <w:szCs w:val="24"/>
          <w:highlight w:val="none"/>
          <w:lang w:eastAsia="zh-CN"/>
        </w:rPr>
        <w:t>则本项目消纳用地灌溉水量为：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厂内绿化及周边林地所需灌溉水量：</w:t>
      </w:r>
      <w:r>
        <w:rPr>
          <w:rFonts w:hint="eastAsia" w:ascii="Times New Roman" w:hAnsi="Times New Roman" w:eastAsia="宋体" w:cs="Times New Roman"/>
          <w:color w:val="auto"/>
          <w:sz w:val="24"/>
          <w:szCs w:val="24"/>
          <w:highlight w:val="none"/>
          <w:lang w:val="en-US" w:eastAsia="zh-CN"/>
        </w:rPr>
        <w:t>70</w:t>
      </w:r>
      <w:r>
        <w:rPr>
          <w:rFonts w:hint="eastAsia" w:ascii="Times New Roman" w:hAnsi="Times New Roman" w:eastAsia="宋体" w:cs="Times New Roman"/>
          <w:color w:val="auto"/>
          <w:sz w:val="24"/>
          <w:szCs w:val="24"/>
          <w:highlight w:val="none"/>
          <w:lang w:eastAsia="zh-CN"/>
        </w:rPr>
        <w:t>（每亩用水定额）</w:t>
      </w:r>
      <w:r>
        <w:rPr>
          <w:rFonts w:hint="default" w:ascii="Arial" w:hAnsi="Arial" w:eastAsia="宋体" w:cs="Arial"/>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1300（亩）=91000m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eastAsia="zh-CN"/>
        </w:rPr>
        <w:t>（灌溉水量）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企业消纳协议玉米、大豆</w:t>
      </w:r>
      <w:r>
        <w:rPr>
          <w:rFonts w:hint="default" w:ascii="Times New Roman" w:hAnsi="Times New Roman" w:eastAsia="宋体" w:cs="Times New Roman"/>
          <w:color w:val="auto"/>
          <w:sz w:val="24"/>
          <w:szCs w:val="24"/>
          <w:highlight w:val="none"/>
          <w:lang w:eastAsia="zh-CN"/>
        </w:rPr>
        <w:t>种植</w:t>
      </w:r>
      <w:r>
        <w:rPr>
          <w:rFonts w:hint="eastAsia" w:ascii="Times New Roman" w:hAnsi="Times New Roman" w:eastAsia="宋体" w:cs="Times New Roman"/>
          <w:color w:val="auto"/>
          <w:sz w:val="24"/>
          <w:szCs w:val="24"/>
          <w:highlight w:val="none"/>
          <w:lang w:eastAsia="zh-CN"/>
        </w:rPr>
        <w:t>所需所需灌溉水量：</w:t>
      </w:r>
      <w:r>
        <w:rPr>
          <w:rFonts w:hint="eastAsia" w:ascii="Times New Roman" w:hAnsi="Times New Roman" w:eastAsia="宋体" w:cs="Times New Roman"/>
          <w:color w:val="auto"/>
          <w:sz w:val="24"/>
          <w:szCs w:val="24"/>
          <w:highlight w:val="none"/>
          <w:lang w:val="en-US" w:eastAsia="zh-CN"/>
        </w:rPr>
        <w:t>30</w:t>
      </w:r>
      <w:r>
        <w:rPr>
          <w:rFonts w:hint="eastAsia" w:ascii="Times New Roman" w:hAnsi="Times New Roman" w:eastAsia="宋体" w:cs="Times New Roman"/>
          <w:color w:val="auto"/>
          <w:sz w:val="24"/>
          <w:szCs w:val="24"/>
          <w:highlight w:val="none"/>
          <w:lang w:eastAsia="zh-CN"/>
        </w:rPr>
        <w:t>（每亩用水定额）</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1000（亩）=30000m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eastAsia="zh-CN"/>
        </w:rPr>
        <w:t>（灌溉水量）</w:t>
      </w:r>
    </w:p>
    <w:p>
      <w:pPr>
        <w:spacing w:line="360" w:lineRule="auto"/>
        <w:ind w:firstLine="480" w:firstLineChars="200"/>
        <w:jc w:val="both"/>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企业消纳协议</w:t>
      </w:r>
      <w:r>
        <w:rPr>
          <w:rFonts w:hint="default" w:ascii="Times New Roman" w:hAnsi="Times New Roman" w:eastAsia="宋体" w:cs="Times New Roman"/>
          <w:color w:val="auto"/>
          <w:sz w:val="24"/>
          <w:szCs w:val="24"/>
          <w:highlight w:val="none"/>
          <w:lang w:eastAsia="zh-CN"/>
        </w:rPr>
        <w:t>蔬菜种植</w:t>
      </w:r>
      <w:r>
        <w:rPr>
          <w:rFonts w:hint="eastAsia" w:ascii="Times New Roman" w:hAnsi="Times New Roman" w:eastAsia="宋体" w:cs="Times New Roman"/>
          <w:color w:val="auto"/>
          <w:sz w:val="24"/>
          <w:szCs w:val="24"/>
          <w:highlight w:val="none"/>
          <w:lang w:eastAsia="zh-CN"/>
        </w:rPr>
        <w:t>所需所需所需灌溉水量：</w:t>
      </w:r>
      <w:r>
        <w:rPr>
          <w:rFonts w:hint="eastAsia" w:ascii="Times New Roman" w:hAnsi="Times New Roman" w:eastAsia="宋体" w:cs="Times New Roman"/>
          <w:color w:val="auto"/>
          <w:sz w:val="24"/>
          <w:szCs w:val="24"/>
          <w:highlight w:val="none"/>
          <w:lang w:val="en-US" w:eastAsia="zh-CN"/>
        </w:rPr>
        <w:t>333</w:t>
      </w:r>
      <w:r>
        <w:rPr>
          <w:rFonts w:hint="eastAsia" w:ascii="Times New Roman" w:hAnsi="Times New Roman" w:eastAsia="宋体" w:cs="Times New Roman"/>
          <w:color w:val="auto"/>
          <w:sz w:val="24"/>
          <w:szCs w:val="24"/>
          <w:highlight w:val="none"/>
          <w:lang w:eastAsia="zh-CN"/>
        </w:rPr>
        <w:t>（每亩用水定额）</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500（亩）=166500m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eastAsia="zh-CN"/>
        </w:rPr>
        <w:t>（灌溉水量）</w:t>
      </w:r>
    </w:p>
    <w:p>
      <w:pPr>
        <w:spacing w:line="360" w:lineRule="auto"/>
        <w:ind w:firstLine="480" w:firstLineChars="200"/>
        <w:jc w:val="both"/>
        <w:rPr>
          <w:rFonts w:hint="default" w:ascii="Times New Roman" w:hAnsi="Times New Roman" w:eastAsia="宋体" w:cs="Times New Roman"/>
          <w:color w:val="auto"/>
          <w:sz w:val="24"/>
          <w:szCs w:val="24"/>
          <w:highlight w:val="none"/>
          <w:vertAlign w:val="baseline"/>
          <w:lang w:val="en-US" w:eastAsia="zh-CN"/>
        </w:rPr>
      </w:pPr>
      <w:r>
        <w:rPr>
          <w:rFonts w:hint="eastAsia" w:ascii="Times New Roman" w:hAnsi="Times New Roman" w:eastAsia="宋体" w:cs="Times New Roman"/>
          <w:color w:val="auto"/>
          <w:sz w:val="24"/>
          <w:szCs w:val="24"/>
          <w:highlight w:val="none"/>
          <w:lang w:eastAsia="zh-CN"/>
        </w:rPr>
        <w:t>合计需求灌水量：</w:t>
      </w:r>
      <w:r>
        <w:rPr>
          <w:rFonts w:hint="eastAsia" w:ascii="Times New Roman" w:hAnsi="Times New Roman" w:eastAsia="宋体" w:cs="Times New Roman"/>
          <w:color w:val="auto"/>
          <w:sz w:val="24"/>
          <w:szCs w:val="24"/>
          <w:highlight w:val="none"/>
          <w:lang w:val="en-US" w:eastAsia="zh-CN"/>
        </w:rPr>
        <w:t>91000+30000+166500=287500</w:t>
      </w:r>
      <w:r>
        <w:rPr>
          <w:rFonts w:hint="eastAsia" w:ascii="Times New Roman" w:hAnsi="Times New Roman" w:eastAsia="宋体" w:cs="Times New Roman"/>
          <w:color w:val="auto"/>
          <w:sz w:val="24"/>
          <w:szCs w:val="24"/>
          <w:highlight w:val="none"/>
          <w:lang w:eastAsia="zh-CN"/>
        </w:rPr>
        <w:t>m</w:t>
      </w:r>
      <w:r>
        <w:rPr>
          <w:rFonts w:hint="eastAsia" w:ascii="Times New Roman" w:hAnsi="Times New Roman" w:eastAsia="宋体" w:cs="Times New Roman"/>
          <w:color w:val="auto"/>
          <w:sz w:val="24"/>
          <w:szCs w:val="24"/>
          <w:highlight w:val="none"/>
          <w:vertAlign w:val="superscript"/>
          <w:lang w:eastAsia="zh-CN"/>
        </w:rPr>
        <w:t>3</w:t>
      </w:r>
      <w:r>
        <w:rPr>
          <w:rFonts w:hint="eastAsia" w:ascii="Times New Roman" w:hAnsi="Times New Roman" w:eastAsia="宋体" w:cs="Times New Roman"/>
          <w:color w:val="auto"/>
          <w:sz w:val="24"/>
          <w:szCs w:val="24"/>
          <w:highlight w:val="none"/>
          <w:lang w:eastAsia="zh-CN"/>
        </w:rPr>
        <w:t>/a</w:t>
      </w:r>
      <w:r>
        <w:rPr>
          <w:rFonts w:hint="default" w:ascii="Times New Roman" w:hAnsi="Times New Roman" w:eastAsia="宋体" w:cs="Times New Roman"/>
          <w:color w:val="auto"/>
          <w:sz w:val="24"/>
          <w:szCs w:val="24"/>
          <w:highlight w:val="none"/>
          <w:vertAlign w:val="baseline"/>
          <w:lang w:val="en-US" w:eastAsia="zh-CN"/>
        </w:rPr>
        <w:t>&gt;</w:t>
      </w:r>
      <w:r>
        <w:rPr>
          <w:rFonts w:hint="eastAsia" w:ascii="Times New Roman" w:hAnsi="Times New Roman" w:eastAsia="宋体" w:cs="Times New Roman"/>
          <w:color w:val="auto"/>
          <w:sz w:val="24"/>
          <w:szCs w:val="24"/>
          <w:highlight w:val="none"/>
          <w:vertAlign w:val="baseline"/>
          <w:lang w:val="en-US" w:eastAsia="zh-CN"/>
        </w:rPr>
        <w:t>90797</w:t>
      </w:r>
      <w:r>
        <w:rPr>
          <w:rFonts w:hint="eastAsia" w:ascii="Times New Roman" w:hAnsi="Times New Roman" w:eastAsia="宋体" w:cs="Times New Roman"/>
          <w:color w:val="auto"/>
          <w:sz w:val="24"/>
          <w:szCs w:val="24"/>
          <w:highlight w:val="none"/>
          <w:lang w:eastAsia="zh-CN"/>
        </w:rPr>
        <w:t>m</w:t>
      </w:r>
      <w:r>
        <w:rPr>
          <w:rFonts w:hint="eastAsia" w:ascii="Times New Roman" w:hAnsi="Times New Roman" w:eastAsia="宋体" w:cs="Times New Roman"/>
          <w:color w:val="auto"/>
          <w:sz w:val="24"/>
          <w:szCs w:val="24"/>
          <w:highlight w:val="none"/>
          <w:vertAlign w:val="superscript"/>
          <w:lang w:eastAsia="zh-CN"/>
        </w:rPr>
        <w:t>3</w:t>
      </w:r>
      <w:r>
        <w:rPr>
          <w:rFonts w:hint="eastAsia" w:ascii="Times New Roman" w:hAnsi="Times New Roman" w:eastAsia="宋体" w:cs="Times New Roman"/>
          <w:color w:val="auto"/>
          <w:sz w:val="24"/>
          <w:szCs w:val="24"/>
          <w:highlight w:val="none"/>
          <w:lang w:eastAsia="zh-CN"/>
        </w:rPr>
        <w:t>/a</w:t>
      </w:r>
    </w:p>
    <w:p>
      <w:pPr>
        <w:spacing w:line="360" w:lineRule="auto"/>
        <w:ind w:firstLine="480" w:firstLineChars="200"/>
        <w:jc w:val="both"/>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本次评价，要求一倍轮作面积，本项目</w:t>
      </w:r>
      <w:r>
        <w:rPr>
          <w:rFonts w:hint="eastAsia" w:ascii="Times New Roman" w:hAnsi="Times New Roman" w:eastAsia="宋体" w:cs="Times New Roman"/>
          <w:color w:val="auto"/>
          <w:sz w:val="24"/>
          <w:szCs w:val="24"/>
          <w:highlight w:val="none"/>
        </w:rPr>
        <w:t>理论需要</w:t>
      </w:r>
      <w:r>
        <w:rPr>
          <w:rFonts w:hint="eastAsia" w:ascii="Times New Roman" w:hAnsi="Times New Roman" w:eastAsia="宋体" w:cs="Times New Roman"/>
          <w:color w:val="auto"/>
          <w:sz w:val="24"/>
          <w:szCs w:val="24"/>
          <w:highlight w:val="none"/>
          <w:lang w:eastAsia="zh-CN"/>
        </w:rPr>
        <w:t>最低</w:t>
      </w:r>
      <w:r>
        <w:rPr>
          <w:rFonts w:hint="eastAsia" w:ascii="Times New Roman" w:hAnsi="Times New Roman" w:eastAsia="宋体" w:cs="Times New Roman"/>
          <w:color w:val="auto"/>
          <w:sz w:val="24"/>
          <w:szCs w:val="24"/>
          <w:highlight w:val="none"/>
        </w:rPr>
        <w:t>消纳土地</w:t>
      </w:r>
      <w:r>
        <w:rPr>
          <w:rFonts w:hint="eastAsia" w:ascii="Times New Roman" w:hAnsi="Times New Roman" w:eastAsia="宋体" w:cs="Times New Roman"/>
          <w:color w:val="auto"/>
          <w:sz w:val="24"/>
          <w:szCs w:val="24"/>
          <w:highlight w:val="none"/>
          <w:lang w:eastAsia="zh-CN"/>
        </w:rPr>
        <w:t>面积（按蔬菜种植）为：</w:t>
      </w:r>
      <w:r>
        <w:rPr>
          <w:rFonts w:hint="eastAsia" w:ascii="Times New Roman" w:hAnsi="Times New Roman" w:eastAsia="宋体" w:cs="Times New Roman"/>
          <w:color w:val="auto"/>
          <w:sz w:val="24"/>
          <w:szCs w:val="24"/>
          <w:highlight w:val="none"/>
          <w:lang w:val="en-US" w:eastAsia="zh-CN"/>
        </w:rPr>
        <w:t>90797</w:t>
      </w:r>
      <w:r>
        <w:rPr>
          <w:rFonts w:hint="default" w:ascii="Arial" w:hAnsi="Arial" w:eastAsia="宋体" w:cs="Arial"/>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333=272.66亩，且本项目实际消纳土地</w:t>
      </w:r>
      <w:r>
        <w:rPr>
          <w:rFonts w:hint="eastAsia" w:ascii="Times New Roman" w:hAnsi="Times New Roman" w:eastAsia="宋体" w:cs="Times New Roman"/>
          <w:color w:val="auto"/>
          <w:sz w:val="24"/>
          <w:szCs w:val="24"/>
          <w:highlight w:val="none"/>
          <w:lang w:eastAsia="zh-CN"/>
        </w:rPr>
        <w:t>灌溉水量</w:t>
      </w:r>
      <w:r>
        <w:rPr>
          <w:rFonts w:hint="eastAsia" w:ascii="Times New Roman" w:hAnsi="Times New Roman" w:eastAsia="宋体" w:cs="Times New Roman"/>
          <w:color w:val="auto"/>
          <w:sz w:val="24"/>
          <w:szCs w:val="24"/>
          <w:highlight w:val="none"/>
          <w:lang w:val="en-US" w:eastAsia="zh-CN"/>
        </w:rPr>
        <w:t>287500</w:t>
      </w:r>
      <w:r>
        <w:rPr>
          <w:rFonts w:hint="eastAsia" w:ascii="Times New Roman" w:hAnsi="Times New Roman" w:eastAsia="宋体" w:cs="Times New Roman"/>
          <w:color w:val="auto"/>
          <w:sz w:val="24"/>
          <w:szCs w:val="24"/>
          <w:highlight w:val="none"/>
          <w:lang w:eastAsia="zh-CN"/>
        </w:rPr>
        <w:t>m</w:t>
      </w:r>
      <w:r>
        <w:rPr>
          <w:rFonts w:hint="eastAsia" w:ascii="Times New Roman" w:hAnsi="Times New Roman" w:eastAsia="宋体" w:cs="Times New Roman"/>
          <w:color w:val="auto"/>
          <w:sz w:val="24"/>
          <w:szCs w:val="24"/>
          <w:highlight w:val="none"/>
          <w:vertAlign w:val="superscript"/>
          <w:lang w:eastAsia="zh-CN"/>
        </w:rPr>
        <w:t>3</w:t>
      </w:r>
      <w:r>
        <w:rPr>
          <w:rFonts w:hint="eastAsia" w:ascii="Times New Roman" w:hAnsi="Times New Roman" w:eastAsia="宋体" w:cs="Times New Roman"/>
          <w:color w:val="auto"/>
          <w:sz w:val="24"/>
          <w:szCs w:val="24"/>
          <w:highlight w:val="none"/>
          <w:lang w:eastAsia="zh-CN"/>
        </w:rPr>
        <w:t>/a</w:t>
      </w:r>
      <w:r>
        <w:rPr>
          <w:rFonts w:hint="eastAsia" w:ascii="Times New Roman" w:hAnsi="Times New Roman" w:eastAsia="宋体" w:cs="Times New Roman"/>
          <w:color w:val="auto"/>
          <w:sz w:val="24"/>
          <w:szCs w:val="24"/>
          <w:highlight w:val="none"/>
        </w:rPr>
        <w:t>&gt;</w:t>
      </w:r>
      <w:r>
        <w:rPr>
          <w:rFonts w:hint="eastAsia" w:ascii="Times New Roman" w:hAnsi="Times New Roman" w:eastAsia="宋体" w:cs="Times New Roman"/>
          <w:color w:val="auto"/>
          <w:sz w:val="24"/>
          <w:szCs w:val="24"/>
          <w:highlight w:val="none"/>
          <w:lang w:eastAsia="zh-CN"/>
        </w:rPr>
        <w:t>本项目供应灌溉水量</w:t>
      </w:r>
      <w:r>
        <w:rPr>
          <w:rFonts w:hint="eastAsia" w:ascii="Times New Roman" w:hAnsi="Times New Roman" w:eastAsia="宋体" w:cs="Times New Roman"/>
          <w:color w:val="auto"/>
          <w:sz w:val="24"/>
          <w:szCs w:val="24"/>
          <w:highlight w:val="none"/>
          <w:vertAlign w:val="baseline"/>
          <w:lang w:val="en-US" w:eastAsia="zh-CN"/>
        </w:rPr>
        <w:t>90797</w:t>
      </w:r>
      <w:r>
        <w:rPr>
          <w:rFonts w:hint="eastAsia" w:ascii="Times New Roman" w:hAnsi="Times New Roman" w:eastAsia="宋体" w:cs="Times New Roman"/>
          <w:color w:val="auto"/>
          <w:sz w:val="24"/>
          <w:szCs w:val="24"/>
          <w:highlight w:val="none"/>
          <w:lang w:eastAsia="zh-CN"/>
        </w:rPr>
        <w:t>m</w:t>
      </w:r>
      <w:r>
        <w:rPr>
          <w:rFonts w:hint="eastAsia" w:ascii="Times New Roman" w:hAnsi="Times New Roman" w:eastAsia="宋体" w:cs="Times New Roman"/>
          <w:color w:val="auto"/>
          <w:sz w:val="24"/>
          <w:szCs w:val="24"/>
          <w:highlight w:val="none"/>
          <w:vertAlign w:val="superscript"/>
          <w:lang w:eastAsia="zh-CN"/>
        </w:rPr>
        <w:t>3</w:t>
      </w:r>
      <w:r>
        <w:rPr>
          <w:rFonts w:hint="eastAsia" w:ascii="Times New Roman" w:hAnsi="Times New Roman" w:eastAsia="宋体" w:cs="Times New Roman"/>
          <w:color w:val="auto"/>
          <w:sz w:val="24"/>
          <w:szCs w:val="24"/>
          <w:highlight w:val="none"/>
          <w:lang w:eastAsia="zh-CN"/>
        </w:rPr>
        <w:t>/a</w:t>
      </w:r>
      <w:r>
        <w:rPr>
          <w:rFonts w:hint="eastAsia" w:ascii="Times New Roman" w:hAnsi="Times New Roman" w:eastAsia="宋体" w:cs="Times New Roman"/>
          <w:color w:val="auto"/>
          <w:sz w:val="24"/>
          <w:szCs w:val="24"/>
          <w:highlight w:val="none"/>
        </w:rPr>
        <w:t>，可</w:t>
      </w:r>
      <w:r>
        <w:rPr>
          <w:rFonts w:hint="eastAsia" w:ascii="Times New Roman" w:hAnsi="Times New Roman" w:eastAsia="宋体" w:cs="Times New Roman"/>
          <w:color w:val="auto"/>
          <w:sz w:val="24"/>
          <w:szCs w:val="24"/>
          <w:highlight w:val="none"/>
          <w:lang w:eastAsia="zh-CN"/>
        </w:rPr>
        <w:t>消纳土地面积</w:t>
      </w:r>
      <w:r>
        <w:rPr>
          <w:rFonts w:hint="eastAsia" w:ascii="Times New Roman" w:hAnsi="Times New Roman" w:eastAsia="宋体" w:cs="Times New Roman"/>
          <w:color w:val="auto"/>
          <w:sz w:val="24"/>
          <w:szCs w:val="24"/>
          <w:highlight w:val="none"/>
        </w:rPr>
        <w:t>满足本项目的需要</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废水经处理后全部循环回用，不外排，不会对周边地表水环境造成明显不利影响。</w:t>
      </w:r>
    </w:p>
    <w:p>
      <w:pPr>
        <w:spacing w:line="360" w:lineRule="auto"/>
        <w:ind w:firstLine="482" w:firstLineChars="200"/>
        <w:jc w:val="both"/>
        <w:rPr>
          <w:rFonts w:ascii="宋体" w:hAnsi="宋体" w:cs="宋体"/>
          <w:b/>
          <w:color w:val="auto"/>
          <w:sz w:val="24"/>
          <w:highlight w:val="none"/>
        </w:rPr>
      </w:pPr>
      <w:r>
        <w:rPr>
          <w:rFonts w:hint="eastAsia" w:ascii="Times New Roman" w:hAnsi="Times New Roman" w:eastAsia="宋体" w:cs="Times New Roman"/>
          <w:b/>
          <w:color w:val="auto"/>
          <w:sz w:val="24"/>
          <w:szCs w:val="24"/>
          <w:highlight w:val="none"/>
          <w:lang w:eastAsia="zh-CN"/>
        </w:rPr>
        <w:t>B.根据废水N、P含量计算消纳面积</w:t>
      </w:r>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本项目运营期全年废水总量约90797.4m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w:t>
      </w:r>
      <w:r>
        <w:rPr>
          <w:rFonts w:hint="eastAsia" w:cs="Times New Roman"/>
          <w:color w:val="auto"/>
          <w:sz w:val="24"/>
          <w:highlight w:val="none"/>
          <w:lang w:val="en-US" w:eastAsia="zh-CN"/>
        </w:rPr>
        <w:t>总氮</w:t>
      </w:r>
      <w:r>
        <w:rPr>
          <w:rFonts w:hint="default" w:ascii="Times New Roman" w:hAnsi="Times New Roman" w:cs="Times New Roman"/>
          <w:color w:val="auto"/>
          <w:sz w:val="24"/>
          <w:highlight w:val="none"/>
        </w:rPr>
        <w:t>出水浓度为</w:t>
      </w:r>
      <w:r>
        <w:rPr>
          <w:rFonts w:hint="eastAsia" w:cs="Times New Roman"/>
          <w:color w:val="auto"/>
          <w:sz w:val="24"/>
          <w:highlight w:val="none"/>
          <w:lang w:val="en-US" w:eastAsia="zh-CN"/>
        </w:rPr>
        <w:t>15</w:t>
      </w:r>
      <w:r>
        <w:rPr>
          <w:rFonts w:hint="default" w:ascii="Times New Roman" w:hAnsi="Times New Roman" w:cs="Times New Roman"/>
          <w:color w:val="auto"/>
          <w:sz w:val="24"/>
          <w:highlight w:val="none"/>
        </w:rPr>
        <w:t>mg/L、总磷的出水浓度为</w:t>
      </w:r>
      <w:r>
        <w:rPr>
          <w:rFonts w:hint="eastAsia" w:cs="Times New Roman"/>
          <w:color w:val="auto"/>
          <w:sz w:val="24"/>
          <w:highlight w:val="none"/>
          <w:lang w:val="en-US" w:eastAsia="zh-CN"/>
        </w:rPr>
        <w:t>1</w:t>
      </w:r>
      <w:r>
        <w:rPr>
          <w:rFonts w:hint="default" w:ascii="Times New Roman" w:hAnsi="Times New Roman" w:cs="Times New Roman"/>
          <w:color w:val="auto"/>
          <w:sz w:val="24"/>
          <w:highlight w:val="none"/>
        </w:rPr>
        <w:t>mg/L，本项目消纳废水含氮总量为</w:t>
      </w:r>
      <w:r>
        <w:rPr>
          <w:rFonts w:hint="eastAsia" w:cs="Times New Roman"/>
          <w:color w:val="auto"/>
          <w:sz w:val="24"/>
          <w:highlight w:val="none"/>
          <w:lang w:val="en-US" w:eastAsia="zh-CN"/>
        </w:rPr>
        <w:t>1300</w:t>
      </w:r>
      <w:r>
        <w:rPr>
          <w:rFonts w:hint="default" w:ascii="Times New Roman" w:hAnsi="Times New Roman" w:cs="Times New Roman"/>
          <w:color w:val="auto"/>
          <w:sz w:val="24"/>
          <w:highlight w:val="none"/>
        </w:rPr>
        <w:t>kg/a、含磷量为</w:t>
      </w:r>
      <w:r>
        <w:rPr>
          <w:rFonts w:hint="eastAsia" w:cs="Times New Roman"/>
          <w:color w:val="auto"/>
          <w:sz w:val="24"/>
          <w:highlight w:val="none"/>
          <w:lang w:val="en-US" w:eastAsia="zh-CN"/>
        </w:rPr>
        <w:t>70</w:t>
      </w:r>
      <w:r>
        <w:rPr>
          <w:rFonts w:hint="default" w:ascii="Times New Roman" w:hAnsi="Times New Roman" w:cs="Times New Roman"/>
          <w:color w:val="auto"/>
          <w:sz w:val="24"/>
          <w:highlight w:val="none"/>
        </w:rPr>
        <w:t>kg/a。</w:t>
      </w:r>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根据农业部办公厅关于印发《畜禽规模养殖场粪污资源化利用设施建设规范（试行）的通知》（农办牧[2018]2 号）中“第十二条：堆肥、沤肥、沼肥、肥水等还田利用的，依据畜禽养殖粪污土地承载力测算技术指南合理确定配套农田面积。” </w:t>
      </w:r>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根据农业部办公厅关于引发《畜禽养殖粪污土地承载力测算技术指南》的通知（农办牧[2018]1 号），本项目废水以用于林地为主灌溉，本次畜禽粪污土地承载力及规模养殖场配套土地面积测算以粪肥氮养分供给为基础进行核算。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（1）区域植物养分需求量</w:t>
      </w:r>
    </w:p>
    <w:p>
      <w:pPr>
        <w:spacing w:line="360" w:lineRule="auto"/>
        <w:ind w:firstLine="480" w:firstLineChars="200"/>
        <w:jc w:val="both"/>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①单位土地粪肥需求量计算</w:t>
      </w:r>
    </w:p>
    <w:p>
      <w:pPr>
        <w:spacing w:line="360" w:lineRule="auto"/>
        <w:ind w:firstLine="480" w:firstLineChars="200"/>
        <w:jc w:val="both"/>
        <w:rPr>
          <w:rFonts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根据业主提供资料，本项目共设置</w:t>
      </w:r>
      <w:r>
        <w:rPr>
          <w:rFonts w:hint="eastAsia" w:ascii="Times New Roman" w:hAnsi="Times New Roman" w:eastAsia="宋体" w:cs="Times New Roman"/>
          <w:color w:val="auto"/>
          <w:sz w:val="24"/>
          <w:szCs w:val="24"/>
          <w:highlight w:val="none"/>
          <w:lang w:val="en-US" w:eastAsia="zh-CN"/>
        </w:rPr>
        <w:t>2800</w:t>
      </w:r>
      <w:r>
        <w:rPr>
          <w:rFonts w:hint="eastAsia" w:ascii="Times New Roman" w:hAnsi="Times New Roman" w:eastAsia="宋体" w:cs="Times New Roman"/>
          <w:color w:val="auto"/>
          <w:sz w:val="24"/>
          <w:szCs w:val="24"/>
          <w:highlight w:val="none"/>
          <w:lang w:eastAsia="zh-CN"/>
        </w:rPr>
        <w:t>亩消纳农用地（</w:t>
      </w:r>
      <w:r>
        <w:rPr>
          <w:rFonts w:hint="eastAsia" w:ascii="Times New Roman" w:hAnsi="Times New Roman" w:eastAsia="宋体" w:cs="Times New Roman"/>
          <w:color w:val="auto"/>
          <w:sz w:val="24"/>
          <w:szCs w:val="24"/>
          <w:highlight w:val="none"/>
          <w:lang w:eastAsia="zh-CN"/>
        </w:rPr>
        <w:t>本项目消纳区除本项目自身绿化及周边林地外，其余主要种植</w:t>
      </w:r>
      <w:r>
        <w:rPr>
          <w:rFonts w:hint="eastAsia" w:ascii="Times New Roman" w:hAnsi="Times New Roman" w:cs="Times New Roman"/>
          <w:color w:val="auto"/>
          <w:sz w:val="24"/>
          <w:szCs w:val="24"/>
          <w:highlight w:val="none"/>
          <w:lang w:eastAsia="zh-CN"/>
        </w:rPr>
        <w:t>大棚蔬菜、玉米、大豆</w:t>
      </w:r>
      <w:r>
        <w:rPr>
          <w:rFonts w:hint="eastAsia" w:ascii="Times New Roman" w:hAnsi="Times New Roman" w:eastAsia="宋体" w:cs="Times New Roman"/>
          <w:color w:val="auto"/>
          <w:sz w:val="24"/>
          <w:szCs w:val="24"/>
          <w:highlight w:val="none"/>
          <w:lang w:eastAsia="zh-CN"/>
        </w:rPr>
        <w:t>等</w:t>
      </w:r>
      <w:r>
        <w:rPr>
          <w:rFonts w:hint="eastAsia" w:ascii="Times New Roman" w:hAnsi="Times New Roman" w:eastAsia="宋体" w:cs="Times New Roman"/>
          <w:color w:val="auto"/>
          <w:sz w:val="24"/>
          <w:szCs w:val="24"/>
          <w:highlight w:val="none"/>
          <w:lang w:eastAsia="zh-CN"/>
        </w:rPr>
        <w:t>），其中玉米每亩产量400kg，大豆每亩产量</w:t>
      </w:r>
      <w:r>
        <w:rPr>
          <w:rFonts w:hint="eastAsia" w:ascii="Times New Roman" w:hAnsi="Times New Roman" w:eastAsia="宋体"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eastAsia="zh-CN"/>
        </w:rPr>
        <w:t>00kg，蔬菜每亩产量约</w:t>
      </w:r>
      <w:r>
        <w:rPr>
          <w:rFonts w:hint="eastAsia" w:ascii="Times New Roman" w:hAnsi="Times New Roman" w:eastAsia="宋体" w:cs="Times New Roman"/>
          <w:color w:val="auto"/>
          <w:sz w:val="24"/>
          <w:szCs w:val="24"/>
          <w:highlight w:val="none"/>
          <w:lang w:val="en-US" w:eastAsia="zh-CN"/>
        </w:rPr>
        <w:t>45</w:t>
      </w:r>
      <w:r>
        <w:rPr>
          <w:rFonts w:hint="eastAsia" w:ascii="Times New Roman" w:hAnsi="Times New Roman" w:eastAsia="宋体" w:cs="Times New Roman"/>
          <w:color w:val="auto"/>
          <w:sz w:val="24"/>
          <w:szCs w:val="24"/>
          <w:highlight w:val="none"/>
          <w:lang w:eastAsia="zh-CN"/>
        </w:rPr>
        <w:t>00kg。不同植物每亩氮养分需求量见下表。</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不同植物每亩N</w:t>
      </w:r>
      <w:r>
        <w:rPr>
          <w:rFonts w:hint="eastAsia" w:ascii="Times New Roman" w:hAnsi="Times New Roman" w:eastAsia="宋体" w:cs="Times New Roman"/>
          <w:b/>
          <w:bCs/>
          <w:color w:val="auto"/>
          <w:sz w:val="21"/>
          <w:szCs w:val="21"/>
          <w:highlight w:val="none"/>
          <w:lang w:eastAsia="zh-CN"/>
        </w:rPr>
        <w:t>需求量</w:t>
      </w:r>
    </w:p>
    <w:tbl>
      <w:tblPr>
        <w:tblStyle w:val="91"/>
        <w:tblW w:w="4998"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Layout w:type="autofit"/>
        <w:tblCellMar>
          <w:top w:w="0" w:type="dxa"/>
          <w:left w:w="0" w:type="dxa"/>
          <w:bottom w:w="0" w:type="dxa"/>
          <w:right w:w="0" w:type="dxa"/>
        </w:tblCellMar>
      </w:tblPr>
      <w:tblGrid>
        <w:gridCol w:w="578"/>
        <w:gridCol w:w="1766"/>
        <w:gridCol w:w="2143"/>
        <w:gridCol w:w="1473"/>
        <w:gridCol w:w="2343"/>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634" w:hRule="atLeast"/>
          <w:jc w:val="center"/>
        </w:trPr>
        <w:tc>
          <w:tcPr>
            <w:tcW w:w="1411" w:type="pct"/>
            <w:gridSpan w:val="2"/>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种类</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产量（kg/亩）</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形成100kg产量需要吸收氮</w:t>
            </w:r>
          </w:p>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推荐值</w:t>
            </w:r>
          </w:p>
        </w:tc>
        <w:tc>
          <w:tcPr>
            <w:tcW w:w="141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每亩氮养分需求量</w:t>
            </w:r>
          </w:p>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（kg/亩）</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大田作物</w:t>
            </w: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玉米</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400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2.3</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9.2</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大豆</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300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7.2</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21.6</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蔬菜</w:t>
            </w: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黄瓜</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4500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0.28</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12.6</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番茄</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4500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0.33</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14.85</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青椒</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4500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0.51</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22.95</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茄子</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4500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0.34</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15.3</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人工林地</w:t>
            </w:r>
          </w:p>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桉树</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i w:val="0"/>
                <w:iCs w:val="0"/>
                <w:caps w:val="0"/>
                <w:color w:val="auto"/>
                <w:spacing w:val="0"/>
                <w:sz w:val="24"/>
                <w:szCs w:val="24"/>
                <w:highlight w:val="none"/>
                <w:shd w:val="clear" w:fill="FFFFFF"/>
                <w:lang w:val="en-US"/>
              </w:rPr>
              <w:t>30m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3</w:t>
            </w:r>
            <w:r>
              <w:rPr>
                <w:rFonts w:hint="default" w:ascii="Times New Roman" w:hAnsi="Times New Roman" w:eastAsia="宋体" w:cs="Times New Roman"/>
                <w:i w:val="0"/>
                <w:iCs w:val="0"/>
                <w:caps w:val="0"/>
                <w:color w:val="auto"/>
                <w:spacing w:val="0"/>
                <w:sz w:val="24"/>
                <w:szCs w:val="24"/>
                <w:highlight w:val="none"/>
                <w:shd w:val="clear" w:fill="FFFFFF"/>
                <w:lang w:val="en-US"/>
              </w:rPr>
              <w:t>/hm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2</w:t>
            </w:r>
          </w:p>
        </w:tc>
        <w:tc>
          <w:tcPr>
            <w:tcW w:w="1473"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i w:val="0"/>
                <w:iCs w:val="0"/>
                <w:caps w:val="0"/>
                <w:color w:val="auto"/>
                <w:spacing w:val="0"/>
                <w:sz w:val="24"/>
                <w:szCs w:val="24"/>
                <w:highlight w:val="none"/>
                <w:shd w:val="clear" w:fill="FFFFFF"/>
                <w:lang w:val="en-US"/>
              </w:rPr>
              <w:t>3.3kg/m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3</w:t>
            </w:r>
          </w:p>
        </w:tc>
        <w:tc>
          <w:tcPr>
            <w:tcW w:w="141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aps w:val="0"/>
                <w:color w:val="auto"/>
                <w:spacing w:val="0"/>
                <w:sz w:val="24"/>
                <w:szCs w:val="24"/>
                <w:highlight w:val="none"/>
                <w:shd w:val="clear" w:fill="FFFFFF"/>
                <w:lang w:val="en-US" w:eastAsia="zh-CN"/>
              </w:rPr>
              <w:t>6.6</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杨树</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i w:val="0"/>
                <w:iCs w:val="0"/>
                <w:caps w:val="0"/>
                <w:color w:val="auto"/>
                <w:spacing w:val="0"/>
                <w:sz w:val="24"/>
                <w:szCs w:val="24"/>
                <w:highlight w:val="none"/>
                <w:shd w:val="clear" w:fill="FFFFFF"/>
                <w:lang w:val="en-US"/>
              </w:rPr>
              <w:t>20m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3</w:t>
            </w:r>
            <w:r>
              <w:rPr>
                <w:rFonts w:hint="default" w:ascii="Times New Roman" w:hAnsi="Times New Roman" w:eastAsia="宋体" w:cs="Times New Roman"/>
                <w:i w:val="0"/>
                <w:iCs w:val="0"/>
                <w:caps w:val="0"/>
                <w:color w:val="auto"/>
                <w:spacing w:val="0"/>
                <w:sz w:val="24"/>
                <w:szCs w:val="24"/>
                <w:highlight w:val="none"/>
                <w:shd w:val="clear" w:fill="FFFFFF"/>
                <w:lang w:val="en-US"/>
              </w:rPr>
              <w:t>/hm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2</w:t>
            </w:r>
          </w:p>
        </w:tc>
        <w:tc>
          <w:tcPr>
            <w:tcW w:w="1473"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i w:val="0"/>
                <w:iCs w:val="0"/>
                <w:caps w:val="0"/>
                <w:color w:val="auto"/>
                <w:spacing w:val="0"/>
                <w:sz w:val="24"/>
                <w:szCs w:val="24"/>
                <w:highlight w:val="none"/>
                <w:shd w:val="clear" w:fill="FFFFFF"/>
                <w:lang w:val="en-US" w:eastAsia="zh-CN"/>
              </w:rPr>
              <w:t>2.5</w:t>
            </w:r>
            <w:r>
              <w:rPr>
                <w:rFonts w:hint="default" w:ascii="Times New Roman" w:hAnsi="Times New Roman" w:eastAsia="宋体" w:cs="Times New Roman"/>
                <w:i w:val="0"/>
                <w:iCs w:val="0"/>
                <w:caps w:val="0"/>
                <w:color w:val="auto"/>
                <w:spacing w:val="0"/>
                <w:sz w:val="24"/>
                <w:szCs w:val="24"/>
                <w:highlight w:val="none"/>
                <w:shd w:val="clear" w:fill="FFFFFF"/>
                <w:lang w:val="en-US"/>
              </w:rPr>
              <w:t>kg/m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3</w:t>
            </w:r>
          </w:p>
        </w:tc>
        <w:tc>
          <w:tcPr>
            <w:tcW w:w="141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aps w:val="0"/>
                <w:color w:val="auto"/>
                <w:spacing w:val="0"/>
                <w:sz w:val="24"/>
                <w:szCs w:val="24"/>
                <w:highlight w:val="none"/>
                <w:shd w:val="clear" w:fill="FFFFFF"/>
                <w:lang w:val="en-US" w:eastAsia="zh-CN"/>
              </w:rPr>
              <w:t>3.33</w:t>
            </w:r>
          </w:p>
        </w:tc>
      </w:tr>
    </w:tbl>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不同植物每亩</w:t>
      </w:r>
      <w:r>
        <w:rPr>
          <w:rFonts w:hint="eastAsia" w:ascii="Times New Roman" w:hAnsi="Times New Roman" w:eastAsia="宋体" w:cs="Times New Roman"/>
          <w:b/>
          <w:bCs/>
          <w:color w:val="auto"/>
          <w:sz w:val="21"/>
          <w:szCs w:val="21"/>
          <w:highlight w:val="none"/>
          <w:lang w:val="en-US" w:eastAsia="zh-CN"/>
        </w:rPr>
        <w:t>P</w:t>
      </w:r>
      <w:r>
        <w:rPr>
          <w:rFonts w:hint="eastAsia" w:ascii="Times New Roman" w:hAnsi="Times New Roman" w:eastAsia="宋体" w:cs="Times New Roman"/>
          <w:b/>
          <w:bCs/>
          <w:color w:val="auto"/>
          <w:sz w:val="21"/>
          <w:szCs w:val="21"/>
          <w:highlight w:val="none"/>
          <w:lang w:eastAsia="zh-CN"/>
        </w:rPr>
        <w:t>需求量</w:t>
      </w:r>
    </w:p>
    <w:tbl>
      <w:tblPr>
        <w:tblStyle w:val="91"/>
        <w:tblW w:w="4998"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Layout w:type="autofit"/>
        <w:tblCellMar>
          <w:top w:w="0" w:type="dxa"/>
          <w:left w:w="0" w:type="dxa"/>
          <w:bottom w:w="0" w:type="dxa"/>
          <w:right w:w="0" w:type="dxa"/>
        </w:tblCellMar>
      </w:tblPr>
      <w:tblGrid>
        <w:gridCol w:w="578"/>
        <w:gridCol w:w="1766"/>
        <w:gridCol w:w="2143"/>
        <w:gridCol w:w="1473"/>
        <w:gridCol w:w="2343"/>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634" w:hRule="atLeast"/>
          <w:jc w:val="center"/>
        </w:trPr>
        <w:tc>
          <w:tcPr>
            <w:tcW w:w="1411" w:type="pct"/>
            <w:gridSpan w:val="2"/>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种类</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产量（kg/亩）</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形成100kg产量需要吸收氮</w:t>
            </w:r>
          </w:p>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推荐值</w:t>
            </w:r>
          </w:p>
        </w:tc>
        <w:tc>
          <w:tcPr>
            <w:tcW w:w="141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每亩氮养分需求量</w:t>
            </w:r>
          </w:p>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（kg/亩）</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大田作物</w:t>
            </w: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玉米</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400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0.3</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大豆</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300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0.44</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1.32</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蔬菜</w:t>
            </w: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黄瓜</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4500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0.09</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4.05</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番茄</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4500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0.1</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4.5</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青椒</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4500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0.107</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4.815</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茄子</w:t>
            </w:r>
          </w:p>
        </w:tc>
        <w:tc>
          <w:tcPr>
            <w:tcW w:w="1290"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4500</w:t>
            </w:r>
          </w:p>
        </w:tc>
        <w:tc>
          <w:tcPr>
            <w:tcW w:w="887"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0.1</w:t>
            </w:r>
          </w:p>
        </w:tc>
        <w:tc>
          <w:tcPr>
            <w:tcW w:w="1410"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4.5</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restar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人工林地</w:t>
            </w: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桉树</w:t>
            </w:r>
          </w:p>
        </w:tc>
        <w:tc>
          <w:tcPr>
            <w:tcW w:w="2143" w:type="dxa"/>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i w:val="0"/>
                <w:iCs w:val="0"/>
                <w:caps w:val="0"/>
                <w:color w:val="auto"/>
                <w:spacing w:val="0"/>
                <w:sz w:val="24"/>
                <w:szCs w:val="24"/>
                <w:highlight w:val="none"/>
                <w:shd w:val="clear" w:fill="FFFFFF"/>
                <w:lang w:val="en-US"/>
              </w:rPr>
              <w:t>30m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3</w:t>
            </w:r>
            <w:r>
              <w:rPr>
                <w:rFonts w:hint="default" w:ascii="Times New Roman" w:hAnsi="Times New Roman" w:eastAsia="宋体" w:cs="Times New Roman"/>
                <w:i w:val="0"/>
                <w:iCs w:val="0"/>
                <w:caps w:val="0"/>
                <w:color w:val="auto"/>
                <w:spacing w:val="0"/>
                <w:sz w:val="24"/>
                <w:szCs w:val="24"/>
                <w:highlight w:val="none"/>
                <w:shd w:val="clear" w:fill="FFFFFF"/>
                <w:lang w:val="en-US"/>
              </w:rPr>
              <w:t>/hm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2</w:t>
            </w:r>
          </w:p>
        </w:tc>
        <w:tc>
          <w:tcPr>
            <w:tcW w:w="1473"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i w:val="0"/>
                <w:iCs w:val="0"/>
                <w:caps w:val="0"/>
                <w:color w:val="auto"/>
                <w:spacing w:val="0"/>
                <w:sz w:val="24"/>
                <w:szCs w:val="24"/>
                <w:highlight w:val="none"/>
                <w:shd w:val="clear" w:fill="FFFFFF"/>
                <w:lang w:val="en-US"/>
              </w:rPr>
              <w:t>3.3kg/m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3</w:t>
            </w:r>
          </w:p>
        </w:tc>
        <w:tc>
          <w:tcPr>
            <w:tcW w:w="2343"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aps w:val="0"/>
                <w:color w:val="auto"/>
                <w:spacing w:val="0"/>
                <w:sz w:val="24"/>
                <w:szCs w:val="24"/>
                <w:highlight w:val="none"/>
                <w:shd w:val="clear" w:fill="FFFFFF"/>
                <w:lang w:val="en-US" w:eastAsia="zh-CN"/>
              </w:rPr>
              <w:t>6.6</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8" w:space="0"/>
          </w:tblBorders>
          <w:tblCellMar>
            <w:top w:w="0" w:type="dxa"/>
            <w:left w:w="0" w:type="dxa"/>
            <w:bottom w:w="0" w:type="dxa"/>
            <w:right w:w="0" w:type="dxa"/>
          </w:tblCellMar>
        </w:tblPrEx>
        <w:trPr>
          <w:trHeight w:val="341" w:hRule="atLeast"/>
          <w:jc w:val="center"/>
        </w:trPr>
        <w:tc>
          <w:tcPr>
            <w:tcW w:w="348" w:type="pct"/>
            <w:vMerge w:val="continue"/>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c>
          <w:tcPr>
            <w:tcW w:w="1063" w:type="pct"/>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杨树</w:t>
            </w:r>
          </w:p>
        </w:tc>
        <w:tc>
          <w:tcPr>
            <w:tcW w:w="2143" w:type="dxa"/>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16" w:rightChars="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i w:val="0"/>
                <w:iCs w:val="0"/>
                <w:caps w:val="0"/>
                <w:color w:val="auto"/>
                <w:spacing w:val="0"/>
                <w:sz w:val="24"/>
                <w:szCs w:val="24"/>
                <w:highlight w:val="none"/>
                <w:shd w:val="clear" w:fill="FFFFFF"/>
                <w:lang w:val="en-US"/>
              </w:rPr>
              <w:t>20m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3</w:t>
            </w:r>
            <w:r>
              <w:rPr>
                <w:rFonts w:hint="default" w:ascii="Times New Roman" w:hAnsi="Times New Roman" w:eastAsia="宋体" w:cs="Times New Roman"/>
                <w:i w:val="0"/>
                <w:iCs w:val="0"/>
                <w:caps w:val="0"/>
                <w:color w:val="auto"/>
                <w:spacing w:val="0"/>
                <w:sz w:val="24"/>
                <w:szCs w:val="24"/>
                <w:highlight w:val="none"/>
                <w:shd w:val="clear" w:fill="FFFFFF"/>
                <w:lang w:val="en-US"/>
              </w:rPr>
              <w:t>/hm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2</w:t>
            </w:r>
          </w:p>
        </w:tc>
        <w:tc>
          <w:tcPr>
            <w:tcW w:w="1473"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i w:val="0"/>
                <w:iCs w:val="0"/>
                <w:caps w:val="0"/>
                <w:color w:val="auto"/>
                <w:spacing w:val="0"/>
                <w:sz w:val="24"/>
                <w:szCs w:val="24"/>
                <w:highlight w:val="none"/>
                <w:shd w:val="clear" w:fill="FFFFFF"/>
                <w:lang w:val="en-US" w:eastAsia="zh-CN"/>
              </w:rPr>
              <w:t>2.5</w:t>
            </w:r>
            <w:r>
              <w:rPr>
                <w:rFonts w:hint="default" w:ascii="Times New Roman" w:hAnsi="Times New Roman" w:eastAsia="宋体" w:cs="Times New Roman"/>
                <w:i w:val="0"/>
                <w:iCs w:val="0"/>
                <w:caps w:val="0"/>
                <w:color w:val="auto"/>
                <w:spacing w:val="0"/>
                <w:sz w:val="24"/>
                <w:szCs w:val="24"/>
                <w:highlight w:val="none"/>
                <w:shd w:val="clear" w:fill="FFFFFF"/>
                <w:lang w:val="en-US"/>
              </w:rPr>
              <w:t>kg/m</w:t>
            </w:r>
            <w:r>
              <w:rPr>
                <w:rFonts w:hint="default" w:ascii="Times New Roman" w:hAnsi="Times New Roman" w:eastAsia="宋体" w:cs="Times New Roman"/>
                <w:i w:val="0"/>
                <w:iCs w:val="0"/>
                <w:caps w:val="0"/>
                <w:color w:val="auto"/>
                <w:spacing w:val="0"/>
                <w:sz w:val="24"/>
                <w:szCs w:val="24"/>
                <w:highlight w:val="none"/>
                <w:shd w:val="clear" w:fill="FFFFFF"/>
                <w:vertAlign w:val="superscript"/>
                <w:lang w:val="en-US"/>
              </w:rPr>
              <w:t>3</w:t>
            </w:r>
          </w:p>
        </w:tc>
        <w:tc>
          <w:tcPr>
            <w:tcW w:w="2343"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aps w:val="0"/>
                <w:color w:val="auto"/>
                <w:spacing w:val="0"/>
                <w:sz w:val="24"/>
                <w:szCs w:val="24"/>
                <w:highlight w:val="none"/>
                <w:shd w:val="clear" w:fill="FFFFFF"/>
                <w:lang w:val="en-US" w:eastAsia="zh-CN"/>
              </w:rPr>
              <w:t>3.33</w:t>
            </w:r>
          </w:p>
        </w:tc>
      </w:tr>
    </w:tbl>
    <w:p>
      <w:pPr>
        <w:spacing w:line="360" w:lineRule="auto"/>
        <w:ind w:firstLine="480" w:firstLineChars="200"/>
        <w:jc w:val="both"/>
        <w:rPr>
          <w:rFonts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则消纳区域单位土地粪肥养分需求量以下式计算：</w:t>
      </w:r>
    </w:p>
    <w:p>
      <w:pPr>
        <w:spacing w:line="360" w:lineRule="auto"/>
        <w:jc w:val="center"/>
        <w:rPr>
          <w:rFonts w:ascii="Times New Roman" w:hAnsi="Times New Roman" w:eastAsia="宋体" w:cs="Times New Roman"/>
          <w:color w:val="auto"/>
          <w:sz w:val="24"/>
          <w:szCs w:val="24"/>
          <w:highlight w:val="none"/>
          <w:lang w:eastAsia="zh-CN"/>
        </w:rPr>
      </w:pPr>
      <w:r>
        <w:rPr>
          <w:rFonts w:ascii="Times New Roman" w:hAnsi="Times New Roman" w:eastAsia="宋体" w:cs="Times New Roman"/>
          <w:color w:val="auto"/>
          <w:sz w:val="24"/>
          <w:szCs w:val="24"/>
          <w:highlight w:val="none"/>
          <w:lang w:eastAsia="zh-CN"/>
        </w:rPr>
        <w:drawing>
          <wp:inline distT="0" distB="0" distL="0" distR="0">
            <wp:extent cx="5172075" cy="781050"/>
            <wp:effectExtent l="0" t="0" r="9525" b="0"/>
            <wp:docPr id="80" name="图片 33"/>
            <wp:cNvGraphicFramePr/>
            <a:graphic xmlns:a="http://schemas.openxmlformats.org/drawingml/2006/main">
              <a:graphicData uri="http://schemas.openxmlformats.org/drawingml/2006/picture">
                <pic:pic xmlns:pic="http://schemas.openxmlformats.org/drawingml/2006/picture">
                  <pic:nvPicPr>
                    <pic:cNvPr id="80" name="图片 33"/>
                    <pic:cNvPicPr/>
                  </pic:nvPicPr>
                  <pic:blipFill>
                    <a:blip r:embed="rId52" cstate="print"/>
                    <a:srcRect/>
                    <a:stretch>
                      <a:fillRect/>
                    </a:stretch>
                  </pic:blipFill>
                  <pic:spPr>
                    <a:xfrm>
                      <a:off x="0" y="0"/>
                      <a:ext cx="5172075" cy="781050"/>
                    </a:xfrm>
                    <a:prstGeom prst="rect">
                      <a:avLst/>
                    </a:prstGeom>
                    <a:noFill/>
                    <a:ln w="9525">
                      <a:noFill/>
                      <a:miter lim="800000"/>
                      <a:headEnd/>
                      <a:tailEnd/>
                    </a:ln>
                  </pic:spPr>
                </pic:pic>
              </a:graphicData>
            </a:graphic>
          </wp:inline>
        </w:drawing>
      </w:r>
    </w:p>
    <w:p>
      <w:pPr>
        <w:spacing w:line="360" w:lineRule="auto"/>
        <w:ind w:firstLine="480" w:firstLineChars="200"/>
        <w:rPr>
          <w:rFonts w:hint="default" w:ascii="Times New Roman" w:hAnsi="Times New Roman" w:cs="Times New Roman"/>
          <w:color w:val="auto"/>
          <w:sz w:val="24"/>
          <w:highlight w:val="none"/>
        </w:rPr>
      </w:pPr>
      <w:r>
        <w:rPr>
          <w:rFonts w:hint="eastAsia" w:ascii="Times New Roman" w:hAnsi="Times New Roman" w:eastAsia="宋体" w:cs="Times New Roman"/>
          <w:color w:val="auto"/>
          <w:sz w:val="24"/>
          <w:szCs w:val="24"/>
          <w:highlight w:val="none"/>
          <w:lang w:eastAsia="zh-CN"/>
        </w:rPr>
        <w:t>根据上表，分别选取各类作物种类中每亩氮、磷养分需求平均值作为代表核算单位土地粪肥养分需求量。施肥供给养分占比取表2中</w:t>
      </w:r>
      <w:r>
        <w:rPr>
          <w:rFonts w:hint="eastAsia" w:ascii="宋体" w:hAnsi="宋体" w:eastAsia="宋体" w:cs="宋体"/>
          <w:color w:val="auto"/>
          <w:sz w:val="24"/>
          <w:szCs w:val="24"/>
          <w:highlight w:val="none"/>
          <w:lang w:eastAsia="zh-CN"/>
        </w:rPr>
        <w:t>Ⅰ</w:t>
      </w:r>
      <w:r>
        <w:rPr>
          <w:rFonts w:hint="eastAsia" w:ascii="Times New Roman" w:hAnsi="Times New Roman" w:eastAsia="宋体" w:cs="Times New Roman"/>
          <w:color w:val="auto"/>
          <w:sz w:val="24"/>
          <w:szCs w:val="24"/>
          <w:highlight w:val="none"/>
          <w:lang w:eastAsia="zh-CN"/>
        </w:rPr>
        <w:t>级土壤类型中</w:t>
      </w:r>
      <w:r>
        <w:rPr>
          <w:rFonts w:hint="default" w:ascii="Times New Roman" w:hAnsi="Times New Roman" w:cs="Times New Roman"/>
          <w:color w:val="auto"/>
          <w:sz w:val="24"/>
          <w:highlight w:val="none"/>
        </w:rPr>
        <w:t xml:space="preserve">施肥供给养分占比取35%； </w:t>
      </w:r>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粪肥占施肥比例取100%； </w:t>
      </w:r>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粪肥中氮素当季利用率取值范围推荐值为25%—30%，取平均值28%；</w:t>
      </w:r>
    </w:p>
    <w:p>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highlight w:val="none"/>
        </w:rPr>
        <w:t>粪肥中磷素当季利用率取值范围推荐值为30%—35%，取平均值33%；</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单位土地粪肥养分需求量计算一览表</w:t>
      </w:r>
    </w:p>
    <w:tbl>
      <w:tblPr>
        <w:tblStyle w:val="9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609"/>
        <w:gridCol w:w="1650"/>
        <w:gridCol w:w="1224"/>
        <w:gridCol w:w="1128"/>
        <w:gridCol w:w="1128"/>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472" w:type="pct"/>
            <w:tcBorders>
              <w:top w:val="single" w:color="auto" w:sz="12" w:space="0"/>
              <w:left w:val="nil"/>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color w:val="auto"/>
                <w:sz w:val="21"/>
                <w:szCs w:val="21"/>
                <w:highlight w:val="none"/>
                <w:lang w:eastAsia="zh-CN"/>
              </w:rPr>
            </w:pPr>
            <w:r>
              <w:rPr>
                <w:rFonts w:hint="eastAsia" w:ascii="Times New Roman" w:hAnsi="Times New Roman" w:cs="Times New Roman"/>
                <w:b/>
                <w:color w:val="auto"/>
                <w:sz w:val="21"/>
                <w:szCs w:val="21"/>
                <w:highlight w:val="none"/>
                <w:lang w:eastAsia="zh-CN"/>
              </w:rPr>
              <w:t>配套土地类型</w:t>
            </w:r>
          </w:p>
        </w:tc>
        <w:tc>
          <w:tcPr>
            <w:tcW w:w="361" w:type="pct"/>
            <w:tcBorders>
              <w:top w:val="single" w:color="auto" w:sz="12"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color w:val="auto"/>
                <w:sz w:val="21"/>
                <w:szCs w:val="21"/>
                <w:highlight w:val="none"/>
                <w:lang w:eastAsia="zh-CN"/>
              </w:rPr>
            </w:pPr>
            <w:r>
              <w:rPr>
                <w:rFonts w:hint="eastAsia" w:ascii="Times New Roman" w:hAnsi="Times New Roman" w:cs="Times New Roman"/>
                <w:b/>
                <w:color w:val="auto"/>
                <w:sz w:val="21"/>
                <w:szCs w:val="21"/>
                <w:highlight w:val="none"/>
                <w:lang w:eastAsia="zh-CN"/>
              </w:rPr>
              <w:t>养分类别</w:t>
            </w:r>
          </w:p>
        </w:tc>
        <w:tc>
          <w:tcPr>
            <w:tcW w:w="979" w:type="pct"/>
            <w:tcBorders>
              <w:top w:val="single" w:color="auto" w:sz="12"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color w:val="auto"/>
                <w:sz w:val="21"/>
                <w:szCs w:val="21"/>
                <w:highlight w:val="none"/>
                <w:lang w:eastAsia="zh-CN"/>
              </w:rPr>
            </w:pPr>
            <w:r>
              <w:rPr>
                <w:rFonts w:hint="eastAsia" w:ascii="Times New Roman" w:hAnsi="Times New Roman" w:cs="Times New Roman"/>
                <w:b/>
                <w:color w:val="auto"/>
                <w:sz w:val="21"/>
                <w:szCs w:val="21"/>
                <w:highlight w:val="none"/>
              </w:rPr>
              <w:t>单位土地养分需求量（kg/亩</w:t>
            </w:r>
            <w:r>
              <w:rPr>
                <w:rFonts w:hint="eastAsia" w:ascii="Times New Roman" w:hAnsi="Times New Roman" w:cs="Times New Roman"/>
                <w:b/>
                <w:color w:val="auto"/>
                <w:sz w:val="21"/>
                <w:szCs w:val="21"/>
                <w:highlight w:val="none"/>
                <w:lang w:eastAsia="zh-CN"/>
              </w:rPr>
              <w:t>）</w:t>
            </w:r>
          </w:p>
        </w:tc>
        <w:tc>
          <w:tcPr>
            <w:tcW w:w="726" w:type="pct"/>
            <w:tcBorders>
              <w:top w:val="single" w:color="auto" w:sz="12"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施肥供给养分占比(%)</w:t>
            </w:r>
          </w:p>
        </w:tc>
        <w:tc>
          <w:tcPr>
            <w:tcW w:w="669" w:type="pct"/>
            <w:tcBorders>
              <w:top w:val="single" w:color="auto" w:sz="12"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粪肥占施肥比例(%)</w:t>
            </w:r>
          </w:p>
        </w:tc>
        <w:tc>
          <w:tcPr>
            <w:tcW w:w="669" w:type="pct"/>
            <w:tcBorders>
              <w:top w:val="single" w:color="auto" w:sz="12"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粪肥当季利用率(%)</w:t>
            </w:r>
          </w:p>
        </w:tc>
        <w:tc>
          <w:tcPr>
            <w:tcW w:w="1119" w:type="pct"/>
            <w:tcBorders>
              <w:top w:val="single" w:color="auto" w:sz="12" w:space="0"/>
              <w:left w:val="single" w:color="auto" w:sz="8" w:space="0"/>
              <w:bottom w:val="single" w:color="auto" w:sz="8" w:space="0"/>
              <w:right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color w:val="auto"/>
                <w:sz w:val="21"/>
                <w:szCs w:val="21"/>
                <w:highlight w:val="none"/>
                <w:lang w:eastAsia="zh-CN"/>
              </w:rPr>
            </w:pPr>
            <w:r>
              <w:rPr>
                <w:rFonts w:hint="eastAsia" w:ascii="Times New Roman" w:hAnsi="Times New Roman" w:cs="Times New Roman"/>
                <w:b/>
                <w:color w:val="auto"/>
                <w:sz w:val="21"/>
                <w:szCs w:val="21"/>
                <w:highlight w:val="none"/>
              </w:rPr>
              <w:t>单位土地粪肥养分需求量（kg/亩</w:t>
            </w:r>
            <w:r>
              <w:rPr>
                <w:rFonts w:hint="eastAsia" w:ascii="Times New Roman" w:hAnsi="Times New Roman" w:cs="Times New Roman"/>
                <w:b/>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472" w:type="pct"/>
            <w:vMerge w:val="restart"/>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玉米</w:t>
            </w:r>
          </w:p>
        </w:tc>
        <w:tc>
          <w:tcPr>
            <w:tcW w:w="361"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N</w:t>
            </w:r>
          </w:p>
        </w:tc>
        <w:tc>
          <w:tcPr>
            <w:tcW w:w="97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9.2</w:t>
            </w:r>
          </w:p>
        </w:tc>
        <w:tc>
          <w:tcPr>
            <w:tcW w:w="726"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35</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100</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28</w:t>
            </w:r>
          </w:p>
        </w:tc>
        <w:tc>
          <w:tcPr>
            <w:tcW w:w="1886" w:type="dxa"/>
            <w:tcBorders>
              <w:top w:val="single" w:color="auto" w:sz="8" w:space="0"/>
              <w:left w:val="single" w:color="auto" w:sz="8" w:space="0"/>
              <w:bottom w:val="single" w:color="auto" w:sz="8" w:space="0"/>
              <w:right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472" w:type="pct"/>
            <w:vMerge w:val="continue"/>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p>
        </w:tc>
        <w:tc>
          <w:tcPr>
            <w:tcW w:w="361"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P</w:t>
            </w:r>
          </w:p>
        </w:tc>
        <w:tc>
          <w:tcPr>
            <w:tcW w:w="97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w:t>
            </w:r>
          </w:p>
        </w:tc>
        <w:tc>
          <w:tcPr>
            <w:tcW w:w="726"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35</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100</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33</w:t>
            </w:r>
          </w:p>
        </w:tc>
        <w:tc>
          <w:tcPr>
            <w:tcW w:w="1886" w:type="dxa"/>
            <w:tcBorders>
              <w:top w:val="single" w:color="auto" w:sz="8" w:space="0"/>
              <w:left w:val="single" w:color="auto" w:sz="8" w:space="0"/>
              <w:bottom w:val="single" w:color="auto" w:sz="8" w:space="0"/>
              <w:right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472" w:type="pct"/>
            <w:vMerge w:val="restart"/>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大豆</w:t>
            </w:r>
          </w:p>
        </w:tc>
        <w:tc>
          <w:tcPr>
            <w:tcW w:w="361"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N</w:t>
            </w:r>
          </w:p>
        </w:tc>
        <w:tc>
          <w:tcPr>
            <w:tcW w:w="97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21.6</w:t>
            </w:r>
          </w:p>
        </w:tc>
        <w:tc>
          <w:tcPr>
            <w:tcW w:w="726"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35</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100</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28</w:t>
            </w:r>
          </w:p>
        </w:tc>
        <w:tc>
          <w:tcPr>
            <w:tcW w:w="1886" w:type="dxa"/>
            <w:tcBorders>
              <w:top w:val="single" w:color="auto" w:sz="8" w:space="0"/>
              <w:left w:val="single" w:color="auto" w:sz="8" w:space="0"/>
              <w:bottom w:val="single" w:color="auto" w:sz="8" w:space="0"/>
              <w:right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472" w:type="pct"/>
            <w:vMerge w:val="continue"/>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p>
        </w:tc>
        <w:tc>
          <w:tcPr>
            <w:tcW w:w="361"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P</w:t>
            </w:r>
          </w:p>
        </w:tc>
        <w:tc>
          <w:tcPr>
            <w:tcW w:w="97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1.32</w:t>
            </w:r>
          </w:p>
        </w:tc>
        <w:tc>
          <w:tcPr>
            <w:tcW w:w="726"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35</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100</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33</w:t>
            </w:r>
          </w:p>
        </w:tc>
        <w:tc>
          <w:tcPr>
            <w:tcW w:w="1886" w:type="dxa"/>
            <w:tcBorders>
              <w:top w:val="single" w:color="auto" w:sz="8" w:space="0"/>
              <w:left w:val="single" w:color="auto" w:sz="8" w:space="0"/>
              <w:bottom w:val="single" w:color="auto" w:sz="8" w:space="0"/>
              <w:right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72" w:type="pct"/>
            <w:vMerge w:val="restart"/>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蔬菜</w:t>
            </w:r>
          </w:p>
        </w:tc>
        <w:tc>
          <w:tcPr>
            <w:tcW w:w="361"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N</w:t>
            </w:r>
          </w:p>
        </w:tc>
        <w:tc>
          <w:tcPr>
            <w:tcW w:w="97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16.4</w:t>
            </w:r>
            <w:r>
              <w:rPr>
                <w:rFonts w:hint="eastAsia" w:ascii="Times New Roman" w:hAnsi="Times New Roman" w:eastAsia="宋体" w:cs="Times New Roman"/>
                <w:i w:val="0"/>
                <w:iCs w:val="0"/>
                <w:color w:val="auto"/>
                <w:kern w:val="0"/>
                <w:sz w:val="21"/>
                <w:szCs w:val="21"/>
                <w:highlight w:val="none"/>
                <w:u w:val="none"/>
                <w:lang w:val="en-US" w:eastAsia="zh-CN" w:bidi="ar"/>
              </w:rPr>
              <w:t>3</w:t>
            </w:r>
          </w:p>
        </w:tc>
        <w:tc>
          <w:tcPr>
            <w:tcW w:w="726"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35</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100</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28</w:t>
            </w:r>
          </w:p>
        </w:tc>
        <w:tc>
          <w:tcPr>
            <w:tcW w:w="1886" w:type="dxa"/>
            <w:tcBorders>
              <w:top w:val="single" w:color="auto" w:sz="8" w:space="0"/>
              <w:left w:val="single" w:color="auto" w:sz="8" w:space="0"/>
              <w:bottom w:val="single" w:color="auto" w:sz="8" w:space="0"/>
              <w:right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472" w:type="pct"/>
            <w:vMerge w:val="continue"/>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p>
        </w:tc>
        <w:tc>
          <w:tcPr>
            <w:tcW w:w="361"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P</w:t>
            </w:r>
          </w:p>
        </w:tc>
        <w:tc>
          <w:tcPr>
            <w:tcW w:w="97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4.4</w:t>
            </w:r>
            <w:r>
              <w:rPr>
                <w:rFonts w:hint="eastAsia" w:ascii="Times New Roman" w:hAnsi="Times New Roman" w:eastAsia="宋体" w:cs="Times New Roman"/>
                <w:i w:val="0"/>
                <w:iCs w:val="0"/>
                <w:color w:val="auto"/>
                <w:kern w:val="0"/>
                <w:sz w:val="21"/>
                <w:szCs w:val="21"/>
                <w:highlight w:val="none"/>
                <w:u w:val="none"/>
                <w:lang w:val="en-US" w:eastAsia="zh-CN" w:bidi="ar"/>
              </w:rPr>
              <w:t>7</w:t>
            </w:r>
          </w:p>
        </w:tc>
        <w:tc>
          <w:tcPr>
            <w:tcW w:w="726"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35</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100</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33</w:t>
            </w:r>
          </w:p>
        </w:tc>
        <w:tc>
          <w:tcPr>
            <w:tcW w:w="1886" w:type="dxa"/>
            <w:tcBorders>
              <w:top w:val="single" w:color="auto" w:sz="8" w:space="0"/>
              <w:left w:val="single" w:color="auto" w:sz="8" w:space="0"/>
              <w:bottom w:val="single" w:color="auto" w:sz="8" w:space="0"/>
              <w:right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472" w:type="pct"/>
            <w:vMerge w:val="restart"/>
            <w:tcBorders>
              <w:top w:val="single" w:color="auto" w:sz="8" w:space="0"/>
              <w:left w:val="nil"/>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人工林地（桉树）</w:t>
            </w:r>
          </w:p>
        </w:tc>
        <w:tc>
          <w:tcPr>
            <w:tcW w:w="361"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N</w:t>
            </w:r>
          </w:p>
        </w:tc>
        <w:tc>
          <w:tcPr>
            <w:tcW w:w="97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eastAsia="宋体" w:cs="Times New Roman"/>
                <w:i w:val="0"/>
                <w:iCs w:val="0"/>
                <w:caps w:val="0"/>
                <w:color w:val="auto"/>
                <w:spacing w:val="0"/>
                <w:sz w:val="24"/>
                <w:szCs w:val="24"/>
                <w:highlight w:val="none"/>
                <w:shd w:val="clear" w:fill="FFFFFF"/>
                <w:lang w:val="en-US" w:eastAsia="zh-CN"/>
              </w:rPr>
              <w:t>6.6</w:t>
            </w:r>
          </w:p>
        </w:tc>
        <w:tc>
          <w:tcPr>
            <w:tcW w:w="726"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35</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100</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28</w:t>
            </w:r>
          </w:p>
        </w:tc>
        <w:tc>
          <w:tcPr>
            <w:tcW w:w="1886" w:type="dxa"/>
            <w:tcBorders>
              <w:top w:val="single" w:color="auto" w:sz="8" w:space="0"/>
              <w:left w:val="single" w:color="auto" w:sz="8" w:space="0"/>
              <w:bottom w:val="single" w:color="auto" w:sz="8" w:space="0"/>
              <w:right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472" w:type="pct"/>
            <w:vMerge w:val="continue"/>
            <w:tcBorders>
              <w:left w:val="nil"/>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p>
        </w:tc>
        <w:tc>
          <w:tcPr>
            <w:tcW w:w="361"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P</w:t>
            </w:r>
          </w:p>
        </w:tc>
        <w:tc>
          <w:tcPr>
            <w:tcW w:w="97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eastAsia="宋体" w:cs="Times New Roman"/>
                <w:i w:val="0"/>
                <w:iCs w:val="0"/>
                <w:caps w:val="0"/>
                <w:color w:val="auto"/>
                <w:spacing w:val="0"/>
                <w:sz w:val="24"/>
                <w:szCs w:val="24"/>
                <w:highlight w:val="none"/>
                <w:shd w:val="clear" w:fill="FFFFFF"/>
                <w:lang w:val="en-US" w:eastAsia="zh-CN"/>
              </w:rPr>
              <w:t>3.3</w:t>
            </w:r>
          </w:p>
        </w:tc>
        <w:tc>
          <w:tcPr>
            <w:tcW w:w="726"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35</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100</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33</w:t>
            </w:r>
          </w:p>
        </w:tc>
        <w:tc>
          <w:tcPr>
            <w:tcW w:w="1886" w:type="dxa"/>
            <w:tcBorders>
              <w:top w:val="single" w:color="auto" w:sz="8" w:space="0"/>
              <w:left w:val="single" w:color="auto" w:sz="8" w:space="0"/>
              <w:bottom w:val="single" w:color="auto" w:sz="8" w:space="0"/>
              <w:right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472" w:type="pct"/>
            <w:vMerge w:val="restart"/>
            <w:tcBorders>
              <w:left w:val="nil"/>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人工林地（桉树）</w:t>
            </w:r>
          </w:p>
        </w:tc>
        <w:tc>
          <w:tcPr>
            <w:tcW w:w="361"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N</w:t>
            </w:r>
          </w:p>
        </w:tc>
        <w:tc>
          <w:tcPr>
            <w:tcW w:w="97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aps w:val="0"/>
                <w:color w:val="auto"/>
                <w:spacing w:val="0"/>
                <w:sz w:val="24"/>
                <w:szCs w:val="24"/>
                <w:highlight w:val="none"/>
                <w:shd w:val="clear" w:fill="FFFFFF"/>
                <w:lang w:val="en-US"/>
              </w:rPr>
            </w:pPr>
            <w:r>
              <w:rPr>
                <w:rFonts w:hint="eastAsia" w:ascii="Times New Roman" w:hAnsi="Times New Roman" w:eastAsia="宋体" w:cs="Times New Roman"/>
                <w:i w:val="0"/>
                <w:iCs w:val="0"/>
                <w:caps w:val="0"/>
                <w:color w:val="auto"/>
                <w:spacing w:val="0"/>
                <w:sz w:val="24"/>
                <w:szCs w:val="24"/>
                <w:highlight w:val="none"/>
                <w:shd w:val="clear" w:fill="FFFFFF"/>
                <w:lang w:val="en-US" w:eastAsia="zh-CN"/>
              </w:rPr>
              <w:t>6.6</w:t>
            </w:r>
          </w:p>
        </w:tc>
        <w:tc>
          <w:tcPr>
            <w:tcW w:w="726"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35</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100</w:t>
            </w:r>
          </w:p>
        </w:tc>
        <w:tc>
          <w:tcPr>
            <w:tcW w:w="669" w:type="pct"/>
            <w:tcBorders>
              <w:top w:val="single" w:color="auto" w:sz="8" w:space="0"/>
              <w:left w:val="single" w:color="auto" w:sz="8" w:space="0"/>
              <w:bottom w:val="single" w:color="auto" w:sz="8"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28</w:t>
            </w:r>
          </w:p>
        </w:tc>
        <w:tc>
          <w:tcPr>
            <w:tcW w:w="1886" w:type="dxa"/>
            <w:tcBorders>
              <w:top w:val="single" w:color="auto" w:sz="8" w:space="0"/>
              <w:left w:val="single" w:color="auto" w:sz="8" w:space="0"/>
              <w:bottom w:val="single" w:color="auto" w:sz="8" w:space="0"/>
              <w:right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472" w:type="pct"/>
            <w:vMerge w:val="continue"/>
            <w:tcBorders>
              <w:left w:val="nil"/>
              <w:bottom w:val="single" w:color="auto" w:sz="12"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p>
        </w:tc>
        <w:tc>
          <w:tcPr>
            <w:tcW w:w="361" w:type="pct"/>
            <w:tcBorders>
              <w:top w:val="single" w:color="auto" w:sz="8" w:space="0"/>
              <w:left w:val="single" w:color="auto" w:sz="8" w:space="0"/>
              <w:bottom w:val="single" w:color="auto" w:sz="12"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P</w:t>
            </w:r>
          </w:p>
        </w:tc>
        <w:tc>
          <w:tcPr>
            <w:tcW w:w="979" w:type="pct"/>
            <w:tcBorders>
              <w:top w:val="single" w:color="auto" w:sz="8" w:space="0"/>
              <w:left w:val="single" w:color="auto" w:sz="8" w:space="0"/>
              <w:bottom w:val="single" w:color="auto" w:sz="12"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aps w:val="0"/>
                <w:color w:val="auto"/>
                <w:spacing w:val="0"/>
                <w:sz w:val="24"/>
                <w:szCs w:val="24"/>
                <w:highlight w:val="none"/>
                <w:shd w:val="clear" w:fill="FFFFFF"/>
                <w:lang w:val="en-US"/>
              </w:rPr>
            </w:pPr>
            <w:r>
              <w:rPr>
                <w:rFonts w:hint="eastAsia" w:ascii="Times New Roman" w:hAnsi="Times New Roman" w:eastAsia="宋体" w:cs="Times New Roman"/>
                <w:i w:val="0"/>
                <w:iCs w:val="0"/>
                <w:caps w:val="0"/>
                <w:color w:val="auto"/>
                <w:spacing w:val="0"/>
                <w:sz w:val="24"/>
                <w:szCs w:val="24"/>
                <w:highlight w:val="none"/>
                <w:shd w:val="clear" w:fill="FFFFFF"/>
                <w:lang w:val="en-US" w:eastAsia="zh-CN"/>
              </w:rPr>
              <w:t>3.3</w:t>
            </w:r>
          </w:p>
        </w:tc>
        <w:tc>
          <w:tcPr>
            <w:tcW w:w="726" w:type="pct"/>
            <w:tcBorders>
              <w:top w:val="single" w:color="auto" w:sz="8" w:space="0"/>
              <w:left w:val="single" w:color="auto" w:sz="8" w:space="0"/>
              <w:bottom w:val="single" w:color="auto" w:sz="12"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35</w:t>
            </w:r>
          </w:p>
        </w:tc>
        <w:tc>
          <w:tcPr>
            <w:tcW w:w="669" w:type="pct"/>
            <w:tcBorders>
              <w:top w:val="single" w:color="auto" w:sz="8" w:space="0"/>
              <w:left w:val="single" w:color="auto" w:sz="8" w:space="0"/>
              <w:bottom w:val="single" w:color="auto" w:sz="12"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100</w:t>
            </w:r>
          </w:p>
        </w:tc>
        <w:tc>
          <w:tcPr>
            <w:tcW w:w="669" w:type="pct"/>
            <w:tcBorders>
              <w:top w:val="single" w:color="auto" w:sz="8" w:space="0"/>
              <w:left w:val="single" w:color="auto" w:sz="8" w:space="0"/>
              <w:bottom w:val="single" w:color="auto" w:sz="12" w:space="0"/>
              <w:right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33</w:t>
            </w:r>
          </w:p>
        </w:tc>
        <w:tc>
          <w:tcPr>
            <w:tcW w:w="1886" w:type="dxa"/>
            <w:tcBorders>
              <w:top w:val="single" w:color="auto" w:sz="8" w:space="0"/>
              <w:left w:val="single" w:color="auto" w:sz="8" w:space="0"/>
              <w:bottom w:val="single" w:color="auto" w:sz="12" w:space="0"/>
              <w:right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3.53</w:t>
            </w:r>
          </w:p>
        </w:tc>
      </w:tr>
    </w:tbl>
    <w:p>
      <w:pPr>
        <w:spacing w:line="360" w:lineRule="auto"/>
        <w:ind w:firstLine="480" w:firstLineChars="200"/>
        <w:jc w:val="both"/>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②消纳面积粪肥需求量</w:t>
      </w:r>
    </w:p>
    <w:p>
      <w:pPr>
        <w:spacing w:line="360" w:lineRule="auto"/>
        <w:ind w:firstLine="480" w:firstLineChars="200"/>
        <w:jc w:val="both"/>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根据建设单位与协议单位签订的消纳协议，消纳面积共计</w:t>
      </w:r>
      <w:r>
        <w:rPr>
          <w:rFonts w:hint="eastAsia" w:ascii="Times New Roman" w:hAnsi="Times New Roman" w:eastAsia="宋体" w:cs="Times New Roman"/>
          <w:color w:val="auto"/>
          <w:sz w:val="24"/>
          <w:szCs w:val="24"/>
          <w:highlight w:val="none"/>
          <w:lang w:val="en-US" w:eastAsia="zh-CN"/>
        </w:rPr>
        <w:t>2800</w:t>
      </w:r>
      <w:r>
        <w:rPr>
          <w:rFonts w:hint="eastAsia" w:ascii="Times New Roman" w:hAnsi="Times New Roman" w:eastAsia="宋体" w:cs="Times New Roman"/>
          <w:color w:val="auto"/>
          <w:sz w:val="24"/>
          <w:szCs w:val="24"/>
          <w:highlight w:val="none"/>
          <w:lang w:eastAsia="zh-CN"/>
        </w:rPr>
        <w:t>亩</w:t>
      </w:r>
      <w:r>
        <w:rPr>
          <w:rFonts w:hint="eastAsia" w:ascii="Times New Roman" w:hAnsi="Times New Roman" w:eastAsia="宋体" w:cs="Times New Roman"/>
          <w:color w:val="auto"/>
          <w:sz w:val="24"/>
          <w:szCs w:val="24"/>
          <w:highlight w:val="none"/>
          <w:lang w:eastAsia="zh-CN"/>
        </w:rPr>
        <w:t>（根据业主提供资料项目厂区内绿化及林地面积约为</w:t>
      </w:r>
      <w:r>
        <w:rPr>
          <w:rFonts w:hint="eastAsia" w:ascii="Times New Roman" w:hAnsi="Times New Roman" w:eastAsia="宋体" w:cs="Times New Roman"/>
          <w:color w:val="auto"/>
          <w:sz w:val="24"/>
          <w:szCs w:val="24"/>
          <w:highlight w:val="none"/>
          <w:lang w:val="en-US" w:eastAsia="zh-CN"/>
        </w:rPr>
        <w:t>1300亩，厂外玉米种植面积约为600亩，大豆种植面积约为400亩，蔬菜种植约为500亩</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eastAsia="zh-CN"/>
        </w:rPr>
        <w:t>，则消纳面积内氮、磷需求量计算如下</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color w:val="auto"/>
          <w:sz w:val="21"/>
          <w:szCs w:val="21"/>
          <w:highlight w:val="none"/>
          <w:lang w:eastAsia="zh-CN"/>
        </w:rPr>
      </w:pPr>
      <w:r>
        <w:rPr>
          <w:rFonts w:hint="eastAsia" w:ascii="Times New Roman" w:hAnsi="Times New Roman" w:eastAsia="宋体" w:cs="Times New Roman"/>
          <w:b/>
          <w:bCs/>
          <w:color w:val="auto"/>
          <w:sz w:val="21"/>
          <w:szCs w:val="21"/>
          <w:highlight w:val="none"/>
          <w:lang w:eastAsia="zh-CN"/>
        </w:rPr>
        <w:t>项目消纳范围粪肥需求量计算结果表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239"/>
        <w:gridCol w:w="950"/>
        <w:gridCol w:w="2566"/>
        <w:gridCol w:w="1906"/>
        <w:gridCol w:w="1756"/>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166" w:hRule="atLeast"/>
        </w:trPr>
        <w:tc>
          <w:tcPr>
            <w:tcW w:w="736" w:type="pct"/>
            <w:tcBorders>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color w:val="auto"/>
                <w:sz w:val="21"/>
                <w:szCs w:val="21"/>
                <w:highlight w:val="none"/>
                <w:lang w:eastAsia="zh-CN"/>
              </w:rPr>
            </w:pPr>
            <w:r>
              <w:rPr>
                <w:rFonts w:hint="eastAsia" w:ascii="Times New Roman" w:hAnsi="Times New Roman" w:cs="Times New Roman"/>
                <w:b/>
                <w:color w:val="auto"/>
                <w:sz w:val="21"/>
                <w:szCs w:val="21"/>
                <w:highlight w:val="none"/>
                <w:lang w:eastAsia="zh-CN"/>
              </w:rPr>
              <w:t>配套土地类型</w:t>
            </w:r>
          </w:p>
        </w:tc>
        <w:tc>
          <w:tcPr>
            <w:tcW w:w="564" w:type="pct"/>
            <w:tcBorders>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color w:val="auto"/>
                <w:sz w:val="21"/>
                <w:szCs w:val="21"/>
                <w:highlight w:val="none"/>
                <w:lang w:eastAsia="zh-CN"/>
              </w:rPr>
            </w:pPr>
            <w:r>
              <w:rPr>
                <w:rFonts w:hint="eastAsia" w:ascii="Times New Roman" w:hAnsi="Times New Roman" w:cs="Times New Roman"/>
                <w:b/>
                <w:color w:val="auto"/>
                <w:sz w:val="21"/>
                <w:szCs w:val="21"/>
                <w:highlight w:val="none"/>
                <w:lang w:eastAsia="zh-CN"/>
              </w:rPr>
              <w:t>养分类别</w:t>
            </w:r>
          </w:p>
        </w:tc>
        <w:tc>
          <w:tcPr>
            <w:tcW w:w="1524" w:type="pct"/>
            <w:tcBorders>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color w:val="auto"/>
                <w:sz w:val="21"/>
                <w:szCs w:val="21"/>
                <w:highlight w:val="none"/>
              </w:rPr>
            </w:pPr>
            <w:r>
              <w:rPr>
                <w:rFonts w:hint="eastAsia" w:ascii="Times New Roman" w:hAnsi="Times New Roman" w:cs="Times New Roman"/>
                <w:b/>
                <w:color w:val="auto"/>
                <w:sz w:val="21"/>
                <w:szCs w:val="21"/>
                <w:highlight w:val="none"/>
              </w:rPr>
              <w:t>单位土地粪肥养分需求量</w:t>
            </w:r>
          </w:p>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color w:val="auto"/>
                <w:sz w:val="21"/>
                <w:szCs w:val="21"/>
                <w:highlight w:val="none"/>
                <w:lang w:eastAsia="zh-CN"/>
              </w:rPr>
            </w:pPr>
            <w:r>
              <w:rPr>
                <w:rFonts w:hint="eastAsia" w:ascii="Times New Roman" w:hAnsi="Times New Roman" w:cs="Times New Roman"/>
                <w:b/>
                <w:color w:val="auto"/>
                <w:sz w:val="21"/>
                <w:szCs w:val="21"/>
                <w:highlight w:val="none"/>
              </w:rPr>
              <w:t>（kg</w:t>
            </w:r>
            <w:r>
              <w:rPr>
                <w:rFonts w:hint="eastAsia" w:ascii="Times New Roman" w:hAnsi="Times New Roman" w:cs="Times New Roman"/>
                <w:b/>
                <w:color w:val="auto"/>
                <w:sz w:val="21"/>
                <w:szCs w:val="21"/>
                <w:highlight w:val="none"/>
                <w:lang w:val="en-US" w:eastAsia="zh-CN"/>
              </w:rPr>
              <w:t>/</w:t>
            </w:r>
            <w:r>
              <w:rPr>
                <w:rFonts w:hint="eastAsia" w:ascii="Times New Roman" w:hAnsi="Times New Roman" w:cs="Times New Roman"/>
                <w:b/>
                <w:color w:val="auto"/>
                <w:sz w:val="21"/>
                <w:szCs w:val="21"/>
                <w:highlight w:val="none"/>
              </w:rPr>
              <w:t>亩</w:t>
            </w:r>
            <w:r>
              <w:rPr>
                <w:rFonts w:hint="eastAsia" w:ascii="Times New Roman" w:hAnsi="Times New Roman" w:cs="Times New Roman"/>
                <w:b/>
                <w:color w:val="auto"/>
                <w:sz w:val="21"/>
                <w:szCs w:val="21"/>
                <w:highlight w:val="none"/>
                <w:lang w:eastAsia="zh-CN"/>
              </w:rPr>
              <w:t>）</w:t>
            </w:r>
          </w:p>
        </w:tc>
        <w:tc>
          <w:tcPr>
            <w:tcW w:w="1132" w:type="pct"/>
            <w:tcBorders>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面积（亩）</w:t>
            </w:r>
          </w:p>
        </w:tc>
        <w:tc>
          <w:tcPr>
            <w:tcW w:w="1043" w:type="pct"/>
            <w:tcBorders>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eastAsia" w:ascii="Times New Roman" w:hAnsi="Times New Roman" w:cs="Times New Roman"/>
                <w:b/>
                <w:color w:val="auto"/>
                <w:sz w:val="21"/>
                <w:szCs w:val="21"/>
                <w:highlight w:val="none"/>
              </w:rPr>
              <w:t>粪肥养分需求量(kg)</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76" w:hRule="atLeast"/>
        </w:trPr>
        <w:tc>
          <w:tcPr>
            <w:tcW w:w="736" w:type="pct"/>
            <w:vMerge w:val="restar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玉米</w:t>
            </w:r>
          </w:p>
        </w:tc>
        <w:tc>
          <w:tcPr>
            <w:tcW w:w="564" w:type="pc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N</w:t>
            </w:r>
          </w:p>
        </w:tc>
        <w:tc>
          <w:tcPr>
            <w:tcW w:w="2566" w:type="dxa"/>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11.50</w:t>
            </w:r>
          </w:p>
        </w:tc>
        <w:tc>
          <w:tcPr>
            <w:tcW w:w="190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600</w:t>
            </w:r>
          </w:p>
        </w:tc>
        <w:tc>
          <w:tcPr>
            <w:tcW w:w="175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6900.00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736" w:type="pct"/>
            <w:vMerge w:val="continue"/>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p>
        </w:tc>
        <w:tc>
          <w:tcPr>
            <w:tcW w:w="564" w:type="pc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P</w:t>
            </w:r>
          </w:p>
        </w:tc>
        <w:tc>
          <w:tcPr>
            <w:tcW w:w="2566" w:type="dxa"/>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1.27</w:t>
            </w:r>
          </w:p>
        </w:tc>
        <w:tc>
          <w:tcPr>
            <w:tcW w:w="190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600</w:t>
            </w:r>
          </w:p>
        </w:tc>
        <w:tc>
          <w:tcPr>
            <w:tcW w:w="175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762.00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08" w:hRule="atLeast"/>
        </w:trPr>
        <w:tc>
          <w:tcPr>
            <w:tcW w:w="736" w:type="pct"/>
            <w:vMerge w:val="restar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大豆</w:t>
            </w:r>
          </w:p>
        </w:tc>
        <w:tc>
          <w:tcPr>
            <w:tcW w:w="564" w:type="pc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N</w:t>
            </w:r>
          </w:p>
        </w:tc>
        <w:tc>
          <w:tcPr>
            <w:tcW w:w="2566" w:type="dxa"/>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27.00</w:t>
            </w:r>
          </w:p>
        </w:tc>
        <w:tc>
          <w:tcPr>
            <w:tcW w:w="190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400</w:t>
            </w:r>
          </w:p>
        </w:tc>
        <w:tc>
          <w:tcPr>
            <w:tcW w:w="175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10800.00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trPr>
        <w:tc>
          <w:tcPr>
            <w:tcW w:w="736" w:type="pct"/>
            <w:vMerge w:val="continue"/>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p>
        </w:tc>
        <w:tc>
          <w:tcPr>
            <w:tcW w:w="564" w:type="pc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P</w:t>
            </w:r>
          </w:p>
        </w:tc>
        <w:tc>
          <w:tcPr>
            <w:tcW w:w="2566" w:type="dxa"/>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1.40</w:t>
            </w:r>
          </w:p>
        </w:tc>
        <w:tc>
          <w:tcPr>
            <w:tcW w:w="190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400</w:t>
            </w:r>
          </w:p>
        </w:tc>
        <w:tc>
          <w:tcPr>
            <w:tcW w:w="175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560.00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71" w:hRule="atLeast"/>
        </w:trPr>
        <w:tc>
          <w:tcPr>
            <w:tcW w:w="736" w:type="pct"/>
            <w:vMerge w:val="restar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蔬菜</w:t>
            </w:r>
          </w:p>
        </w:tc>
        <w:tc>
          <w:tcPr>
            <w:tcW w:w="564" w:type="pc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N</w:t>
            </w:r>
          </w:p>
        </w:tc>
        <w:tc>
          <w:tcPr>
            <w:tcW w:w="2566" w:type="dxa"/>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10.50</w:t>
            </w:r>
          </w:p>
        </w:tc>
        <w:tc>
          <w:tcPr>
            <w:tcW w:w="190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500</w:t>
            </w:r>
          </w:p>
        </w:tc>
        <w:tc>
          <w:tcPr>
            <w:tcW w:w="175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5250.00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17" w:hRule="atLeast"/>
        </w:trPr>
        <w:tc>
          <w:tcPr>
            <w:tcW w:w="736" w:type="pct"/>
            <w:vMerge w:val="continue"/>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p>
        </w:tc>
        <w:tc>
          <w:tcPr>
            <w:tcW w:w="564" w:type="pc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P</w:t>
            </w:r>
          </w:p>
        </w:tc>
        <w:tc>
          <w:tcPr>
            <w:tcW w:w="2566" w:type="dxa"/>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2.86</w:t>
            </w:r>
          </w:p>
        </w:tc>
        <w:tc>
          <w:tcPr>
            <w:tcW w:w="190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500</w:t>
            </w:r>
          </w:p>
        </w:tc>
        <w:tc>
          <w:tcPr>
            <w:tcW w:w="175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1430.00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17" w:hRule="atLeast"/>
        </w:trPr>
        <w:tc>
          <w:tcPr>
            <w:tcW w:w="736" w:type="pct"/>
            <w:vMerge w:val="restar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r>
              <w:rPr>
                <w:rFonts w:hint="eastAsia" w:ascii="Times New Roman" w:hAnsi="Times New Roman" w:eastAsia="宋体" w:cs="Times New Roman"/>
                <w:color w:val="auto"/>
                <w:kern w:val="0"/>
                <w:sz w:val="21"/>
                <w:szCs w:val="24"/>
                <w:highlight w:val="none"/>
                <w:lang w:val="en-US" w:eastAsia="zh-CN" w:bidi="ar-SA"/>
              </w:rPr>
              <w:t>林地</w:t>
            </w:r>
          </w:p>
        </w:tc>
        <w:tc>
          <w:tcPr>
            <w:tcW w:w="564" w:type="pc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N</w:t>
            </w:r>
          </w:p>
        </w:tc>
        <w:tc>
          <w:tcPr>
            <w:tcW w:w="2566" w:type="dxa"/>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8.25</w:t>
            </w:r>
          </w:p>
        </w:tc>
        <w:tc>
          <w:tcPr>
            <w:tcW w:w="190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1300</w:t>
            </w:r>
          </w:p>
        </w:tc>
        <w:tc>
          <w:tcPr>
            <w:tcW w:w="175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10725.00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17" w:hRule="atLeast"/>
        </w:trPr>
        <w:tc>
          <w:tcPr>
            <w:tcW w:w="736" w:type="pct"/>
            <w:vMerge w:val="continue"/>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p>
        </w:tc>
        <w:tc>
          <w:tcPr>
            <w:tcW w:w="564" w:type="pc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P</w:t>
            </w:r>
          </w:p>
        </w:tc>
        <w:tc>
          <w:tcPr>
            <w:tcW w:w="2566" w:type="dxa"/>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3.53</w:t>
            </w:r>
          </w:p>
        </w:tc>
        <w:tc>
          <w:tcPr>
            <w:tcW w:w="190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1300</w:t>
            </w:r>
          </w:p>
        </w:tc>
        <w:tc>
          <w:tcPr>
            <w:tcW w:w="175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4589.00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17" w:hRule="atLeast"/>
        </w:trPr>
        <w:tc>
          <w:tcPr>
            <w:tcW w:w="736" w:type="pct"/>
            <w:vMerge w:val="restar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合计</w:t>
            </w:r>
          </w:p>
        </w:tc>
        <w:tc>
          <w:tcPr>
            <w:tcW w:w="950" w:type="dxa"/>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N</w:t>
            </w:r>
          </w:p>
        </w:tc>
        <w:tc>
          <w:tcPr>
            <w:tcW w:w="2566" w:type="dxa"/>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eastAsia" w:ascii="Times New Roman" w:hAnsi="Times New Roman" w:eastAsia="宋体" w:cs="Times New Roman"/>
                <w:b w:val="0"/>
                <w:bCs w:val="0"/>
                <w:i w:val="0"/>
                <w:iCs w:val="0"/>
                <w:color w:val="auto"/>
                <w:kern w:val="0"/>
                <w:sz w:val="21"/>
                <w:szCs w:val="21"/>
                <w:highlight w:val="none"/>
                <w:u w:val="none"/>
                <w:lang w:val="en-US" w:eastAsia="zh-CN" w:bidi="ar"/>
              </w:rPr>
              <w:t>/</w:t>
            </w:r>
          </w:p>
        </w:tc>
        <w:tc>
          <w:tcPr>
            <w:tcW w:w="1132" w:type="pct"/>
            <w:tcBorders>
              <w:top w:val="single" w:color="auto" w:sz="8" w:space="0"/>
              <w:bottom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756" w:type="dxa"/>
            <w:tcBorders>
              <w:top w:val="single" w:color="auto" w:sz="8" w:space="0"/>
              <w:bottom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33675.00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17" w:hRule="atLeast"/>
        </w:trPr>
        <w:tc>
          <w:tcPr>
            <w:tcW w:w="736" w:type="pct"/>
            <w:vMerge w:val="continue"/>
            <w:tcBorders>
              <w:top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eastAsia="zh-CN"/>
              </w:rPr>
            </w:pPr>
          </w:p>
        </w:tc>
        <w:tc>
          <w:tcPr>
            <w:tcW w:w="950" w:type="dxa"/>
            <w:tcBorders>
              <w:top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P</w:t>
            </w:r>
          </w:p>
        </w:tc>
        <w:tc>
          <w:tcPr>
            <w:tcW w:w="2566" w:type="dxa"/>
            <w:tcBorders>
              <w:top w:val="single" w:color="auto" w:sz="8" w:space="0"/>
            </w:tcBorders>
            <w:tcMar>
              <w:left w:w="57" w:type="dxa"/>
              <w:right w:w="57"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eastAsia" w:ascii="Times New Roman" w:hAnsi="Times New Roman" w:eastAsia="宋体" w:cs="Times New Roman"/>
                <w:b w:val="0"/>
                <w:bCs w:val="0"/>
                <w:i w:val="0"/>
                <w:iCs w:val="0"/>
                <w:color w:val="auto"/>
                <w:kern w:val="0"/>
                <w:sz w:val="21"/>
                <w:szCs w:val="21"/>
                <w:highlight w:val="none"/>
                <w:u w:val="none"/>
                <w:lang w:val="en-US" w:eastAsia="zh-CN" w:bidi="ar"/>
              </w:rPr>
              <w:t>/</w:t>
            </w:r>
          </w:p>
        </w:tc>
        <w:tc>
          <w:tcPr>
            <w:tcW w:w="1132" w:type="pct"/>
            <w:tcBorders>
              <w:top w:val="single" w:color="auto" w:sz="8" w:space="0"/>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756" w:type="dxa"/>
            <w:tcBorders>
              <w:top w:val="single" w:color="auto" w:sz="8" w:space="0"/>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7341.00</w:t>
            </w:r>
          </w:p>
        </w:tc>
      </w:tr>
    </w:tbl>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（3）污水站出水氮肥供给量</w:t>
      </w:r>
    </w:p>
    <w:p>
      <w:pPr>
        <w:spacing w:line="360" w:lineRule="auto"/>
        <w:ind w:firstLine="480" w:firstLineChars="200"/>
        <w:rPr>
          <w:rFonts w:hint="eastAsia"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rPr>
        <w:t>本项目</w:t>
      </w:r>
      <w:r>
        <w:rPr>
          <w:rFonts w:hint="eastAsia" w:cs="Times New Roman"/>
          <w:color w:val="auto"/>
          <w:sz w:val="24"/>
          <w:highlight w:val="none"/>
          <w:lang w:eastAsia="zh-CN"/>
        </w:rPr>
        <w:t>原有</w:t>
      </w:r>
      <w:r>
        <w:rPr>
          <w:rFonts w:hint="default" w:ascii="Times New Roman" w:hAnsi="Times New Roman" w:cs="Times New Roman"/>
          <w:color w:val="auto"/>
          <w:sz w:val="24"/>
          <w:highlight w:val="none"/>
        </w:rPr>
        <w:t>废水中总氮量约为</w:t>
      </w:r>
      <w:r>
        <w:rPr>
          <w:rFonts w:hint="eastAsia" w:cs="Times New Roman"/>
          <w:color w:val="auto"/>
          <w:sz w:val="24"/>
          <w:highlight w:val="none"/>
          <w:lang w:val="en-US" w:eastAsia="zh-CN"/>
        </w:rPr>
        <w:t>2020</w:t>
      </w:r>
      <w:r>
        <w:rPr>
          <w:rFonts w:hint="default" w:ascii="Times New Roman" w:hAnsi="Times New Roman" w:cs="Times New Roman"/>
          <w:color w:val="auto"/>
          <w:sz w:val="24"/>
          <w:highlight w:val="none"/>
        </w:rPr>
        <w:t>kg/a，总磷约为</w:t>
      </w:r>
      <w:r>
        <w:rPr>
          <w:rFonts w:hint="eastAsia" w:cs="Times New Roman"/>
          <w:color w:val="auto"/>
          <w:sz w:val="24"/>
          <w:highlight w:val="none"/>
          <w:lang w:val="en-US" w:eastAsia="zh-CN"/>
        </w:rPr>
        <w:t>470</w:t>
      </w:r>
      <w:r>
        <w:rPr>
          <w:rFonts w:hint="default" w:ascii="Times New Roman" w:hAnsi="Times New Roman" w:cs="Times New Roman"/>
          <w:color w:val="auto"/>
          <w:sz w:val="24"/>
          <w:highlight w:val="none"/>
        </w:rPr>
        <w:t>kg/a，</w:t>
      </w:r>
      <w:r>
        <w:rPr>
          <w:rFonts w:hint="eastAsia" w:cs="Times New Roman"/>
          <w:color w:val="auto"/>
          <w:sz w:val="24"/>
          <w:highlight w:val="none"/>
          <w:lang w:eastAsia="zh-CN"/>
        </w:rPr>
        <w:t>经污水处理量站处理后用于农灌尾水</w:t>
      </w:r>
      <w:r>
        <w:rPr>
          <w:rFonts w:hint="default" w:ascii="Times New Roman" w:hAnsi="Times New Roman" w:cs="Times New Roman"/>
          <w:color w:val="auto"/>
          <w:sz w:val="24"/>
          <w:highlight w:val="none"/>
        </w:rPr>
        <w:t>中氮元素总供给量为</w:t>
      </w:r>
      <w:r>
        <w:rPr>
          <w:rFonts w:hint="eastAsia" w:cs="Times New Roman"/>
          <w:color w:val="auto"/>
          <w:sz w:val="24"/>
          <w:highlight w:val="none"/>
          <w:lang w:val="en-US" w:eastAsia="zh-CN"/>
        </w:rPr>
        <w:t>1300</w:t>
      </w:r>
      <w:r>
        <w:rPr>
          <w:rFonts w:hint="default" w:ascii="Times New Roman" w:hAnsi="Times New Roman" w:cs="Times New Roman"/>
          <w:color w:val="auto"/>
          <w:sz w:val="24"/>
          <w:highlight w:val="none"/>
        </w:rPr>
        <w:t>kg/a，磷元素总供给量为</w:t>
      </w:r>
      <w:r>
        <w:rPr>
          <w:rFonts w:hint="eastAsia" w:cs="Times New Roman"/>
          <w:color w:val="auto"/>
          <w:sz w:val="24"/>
          <w:highlight w:val="none"/>
          <w:lang w:val="en-US" w:eastAsia="zh-CN"/>
        </w:rPr>
        <w:t>70</w:t>
      </w:r>
      <w:r>
        <w:rPr>
          <w:rFonts w:hint="default" w:ascii="Times New Roman" w:hAnsi="Times New Roman" w:cs="Times New Roman"/>
          <w:color w:val="auto"/>
          <w:sz w:val="24"/>
          <w:highlight w:val="none"/>
        </w:rPr>
        <w:t>kg/a</w:t>
      </w:r>
      <w:r>
        <w:rPr>
          <w:rFonts w:hint="eastAsia" w:ascii="Times New Roman" w:hAnsi="Times New Roman" w:cs="Times New Roman"/>
          <w:color w:val="auto"/>
          <w:sz w:val="24"/>
          <w:highlight w:val="none"/>
          <w:lang w:eastAsia="zh-CN"/>
        </w:rPr>
        <w:t>。</w:t>
      </w:r>
    </w:p>
    <w:p>
      <w:pPr>
        <w:spacing w:line="360" w:lineRule="auto"/>
        <w:ind w:firstLine="480" w:firstLineChars="200"/>
        <w:jc w:val="both"/>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（4）土壤负荷与种养平衡</w:t>
      </w:r>
    </w:p>
    <w:p>
      <w:pPr>
        <w:spacing w:line="360" w:lineRule="auto"/>
        <w:ind w:firstLine="480" w:firstLineChars="200"/>
        <w:jc w:val="both"/>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本项目的N、P养分供给量与消纳面积的N、P养分需求量情况见下表。</w:t>
      </w:r>
    </w:p>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color w:val="auto"/>
          <w:sz w:val="21"/>
          <w:szCs w:val="21"/>
          <w:highlight w:val="none"/>
          <w:lang w:eastAsia="zh-CN"/>
        </w:rPr>
      </w:pPr>
      <w:r>
        <w:rPr>
          <w:rFonts w:hint="eastAsia" w:ascii="Times New Roman" w:hAnsi="Times New Roman" w:eastAsia="宋体" w:cs="Times New Roman"/>
          <w:b/>
          <w:bCs/>
          <w:color w:val="auto"/>
          <w:sz w:val="21"/>
          <w:szCs w:val="21"/>
          <w:highlight w:val="none"/>
          <w:lang w:eastAsia="zh-CN"/>
        </w:rPr>
        <w:t>项目养分供给量与需求量关系情况表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800"/>
        <w:gridCol w:w="2758"/>
        <w:gridCol w:w="2758"/>
        <w:gridCol w:w="210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741" w:hRule="atLeast"/>
        </w:trPr>
        <w:tc>
          <w:tcPr>
            <w:tcW w:w="475" w:type="pct"/>
            <w:tcBorders>
              <w:tl2br w:val="nil"/>
              <w:tr2bl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color w:val="auto"/>
                <w:sz w:val="21"/>
                <w:szCs w:val="21"/>
                <w:highlight w:val="none"/>
                <w:lang w:eastAsia="zh-CN"/>
              </w:rPr>
            </w:pPr>
            <w:r>
              <w:rPr>
                <w:rFonts w:hint="eastAsia" w:ascii="Times New Roman" w:hAnsi="Times New Roman" w:cs="Times New Roman"/>
                <w:b/>
                <w:color w:val="auto"/>
                <w:sz w:val="21"/>
                <w:szCs w:val="21"/>
                <w:highlight w:val="none"/>
                <w:lang w:eastAsia="zh-CN"/>
              </w:rPr>
              <w:t>类别</w:t>
            </w:r>
          </w:p>
        </w:tc>
        <w:tc>
          <w:tcPr>
            <w:tcW w:w="1638" w:type="pct"/>
            <w:tcBorders>
              <w:tl2br w:val="nil"/>
              <w:tr2bl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color w:val="auto"/>
                <w:sz w:val="21"/>
                <w:szCs w:val="21"/>
                <w:highlight w:val="none"/>
                <w:lang w:eastAsia="zh-CN"/>
              </w:rPr>
            </w:pPr>
            <w:r>
              <w:rPr>
                <w:rFonts w:hint="eastAsia" w:ascii="Times New Roman" w:hAnsi="Times New Roman" w:cs="Times New Roman"/>
                <w:b/>
                <w:color w:val="auto"/>
                <w:sz w:val="21"/>
                <w:szCs w:val="21"/>
                <w:highlight w:val="none"/>
                <w:lang w:eastAsia="zh-CN"/>
              </w:rPr>
              <w:t>养分需求量（kg）</w:t>
            </w:r>
          </w:p>
        </w:tc>
        <w:tc>
          <w:tcPr>
            <w:tcW w:w="1638" w:type="pct"/>
            <w:tcBorders>
              <w:tl2br w:val="nil"/>
              <w:tr2bl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color w:val="auto"/>
                <w:sz w:val="21"/>
                <w:szCs w:val="21"/>
                <w:highlight w:val="none"/>
                <w:lang w:eastAsia="zh-CN"/>
              </w:rPr>
            </w:pPr>
            <w:r>
              <w:rPr>
                <w:rFonts w:hint="eastAsia" w:ascii="Times New Roman" w:hAnsi="Times New Roman" w:cs="Times New Roman"/>
                <w:b/>
                <w:color w:val="auto"/>
                <w:sz w:val="21"/>
                <w:szCs w:val="21"/>
                <w:highlight w:val="none"/>
              </w:rPr>
              <w:t>养分</w:t>
            </w:r>
            <w:r>
              <w:rPr>
                <w:rFonts w:hint="eastAsia" w:ascii="Times New Roman" w:hAnsi="Times New Roman" w:cs="Times New Roman"/>
                <w:b/>
                <w:color w:val="auto"/>
                <w:sz w:val="21"/>
                <w:szCs w:val="21"/>
                <w:highlight w:val="none"/>
                <w:lang w:eastAsia="zh-CN"/>
              </w:rPr>
              <w:t>供给</w:t>
            </w:r>
            <w:r>
              <w:rPr>
                <w:rFonts w:hint="eastAsia" w:ascii="Times New Roman" w:hAnsi="Times New Roman" w:cs="Times New Roman"/>
                <w:b/>
                <w:color w:val="auto"/>
                <w:sz w:val="21"/>
                <w:szCs w:val="21"/>
                <w:highlight w:val="none"/>
              </w:rPr>
              <w:t>量（kg）</w:t>
            </w:r>
          </w:p>
        </w:tc>
        <w:tc>
          <w:tcPr>
            <w:tcW w:w="1247" w:type="pct"/>
            <w:tcBorders>
              <w:tl2br w:val="nil"/>
              <w:tr2bl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color w:val="auto"/>
                <w:sz w:val="21"/>
                <w:szCs w:val="21"/>
                <w:highlight w:val="none"/>
                <w:lang w:eastAsia="zh-CN"/>
              </w:rPr>
            </w:pPr>
            <w:r>
              <w:rPr>
                <w:rFonts w:hint="eastAsia" w:ascii="Times New Roman" w:hAnsi="Times New Roman" w:cs="Times New Roman"/>
                <w:b/>
                <w:color w:val="auto"/>
                <w:sz w:val="21"/>
                <w:szCs w:val="21"/>
                <w:highlight w:val="none"/>
                <w:lang w:eastAsia="zh-CN"/>
              </w:rPr>
              <w:t>是否满足消纳</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6" w:hRule="atLeast"/>
        </w:trPr>
        <w:tc>
          <w:tcPr>
            <w:tcW w:w="475" w:type="pct"/>
            <w:tcBorders>
              <w:tl2br w:val="nil"/>
              <w:tr2bl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N</w:t>
            </w:r>
          </w:p>
        </w:tc>
        <w:tc>
          <w:tcPr>
            <w:tcW w:w="2758" w:type="dxa"/>
            <w:tcBorders>
              <w:tl2br w:val="nil"/>
              <w:tr2bl w:val="nil"/>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33675.00</w:t>
            </w:r>
          </w:p>
        </w:tc>
        <w:tc>
          <w:tcPr>
            <w:tcW w:w="1638" w:type="pct"/>
            <w:tcBorders>
              <w:tl2br w:val="nil"/>
              <w:tr2bl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val="0"/>
                <w:bCs/>
                <w:color w:val="auto"/>
                <w:sz w:val="21"/>
                <w:szCs w:val="21"/>
                <w:highlight w:val="none"/>
                <w:lang w:val="en-US" w:eastAsia="zh-CN"/>
              </w:rPr>
            </w:pPr>
            <w:r>
              <w:rPr>
                <w:rFonts w:hint="eastAsia" w:ascii="Times New Roman" w:hAnsi="Times New Roman" w:cs="Times New Roman" w:eastAsiaTheme="minorEastAsia"/>
                <w:b w:val="0"/>
                <w:bCs/>
                <w:color w:val="auto"/>
                <w:sz w:val="21"/>
                <w:szCs w:val="21"/>
                <w:highlight w:val="none"/>
                <w:lang w:val="en-US" w:eastAsia="zh-CN"/>
              </w:rPr>
              <w:t>1300</w:t>
            </w:r>
          </w:p>
        </w:tc>
        <w:tc>
          <w:tcPr>
            <w:tcW w:w="1247" w:type="pct"/>
            <w:tcBorders>
              <w:tl2br w:val="nil"/>
              <w:tr2bl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val="0"/>
                <w:bCs/>
                <w:color w:val="auto"/>
                <w:sz w:val="21"/>
                <w:szCs w:val="21"/>
                <w:highlight w:val="none"/>
                <w:lang w:eastAsia="zh-CN"/>
              </w:rPr>
            </w:pPr>
            <w:r>
              <w:rPr>
                <w:rFonts w:hint="eastAsia" w:ascii="Times New Roman" w:hAnsi="Times New Roman" w:cs="Times New Roman"/>
                <w:b w:val="0"/>
                <w:bCs/>
                <w:color w:val="auto"/>
                <w:sz w:val="21"/>
                <w:szCs w:val="21"/>
                <w:highlight w:val="none"/>
                <w:lang w:eastAsia="zh-CN"/>
              </w:rPr>
              <w:t>满足</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1" w:hRule="atLeast"/>
        </w:trPr>
        <w:tc>
          <w:tcPr>
            <w:tcW w:w="475" w:type="pct"/>
            <w:tcBorders>
              <w:tl2br w:val="nil"/>
              <w:tr2bl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P</w:t>
            </w:r>
          </w:p>
        </w:tc>
        <w:tc>
          <w:tcPr>
            <w:tcW w:w="2758" w:type="dxa"/>
            <w:tcBorders>
              <w:tl2br w:val="nil"/>
              <w:tr2bl w:val="nil"/>
            </w:tcBorders>
            <w:tcMar>
              <w:left w:w="57" w:type="dxa"/>
              <w:right w:w="57"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7341.00</w:t>
            </w:r>
          </w:p>
        </w:tc>
        <w:tc>
          <w:tcPr>
            <w:tcW w:w="1638" w:type="pct"/>
            <w:tcBorders>
              <w:tl2br w:val="nil"/>
              <w:tr2bl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val="0"/>
                <w:bCs/>
                <w:color w:val="auto"/>
                <w:sz w:val="21"/>
                <w:szCs w:val="21"/>
                <w:highlight w:val="none"/>
                <w:lang w:val="en-US" w:eastAsia="zh-CN"/>
              </w:rPr>
            </w:pPr>
            <w:r>
              <w:rPr>
                <w:rFonts w:hint="eastAsia" w:ascii="Times New Roman" w:hAnsi="Times New Roman" w:cs="Times New Roman" w:eastAsiaTheme="minorEastAsia"/>
                <w:b w:val="0"/>
                <w:bCs/>
                <w:color w:val="auto"/>
                <w:sz w:val="21"/>
                <w:szCs w:val="21"/>
                <w:highlight w:val="none"/>
                <w:lang w:val="en-US" w:eastAsia="zh-CN"/>
              </w:rPr>
              <w:t>70</w:t>
            </w:r>
          </w:p>
        </w:tc>
        <w:tc>
          <w:tcPr>
            <w:tcW w:w="1247" w:type="pct"/>
            <w:tcBorders>
              <w:tl2br w:val="nil"/>
              <w:tr2bl w:val="nil"/>
            </w:tcBorders>
            <w:tcMar>
              <w:left w:w="57"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val="0"/>
                <w:bCs/>
                <w:color w:val="auto"/>
                <w:sz w:val="21"/>
                <w:szCs w:val="21"/>
                <w:highlight w:val="none"/>
                <w:lang w:eastAsia="zh-CN"/>
              </w:rPr>
            </w:pPr>
            <w:r>
              <w:rPr>
                <w:rFonts w:hint="eastAsia" w:ascii="Times New Roman" w:hAnsi="Times New Roman" w:cs="Times New Roman"/>
                <w:b w:val="0"/>
                <w:bCs/>
                <w:color w:val="auto"/>
                <w:sz w:val="21"/>
                <w:szCs w:val="21"/>
                <w:highlight w:val="none"/>
                <w:lang w:eastAsia="zh-CN"/>
              </w:rPr>
              <w:t>满足</w:t>
            </w:r>
          </w:p>
        </w:tc>
      </w:tr>
    </w:tbl>
    <w:p>
      <w:pPr>
        <w:spacing w:line="360" w:lineRule="auto"/>
        <w:ind w:firstLine="480" w:firstLineChars="200"/>
        <w:jc w:val="both"/>
        <w:rPr>
          <w:rFonts w:hint="eastAsia"/>
          <w:color w:val="auto"/>
          <w:highlight w:val="none"/>
        </w:rPr>
      </w:pPr>
      <w:r>
        <w:rPr>
          <w:rFonts w:hint="eastAsia" w:ascii="Times New Roman" w:hAnsi="Times New Roman" w:eastAsia="宋体" w:cs="Times New Roman"/>
          <w:color w:val="auto"/>
          <w:sz w:val="24"/>
          <w:szCs w:val="24"/>
          <w:highlight w:val="none"/>
          <w:lang w:eastAsia="zh-CN"/>
        </w:rPr>
        <w:t>根据上述计算，本项目消纳区区域植物粪肥氮养分需求量为</w:t>
      </w:r>
      <w:r>
        <w:rPr>
          <w:rFonts w:hint="eastAsia" w:ascii="Times New Roman" w:hAnsi="Times New Roman" w:eastAsia="宋体" w:cs="Times New Roman"/>
          <w:color w:val="auto"/>
          <w:sz w:val="24"/>
          <w:szCs w:val="24"/>
          <w:highlight w:val="none"/>
          <w:lang w:val="en-US" w:eastAsia="zh-CN"/>
        </w:rPr>
        <w:t>33675</w:t>
      </w:r>
      <w:r>
        <w:rPr>
          <w:rFonts w:hint="eastAsia" w:ascii="Times New Roman" w:hAnsi="Times New Roman" w:eastAsia="宋体" w:cs="Times New Roman"/>
          <w:color w:val="auto"/>
          <w:sz w:val="24"/>
          <w:szCs w:val="24"/>
          <w:highlight w:val="none"/>
          <w:lang w:eastAsia="zh-CN"/>
        </w:rPr>
        <w:t>kg，本项目粪肥中氮的供给量</w:t>
      </w:r>
      <w:r>
        <w:rPr>
          <w:rFonts w:hint="eastAsia" w:ascii="Times New Roman" w:hAnsi="Times New Roman" w:eastAsia="宋体" w:cs="Times New Roman"/>
          <w:color w:val="auto"/>
          <w:sz w:val="24"/>
          <w:szCs w:val="24"/>
          <w:highlight w:val="none"/>
          <w:lang w:val="en-US" w:eastAsia="zh-CN"/>
        </w:rPr>
        <w:t>1300kg，</w:t>
      </w:r>
      <w:r>
        <w:rPr>
          <w:rFonts w:hint="eastAsia" w:ascii="Times New Roman" w:hAnsi="Times New Roman" w:eastAsia="宋体" w:cs="Times New Roman"/>
          <w:color w:val="auto"/>
          <w:sz w:val="24"/>
          <w:szCs w:val="24"/>
          <w:highlight w:val="none"/>
          <w:lang w:eastAsia="zh-CN"/>
        </w:rPr>
        <w:t>为</w:t>
      </w:r>
      <w:r>
        <w:rPr>
          <w:rFonts w:hint="default" w:ascii="Times New Roman" w:hAnsi="Times New Roman" w:cs="Times New Roman"/>
          <w:color w:val="auto"/>
          <w:sz w:val="24"/>
          <w:highlight w:val="none"/>
        </w:rPr>
        <w:t>占区域植物粪肥氮养分需求量的</w:t>
      </w:r>
      <w:r>
        <w:rPr>
          <w:rFonts w:hint="eastAsia" w:cs="Times New Roman"/>
          <w:color w:val="auto"/>
          <w:sz w:val="24"/>
          <w:highlight w:val="none"/>
          <w:lang w:val="en-US" w:eastAsia="zh-CN"/>
        </w:rPr>
        <w:t>3.86</w:t>
      </w:r>
      <w:r>
        <w:rPr>
          <w:rFonts w:hint="default" w:ascii="Times New Roman" w:hAnsi="Times New Roman" w:cs="Times New Roman"/>
          <w:color w:val="auto"/>
          <w:sz w:val="24"/>
          <w:highlight w:val="none"/>
        </w:rPr>
        <w:t>%；</w:t>
      </w:r>
      <w:r>
        <w:rPr>
          <w:rFonts w:hint="eastAsia" w:ascii="Times New Roman" w:hAnsi="Times New Roman" w:eastAsia="宋体" w:cs="Times New Roman"/>
          <w:color w:val="auto"/>
          <w:sz w:val="24"/>
          <w:szCs w:val="24"/>
          <w:highlight w:val="none"/>
          <w:lang w:eastAsia="zh-CN"/>
        </w:rPr>
        <w:t>消纳区区域植物粪肥磷养分需求量为</w:t>
      </w:r>
      <w:r>
        <w:rPr>
          <w:rFonts w:hint="eastAsia" w:ascii="Times New Roman" w:hAnsi="Times New Roman" w:eastAsia="宋体" w:cs="Times New Roman"/>
          <w:color w:val="auto"/>
          <w:sz w:val="24"/>
          <w:szCs w:val="24"/>
          <w:highlight w:val="none"/>
          <w:lang w:val="en-US" w:eastAsia="zh-CN"/>
        </w:rPr>
        <w:t>7341k</w:t>
      </w:r>
      <w:r>
        <w:rPr>
          <w:rFonts w:hint="eastAsia" w:ascii="Times New Roman" w:hAnsi="Times New Roman" w:eastAsia="宋体" w:cs="Times New Roman"/>
          <w:color w:val="auto"/>
          <w:sz w:val="24"/>
          <w:szCs w:val="24"/>
          <w:highlight w:val="none"/>
          <w:lang w:eastAsia="zh-CN"/>
        </w:rPr>
        <w:t>g，</w:t>
      </w:r>
      <w:r>
        <w:rPr>
          <w:rFonts w:hint="default" w:ascii="Times New Roman" w:hAnsi="Times New Roman" w:cs="Times New Roman"/>
          <w:color w:val="auto"/>
          <w:sz w:val="24"/>
          <w:highlight w:val="none"/>
        </w:rPr>
        <w:t>磷元素总供给量为</w:t>
      </w:r>
      <w:r>
        <w:rPr>
          <w:rFonts w:hint="eastAsia" w:cs="Times New Roman"/>
          <w:color w:val="auto"/>
          <w:sz w:val="24"/>
          <w:highlight w:val="none"/>
          <w:lang w:val="en-US" w:eastAsia="zh-CN"/>
        </w:rPr>
        <w:t>70</w:t>
      </w:r>
      <w:r>
        <w:rPr>
          <w:rFonts w:hint="default" w:ascii="Times New Roman" w:hAnsi="Times New Roman" w:cs="Times New Roman"/>
          <w:color w:val="auto"/>
          <w:sz w:val="24"/>
          <w:highlight w:val="none"/>
        </w:rPr>
        <w:t>kg/a，占区域植物粪肥磷养分需求量的</w:t>
      </w:r>
      <w:r>
        <w:rPr>
          <w:rFonts w:hint="eastAsia" w:cs="Times New Roman"/>
          <w:color w:val="auto"/>
          <w:sz w:val="24"/>
          <w:highlight w:val="none"/>
          <w:lang w:val="en-US" w:eastAsia="zh-CN"/>
        </w:rPr>
        <w:t>0.95</w:t>
      </w:r>
      <w:r>
        <w:rPr>
          <w:rFonts w:hint="default" w:ascii="Times New Roman" w:hAnsi="Times New Roman" w:cs="Times New Roman"/>
          <w:color w:val="auto"/>
          <w:sz w:val="24"/>
          <w:highlight w:val="none"/>
        </w:rPr>
        <w:t>%</w:t>
      </w:r>
      <w:r>
        <w:rPr>
          <w:rFonts w:hint="eastAsia" w:ascii="Times New Roman" w:hAnsi="Times New Roman" w:eastAsia="宋体" w:cs="Times New Roman"/>
          <w:color w:val="auto"/>
          <w:sz w:val="24"/>
          <w:szCs w:val="24"/>
          <w:highlight w:val="none"/>
          <w:lang w:eastAsia="zh-CN"/>
        </w:rPr>
        <w:t>。由此可知，本项目</w:t>
      </w:r>
      <w:r>
        <w:rPr>
          <w:rFonts w:ascii="Times New Roman" w:hAnsi="Times New Roman" w:eastAsia="宋体" w:cs="Times New Roman"/>
          <w:color w:val="auto"/>
          <w:sz w:val="24"/>
          <w:szCs w:val="24"/>
          <w:highlight w:val="none"/>
          <w:lang w:eastAsia="zh-CN"/>
        </w:rPr>
        <w:t>粪污经处理后产生的废水</w:t>
      </w:r>
      <w:r>
        <w:rPr>
          <w:rFonts w:hint="eastAsia" w:ascii="Times New Roman" w:hAnsi="Times New Roman" w:eastAsia="宋体" w:cs="Times New Roman"/>
          <w:color w:val="auto"/>
          <w:sz w:val="24"/>
          <w:szCs w:val="24"/>
          <w:highlight w:val="none"/>
          <w:lang w:eastAsia="zh-CN"/>
        </w:rPr>
        <w:t>中N、P供给量低于区域植物粪肥中N、P养分需求量，因此，项目所产生废水可全部用于还田，</w:t>
      </w:r>
      <w:r>
        <w:rPr>
          <w:rFonts w:ascii="Times New Roman" w:hAnsi="Times New Roman" w:eastAsia="宋体" w:cs="Times New Roman"/>
          <w:color w:val="auto"/>
          <w:sz w:val="24"/>
          <w:szCs w:val="24"/>
          <w:highlight w:val="none"/>
          <w:lang w:eastAsia="zh-CN"/>
        </w:rPr>
        <w:t>可完全满足项目废水消纳需求。</w:t>
      </w:r>
      <w:r>
        <w:rPr>
          <w:rFonts w:hint="eastAsia" w:ascii="Times New Roman" w:hAnsi="Times New Roman" w:eastAsia="宋体" w:cs="Times New Roman"/>
          <w:color w:val="auto"/>
          <w:sz w:val="24"/>
          <w:szCs w:val="24"/>
          <w:highlight w:val="none"/>
          <w:lang w:eastAsia="zh-CN"/>
        </w:rPr>
        <w:t>项目粪污的处理和土壤肥力、作物生长之间是趋于平衡的，不会超过土壤负荷。</w:t>
      </w:r>
    </w:p>
    <w:p>
      <w:pPr>
        <w:numPr>
          <w:ilvl w:val="0"/>
          <w:numId w:val="37"/>
        </w:numPr>
        <w:spacing w:line="360" w:lineRule="auto"/>
        <w:ind w:left="0" w:leftChars="0"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非灌溉期</w:t>
      </w:r>
      <w:r>
        <w:rPr>
          <w:rFonts w:hint="eastAsia" w:ascii="Times New Roman" w:hAnsi="Times New Roman" w:eastAsia="宋体" w:cs="Times New Roman"/>
          <w:color w:val="auto"/>
          <w:sz w:val="24"/>
          <w:szCs w:val="24"/>
          <w:highlight w:val="none"/>
          <w:lang w:val="en-US" w:eastAsia="zh-CN"/>
        </w:rPr>
        <w:t>/雨期废水</w:t>
      </w:r>
      <w:r>
        <w:rPr>
          <w:rFonts w:hint="eastAsia" w:ascii="Times New Roman" w:hAnsi="Times New Roman" w:eastAsia="宋体" w:cs="Times New Roman"/>
          <w:color w:val="auto"/>
          <w:sz w:val="24"/>
          <w:szCs w:val="24"/>
          <w:highlight w:val="none"/>
          <w:lang w:eastAsia="zh-CN"/>
        </w:rPr>
        <w:t>存储</w:t>
      </w:r>
      <w:r>
        <w:rPr>
          <w:rFonts w:hint="eastAsia" w:ascii="Times New Roman" w:hAnsi="Times New Roman" w:eastAsia="宋体" w:cs="Times New Roman"/>
          <w:color w:val="auto"/>
          <w:sz w:val="24"/>
          <w:szCs w:val="24"/>
          <w:highlight w:val="none"/>
        </w:rPr>
        <w:t>可行性</w:t>
      </w:r>
    </w:p>
    <w:p>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rPr>
        <w:t>本项目废水经收集至收集池后泵至污水处理设施处理后，处理达标的废水经厂区内管道输送至场</w:t>
      </w:r>
      <w:r>
        <w:rPr>
          <w:rFonts w:hint="eastAsia" w:ascii="Times New Roman" w:hAnsi="Times New Roman" w:eastAsia="宋体" w:cs="Times New Roman"/>
          <w:color w:val="auto"/>
          <w:sz w:val="24"/>
          <w:szCs w:val="24"/>
          <w:highlight w:val="none"/>
          <w:lang w:eastAsia="zh-CN"/>
        </w:rPr>
        <w:t>内</w:t>
      </w:r>
      <w:r>
        <w:rPr>
          <w:rFonts w:hint="eastAsia" w:ascii="Times New Roman" w:hAnsi="Times New Roman" w:eastAsia="宋体" w:cs="Times New Roman"/>
          <w:color w:val="auto"/>
          <w:sz w:val="24"/>
          <w:szCs w:val="24"/>
          <w:highlight w:val="none"/>
        </w:rPr>
        <w:t>废水储存池暂存。本项目</w:t>
      </w:r>
      <w:r>
        <w:rPr>
          <w:rFonts w:hint="eastAsia" w:ascii="Times New Roman" w:hAnsi="Times New Roman" w:eastAsia="宋体" w:cs="Times New Roman"/>
          <w:color w:val="auto"/>
          <w:sz w:val="24"/>
          <w:szCs w:val="24"/>
          <w:highlight w:val="none"/>
          <w:lang w:eastAsia="zh-CN"/>
        </w:rPr>
        <w:t>林地及</w:t>
      </w:r>
      <w:r>
        <w:rPr>
          <w:rFonts w:hint="eastAsia" w:ascii="Times New Roman" w:hAnsi="Times New Roman" w:eastAsia="宋体" w:cs="Times New Roman"/>
          <w:color w:val="auto"/>
          <w:sz w:val="24"/>
          <w:szCs w:val="24"/>
          <w:highlight w:val="none"/>
        </w:rPr>
        <w:t>农田消纳区位于养殖场周边，共</w:t>
      </w:r>
      <w:r>
        <w:rPr>
          <w:rFonts w:hint="eastAsia" w:ascii="Times New Roman" w:hAnsi="Times New Roman" w:eastAsia="宋体" w:cs="Times New Roman"/>
          <w:color w:val="auto"/>
          <w:sz w:val="24"/>
          <w:szCs w:val="24"/>
          <w:highlight w:val="none"/>
          <w:lang w:val="en-US" w:eastAsia="zh-CN"/>
        </w:rPr>
        <w:t>2800</w:t>
      </w:r>
      <w:r>
        <w:rPr>
          <w:rFonts w:hint="eastAsia" w:ascii="Times New Roman" w:hAnsi="Times New Roman" w:eastAsia="宋体" w:cs="Times New Roman"/>
          <w:color w:val="auto"/>
          <w:sz w:val="24"/>
          <w:szCs w:val="24"/>
          <w:highlight w:val="none"/>
        </w:rPr>
        <w:t>亩</w:t>
      </w:r>
      <w:r>
        <w:rPr>
          <w:rFonts w:hint="eastAsia" w:ascii="Times New Roman" w:hAnsi="Times New Roman" w:eastAsia="宋体" w:cs="Times New Roman"/>
          <w:color w:val="auto"/>
          <w:sz w:val="24"/>
          <w:szCs w:val="24"/>
          <w:highlight w:val="none"/>
          <w:lang w:eastAsia="zh-CN"/>
        </w:rPr>
        <w:t>。</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按照《畜禽养殖业污染治理工程技术规范》（HJ497-2009）中 6.1.2.3“不得小于30d”的要求，确定本项目废水储存池容积不得低于</w:t>
      </w:r>
      <w:r>
        <w:rPr>
          <w:rFonts w:hint="eastAsia" w:ascii="Times New Roman" w:hAnsi="Times New Roman" w:eastAsia="宋体" w:cs="Times New Roman"/>
          <w:color w:val="auto"/>
          <w:sz w:val="24"/>
          <w:szCs w:val="24"/>
          <w:highlight w:val="none"/>
          <w:lang w:val="en-US" w:eastAsia="zh-CN"/>
        </w:rPr>
        <w:t>7462.8</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。本项目拟在厂区</w:t>
      </w:r>
      <w:r>
        <w:rPr>
          <w:rFonts w:hint="eastAsia" w:ascii="Times New Roman" w:hAnsi="Times New Roman" w:eastAsia="宋体" w:cs="Times New Roman"/>
          <w:color w:val="auto"/>
          <w:sz w:val="24"/>
          <w:szCs w:val="24"/>
          <w:highlight w:val="none"/>
          <w:lang w:eastAsia="zh-CN"/>
        </w:rPr>
        <w:t>南</w:t>
      </w:r>
      <w:r>
        <w:rPr>
          <w:rFonts w:hint="eastAsia" w:ascii="Times New Roman" w:hAnsi="Times New Roman" w:eastAsia="宋体" w:cs="Times New Roman"/>
          <w:color w:val="auto"/>
          <w:sz w:val="24"/>
          <w:szCs w:val="24"/>
          <w:highlight w:val="none"/>
        </w:rPr>
        <w:t>部设置容积为</w:t>
      </w:r>
      <w:r>
        <w:rPr>
          <w:rFonts w:hint="eastAsia" w:ascii="Times New Roman" w:hAnsi="Times New Roman" w:eastAsia="宋体" w:cs="Times New Roman"/>
          <w:color w:val="auto"/>
          <w:sz w:val="24"/>
          <w:szCs w:val="24"/>
          <w:highlight w:val="none"/>
          <w:lang w:val="en-US" w:eastAsia="zh-CN"/>
        </w:rPr>
        <w:t>80</w:t>
      </w:r>
      <w:r>
        <w:rPr>
          <w:rFonts w:hint="eastAsia" w:ascii="Times New Roman" w:hAnsi="Times New Roman" w:eastAsia="宋体" w:cs="Times New Roman"/>
          <w:color w:val="auto"/>
          <w:sz w:val="24"/>
          <w:szCs w:val="24"/>
          <w:highlight w:val="none"/>
        </w:rPr>
        <w:t>00m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的</w:t>
      </w:r>
      <w:r>
        <w:rPr>
          <w:rFonts w:hint="eastAsia" w:ascii="Times New Roman" w:hAnsi="Times New Roman" w:eastAsia="宋体" w:cs="Times New Roman"/>
          <w:color w:val="auto"/>
          <w:sz w:val="24"/>
          <w:szCs w:val="24"/>
          <w:highlight w:val="none"/>
          <w:lang w:eastAsia="zh-CN"/>
        </w:rPr>
        <w:t>尾水</w:t>
      </w:r>
      <w:r>
        <w:rPr>
          <w:rFonts w:hint="eastAsia" w:ascii="Times New Roman" w:hAnsi="Times New Roman" w:eastAsia="宋体" w:cs="Times New Roman"/>
          <w:color w:val="auto"/>
          <w:sz w:val="24"/>
          <w:szCs w:val="24"/>
          <w:highlight w:val="none"/>
        </w:rPr>
        <w:t>暂存池，</w:t>
      </w:r>
      <w:r>
        <w:rPr>
          <w:rFonts w:hint="eastAsia" w:ascii="Times New Roman" w:hAnsi="Times New Roman" w:eastAsia="宋体" w:cs="Times New Roman"/>
          <w:color w:val="auto"/>
          <w:sz w:val="24"/>
          <w:szCs w:val="24"/>
          <w:highlight w:val="none"/>
          <w:lang w:eastAsia="zh-CN"/>
        </w:rPr>
        <w:t>同时尾水暂存池(场)应满足防渗、防雨、防溢流等要求，在</w:t>
      </w:r>
      <w:r>
        <w:rPr>
          <w:rFonts w:hint="eastAsia" w:ascii="Times New Roman" w:hAnsi="Times New Roman" w:eastAsia="宋体" w:cs="Times New Roman"/>
          <w:color w:val="auto"/>
          <w:sz w:val="24"/>
          <w:szCs w:val="24"/>
          <w:highlight w:val="none"/>
        </w:rPr>
        <w:t>顶部加盖防雨</w:t>
      </w:r>
      <w:r>
        <w:rPr>
          <w:rFonts w:hint="eastAsia" w:ascii="Times New Roman" w:hAnsi="Times New Roman" w:eastAsia="宋体" w:cs="Times New Roman"/>
          <w:color w:val="auto"/>
          <w:sz w:val="24"/>
          <w:szCs w:val="24"/>
          <w:highlight w:val="none"/>
          <w:lang w:eastAsia="zh-CN"/>
        </w:rPr>
        <w:t>，并</w:t>
      </w:r>
      <w:r>
        <w:rPr>
          <w:rFonts w:hint="eastAsia" w:ascii="Times New Roman" w:hAnsi="Times New Roman" w:eastAsia="宋体" w:cs="Times New Roman"/>
          <w:color w:val="auto"/>
          <w:sz w:val="24"/>
          <w:szCs w:val="24"/>
          <w:highlight w:val="none"/>
        </w:rPr>
        <w:t>铺设PE管道及终端灌溉软管，购买安装管道配件</w:t>
      </w:r>
      <w:r>
        <w:rPr>
          <w:rFonts w:hint="eastAsia" w:ascii="Times New Roman" w:hAnsi="Times New Roman" w:eastAsia="宋体" w:cs="Times New Roman"/>
          <w:color w:val="auto"/>
          <w:sz w:val="24"/>
          <w:szCs w:val="24"/>
          <w:highlight w:val="none"/>
          <w:lang w:eastAsia="zh-CN"/>
        </w:rPr>
        <w:t>若干</w:t>
      </w:r>
      <w:r>
        <w:rPr>
          <w:rFonts w:hint="eastAsia" w:ascii="Times New Roman" w:hAnsi="Times New Roman" w:eastAsia="宋体" w:cs="Times New Roman"/>
          <w:color w:val="auto"/>
          <w:sz w:val="24"/>
          <w:szCs w:val="24"/>
          <w:highlight w:val="none"/>
        </w:rPr>
        <w:t>套</w:t>
      </w:r>
      <w:r>
        <w:rPr>
          <w:rFonts w:hint="eastAsia" w:ascii="Times New Roman" w:hAnsi="Times New Roman" w:eastAsia="宋体" w:cs="Times New Roman"/>
          <w:color w:val="auto"/>
          <w:sz w:val="24"/>
          <w:szCs w:val="24"/>
          <w:highlight w:val="none"/>
          <w:vertAlign w:val="baseline"/>
          <w:lang w:eastAsia="zh-CN"/>
        </w:rPr>
        <w:t>，</w:t>
      </w:r>
      <w:r>
        <w:rPr>
          <w:rFonts w:hint="eastAsia" w:ascii="Times New Roman" w:hAnsi="Times New Roman" w:eastAsia="宋体" w:cs="Times New Roman"/>
          <w:color w:val="auto"/>
          <w:sz w:val="24"/>
          <w:szCs w:val="24"/>
          <w:highlight w:val="none"/>
        </w:rPr>
        <w:t>能够满足HJ497-2009要求</w:t>
      </w:r>
      <w:r>
        <w:rPr>
          <w:rFonts w:hint="eastAsia" w:ascii="Times New Roman" w:hAnsi="Times New Roman" w:eastAsia="宋体" w:cs="Times New Roman"/>
          <w:color w:val="auto"/>
          <w:sz w:val="24"/>
          <w:szCs w:val="24"/>
          <w:highlight w:val="none"/>
          <w:lang w:eastAsia="zh-CN"/>
        </w:rPr>
        <w:t>，池体、地面采用钢筋混凝土加防渗剂的防渗地坪+人工材料（HDPE）防渗层，确保等效黏土防渗层Mb≥6.0m，K≤1×10</w:t>
      </w:r>
      <w:r>
        <w:rPr>
          <w:rFonts w:hint="eastAsia" w:ascii="Times New Roman" w:hAnsi="Times New Roman" w:eastAsia="宋体" w:cs="Times New Roman"/>
          <w:color w:val="auto"/>
          <w:sz w:val="24"/>
          <w:szCs w:val="24"/>
          <w:highlight w:val="none"/>
          <w:vertAlign w:val="superscript"/>
          <w:lang w:eastAsia="zh-CN"/>
        </w:rPr>
        <w:t>-7</w:t>
      </w:r>
      <w:r>
        <w:rPr>
          <w:rFonts w:hint="eastAsia" w:ascii="Times New Roman" w:hAnsi="Times New Roman" w:eastAsia="宋体" w:cs="Times New Roman"/>
          <w:color w:val="auto"/>
          <w:sz w:val="24"/>
          <w:szCs w:val="24"/>
          <w:highlight w:val="none"/>
          <w:lang w:eastAsia="zh-CN"/>
        </w:rPr>
        <w:t>cm/s，设置溢流管道或尾水导流渠，设置液位监测仪，并设置明显的警告警示、禁止烟火等标志和围栏等防护设施。</w:t>
      </w:r>
    </w:p>
    <w:p>
      <w:pPr>
        <w:spacing w:line="360" w:lineRule="auto"/>
        <w:ind w:firstLine="482" w:firstLineChars="200"/>
        <w:rPr>
          <w:rFonts w:hint="eastAsia"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lang w:eastAsia="zh-CN"/>
        </w:rPr>
        <w:t>（</w:t>
      </w:r>
      <w:r>
        <w:rPr>
          <w:rFonts w:hint="eastAsia" w:ascii="Times New Roman" w:hAnsi="Times New Roman" w:eastAsia="宋体" w:cs="Times New Roman"/>
          <w:b/>
          <w:bCs/>
          <w:color w:val="auto"/>
          <w:sz w:val="24"/>
          <w:szCs w:val="24"/>
          <w:highlight w:val="none"/>
          <w:lang w:val="en-US" w:eastAsia="zh-CN"/>
        </w:rPr>
        <w:t>3）</w:t>
      </w:r>
      <w:r>
        <w:rPr>
          <w:rFonts w:hint="eastAsia" w:ascii="Times New Roman" w:hAnsi="Times New Roman" w:eastAsia="宋体" w:cs="Times New Roman"/>
          <w:b/>
          <w:bCs/>
          <w:color w:val="auto"/>
          <w:sz w:val="24"/>
          <w:szCs w:val="24"/>
          <w:highlight w:val="none"/>
          <w:lang w:eastAsia="zh-CN"/>
        </w:rPr>
        <w:t>农灌</w:t>
      </w:r>
      <w:r>
        <w:rPr>
          <w:rFonts w:hint="eastAsia" w:ascii="Times New Roman" w:hAnsi="Times New Roman" w:eastAsia="宋体" w:cs="Times New Roman"/>
          <w:b/>
          <w:bCs/>
          <w:color w:val="auto"/>
          <w:sz w:val="24"/>
          <w:szCs w:val="24"/>
          <w:highlight w:val="none"/>
        </w:rPr>
        <w:t>方式合理性分析</w:t>
      </w:r>
    </w:p>
    <w:p>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rPr>
        <w:t>本项目处理后的废水经厂区内管道输送至拟建贮存池内暂存（总容积</w:t>
      </w:r>
      <w:r>
        <w:rPr>
          <w:rFonts w:hint="eastAsia" w:ascii="Times New Roman" w:hAnsi="Times New Roman" w:eastAsia="宋体" w:cs="Times New Roman"/>
          <w:color w:val="auto"/>
          <w:sz w:val="24"/>
          <w:szCs w:val="24"/>
          <w:highlight w:val="none"/>
          <w:lang w:val="en-US" w:eastAsia="zh-CN"/>
        </w:rPr>
        <w:t>8000</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），可暂存约</w:t>
      </w:r>
      <w:r>
        <w:rPr>
          <w:rFonts w:hint="eastAsia" w:ascii="Times New Roman" w:hAnsi="Times New Roman" w:eastAsia="宋体"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rPr>
        <w:t>0天的废水量。根据本项目消纳区地势，本项目消纳区</w:t>
      </w:r>
      <w:r>
        <w:rPr>
          <w:rFonts w:hint="eastAsia" w:ascii="Times New Roman" w:hAnsi="Times New Roman" w:eastAsia="宋体" w:cs="Times New Roman"/>
          <w:color w:val="auto"/>
          <w:sz w:val="24"/>
          <w:szCs w:val="24"/>
          <w:highlight w:val="none"/>
          <w:lang w:eastAsia="zh-CN"/>
        </w:rPr>
        <w:t>分为</w:t>
      </w:r>
      <w:r>
        <w:rPr>
          <w:rFonts w:hint="eastAsia" w:ascii="Times New Roman" w:hAnsi="Times New Roman" w:eastAsia="宋体" w:cs="Times New Roman"/>
          <w:color w:val="auto"/>
          <w:sz w:val="24"/>
          <w:szCs w:val="24"/>
          <w:highlight w:val="none"/>
          <w:lang w:val="en-US" w:eastAsia="zh-CN"/>
        </w:rPr>
        <w:t>2个区域，其中林地位于</w:t>
      </w:r>
      <w:r>
        <w:rPr>
          <w:rFonts w:hint="eastAsia" w:ascii="Times New Roman" w:hAnsi="Times New Roman" w:eastAsia="宋体" w:cs="Times New Roman"/>
          <w:color w:val="auto"/>
          <w:sz w:val="24"/>
          <w:szCs w:val="24"/>
          <w:highlight w:val="none"/>
        </w:rPr>
        <w:t>养殖场</w:t>
      </w:r>
      <w:r>
        <w:rPr>
          <w:rFonts w:hint="eastAsia" w:ascii="Times New Roman" w:hAnsi="Times New Roman" w:eastAsia="宋体" w:cs="Times New Roman"/>
          <w:color w:val="auto"/>
          <w:sz w:val="24"/>
          <w:szCs w:val="24"/>
          <w:highlight w:val="none"/>
          <w:lang w:eastAsia="zh-CN"/>
        </w:rPr>
        <w:t>四周（高程为</w:t>
      </w:r>
      <w:r>
        <w:rPr>
          <w:rFonts w:hint="eastAsia" w:ascii="Times New Roman" w:hAnsi="Times New Roman" w:eastAsia="宋体" w:cs="Times New Roman"/>
          <w:color w:val="auto"/>
          <w:sz w:val="24"/>
          <w:szCs w:val="24"/>
          <w:highlight w:val="none"/>
          <w:lang w:val="en-US" w:eastAsia="zh-CN"/>
        </w:rPr>
        <w:t>459m</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511m）</w:t>
      </w:r>
      <w:r>
        <w:rPr>
          <w:rFonts w:hint="eastAsia" w:ascii="Times New Roman" w:hAnsi="Times New Roman" w:eastAsia="宋体" w:cs="Times New Roman"/>
          <w:color w:val="auto"/>
          <w:sz w:val="24"/>
          <w:szCs w:val="24"/>
          <w:highlight w:val="none"/>
        </w:rPr>
        <w:t>，共</w:t>
      </w:r>
      <w:r>
        <w:rPr>
          <w:rFonts w:hint="eastAsia" w:ascii="Times New Roman" w:hAnsi="Times New Roman" w:eastAsia="宋体" w:cs="Times New Roman"/>
          <w:color w:val="auto"/>
          <w:sz w:val="24"/>
          <w:szCs w:val="24"/>
          <w:highlight w:val="none"/>
          <w:lang w:val="en-US" w:eastAsia="zh-CN"/>
        </w:rPr>
        <w:t>1300</w:t>
      </w:r>
      <w:r>
        <w:rPr>
          <w:rFonts w:hint="eastAsia" w:ascii="Times New Roman" w:hAnsi="Times New Roman" w:eastAsia="宋体" w:cs="Times New Roman"/>
          <w:color w:val="auto"/>
          <w:sz w:val="24"/>
          <w:szCs w:val="24"/>
          <w:highlight w:val="none"/>
        </w:rPr>
        <w:t>亩，</w:t>
      </w:r>
      <w:r>
        <w:rPr>
          <w:rFonts w:hint="eastAsia" w:ascii="Times New Roman" w:hAnsi="Times New Roman" w:eastAsia="宋体" w:cs="Times New Roman"/>
          <w:color w:val="auto"/>
          <w:sz w:val="24"/>
          <w:szCs w:val="24"/>
          <w:highlight w:val="none"/>
          <w:lang w:eastAsia="zh-CN"/>
        </w:rPr>
        <w:t>农田灌溉区位于养殖场东南侧约</w:t>
      </w:r>
      <w:r>
        <w:rPr>
          <w:rFonts w:hint="eastAsia" w:ascii="Times New Roman" w:hAnsi="Times New Roman" w:eastAsia="宋体" w:cs="Times New Roman"/>
          <w:color w:val="auto"/>
          <w:sz w:val="24"/>
          <w:szCs w:val="24"/>
          <w:highlight w:val="none"/>
          <w:lang w:val="en-US" w:eastAsia="zh-CN"/>
        </w:rPr>
        <w:t>930m（</w:t>
      </w:r>
      <w:r>
        <w:rPr>
          <w:rFonts w:hint="eastAsia" w:ascii="Times New Roman" w:hAnsi="Times New Roman" w:eastAsia="宋体" w:cs="Times New Roman"/>
          <w:color w:val="auto"/>
          <w:sz w:val="24"/>
          <w:szCs w:val="24"/>
          <w:highlight w:val="none"/>
        </w:rPr>
        <w:t>高程为</w:t>
      </w:r>
      <w:r>
        <w:rPr>
          <w:rFonts w:hint="eastAsia" w:ascii="Times New Roman" w:hAnsi="Times New Roman" w:eastAsia="宋体" w:cs="Times New Roman"/>
          <w:color w:val="auto"/>
          <w:sz w:val="24"/>
          <w:szCs w:val="24"/>
          <w:highlight w:val="none"/>
          <w:lang w:val="en-US" w:eastAsia="zh-CN"/>
        </w:rPr>
        <w:t>513m</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559</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lang w:eastAsia="zh-CN"/>
        </w:rPr>
        <w:t>），灌溉面积共</w:t>
      </w:r>
      <w:r>
        <w:rPr>
          <w:rFonts w:hint="eastAsia" w:ascii="Times New Roman" w:hAnsi="Times New Roman" w:eastAsia="宋体" w:cs="Times New Roman"/>
          <w:color w:val="auto"/>
          <w:sz w:val="24"/>
          <w:szCs w:val="24"/>
          <w:highlight w:val="none"/>
          <w:lang w:val="en-US" w:eastAsia="zh-CN"/>
        </w:rPr>
        <w:t>1500亩。本项目</w:t>
      </w:r>
      <w:r>
        <w:rPr>
          <w:rFonts w:hint="eastAsia" w:ascii="Times New Roman" w:hAnsi="Times New Roman" w:eastAsia="宋体" w:cs="Times New Roman"/>
          <w:color w:val="auto"/>
          <w:sz w:val="24"/>
          <w:szCs w:val="24"/>
          <w:highlight w:val="none"/>
        </w:rPr>
        <w:t>拟在</w:t>
      </w:r>
      <w:r>
        <w:rPr>
          <w:rFonts w:hint="eastAsia" w:ascii="Times New Roman" w:hAnsi="Times New Roman" w:eastAsia="宋体" w:cs="Times New Roman"/>
          <w:color w:val="auto"/>
          <w:sz w:val="24"/>
          <w:szCs w:val="24"/>
          <w:highlight w:val="none"/>
          <w:lang w:eastAsia="zh-CN"/>
        </w:rPr>
        <w:t>林地及农田</w:t>
      </w:r>
      <w:r>
        <w:rPr>
          <w:rFonts w:hint="eastAsia" w:ascii="Times New Roman" w:hAnsi="Times New Roman" w:eastAsia="宋体" w:cs="Times New Roman"/>
          <w:color w:val="auto"/>
          <w:sz w:val="24"/>
          <w:szCs w:val="24"/>
          <w:highlight w:val="none"/>
        </w:rPr>
        <w:t>消纳区域内铺设管道</w:t>
      </w:r>
      <w:r>
        <w:rPr>
          <w:rFonts w:hint="eastAsia" w:ascii="Times New Roman" w:hAnsi="Times New Roman" w:eastAsia="宋体" w:cs="Times New Roman"/>
          <w:color w:val="auto"/>
          <w:sz w:val="24"/>
          <w:szCs w:val="24"/>
          <w:highlight w:val="none"/>
          <w:lang w:eastAsia="zh-CN"/>
        </w:rPr>
        <w:t>及提升泵房</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两区域连接管网依托已有灌溉渠道及提升泵站。（详见附图）</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同时环评要求建设单位应根据田间服务范围要求及地势条件，并铺设PE材质dn200，本项目贮存池（高程为</w:t>
      </w:r>
      <w:r>
        <w:rPr>
          <w:rFonts w:hint="eastAsia" w:ascii="Times New Roman" w:hAnsi="Times New Roman" w:eastAsia="宋体" w:cs="Times New Roman"/>
          <w:color w:val="auto"/>
          <w:sz w:val="24"/>
          <w:szCs w:val="24"/>
          <w:highlight w:val="none"/>
          <w:lang w:val="en-US" w:eastAsia="zh-CN"/>
        </w:rPr>
        <w:t>499</w:t>
      </w:r>
      <w:r>
        <w:rPr>
          <w:rFonts w:hint="eastAsia" w:ascii="Times New Roman" w:hAnsi="Times New Roman" w:eastAsia="宋体" w:cs="Times New Roman"/>
          <w:color w:val="auto"/>
          <w:sz w:val="24"/>
          <w:szCs w:val="24"/>
          <w:highlight w:val="none"/>
        </w:rPr>
        <w:t>m），通过高差或水泵经PE管流入消纳土地，消纳取水通过各田间PE管末端阀门控制），项目正常生产期间，通过布置的支管阀门控制或小型水泵抽到田间</w:t>
      </w:r>
      <w:r>
        <w:rPr>
          <w:rFonts w:hint="eastAsia" w:ascii="Times New Roman" w:hAnsi="Times New Roman" w:eastAsia="宋体" w:cs="Times New Roman"/>
          <w:color w:val="auto"/>
          <w:sz w:val="24"/>
          <w:szCs w:val="24"/>
          <w:highlight w:val="none"/>
          <w:lang w:eastAsia="zh-CN"/>
        </w:rPr>
        <w:t>或林间（</w:t>
      </w:r>
      <w:r>
        <w:rPr>
          <w:rFonts w:hint="eastAsia" w:ascii="Times New Roman" w:hAnsi="Times New Roman" w:eastAsia="宋体" w:cs="Times New Roman"/>
          <w:color w:val="auto"/>
          <w:sz w:val="24"/>
          <w:szCs w:val="24"/>
          <w:highlight w:val="none"/>
          <w:u w:val="single"/>
          <w:lang w:eastAsia="zh-CN"/>
        </w:rPr>
        <w:t>本项目不在田间设置田间池</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。综上，项目设置的污水消纳配套设施能满足本项目养殖规模需求，项目</w:t>
      </w:r>
      <w:r>
        <w:rPr>
          <w:rFonts w:hint="eastAsia" w:ascii="Times New Roman" w:hAnsi="Times New Roman" w:eastAsia="宋体" w:cs="Times New Roman"/>
          <w:color w:val="auto"/>
          <w:sz w:val="24"/>
          <w:szCs w:val="24"/>
          <w:highlight w:val="none"/>
          <w:lang w:eastAsia="zh-CN"/>
        </w:rPr>
        <w:t>农灌</w:t>
      </w:r>
      <w:r>
        <w:rPr>
          <w:rFonts w:hint="eastAsia" w:ascii="Times New Roman" w:hAnsi="Times New Roman" w:eastAsia="宋体" w:cs="Times New Roman"/>
          <w:color w:val="auto"/>
          <w:sz w:val="24"/>
          <w:szCs w:val="24"/>
          <w:highlight w:val="none"/>
        </w:rPr>
        <w:t>方式合理有效。</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综上所述，本项目养殖废水经污水处理站处理达到《农田灌溉水质标准》（</w:t>
      </w:r>
      <w:r>
        <w:rPr>
          <w:rFonts w:hint="eastAsia" w:ascii="Times New Roman" w:hAnsi="Times New Roman" w:eastAsia="宋体" w:cs="Times New Roman"/>
          <w:color w:val="auto"/>
          <w:sz w:val="24"/>
          <w:szCs w:val="24"/>
          <w:highlight w:val="none"/>
          <w:lang w:eastAsia="zh-CN"/>
        </w:rPr>
        <w:t>GB5084-2021</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蔬菜</w:t>
      </w:r>
      <w:r>
        <w:rPr>
          <w:rFonts w:hint="eastAsia" w:ascii="Times New Roman" w:hAnsi="Times New Roman" w:eastAsia="宋体" w:cs="Times New Roman"/>
          <w:color w:val="auto"/>
          <w:sz w:val="24"/>
          <w:szCs w:val="24"/>
          <w:highlight w:val="none"/>
        </w:rPr>
        <w:t>灌溉标准</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废水储存池容积满足本项目污水处理站出水储存要求；污水处理站出水用于消纳地内灌溉合理可行。采取上述措施后，项目运营期间不会对周围地表水环境产生较大的影响。</w:t>
      </w:r>
    </w:p>
    <w:p>
      <w:pPr>
        <w:pStyle w:val="8"/>
        <w:spacing w:before="0" w:after="0" w:line="360" w:lineRule="auto"/>
        <w:ind w:left="0" w:firstLine="0"/>
        <w:rPr>
          <w:rFonts w:cs="Times New Roman"/>
          <w:color w:val="auto"/>
          <w:highlight w:val="none"/>
        </w:rPr>
      </w:pPr>
      <w:bookmarkStart w:id="237" w:name="_Toc543"/>
      <w:r>
        <w:rPr>
          <w:rFonts w:cs="Times New Roman"/>
          <w:color w:val="auto"/>
          <w:highlight w:val="none"/>
        </w:rPr>
        <w:t>地下水环境影响分析</w:t>
      </w:r>
      <w:bookmarkEnd w:id="237"/>
    </w:p>
    <w:p>
      <w:pPr>
        <w:pStyle w:val="9"/>
        <w:rPr>
          <w:rFonts w:hint="eastAsia" w:cs="Times New Roman"/>
          <w:color w:val="auto"/>
          <w:highlight w:val="none"/>
          <w:lang w:eastAsia="zh-CN"/>
        </w:rPr>
      </w:pPr>
      <w:r>
        <w:rPr>
          <w:rFonts w:hint="eastAsia" w:cs="Times New Roman"/>
          <w:color w:val="auto"/>
          <w:highlight w:val="none"/>
          <w:lang w:eastAsia="zh-CN"/>
        </w:rPr>
        <w:t>地下水状况调查分析</w:t>
      </w:r>
    </w:p>
    <w:p>
      <w:pPr>
        <w:spacing w:line="360" w:lineRule="auto"/>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1、</w:t>
      </w:r>
      <w:r>
        <w:rPr>
          <w:rFonts w:hint="eastAsia" w:ascii="Times New Roman" w:hAnsi="Times New Roman" w:eastAsia="宋体" w:cs="Times New Roman"/>
          <w:b/>
          <w:color w:val="auto"/>
          <w:sz w:val="24"/>
          <w:highlight w:val="none"/>
        </w:rPr>
        <w:t>评价区地质情况</w:t>
      </w:r>
    </w:p>
    <w:p>
      <w:pPr>
        <w:spacing w:line="360" w:lineRule="auto"/>
        <w:rPr>
          <w:rFonts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rPr>
        <w:t>（1）地形地貌</w:t>
      </w:r>
    </w:p>
    <w:p>
      <w:pPr>
        <w:spacing w:line="360" w:lineRule="auto"/>
        <w:ind w:firstLine="480" w:firstLineChars="200"/>
        <w:rPr>
          <w:rFonts w:ascii="Times New Roman" w:hAnsi="Times New Roman" w:eastAsia="宋体" w:cs="Times New Roman"/>
          <w:color w:val="auto"/>
          <w:sz w:val="24"/>
          <w:szCs w:val="21"/>
          <w:highlight w:val="none"/>
        </w:rPr>
      </w:pPr>
      <w:r>
        <w:rPr>
          <w:rFonts w:ascii="Times New Roman" w:hAnsi="Times New Roman" w:eastAsia="宋体" w:cs="Times New Roman"/>
          <w:color w:val="auto"/>
          <w:sz w:val="24"/>
          <w:szCs w:val="21"/>
          <w:highlight w:val="none"/>
        </w:rPr>
        <w:t>巴中属典型的盆周山区，地势北高南低，由北向南倾斜。北部为深切割中山，中切割中山，中部为中切割低山、浅切割低山；南部为丘陵，沿河两岸及台状山顶有平坝。</w:t>
      </w:r>
      <w:r>
        <w:rPr>
          <w:rFonts w:hint="eastAsia" w:ascii="Times New Roman" w:hAnsi="Times New Roman" w:eastAsia="宋体" w:cs="Times New Roman"/>
          <w:color w:val="auto"/>
          <w:sz w:val="24"/>
          <w:szCs w:val="21"/>
          <w:highlight w:val="none"/>
        </w:rPr>
        <w:t>此</w:t>
      </w:r>
      <w:r>
        <w:rPr>
          <w:rFonts w:ascii="Times New Roman" w:hAnsi="Times New Roman" w:eastAsia="宋体" w:cs="Times New Roman"/>
          <w:color w:val="auto"/>
          <w:sz w:val="24"/>
          <w:szCs w:val="21"/>
          <w:highlight w:val="none"/>
        </w:rPr>
        <w:t>外，境内还有流水侵蚀、沉积、扇形地貌和重力堆积、残积地貌及喀斯特地貌。</w:t>
      </w:r>
    </w:p>
    <w:p>
      <w:pPr>
        <w:spacing w:line="360" w:lineRule="auto"/>
        <w:ind w:firstLine="480" w:firstLineChars="200"/>
        <w:rPr>
          <w:rFonts w:ascii="Times New Roman" w:hAnsi="Times New Roman" w:eastAsia="宋体" w:cs="Times New Roman"/>
          <w:color w:val="auto"/>
          <w:sz w:val="24"/>
          <w:szCs w:val="21"/>
          <w:highlight w:val="none"/>
        </w:rPr>
      </w:pPr>
      <w:r>
        <w:rPr>
          <w:rFonts w:ascii="Times New Roman" w:hAnsi="Times New Roman" w:eastAsia="宋体" w:cs="Times New Roman"/>
          <w:color w:val="auto"/>
          <w:sz w:val="24"/>
          <w:szCs w:val="21"/>
          <w:highlight w:val="none"/>
        </w:rPr>
        <w:t>巴州区山体为典型桌状山，全区分低中山、丘陵、平坝三种地貌，在地貌分布上以中低山地貌分布为主，高丘地貌次之，河谷、平坝地貌极少。</w:t>
      </w:r>
      <w:r>
        <w:rPr>
          <w:rFonts w:hint="eastAsia" w:ascii="Times New Roman" w:hAnsi="Times New Roman" w:eastAsia="宋体" w:cs="Times New Roman"/>
          <w:color w:val="auto"/>
          <w:sz w:val="24"/>
          <w:szCs w:val="21"/>
          <w:highlight w:val="none"/>
        </w:rPr>
        <w:t>项目场地原始地貌为坡地台阶地貌，场地地势呈西南低东北高，地势有起伏。</w:t>
      </w:r>
    </w:p>
    <w:p>
      <w:pPr>
        <w:spacing w:line="360" w:lineRule="auto"/>
        <w:rPr>
          <w:rFonts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rPr>
        <w:t>（2）地层岩性</w:t>
      </w:r>
    </w:p>
    <w:p>
      <w:pPr>
        <w:widowControl/>
        <w:snapToGrid w:val="0"/>
        <w:spacing w:line="360" w:lineRule="auto"/>
        <w:ind w:firstLine="480" w:firstLineChars="200"/>
        <w:rPr>
          <w:rFonts w:ascii="Times New Roman" w:hAnsi="Times New Roman" w:eastAsia="宋体" w:cs="Times New Roman"/>
          <w:color w:val="auto"/>
          <w:kern w:val="0"/>
          <w:sz w:val="24"/>
          <w:szCs w:val="20"/>
          <w:highlight w:val="none"/>
        </w:rPr>
      </w:pPr>
      <w:r>
        <w:rPr>
          <w:rFonts w:ascii="Times New Roman" w:hAnsi="Times New Roman" w:eastAsia="宋体" w:cs="Times New Roman"/>
          <w:color w:val="auto"/>
          <w:kern w:val="0"/>
          <w:sz w:val="24"/>
          <w:szCs w:val="20"/>
          <w:highlight w:val="none"/>
        </w:rPr>
        <w:t>根据工程地质测绘、钻探揭露，场地内分布地层岩性主要为第四系</w:t>
      </w:r>
      <w:r>
        <w:rPr>
          <w:rFonts w:hint="eastAsia" w:ascii="Times New Roman" w:hAnsi="Times New Roman" w:eastAsia="宋体" w:cs="Times New Roman"/>
          <w:color w:val="auto"/>
          <w:kern w:val="0"/>
          <w:sz w:val="24"/>
          <w:szCs w:val="20"/>
          <w:highlight w:val="none"/>
        </w:rPr>
        <w:t>素</w:t>
      </w:r>
      <w:r>
        <w:rPr>
          <w:rFonts w:ascii="Times New Roman" w:hAnsi="Times New Roman" w:eastAsia="宋体" w:cs="Times New Roman"/>
          <w:color w:val="auto"/>
          <w:kern w:val="0"/>
          <w:sz w:val="24"/>
          <w:szCs w:val="20"/>
          <w:highlight w:val="none"/>
        </w:rPr>
        <w:t>填土</w:t>
      </w:r>
      <w:r>
        <w:rPr>
          <w:rFonts w:hint="eastAsia" w:ascii="Times New Roman" w:hAnsi="Times New Roman" w:eastAsia="宋体" w:cs="Times New Roman"/>
          <w:color w:val="auto"/>
          <w:kern w:val="0"/>
          <w:sz w:val="24"/>
          <w:szCs w:val="20"/>
          <w:highlight w:val="none"/>
        </w:rPr>
        <w:t>层</w:t>
      </w:r>
      <w:r>
        <w:rPr>
          <w:rFonts w:ascii="Times New Roman" w:hAnsi="Times New Roman" w:eastAsia="宋体" w:cs="Times New Roman"/>
          <w:color w:val="auto"/>
          <w:kern w:val="0"/>
          <w:sz w:val="24"/>
          <w:szCs w:val="20"/>
          <w:highlight w:val="none"/>
        </w:rPr>
        <w:t>（Q</w:t>
      </w:r>
      <w:r>
        <w:rPr>
          <w:rFonts w:ascii="Times New Roman" w:hAnsi="Times New Roman" w:eastAsia="宋体" w:cs="Times New Roman"/>
          <w:color w:val="auto"/>
          <w:kern w:val="0"/>
          <w:sz w:val="24"/>
          <w:szCs w:val="20"/>
          <w:highlight w:val="none"/>
          <w:vertAlign w:val="subscript"/>
        </w:rPr>
        <w:t>4</w:t>
      </w:r>
      <w:r>
        <w:rPr>
          <w:rFonts w:ascii="Times New Roman" w:hAnsi="Times New Roman" w:eastAsia="宋体" w:cs="Times New Roman"/>
          <w:color w:val="auto"/>
          <w:kern w:val="0"/>
          <w:sz w:val="24"/>
          <w:szCs w:val="20"/>
          <w:highlight w:val="none"/>
          <w:vertAlign w:val="superscript"/>
        </w:rPr>
        <w:t>ml</w:t>
      </w:r>
      <w:r>
        <w:rPr>
          <w:rFonts w:ascii="Times New Roman" w:hAnsi="Times New Roman" w:eastAsia="宋体" w:cs="Times New Roman"/>
          <w:color w:val="auto"/>
          <w:kern w:val="0"/>
          <w:sz w:val="24"/>
          <w:szCs w:val="20"/>
          <w:highlight w:val="none"/>
        </w:rPr>
        <w:t>）、第四系</w:t>
      </w:r>
      <w:r>
        <w:rPr>
          <w:rFonts w:hint="eastAsia" w:ascii="Times New Roman" w:hAnsi="Times New Roman" w:eastAsia="宋体" w:cs="Times New Roman"/>
          <w:color w:val="auto"/>
          <w:kern w:val="0"/>
          <w:sz w:val="24"/>
          <w:szCs w:val="20"/>
          <w:highlight w:val="none"/>
        </w:rPr>
        <w:t>残积层（</w:t>
      </w:r>
      <w:r>
        <w:rPr>
          <w:rFonts w:ascii="Times New Roman" w:hAnsi="Times New Roman" w:eastAsia="宋体" w:cs="Times New Roman"/>
          <w:color w:val="auto"/>
          <w:kern w:val="0"/>
          <w:sz w:val="24"/>
          <w:szCs w:val="20"/>
          <w:highlight w:val="none"/>
        </w:rPr>
        <w:t>Q</w:t>
      </w:r>
      <w:r>
        <w:rPr>
          <w:rFonts w:ascii="Times New Roman" w:hAnsi="Times New Roman" w:eastAsia="宋体" w:cs="Times New Roman"/>
          <w:color w:val="auto"/>
          <w:kern w:val="0"/>
          <w:sz w:val="24"/>
          <w:szCs w:val="20"/>
          <w:highlight w:val="none"/>
          <w:vertAlign w:val="subscript"/>
        </w:rPr>
        <w:t>4</w:t>
      </w:r>
      <w:r>
        <w:rPr>
          <w:rFonts w:hint="eastAsia" w:ascii="Times New Roman" w:hAnsi="Times New Roman" w:eastAsia="宋体" w:cs="Times New Roman"/>
          <w:color w:val="auto"/>
          <w:kern w:val="0"/>
          <w:sz w:val="24"/>
          <w:szCs w:val="20"/>
          <w:highlight w:val="none"/>
          <w:vertAlign w:val="superscript"/>
        </w:rPr>
        <w:t>a</w:t>
      </w:r>
      <w:r>
        <w:rPr>
          <w:rFonts w:ascii="Times New Roman" w:hAnsi="Times New Roman" w:eastAsia="宋体" w:cs="Times New Roman"/>
          <w:color w:val="auto"/>
          <w:kern w:val="0"/>
          <w:sz w:val="24"/>
          <w:szCs w:val="20"/>
          <w:highlight w:val="none"/>
          <w:vertAlign w:val="superscript"/>
        </w:rPr>
        <w:t>l+</w:t>
      </w:r>
      <w:r>
        <w:rPr>
          <w:rFonts w:hint="eastAsia" w:ascii="Times New Roman" w:hAnsi="Times New Roman" w:eastAsia="宋体" w:cs="Times New Roman"/>
          <w:color w:val="auto"/>
          <w:kern w:val="0"/>
          <w:sz w:val="24"/>
          <w:szCs w:val="20"/>
          <w:highlight w:val="none"/>
          <w:vertAlign w:val="superscript"/>
        </w:rPr>
        <w:t>e</w:t>
      </w:r>
      <w:r>
        <w:rPr>
          <w:rFonts w:ascii="Times New Roman" w:hAnsi="Times New Roman" w:eastAsia="宋体" w:cs="Times New Roman"/>
          <w:color w:val="auto"/>
          <w:kern w:val="0"/>
          <w:sz w:val="24"/>
          <w:szCs w:val="20"/>
          <w:highlight w:val="none"/>
          <w:vertAlign w:val="superscript"/>
        </w:rPr>
        <w:t>l</w:t>
      </w:r>
      <w:r>
        <w:rPr>
          <w:rFonts w:hint="eastAsia" w:ascii="Times New Roman" w:hAnsi="Times New Roman" w:eastAsia="宋体" w:cs="Times New Roman"/>
          <w:color w:val="auto"/>
          <w:kern w:val="0"/>
          <w:sz w:val="24"/>
          <w:szCs w:val="20"/>
          <w:highlight w:val="none"/>
        </w:rPr>
        <w:t>）粉质黏土、白垩系下统白龙组（K</w:t>
      </w:r>
      <w:r>
        <w:rPr>
          <w:rFonts w:ascii="Times New Roman" w:hAnsi="Times New Roman" w:eastAsia="宋体" w:cs="Times New Roman"/>
          <w:color w:val="auto"/>
          <w:kern w:val="0"/>
          <w:sz w:val="24"/>
          <w:szCs w:val="20"/>
          <w:highlight w:val="none"/>
          <w:vertAlign w:val="subscript"/>
        </w:rPr>
        <w:t>1</w:t>
      </w:r>
      <w:r>
        <w:rPr>
          <w:rFonts w:ascii="Times New Roman" w:hAnsi="Times New Roman" w:eastAsia="宋体" w:cs="Times New Roman"/>
          <w:color w:val="auto"/>
          <w:kern w:val="0"/>
          <w:sz w:val="24"/>
          <w:szCs w:val="20"/>
          <w:highlight w:val="none"/>
        </w:rPr>
        <w:t>b</w:t>
      </w:r>
      <w:r>
        <w:rPr>
          <w:rFonts w:hint="eastAsia" w:ascii="Times New Roman" w:hAnsi="Times New Roman" w:eastAsia="宋体" w:cs="Times New Roman"/>
          <w:color w:val="auto"/>
          <w:kern w:val="0"/>
          <w:sz w:val="24"/>
          <w:szCs w:val="20"/>
          <w:highlight w:val="none"/>
        </w:rPr>
        <w:t>）砂岩。</w:t>
      </w:r>
      <w:r>
        <w:rPr>
          <w:rFonts w:ascii="Times New Roman" w:hAnsi="Times New Roman" w:eastAsia="宋体" w:cs="Times New Roman"/>
          <w:color w:val="auto"/>
          <w:kern w:val="0"/>
          <w:sz w:val="24"/>
          <w:szCs w:val="20"/>
          <w:highlight w:val="none"/>
        </w:rPr>
        <w:t>各地层岩性特征描述如下：</w:t>
      </w:r>
    </w:p>
    <w:p>
      <w:pPr>
        <w:widowControl/>
        <w:snapToGrid w:val="0"/>
        <w:spacing w:line="360" w:lineRule="auto"/>
        <w:ind w:firstLine="480" w:firstLineChars="200"/>
        <w:rPr>
          <w:rFonts w:ascii="Times New Roman" w:hAnsi="Times New Roman" w:eastAsia="宋体" w:cs="Times New Roman"/>
          <w:color w:val="auto"/>
          <w:kern w:val="0"/>
          <w:sz w:val="24"/>
          <w:szCs w:val="20"/>
          <w:highlight w:val="none"/>
        </w:rPr>
      </w:pPr>
      <w:r>
        <w:rPr>
          <w:rFonts w:ascii="Times New Roman" w:hAnsi="Times New Roman" w:eastAsia="宋体" w:cs="Times New Roman"/>
          <w:color w:val="auto"/>
          <w:kern w:val="0"/>
          <w:sz w:val="24"/>
          <w:szCs w:val="20"/>
          <w:highlight w:val="none"/>
        </w:rPr>
        <w:t>1、第四系</w:t>
      </w:r>
      <w:r>
        <w:rPr>
          <w:rFonts w:hint="eastAsia" w:ascii="Times New Roman" w:hAnsi="Times New Roman" w:eastAsia="宋体" w:cs="Times New Roman"/>
          <w:color w:val="auto"/>
          <w:kern w:val="0"/>
          <w:sz w:val="24"/>
          <w:szCs w:val="20"/>
          <w:highlight w:val="none"/>
        </w:rPr>
        <w:t>素填土</w:t>
      </w:r>
      <w:r>
        <w:rPr>
          <w:rFonts w:ascii="Times New Roman" w:hAnsi="Times New Roman" w:eastAsia="宋体" w:cs="Times New Roman"/>
          <w:color w:val="auto"/>
          <w:kern w:val="0"/>
          <w:sz w:val="24"/>
          <w:szCs w:val="20"/>
          <w:highlight w:val="none"/>
        </w:rPr>
        <w:t>（Q</w:t>
      </w:r>
      <w:r>
        <w:rPr>
          <w:rFonts w:ascii="Times New Roman" w:hAnsi="Times New Roman" w:eastAsia="宋体" w:cs="Times New Roman"/>
          <w:color w:val="auto"/>
          <w:kern w:val="0"/>
          <w:sz w:val="24"/>
          <w:szCs w:val="20"/>
          <w:highlight w:val="none"/>
          <w:vertAlign w:val="subscript"/>
        </w:rPr>
        <w:t>4</w:t>
      </w:r>
      <w:r>
        <w:rPr>
          <w:rFonts w:ascii="Times New Roman" w:hAnsi="Times New Roman" w:eastAsia="宋体" w:cs="Times New Roman"/>
          <w:color w:val="auto"/>
          <w:kern w:val="0"/>
          <w:sz w:val="24"/>
          <w:szCs w:val="20"/>
          <w:highlight w:val="none"/>
          <w:vertAlign w:val="superscript"/>
        </w:rPr>
        <w:t>ml</w:t>
      </w:r>
      <w:r>
        <w:rPr>
          <w:rFonts w:ascii="Times New Roman" w:hAnsi="Times New Roman" w:eastAsia="宋体" w:cs="Times New Roman"/>
          <w:color w:val="auto"/>
          <w:kern w:val="0"/>
          <w:sz w:val="24"/>
          <w:szCs w:val="20"/>
          <w:highlight w:val="none"/>
        </w:rPr>
        <w:t>）：</w:t>
      </w:r>
    </w:p>
    <w:p>
      <w:pPr>
        <w:widowControl/>
        <w:snapToGrid w:val="0"/>
        <w:spacing w:line="360" w:lineRule="auto"/>
        <w:ind w:firstLine="480" w:firstLineChars="200"/>
        <w:rPr>
          <w:rFonts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稍湿～湿，呈松散状，褐黄色、褐灰色，呈欠固结状态；主要由粉质粘土、风化岩块、岩屑、建筑垃圾等组成，局部钻孔夹杂0.30～0.50米的块石，块石粒径0.2～30.0cm,含量约占10%。属人工扰动土体，局部分布。</w:t>
      </w:r>
    </w:p>
    <w:p>
      <w:pPr>
        <w:widowControl/>
        <w:snapToGrid w:val="0"/>
        <w:spacing w:line="360" w:lineRule="auto"/>
        <w:ind w:firstLine="480" w:firstLineChars="200"/>
        <w:rPr>
          <w:rFonts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2、</w:t>
      </w:r>
      <w:r>
        <w:rPr>
          <w:rFonts w:ascii="Times New Roman" w:hAnsi="Times New Roman" w:eastAsia="宋体" w:cs="Times New Roman"/>
          <w:color w:val="auto"/>
          <w:kern w:val="0"/>
          <w:sz w:val="24"/>
          <w:szCs w:val="20"/>
          <w:highlight w:val="none"/>
        </w:rPr>
        <w:t>第四系</w:t>
      </w:r>
      <w:r>
        <w:rPr>
          <w:rFonts w:hint="eastAsia" w:ascii="Times New Roman" w:hAnsi="Times New Roman" w:eastAsia="宋体" w:cs="Times New Roman"/>
          <w:color w:val="auto"/>
          <w:kern w:val="0"/>
          <w:sz w:val="24"/>
          <w:szCs w:val="20"/>
          <w:highlight w:val="none"/>
        </w:rPr>
        <w:t>残积层（</w:t>
      </w:r>
      <w:r>
        <w:rPr>
          <w:rFonts w:ascii="Times New Roman" w:hAnsi="Times New Roman" w:eastAsia="宋体" w:cs="Times New Roman"/>
          <w:color w:val="auto"/>
          <w:kern w:val="0"/>
          <w:sz w:val="24"/>
          <w:szCs w:val="20"/>
          <w:highlight w:val="none"/>
        </w:rPr>
        <w:t>Q</w:t>
      </w:r>
      <w:r>
        <w:rPr>
          <w:rFonts w:ascii="Times New Roman" w:hAnsi="Times New Roman" w:eastAsia="宋体" w:cs="Times New Roman"/>
          <w:color w:val="auto"/>
          <w:kern w:val="0"/>
          <w:sz w:val="24"/>
          <w:szCs w:val="20"/>
          <w:highlight w:val="none"/>
          <w:vertAlign w:val="subscript"/>
        </w:rPr>
        <w:t>4</w:t>
      </w:r>
      <w:r>
        <w:rPr>
          <w:rFonts w:hint="eastAsia" w:ascii="Times New Roman" w:hAnsi="Times New Roman" w:eastAsia="宋体" w:cs="Times New Roman"/>
          <w:color w:val="auto"/>
          <w:kern w:val="0"/>
          <w:sz w:val="24"/>
          <w:szCs w:val="20"/>
          <w:highlight w:val="none"/>
          <w:vertAlign w:val="superscript"/>
        </w:rPr>
        <w:t>a</w:t>
      </w:r>
      <w:r>
        <w:rPr>
          <w:rFonts w:ascii="Times New Roman" w:hAnsi="Times New Roman" w:eastAsia="宋体" w:cs="Times New Roman"/>
          <w:color w:val="auto"/>
          <w:kern w:val="0"/>
          <w:sz w:val="24"/>
          <w:szCs w:val="20"/>
          <w:highlight w:val="none"/>
          <w:vertAlign w:val="superscript"/>
        </w:rPr>
        <w:t>l+</w:t>
      </w:r>
      <w:r>
        <w:rPr>
          <w:rFonts w:hint="eastAsia" w:ascii="Times New Roman" w:hAnsi="Times New Roman" w:eastAsia="宋体" w:cs="Times New Roman"/>
          <w:color w:val="auto"/>
          <w:kern w:val="0"/>
          <w:sz w:val="24"/>
          <w:szCs w:val="20"/>
          <w:highlight w:val="none"/>
          <w:vertAlign w:val="superscript"/>
        </w:rPr>
        <w:t>e</w:t>
      </w:r>
      <w:r>
        <w:rPr>
          <w:rFonts w:ascii="Times New Roman" w:hAnsi="Times New Roman" w:eastAsia="宋体" w:cs="Times New Roman"/>
          <w:color w:val="auto"/>
          <w:kern w:val="0"/>
          <w:sz w:val="24"/>
          <w:szCs w:val="20"/>
          <w:highlight w:val="none"/>
          <w:vertAlign w:val="superscript"/>
        </w:rPr>
        <w:t>l</w:t>
      </w:r>
      <w:r>
        <w:rPr>
          <w:rFonts w:hint="eastAsia" w:ascii="Times New Roman" w:hAnsi="Times New Roman" w:eastAsia="宋体" w:cs="Times New Roman"/>
          <w:color w:val="auto"/>
          <w:kern w:val="0"/>
          <w:sz w:val="24"/>
          <w:szCs w:val="20"/>
          <w:highlight w:val="none"/>
        </w:rPr>
        <w:t>）粉质黏土</w:t>
      </w:r>
    </w:p>
    <w:p>
      <w:pPr>
        <w:widowControl/>
        <w:snapToGrid w:val="0"/>
        <w:spacing w:line="360" w:lineRule="auto"/>
        <w:ind w:firstLine="480" w:firstLineChars="200"/>
        <w:rPr>
          <w:rFonts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黄、浅黄，可塑状，成分以粉粒及粘粒为主，含少量铁锰质。稍有光泽，摇振反应中等。小刀切割，切面较光滑，干强度中等，韧性一般。全场地分布,层厚0.70～6.50m。</w:t>
      </w:r>
    </w:p>
    <w:p>
      <w:pPr>
        <w:widowControl/>
        <w:snapToGrid w:val="0"/>
        <w:spacing w:line="360" w:lineRule="auto"/>
        <w:ind w:firstLine="480" w:firstLineChars="200"/>
        <w:rPr>
          <w:rFonts w:ascii="Times New Roman" w:hAnsi="Times New Roman" w:eastAsia="宋体" w:cs="Times New Roman"/>
          <w:color w:val="auto"/>
          <w:kern w:val="0"/>
          <w:sz w:val="24"/>
          <w:szCs w:val="20"/>
          <w:highlight w:val="none"/>
        </w:rPr>
      </w:pPr>
      <w:r>
        <w:rPr>
          <w:rFonts w:ascii="Times New Roman" w:hAnsi="Times New Roman" w:eastAsia="宋体" w:cs="Times New Roman"/>
          <w:color w:val="auto"/>
          <w:kern w:val="0"/>
          <w:sz w:val="24"/>
          <w:szCs w:val="20"/>
          <w:highlight w:val="none"/>
        </w:rPr>
        <w:t>3、</w:t>
      </w:r>
      <w:r>
        <w:rPr>
          <w:rFonts w:hint="eastAsia" w:ascii="Times New Roman" w:hAnsi="Times New Roman" w:eastAsia="宋体" w:cs="Times New Roman"/>
          <w:color w:val="auto"/>
          <w:kern w:val="0"/>
          <w:sz w:val="24"/>
          <w:szCs w:val="20"/>
          <w:highlight w:val="none"/>
        </w:rPr>
        <w:t>白垩系下统白龙组（K</w:t>
      </w:r>
      <w:r>
        <w:rPr>
          <w:rFonts w:ascii="Times New Roman" w:hAnsi="Times New Roman" w:eastAsia="宋体" w:cs="Times New Roman"/>
          <w:color w:val="auto"/>
          <w:kern w:val="0"/>
          <w:sz w:val="24"/>
          <w:szCs w:val="20"/>
          <w:highlight w:val="none"/>
          <w:vertAlign w:val="subscript"/>
        </w:rPr>
        <w:t>1</w:t>
      </w:r>
      <w:r>
        <w:rPr>
          <w:rFonts w:ascii="Times New Roman" w:hAnsi="Times New Roman" w:eastAsia="宋体" w:cs="Times New Roman"/>
          <w:color w:val="auto"/>
          <w:kern w:val="0"/>
          <w:sz w:val="24"/>
          <w:szCs w:val="20"/>
          <w:highlight w:val="none"/>
        </w:rPr>
        <w:t>b</w:t>
      </w:r>
      <w:r>
        <w:rPr>
          <w:rFonts w:hint="eastAsia" w:ascii="Times New Roman" w:hAnsi="Times New Roman" w:eastAsia="宋体" w:cs="Times New Roman"/>
          <w:color w:val="auto"/>
          <w:kern w:val="0"/>
          <w:sz w:val="24"/>
          <w:szCs w:val="20"/>
          <w:highlight w:val="none"/>
        </w:rPr>
        <w:t>）砂岩</w:t>
      </w:r>
      <w:r>
        <w:rPr>
          <w:rFonts w:ascii="Times New Roman" w:hAnsi="Times New Roman" w:eastAsia="宋体" w:cs="Times New Roman"/>
          <w:color w:val="auto"/>
          <w:kern w:val="0"/>
          <w:sz w:val="24"/>
          <w:szCs w:val="20"/>
          <w:highlight w:val="none"/>
        </w:rPr>
        <w:t>：</w:t>
      </w:r>
      <w:r>
        <w:rPr>
          <w:rFonts w:hint="eastAsia" w:ascii="Times New Roman" w:hAnsi="Times New Roman" w:eastAsia="宋体" w:cs="Times New Roman"/>
          <w:color w:val="auto"/>
          <w:kern w:val="0"/>
          <w:sz w:val="24"/>
          <w:szCs w:val="20"/>
          <w:highlight w:val="none"/>
        </w:rPr>
        <w:t>黄色、褐黄色，钙质胶结，厚层层状构造，岩层呈近水平产状，倾角小于5°。</w:t>
      </w:r>
      <w:r>
        <w:rPr>
          <w:rFonts w:ascii="Times New Roman" w:hAnsi="Times New Roman" w:eastAsia="宋体" w:cs="Times New Roman"/>
          <w:color w:val="auto"/>
          <w:kern w:val="0"/>
          <w:sz w:val="24"/>
          <w:szCs w:val="20"/>
          <w:highlight w:val="none"/>
        </w:rPr>
        <w:t>根据风化程度分为</w:t>
      </w:r>
      <w:r>
        <w:rPr>
          <w:rFonts w:hint="eastAsia" w:ascii="Times New Roman" w:hAnsi="Times New Roman" w:eastAsia="宋体" w:cs="Times New Roman"/>
          <w:color w:val="auto"/>
          <w:kern w:val="0"/>
          <w:sz w:val="24"/>
          <w:szCs w:val="20"/>
          <w:highlight w:val="none"/>
        </w:rPr>
        <w:t>强</w:t>
      </w:r>
      <w:r>
        <w:rPr>
          <w:rFonts w:ascii="Times New Roman" w:hAnsi="Times New Roman" w:eastAsia="宋体" w:cs="Times New Roman"/>
          <w:color w:val="auto"/>
          <w:kern w:val="0"/>
          <w:sz w:val="24"/>
          <w:szCs w:val="20"/>
          <w:highlight w:val="none"/>
        </w:rPr>
        <w:t>～中等风化层：</w:t>
      </w:r>
    </w:p>
    <w:p>
      <w:pPr>
        <w:widowControl/>
        <w:snapToGrid w:val="0"/>
        <w:spacing w:line="360" w:lineRule="auto"/>
        <w:ind w:firstLine="480" w:firstLineChars="200"/>
        <w:rPr>
          <w:rFonts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强风化砂岩：层间裂隙和风化裂隙发育，岩芯呈碎裂状和薄片状，强度低，采取率达35％，层厚0.20～</w:t>
      </w:r>
      <w:r>
        <w:rPr>
          <w:rFonts w:ascii="Times New Roman" w:hAnsi="Times New Roman" w:eastAsia="宋体" w:cs="Times New Roman"/>
          <w:color w:val="auto"/>
          <w:kern w:val="0"/>
          <w:sz w:val="24"/>
          <w:szCs w:val="20"/>
          <w:highlight w:val="none"/>
        </w:rPr>
        <w:t>3</w:t>
      </w:r>
      <w:r>
        <w:rPr>
          <w:rFonts w:hint="eastAsia" w:ascii="Times New Roman" w:hAnsi="Times New Roman" w:eastAsia="宋体" w:cs="Times New Roman"/>
          <w:color w:val="auto"/>
          <w:kern w:val="0"/>
          <w:sz w:val="24"/>
          <w:szCs w:val="20"/>
          <w:highlight w:val="none"/>
        </w:rPr>
        <w:t>.</w:t>
      </w:r>
      <w:r>
        <w:rPr>
          <w:rFonts w:ascii="Times New Roman" w:hAnsi="Times New Roman" w:eastAsia="宋体" w:cs="Times New Roman"/>
          <w:color w:val="auto"/>
          <w:kern w:val="0"/>
          <w:sz w:val="24"/>
          <w:szCs w:val="20"/>
          <w:highlight w:val="none"/>
        </w:rPr>
        <w:t>1</w:t>
      </w:r>
      <w:r>
        <w:rPr>
          <w:rFonts w:hint="eastAsia" w:ascii="Times New Roman" w:hAnsi="Times New Roman" w:eastAsia="宋体" w:cs="Times New Roman"/>
          <w:color w:val="auto"/>
          <w:kern w:val="0"/>
          <w:sz w:val="24"/>
          <w:szCs w:val="20"/>
          <w:highlight w:val="none"/>
        </w:rPr>
        <w:t>0米；</w:t>
      </w:r>
    </w:p>
    <w:p>
      <w:pPr>
        <w:widowControl/>
        <w:snapToGrid w:val="0"/>
        <w:spacing w:line="360" w:lineRule="auto"/>
        <w:ind w:firstLine="480" w:firstLineChars="200"/>
        <w:rPr>
          <w:rFonts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中等风化砂岩：岩石完整，裂隙不发育，中风化层岩芯呈柱状或短柱状，长约5～50cm。层厚平均7.80米。</w:t>
      </w:r>
    </w:p>
    <w:p>
      <w:pPr>
        <w:spacing w:line="360" w:lineRule="auto"/>
        <w:rPr>
          <w:rFonts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rPr>
        <w:t>（3）地质构造</w:t>
      </w:r>
    </w:p>
    <w:p>
      <w:pPr>
        <w:spacing w:line="360" w:lineRule="auto"/>
        <w:ind w:firstLine="480" w:firstLineChars="200"/>
        <w:rPr>
          <w:rFonts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巴州区西北部邻近龙门山北东向构造带，北部紧邻大巴山-米仓山东西向构造带，东南和南西部分别邻近华蓥山北北东向褶皱带和川中北西西向褶皱带。巴州区内地质构造简单，构造形迹宽缓褶皱为主，断层不发育，但局部微小错动和构造裂隙较发育。区内发育的褶皱形迹自北向南依次为：西北部的北东向延伸的南阳背斜、东北部东西向伸展的巴中向斜、东南部北西走向的兰草度背斜河以及在巴州区中部呈弧形伸展的恩阳向斜。勘察区位于巴中向斜西端末梢南翼，勘查区内岩层产状15°∠3°，岩性单一，无断层分布、发育。巴州区地层岩性及地质构造分布如图所示：</w:t>
      </w:r>
    </w:p>
    <w:p>
      <w:pPr>
        <w:spacing w:line="360" w:lineRule="auto"/>
        <w:jc w:val="center"/>
        <w:rPr>
          <w:rFonts w:ascii="Times New Roman" w:hAnsi="Times New Roman" w:eastAsia="宋体" w:cs="Times New Roman"/>
          <w:color w:val="auto"/>
          <w:kern w:val="0"/>
          <w:sz w:val="24"/>
          <w:szCs w:val="20"/>
          <w:highlight w:val="none"/>
        </w:rPr>
      </w:pPr>
      <w:r>
        <w:rPr>
          <w:color w:val="auto"/>
          <w:highlight w:val="none"/>
        </w:rPr>
        <w:drawing>
          <wp:inline distT="0" distB="0" distL="0" distR="0">
            <wp:extent cx="5274310" cy="291973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3" cstate="print"/>
                    <a:stretch>
                      <a:fillRect/>
                    </a:stretch>
                  </pic:blipFill>
                  <pic:spPr>
                    <a:xfrm>
                      <a:off x="0" y="0"/>
                      <a:ext cx="5274310" cy="2919730"/>
                    </a:xfrm>
                    <a:prstGeom prst="rect">
                      <a:avLst/>
                    </a:prstGeom>
                  </pic:spPr>
                </pic:pic>
              </a:graphicData>
            </a:graphic>
          </wp:inline>
        </w:drawing>
      </w:r>
    </w:p>
    <w:p>
      <w:pPr>
        <w:widowControl/>
        <w:snapToGrid w:val="0"/>
        <w:jc w:val="center"/>
        <w:rPr>
          <w:rFonts w:ascii="Times New Roman" w:hAnsi="Times New Roman" w:eastAsia="宋体" w:cs="Times New Roman"/>
          <w:b/>
          <w:color w:val="auto"/>
          <w:kern w:val="0"/>
          <w:szCs w:val="21"/>
          <w:highlight w:val="none"/>
        </w:rPr>
      </w:pPr>
      <w:r>
        <w:rPr>
          <w:rFonts w:ascii="Times New Roman" w:hAnsi="Times New Roman" w:eastAsia="宋体" w:cs="Times New Roman"/>
          <w:b/>
          <w:color w:val="auto"/>
          <w:kern w:val="0"/>
          <w:szCs w:val="21"/>
          <w:highlight w:val="none"/>
        </w:rPr>
        <w:t>图</w:t>
      </w:r>
      <w:r>
        <w:rPr>
          <w:rFonts w:hint="eastAsia" w:ascii="Times New Roman" w:hAnsi="Times New Roman" w:eastAsia="宋体" w:cs="Times New Roman"/>
          <w:b/>
          <w:color w:val="auto"/>
          <w:kern w:val="0"/>
          <w:szCs w:val="21"/>
          <w:highlight w:val="none"/>
          <w:lang w:val="en-US" w:eastAsia="zh-CN"/>
        </w:rPr>
        <w:t>5.2</w:t>
      </w:r>
      <w:r>
        <w:rPr>
          <w:rFonts w:ascii="Times New Roman" w:hAnsi="Times New Roman" w:eastAsia="宋体" w:cs="Times New Roman"/>
          <w:b/>
          <w:color w:val="auto"/>
          <w:kern w:val="0"/>
          <w:szCs w:val="21"/>
          <w:highlight w:val="none"/>
        </w:rPr>
        <w:t xml:space="preserve">-1 </w:t>
      </w:r>
      <w:r>
        <w:rPr>
          <w:rFonts w:hint="eastAsia" w:ascii="Times New Roman" w:hAnsi="Times New Roman" w:eastAsia="宋体" w:cs="Times New Roman"/>
          <w:b/>
          <w:color w:val="auto"/>
          <w:kern w:val="0"/>
          <w:szCs w:val="21"/>
          <w:highlight w:val="none"/>
        </w:rPr>
        <w:t>巴州区地层岩性及地质构造图</w:t>
      </w:r>
    </w:p>
    <w:p>
      <w:pPr>
        <w:spacing w:line="360" w:lineRule="auto"/>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2、本项目所在地地下水开发利用现状</w:t>
      </w:r>
    </w:p>
    <w:p>
      <w:pPr>
        <w:autoSpaceDE w:val="0"/>
        <w:autoSpaceDN w:val="0"/>
        <w:spacing w:line="360" w:lineRule="auto"/>
        <w:ind w:firstLine="480" w:firstLineChars="200"/>
        <w:rPr>
          <w:rFonts w:ascii="Times New Roman" w:hAnsi="Times New Roman" w:eastAsia="宋体" w:cs="Times New Roman"/>
          <w:bCs/>
          <w:color w:val="auto"/>
          <w:sz w:val="24"/>
          <w:highlight w:val="none"/>
        </w:rPr>
      </w:pPr>
      <w:r>
        <w:rPr>
          <w:rFonts w:ascii="Times New Roman" w:hAnsi="Times New Roman" w:eastAsia="宋体" w:cs="Times New Roman"/>
          <w:bCs/>
          <w:color w:val="auto"/>
          <w:sz w:val="24"/>
          <w:highlight w:val="none"/>
        </w:rPr>
        <w:t>本项目厂址位于</w:t>
      </w:r>
      <w:r>
        <w:rPr>
          <w:rFonts w:hint="eastAsia" w:ascii="Times New Roman" w:hAnsi="Times New Roman" w:eastAsia="宋体" w:cs="Times New Roman"/>
          <w:bCs/>
          <w:color w:val="auto"/>
          <w:sz w:val="24"/>
          <w:highlight w:val="none"/>
        </w:rPr>
        <w:t>巴中市巴州区鼎山镇首市村</w:t>
      </w:r>
      <w:r>
        <w:rPr>
          <w:rFonts w:ascii="Times New Roman" w:hAnsi="Times New Roman" w:eastAsia="宋体" w:cs="Times New Roman"/>
          <w:bCs/>
          <w:color w:val="auto"/>
          <w:sz w:val="24"/>
          <w:highlight w:val="none"/>
        </w:rPr>
        <w:t>，</w:t>
      </w:r>
      <w:r>
        <w:rPr>
          <w:rFonts w:hint="eastAsia" w:ascii="Times New Roman" w:hAnsi="Times New Roman" w:eastAsia="宋体" w:cs="Times New Roman"/>
          <w:color w:val="auto"/>
          <w:kern w:val="0"/>
          <w:sz w:val="24"/>
          <w:szCs w:val="24"/>
          <w:highlight w:val="none"/>
        </w:rPr>
        <w:t>通过对项目区地下水、地表水、居民用水及环境状况调查，本项目评价区主要地下水类型为基岩裂隙水，属构造裂隙水，赋存于项目区及周边出露的</w:t>
      </w:r>
      <w:r>
        <w:rPr>
          <w:rFonts w:hint="eastAsia" w:ascii="Times New Roman" w:hAnsi="Times New Roman" w:eastAsia="宋体" w:cs="Times New Roman"/>
          <w:color w:val="auto"/>
          <w:kern w:val="0"/>
          <w:sz w:val="24"/>
          <w:szCs w:val="20"/>
          <w:highlight w:val="none"/>
        </w:rPr>
        <w:t>白垩系下统白龙组（K</w:t>
      </w:r>
      <w:r>
        <w:rPr>
          <w:rFonts w:ascii="Times New Roman" w:hAnsi="Times New Roman" w:eastAsia="宋体" w:cs="Times New Roman"/>
          <w:color w:val="auto"/>
          <w:kern w:val="0"/>
          <w:sz w:val="24"/>
          <w:szCs w:val="20"/>
          <w:highlight w:val="none"/>
          <w:vertAlign w:val="subscript"/>
        </w:rPr>
        <w:t>1</w:t>
      </w:r>
      <w:r>
        <w:rPr>
          <w:rFonts w:ascii="Times New Roman" w:hAnsi="Times New Roman" w:eastAsia="宋体" w:cs="Times New Roman"/>
          <w:color w:val="auto"/>
          <w:kern w:val="0"/>
          <w:sz w:val="24"/>
          <w:szCs w:val="20"/>
          <w:highlight w:val="none"/>
        </w:rPr>
        <w:t>b</w:t>
      </w:r>
      <w:r>
        <w:rPr>
          <w:rFonts w:hint="eastAsia" w:ascii="Times New Roman" w:hAnsi="Times New Roman" w:eastAsia="宋体" w:cs="Times New Roman"/>
          <w:color w:val="auto"/>
          <w:kern w:val="0"/>
          <w:sz w:val="24"/>
          <w:szCs w:val="20"/>
          <w:highlight w:val="none"/>
        </w:rPr>
        <w:t>）砂岩</w:t>
      </w:r>
      <w:r>
        <w:rPr>
          <w:rFonts w:ascii="Times New Roman" w:hAnsi="Times New Roman" w:eastAsia="宋体" w:cs="Times New Roman"/>
          <w:color w:val="auto"/>
          <w:kern w:val="0"/>
          <w:sz w:val="24"/>
          <w:szCs w:val="24"/>
          <w:highlight w:val="none"/>
        </w:rPr>
        <w:t>强～中风化裂隙带，为评价范围内目标含水层</w:t>
      </w:r>
      <w:r>
        <w:rPr>
          <w:rFonts w:hint="eastAsia" w:ascii="Times New Roman" w:hAnsi="Times New Roman" w:eastAsia="宋体" w:cs="Times New Roman"/>
          <w:color w:val="auto"/>
          <w:kern w:val="0"/>
          <w:sz w:val="24"/>
          <w:szCs w:val="24"/>
          <w:highlight w:val="none"/>
        </w:rPr>
        <w:t>。</w:t>
      </w:r>
    </w:p>
    <w:p>
      <w:pPr>
        <w:autoSpaceDE w:val="0"/>
        <w:autoSpaceDN w:val="0"/>
        <w:spacing w:line="360" w:lineRule="auto"/>
        <w:ind w:firstLine="480" w:firstLineChars="200"/>
        <w:rPr>
          <w:rFonts w:ascii="Times New Roman" w:hAnsi="Times New Roman" w:eastAsia="宋体" w:cs="Times New Roman"/>
          <w:bCs/>
          <w:color w:val="auto"/>
          <w:sz w:val="24"/>
          <w:highlight w:val="none"/>
        </w:rPr>
      </w:pPr>
      <w:r>
        <w:rPr>
          <w:rFonts w:ascii="Times New Roman" w:hAnsi="Times New Roman" w:eastAsia="宋体" w:cs="Times New Roman"/>
          <w:bCs/>
          <w:color w:val="auto"/>
          <w:sz w:val="24"/>
          <w:highlight w:val="none"/>
        </w:rPr>
        <w:t>地下水评价范围内</w:t>
      </w:r>
      <w:r>
        <w:rPr>
          <w:rFonts w:hint="eastAsia" w:ascii="Times New Roman" w:hAnsi="Times New Roman" w:eastAsia="宋体" w:cs="Times New Roman"/>
          <w:bCs/>
          <w:color w:val="auto"/>
          <w:sz w:val="24"/>
          <w:highlight w:val="none"/>
        </w:rPr>
        <w:t>地下水未得以集中开发和利用，</w:t>
      </w:r>
      <w:r>
        <w:rPr>
          <w:rFonts w:ascii="Times New Roman" w:hAnsi="Times New Roman" w:eastAsia="宋体" w:cs="Times New Roman"/>
          <w:bCs/>
          <w:color w:val="auto"/>
          <w:sz w:val="24"/>
          <w:highlight w:val="none"/>
        </w:rPr>
        <w:t>没有集中式地下水饮用水源及水源保护区，</w:t>
      </w:r>
      <w:r>
        <w:rPr>
          <w:rFonts w:hint="eastAsia" w:ascii="Times New Roman" w:hAnsi="Times New Roman" w:eastAsia="宋体" w:cs="Times New Roman"/>
          <w:bCs/>
          <w:color w:val="auto"/>
          <w:sz w:val="24"/>
          <w:highlight w:val="none"/>
        </w:rPr>
        <w:t>且无与地下水相关的水源保护区和其他资源保护区，居民已实现集中供水，现有水井仅用作灌溉、洗衣等或废弃，不作为居民的分散供水水源。</w:t>
      </w:r>
      <w:r>
        <w:rPr>
          <w:rFonts w:ascii="Times New Roman" w:hAnsi="Times New Roman" w:eastAsia="宋体" w:cs="Times New Roman"/>
          <w:color w:val="auto"/>
          <w:kern w:val="0"/>
          <w:sz w:val="24"/>
          <w:szCs w:val="24"/>
          <w:highlight w:val="none"/>
        </w:rPr>
        <w:t>根据《全国地下水功能区划分技术大纲》的要求和实地调查评价区地下水环境状况，本项目评价区地下水功能为</w:t>
      </w:r>
      <w:r>
        <w:rPr>
          <w:rFonts w:hint="eastAsia" w:ascii="Times New Roman" w:hAnsi="Times New Roman" w:eastAsia="宋体" w:cs="Times New Roman"/>
          <w:color w:val="auto"/>
          <w:kern w:val="0"/>
          <w:sz w:val="24"/>
          <w:szCs w:val="24"/>
          <w:highlight w:val="none"/>
        </w:rPr>
        <w:t>维持评价区的生态功能效应。</w:t>
      </w:r>
    </w:p>
    <w:p>
      <w:pPr>
        <w:spacing w:line="360" w:lineRule="auto"/>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3、</w:t>
      </w:r>
      <w:r>
        <w:rPr>
          <w:rFonts w:hint="eastAsia" w:ascii="Times New Roman" w:hAnsi="Times New Roman" w:eastAsia="宋体" w:cs="Times New Roman"/>
          <w:b/>
          <w:color w:val="auto"/>
          <w:sz w:val="24"/>
          <w:highlight w:val="none"/>
        </w:rPr>
        <w:t>地下水</w:t>
      </w:r>
      <w:r>
        <w:rPr>
          <w:rFonts w:ascii="Times New Roman" w:hAnsi="Times New Roman" w:eastAsia="宋体" w:cs="Times New Roman"/>
          <w:b/>
          <w:color w:val="auto"/>
          <w:sz w:val="24"/>
          <w:highlight w:val="none"/>
        </w:rPr>
        <w:t>类型</w:t>
      </w:r>
    </w:p>
    <w:p>
      <w:pPr>
        <w:spacing w:line="360" w:lineRule="auto"/>
        <w:ind w:firstLine="480" w:firstLineChars="200"/>
        <w:textAlignment w:val="center"/>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评价范围内</w:t>
      </w:r>
      <w:r>
        <w:rPr>
          <w:rFonts w:ascii="Times New Roman" w:hAnsi="Times New Roman" w:eastAsia="宋体" w:cs="Times New Roman"/>
          <w:color w:val="auto"/>
          <w:kern w:val="0"/>
          <w:sz w:val="24"/>
          <w:szCs w:val="24"/>
          <w:highlight w:val="none"/>
        </w:rPr>
        <w:t>地下水类型</w:t>
      </w:r>
      <w:r>
        <w:rPr>
          <w:rFonts w:hint="eastAsia" w:ascii="Times New Roman" w:hAnsi="Times New Roman" w:eastAsia="宋体" w:cs="Times New Roman"/>
          <w:color w:val="auto"/>
          <w:kern w:val="0"/>
          <w:sz w:val="24"/>
          <w:szCs w:val="24"/>
          <w:highlight w:val="none"/>
        </w:rPr>
        <w:t>包括松散岩类孔隙水和基岩裂隙水，以基岩裂隙水为目标含水层。</w:t>
      </w:r>
    </w:p>
    <w:p>
      <w:pPr>
        <w:spacing w:line="360" w:lineRule="auto"/>
        <w:ind w:firstLine="480" w:firstLineChars="200"/>
        <w:rPr>
          <w:rFonts w:ascii="Times New Roman" w:hAnsi="Times New Roman" w:cs="Times New Roman"/>
          <w:color w:val="auto"/>
          <w:sz w:val="24"/>
          <w:szCs w:val="24"/>
          <w:highlight w:val="none"/>
        </w:rPr>
      </w:pPr>
      <w:r>
        <w:rPr>
          <w:rFonts w:ascii="Times New Roman" w:cs="Times New Roman" w:hAnsiTheme="minorEastAsia"/>
          <w:color w:val="auto"/>
          <w:kern w:val="0"/>
          <w:sz w:val="24"/>
          <w:szCs w:val="24"/>
          <w:highlight w:val="none"/>
        </w:rPr>
        <w:t>松散岩类孔隙水</w:t>
      </w:r>
      <w:r>
        <w:rPr>
          <w:rFonts w:ascii="Times New Roman" w:cs="Times New Roman" w:hAnsiTheme="minorEastAsia"/>
          <w:color w:val="auto"/>
          <w:kern w:val="0"/>
          <w:sz w:val="24"/>
          <w:szCs w:val="20"/>
          <w:highlight w:val="none"/>
        </w:rPr>
        <w:t>：</w:t>
      </w:r>
      <w:r>
        <w:rPr>
          <w:rFonts w:ascii="Times New Roman" w:cs="Times New Roman" w:hAnsiTheme="minorEastAsia"/>
          <w:color w:val="auto"/>
          <w:sz w:val="24"/>
          <w:szCs w:val="24"/>
          <w:highlight w:val="none"/>
        </w:rPr>
        <w:t>主要分布于研究区的河谷及河流阶地、沟谷和崩坡积地区，含水层由富含砂粒、砾粒、碎石的粘土、粉质粘土、细砂及砂砾卵石层组成。此类含水岩组呈带状分布于研究区，含水层的厚度、渗透性和富水性变化大，水量贫乏，单井涌水量</w:t>
      </w:r>
      <w:r>
        <w:rPr>
          <w:rFonts w:ascii="Times New Roman" w:hAnsi="Times New Roman" w:cs="Times New Roman"/>
          <w:color w:val="auto"/>
          <w:sz w:val="24"/>
          <w:szCs w:val="24"/>
          <w:highlight w:val="none"/>
        </w:rPr>
        <w:t>10~100m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/d</w:t>
      </w:r>
      <w:r>
        <w:rPr>
          <w:rFonts w:ascii="Times New Roman" w:cs="Times New Roman" w:hAnsiTheme="minorEastAsia"/>
          <w:color w:val="auto"/>
          <w:sz w:val="24"/>
          <w:szCs w:val="24"/>
          <w:highlight w:val="none"/>
        </w:rPr>
        <w:t>。</w:t>
      </w:r>
    </w:p>
    <w:p>
      <w:pPr>
        <w:spacing w:line="360" w:lineRule="auto"/>
        <w:ind w:firstLine="480" w:firstLineChars="200"/>
        <w:rPr>
          <w:rFonts w:ascii="Times New Roman" w:cs="Times New Roman" w:hAnsiTheme="minorEastAsia"/>
          <w:color w:val="auto"/>
          <w:kern w:val="0"/>
          <w:sz w:val="24"/>
          <w:szCs w:val="24"/>
          <w:highlight w:val="none"/>
        </w:rPr>
      </w:pPr>
      <w:r>
        <w:rPr>
          <w:rFonts w:ascii="Times New Roman" w:cs="Times New Roman" w:hAnsiTheme="minorEastAsia"/>
          <w:color w:val="auto"/>
          <w:kern w:val="0"/>
          <w:sz w:val="24"/>
          <w:szCs w:val="24"/>
          <w:highlight w:val="none"/>
        </w:rPr>
        <w:t>基岩裂隙水：赋存于基岩裂隙中，</w:t>
      </w:r>
      <w:r>
        <w:rPr>
          <w:rFonts w:hint="eastAsia" w:ascii="Times New Roman" w:cs="Times New Roman" w:hAnsiTheme="minorEastAsia"/>
          <w:color w:val="auto"/>
          <w:kern w:val="0"/>
          <w:sz w:val="24"/>
          <w:szCs w:val="24"/>
          <w:highlight w:val="none"/>
        </w:rPr>
        <w:t>广泛分布于研究区，</w:t>
      </w:r>
      <w:r>
        <w:rPr>
          <w:rFonts w:ascii="Times New Roman" w:cs="Times New Roman" w:hAnsiTheme="minorEastAsia"/>
          <w:color w:val="auto"/>
          <w:kern w:val="0"/>
          <w:sz w:val="24"/>
          <w:szCs w:val="24"/>
          <w:highlight w:val="none"/>
        </w:rPr>
        <w:t>主要接受大气降雨和上部地层渗透补给，沿裂隙向岩体深部下渗，在局部地势低洼处可能以下降泉的方式出露排泄。此类地下水水位和水量受季节变化影响大。</w:t>
      </w:r>
      <w:r>
        <w:rPr>
          <w:rFonts w:hint="eastAsia" w:ascii="Times New Roman" w:cs="Times New Roman" w:hAnsiTheme="minorEastAsia"/>
          <w:color w:val="auto"/>
          <w:kern w:val="0"/>
          <w:sz w:val="24"/>
          <w:szCs w:val="24"/>
          <w:highlight w:val="none"/>
        </w:rPr>
        <w:t>赋存于评价范围内的</w:t>
      </w:r>
      <w:r>
        <w:rPr>
          <w:rFonts w:hint="eastAsia" w:ascii="Times New Roman" w:hAnsi="Times New Roman" w:eastAsia="宋体" w:cs="Times New Roman"/>
          <w:color w:val="auto"/>
          <w:kern w:val="0"/>
          <w:sz w:val="24"/>
          <w:szCs w:val="20"/>
          <w:highlight w:val="none"/>
        </w:rPr>
        <w:t>白垩系下统白龙组（K</w:t>
      </w:r>
      <w:r>
        <w:rPr>
          <w:rFonts w:ascii="Times New Roman" w:hAnsi="Times New Roman" w:eastAsia="宋体" w:cs="Times New Roman"/>
          <w:color w:val="auto"/>
          <w:kern w:val="0"/>
          <w:sz w:val="24"/>
          <w:szCs w:val="20"/>
          <w:highlight w:val="none"/>
          <w:vertAlign w:val="subscript"/>
        </w:rPr>
        <w:t>1</w:t>
      </w:r>
      <w:r>
        <w:rPr>
          <w:rFonts w:ascii="Times New Roman" w:hAnsi="Times New Roman" w:eastAsia="宋体" w:cs="Times New Roman"/>
          <w:color w:val="auto"/>
          <w:kern w:val="0"/>
          <w:sz w:val="24"/>
          <w:szCs w:val="20"/>
          <w:highlight w:val="none"/>
        </w:rPr>
        <w:t>b</w:t>
      </w:r>
      <w:r>
        <w:rPr>
          <w:rFonts w:hint="eastAsia" w:ascii="Times New Roman" w:hAnsi="Times New Roman" w:eastAsia="宋体" w:cs="Times New Roman"/>
          <w:color w:val="auto"/>
          <w:kern w:val="0"/>
          <w:sz w:val="24"/>
          <w:szCs w:val="20"/>
          <w:highlight w:val="none"/>
        </w:rPr>
        <w:t>）砂岩</w:t>
      </w:r>
      <w:r>
        <w:rPr>
          <w:rFonts w:ascii="Times New Roman" w:hAnsi="Times New Roman" w:eastAsia="宋体" w:cs="Times New Roman"/>
          <w:color w:val="auto"/>
          <w:kern w:val="0"/>
          <w:sz w:val="24"/>
          <w:szCs w:val="24"/>
          <w:highlight w:val="none"/>
        </w:rPr>
        <w:t>强～中风化裂隙带</w:t>
      </w:r>
      <w:r>
        <w:rPr>
          <w:rFonts w:hint="eastAsia" w:ascii="Times New Roman" w:cs="Times New Roman" w:hAnsiTheme="minorEastAsia"/>
          <w:color w:val="auto"/>
          <w:kern w:val="0"/>
          <w:sz w:val="24"/>
          <w:szCs w:val="24"/>
          <w:highlight w:val="none"/>
        </w:rPr>
        <w:t>，泉水流量＞</w:t>
      </w:r>
      <w:r>
        <w:rPr>
          <w:rFonts w:ascii="Times New Roman" w:cs="Times New Roman" w:hAnsiTheme="minorEastAsia"/>
          <w:color w:val="auto"/>
          <w:kern w:val="0"/>
          <w:sz w:val="24"/>
          <w:szCs w:val="24"/>
          <w:highlight w:val="none"/>
        </w:rPr>
        <w:t>0.1L/s</w:t>
      </w:r>
      <w:r>
        <w:rPr>
          <w:rFonts w:hint="eastAsia" w:ascii="Times New Roman" w:cs="Times New Roman" w:hAnsiTheme="minorEastAsia"/>
          <w:color w:val="auto"/>
          <w:kern w:val="0"/>
          <w:sz w:val="24"/>
          <w:szCs w:val="24"/>
          <w:highlight w:val="none"/>
        </w:rPr>
        <w:t>，地下水径流模数0.1</w:t>
      </w:r>
      <w:r>
        <w:rPr>
          <w:rFonts w:ascii="Times New Roman" w:hAnsi="Times New Roman" w:cs="Times New Roman"/>
          <w:color w:val="auto"/>
          <w:sz w:val="24"/>
          <w:szCs w:val="24"/>
          <w:highlight w:val="none"/>
        </w:rPr>
        <w:t>~</w:t>
      </w:r>
      <w:r>
        <w:rPr>
          <w:rFonts w:hint="eastAsia" w:ascii="Times New Roman" w:cs="Times New Roman" w:hAnsiTheme="minorEastAsia"/>
          <w:color w:val="auto"/>
          <w:kern w:val="0"/>
          <w:sz w:val="24"/>
          <w:szCs w:val="24"/>
          <w:highlight w:val="none"/>
        </w:rPr>
        <w:t>1L/s·km</w:t>
      </w:r>
      <w:r>
        <w:rPr>
          <w:rFonts w:hint="eastAsia" w:ascii="Times New Roman" w:cs="Times New Roman" w:hAnsiTheme="minorEastAsia"/>
          <w:color w:val="auto"/>
          <w:kern w:val="0"/>
          <w:sz w:val="24"/>
          <w:szCs w:val="24"/>
          <w:highlight w:val="none"/>
          <w:vertAlign w:val="superscript"/>
        </w:rPr>
        <w:t>2</w:t>
      </w:r>
      <w:r>
        <w:rPr>
          <w:rFonts w:hint="eastAsia" w:ascii="Times New Roman" w:cs="Times New Roman" w:hAnsiTheme="minorEastAsia"/>
          <w:color w:val="auto"/>
          <w:kern w:val="0"/>
          <w:sz w:val="24"/>
          <w:szCs w:val="24"/>
          <w:highlight w:val="none"/>
        </w:rPr>
        <w:t>，钻井涌水量100</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rPr>
        <w:t>2</w:t>
      </w:r>
      <w:r>
        <w:rPr>
          <w:rFonts w:ascii="Times New Roman" w:hAnsi="Times New Roman" w:cs="Times New Roman"/>
          <w:color w:val="auto"/>
          <w:sz w:val="24"/>
          <w:szCs w:val="24"/>
          <w:highlight w:val="none"/>
        </w:rPr>
        <w:t>00m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/d</w:t>
      </w:r>
      <w:r>
        <w:rPr>
          <w:rFonts w:hint="eastAsia" w:ascii="Times New Roman" w:hAnsi="Times New Roman" w:cs="Times New Roman"/>
          <w:color w:val="auto"/>
          <w:sz w:val="24"/>
          <w:szCs w:val="24"/>
          <w:highlight w:val="none"/>
        </w:rPr>
        <w:t>。</w:t>
      </w:r>
      <w:r>
        <w:rPr>
          <w:rFonts w:hint="eastAsia" w:ascii="Times New Roman" w:cs="Times New Roman" w:hAnsiTheme="minorEastAsia"/>
          <w:color w:val="auto"/>
          <w:kern w:val="0"/>
          <w:sz w:val="24"/>
          <w:szCs w:val="24"/>
          <w:highlight w:val="none"/>
        </w:rPr>
        <w:t>为评价区范围内目的含水层。</w:t>
      </w:r>
    </w:p>
    <w:p>
      <w:pPr>
        <w:spacing w:line="360" w:lineRule="auto"/>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4、本项目所在地地下水补径排条件</w:t>
      </w:r>
    </w:p>
    <w:p>
      <w:pPr>
        <w:widowControl/>
        <w:snapToGrid w:val="0"/>
        <w:spacing w:line="360" w:lineRule="auto"/>
        <w:ind w:firstLine="480" w:firstLineChars="200"/>
        <w:jc w:val="left"/>
        <w:rPr>
          <w:rFonts w:ascii="Times New Roman" w:hAnsi="Times New Roman" w:eastAsia="宋体" w:cs="Times New Roman"/>
          <w:color w:val="auto"/>
          <w:kern w:val="0"/>
          <w:sz w:val="24"/>
          <w:szCs w:val="20"/>
          <w:highlight w:val="none"/>
        </w:rPr>
      </w:pPr>
      <w:r>
        <w:rPr>
          <w:rFonts w:ascii="Times New Roman" w:hAnsi="Times New Roman" w:eastAsia="宋体" w:cs="Times New Roman"/>
          <w:color w:val="auto"/>
          <w:kern w:val="0"/>
          <w:sz w:val="24"/>
          <w:szCs w:val="20"/>
          <w:highlight w:val="none"/>
        </w:rPr>
        <w:t>研究区地下水以</w:t>
      </w:r>
      <w:r>
        <w:rPr>
          <w:rFonts w:hint="eastAsia" w:ascii="Times New Roman" w:hAnsi="Times New Roman" w:eastAsia="宋体" w:cs="Times New Roman"/>
          <w:color w:val="auto"/>
          <w:kern w:val="0"/>
          <w:sz w:val="24"/>
          <w:szCs w:val="20"/>
          <w:highlight w:val="none"/>
        </w:rPr>
        <w:t>基岩</w:t>
      </w:r>
      <w:r>
        <w:rPr>
          <w:rFonts w:ascii="Times New Roman" w:hAnsi="Times New Roman" w:eastAsia="宋体" w:cs="Times New Roman"/>
          <w:color w:val="auto"/>
          <w:kern w:val="0"/>
          <w:sz w:val="24"/>
          <w:szCs w:val="20"/>
          <w:highlight w:val="none"/>
        </w:rPr>
        <w:t>裂隙水为主，以地表分水岭为界，每条沟谷具有独立的补、径、排系统。其总体特点是就近补给就近排泄。</w:t>
      </w:r>
    </w:p>
    <w:p>
      <w:pPr>
        <w:widowControl/>
        <w:snapToGrid w:val="0"/>
        <w:spacing w:line="360" w:lineRule="auto"/>
        <w:ind w:firstLine="480" w:firstLineChars="200"/>
        <w:jc w:val="left"/>
        <w:rPr>
          <w:rFonts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（1）</w:t>
      </w:r>
      <w:r>
        <w:rPr>
          <w:rFonts w:ascii="Times New Roman" w:hAnsi="Times New Roman" w:eastAsia="宋体" w:cs="Times New Roman"/>
          <w:color w:val="auto"/>
          <w:kern w:val="0"/>
          <w:sz w:val="24"/>
          <w:szCs w:val="20"/>
          <w:highlight w:val="none"/>
        </w:rPr>
        <w:t>地下水补给</w:t>
      </w:r>
    </w:p>
    <w:p>
      <w:pPr>
        <w:widowControl/>
        <w:snapToGrid w:val="0"/>
        <w:spacing w:line="360" w:lineRule="auto"/>
        <w:ind w:firstLine="480" w:firstLineChars="200"/>
        <w:jc w:val="left"/>
        <w:rPr>
          <w:rFonts w:ascii="Times New Roman" w:hAnsi="Times New Roman" w:eastAsia="宋体" w:cs="Times New Roman"/>
          <w:color w:val="auto"/>
          <w:kern w:val="0"/>
          <w:sz w:val="24"/>
          <w:szCs w:val="20"/>
          <w:highlight w:val="none"/>
        </w:rPr>
      </w:pPr>
      <w:r>
        <w:rPr>
          <w:rFonts w:ascii="Times New Roman" w:hAnsi="Times New Roman" w:eastAsia="宋体" w:cs="Times New Roman"/>
          <w:color w:val="auto"/>
          <w:kern w:val="0"/>
          <w:sz w:val="24"/>
          <w:szCs w:val="20"/>
          <w:highlight w:val="none"/>
        </w:rPr>
        <w:t>大气降水是区内主要的补给来源，主要集中在每年的6～9月，具有明显的季节性一般</w:t>
      </w:r>
      <w:r>
        <w:rPr>
          <w:rFonts w:hint="eastAsia" w:ascii="Times New Roman" w:hAnsi="Times New Roman" w:eastAsia="宋体" w:cs="Times New Roman"/>
          <w:color w:val="auto"/>
          <w:sz w:val="24"/>
          <w:szCs w:val="24"/>
          <w:highlight w:val="none"/>
        </w:rPr>
        <w:t>山顶及山坡为地下水入渗补给区，主要接受大气降水垂直补给，通过砂岩、泥岩中的孔隙、风化裂隙向沟谷局部的侵蚀基准面运移</w:t>
      </w:r>
      <w:r>
        <w:rPr>
          <w:rFonts w:hint="eastAsia" w:ascii="Times New Roman" w:hAnsi="Times New Roman" w:eastAsia="宋体" w:cs="Times New Roman"/>
          <w:color w:val="auto"/>
          <w:kern w:val="0"/>
          <w:sz w:val="24"/>
          <w:szCs w:val="20"/>
          <w:highlight w:val="none"/>
        </w:rPr>
        <w:t>。</w:t>
      </w:r>
    </w:p>
    <w:p>
      <w:pPr>
        <w:widowControl/>
        <w:snapToGrid w:val="0"/>
        <w:spacing w:line="360" w:lineRule="auto"/>
        <w:ind w:firstLine="480" w:firstLineChars="200"/>
        <w:jc w:val="left"/>
        <w:rPr>
          <w:rFonts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w:t>
      </w:r>
      <w:r>
        <w:rPr>
          <w:rFonts w:ascii="Times New Roman" w:hAnsi="Times New Roman" w:eastAsia="宋体" w:cs="Times New Roman"/>
          <w:color w:val="auto"/>
          <w:kern w:val="0"/>
          <w:sz w:val="24"/>
          <w:szCs w:val="20"/>
          <w:highlight w:val="none"/>
        </w:rPr>
        <w:t>2</w:t>
      </w:r>
      <w:r>
        <w:rPr>
          <w:rFonts w:hint="eastAsia" w:ascii="Times New Roman" w:hAnsi="Times New Roman" w:eastAsia="宋体" w:cs="Times New Roman"/>
          <w:color w:val="auto"/>
          <w:kern w:val="0"/>
          <w:sz w:val="24"/>
          <w:szCs w:val="20"/>
          <w:highlight w:val="none"/>
        </w:rPr>
        <w:t>）</w:t>
      </w:r>
      <w:r>
        <w:rPr>
          <w:rFonts w:ascii="Times New Roman" w:hAnsi="Times New Roman" w:eastAsia="宋体" w:cs="Times New Roman"/>
          <w:color w:val="auto"/>
          <w:kern w:val="0"/>
          <w:sz w:val="24"/>
          <w:szCs w:val="20"/>
          <w:highlight w:val="none"/>
        </w:rPr>
        <w:t>地下水径流</w:t>
      </w:r>
    </w:p>
    <w:p>
      <w:pPr>
        <w:widowControl/>
        <w:snapToGrid w:val="0"/>
        <w:spacing w:line="360" w:lineRule="auto"/>
        <w:ind w:firstLine="480" w:firstLineChars="200"/>
        <w:jc w:val="left"/>
        <w:rPr>
          <w:rFonts w:ascii="Times New Roman" w:hAnsi="Times New Roman" w:eastAsia="宋体" w:cs="Times New Roman"/>
          <w:color w:val="auto"/>
          <w:kern w:val="0"/>
          <w:sz w:val="24"/>
          <w:szCs w:val="20"/>
          <w:highlight w:val="none"/>
        </w:rPr>
      </w:pPr>
      <w:r>
        <w:rPr>
          <w:rFonts w:ascii="Times New Roman" w:hAnsi="Times New Roman" w:eastAsia="宋体" w:cs="Times New Roman"/>
          <w:color w:val="auto"/>
          <w:kern w:val="0"/>
          <w:sz w:val="24"/>
          <w:szCs w:val="20"/>
          <w:highlight w:val="none"/>
        </w:rPr>
        <w:t>风化裂隙构成裂隙孔隙网络，成为地下水的运移通道。</w:t>
      </w:r>
      <w:r>
        <w:rPr>
          <w:rFonts w:hint="eastAsia" w:ascii="Times New Roman" w:hAnsi="Times New Roman" w:eastAsia="宋体" w:cs="Times New Roman"/>
          <w:color w:val="auto"/>
          <w:sz w:val="24"/>
          <w:szCs w:val="24"/>
          <w:highlight w:val="none"/>
        </w:rPr>
        <w:t>斜坡台地中后部、山脚及谷底低洼区为地下水浅埋区；山坡下部靠近埋藏区的斜坡为地下水的补给</w:t>
      </w:r>
      <w:r>
        <w:rPr>
          <w:rFonts w:ascii="Times New Roman" w:hAnsi="Times New Roman" w:eastAsia="宋体" w:cs="Times New Roman"/>
          <w:color w:val="auto"/>
          <w:kern w:val="0"/>
          <w:sz w:val="24"/>
          <w:szCs w:val="20"/>
          <w:highlight w:val="none"/>
        </w:rPr>
        <w:t>径流</w:t>
      </w:r>
      <w:r>
        <w:rPr>
          <w:rFonts w:hint="eastAsia" w:ascii="Times New Roman" w:hAnsi="Times New Roman" w:eastAsia="宋体" w:cs="Times New Roman"/>
          <w:color w:val="auto"/>
          <w:sz w:val="24"/>
          <w:szCs w:val="24"/>
          <w:highlight w:val="none"/>
        </w:rPr>
        <w:t>区，接受大气降水补给，同时地下水沿风化带裂隙向沟谷埋藏区</w:t>
      </w:r>
      <w:r>
        <w:rPr>
          <w:rFonts w:ascii="Times New Roman" w:hAnsi="Times New Roman" w:eastAsia="宋体" w:cs="Times New Roman"/>
          <w:color w:val="auto"/>
          <w:kern w:val="0"/>
          <w:sz w:val="24"/>
          <w:szCs w:val="20"/>
          <w:highlight w:val="none"/>
        </w:rPr>
        <w:t>径流</w:t>
      </w:r>
      <w:r>
        <w:rPr>
          <w:rFonts w:hint="eastAsia" w:ascii="Times New Roman" w:hAnsi="Times New Roman" w:eastAsia="宋体" w:cs="Times New Roman"/>
          <w:color w:val="auto"/>
          <w:sz w:val="24"/>
          <w:szCs w:val="24"/>
          <w:highlight w:val="none"/>
        </w:rPr>
        <w:t>或以下降泉的形式在相对隔水的层面排泄。</w:t>
      </w:r>
    </w:p>
    <w:p>
      <w:pPr>
        <w:widowControl/>
        <w:snapToGrid w:val="0"/>
        <w:spacing w:line="360" w:lineRule="auto"/>
        <w:ind w:firstLine="480" w:firstLineChars="200"/>
        <w:jc w:val="left"/>
        <w:rPr>
          <w:rFonts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w:t>
      </w:r>
      <w:r>
        <w:rPr>
          <w:rFonts w:ascii="Times New Roman" w:hAnsi="Times New Roman" w:eastAsia="宋体" w:cs="Times New Roman"/>
          <w:color w:val="auto"/>
          <w:kern w:val="0"/>
          <w:sz w:val="24"/>
          <w:szCs w:val="20"/>
          <w:highlight w:val="none"/>
        </w:rPr>
        <w:t>3</w:t>
      </w:r>
      <w:r>
        <w:rPr>
          <w:rFonts w:hint="eastAsia" w:ascii="Times New Roman" w:hAnsi="Times New Roman" w:eastAsia="宋体" w:cs="Times New Roman"/>
          <w:color w:val="auto"/>
          <w:kern w:val="0"/>
          <w:sz w:val="24"/>
          <w:szCs w:val="20"/>
          <w:highlight w:val="none"/>
        </w:rPr>
        <w:t>）</w:t>
      </w:r>
      <w:r>
        <w:rPr>
          <w:rFonts w:ascii="Times New Roman" w:hAnsi="Times New Roman" w:eastAsia="宋体" w:cs="Times New Roman"/>
          <w:color w:val="auto"/>
          <w:kern w:val="0"/>
          <w:sz w:val="24"/>
          <w:szCs w:val="20"/>
          <w:highlight w:val="none"/>
        </w:rPr>
        <w:t>地下水排泄</w:t>
      </w:r>
    </w:p>
    <w:p>
      <w:pPr>
        <w:widowControl/>
        <w:snapToGrid w:val="0"/>
        <w:spacing w:line="360" w:lineRule="auto"/>
        <w:ind w:firstLine="480" w:firstLineChars="200"/>
        <w:jc w:val="left"/>
        <w:rPr>
          <w:rFonts w:ascii="Times New Roman" w:hAnsi="Times New Roman" w:eastAsia="宋体" w:cs="Times New Roman"/>
          <w:color w:val="auto"/>
          <w:kern w:val="0"/>
          <w:sz w:val="24"/>
          <w:szCs w:val="20"/>
          <w:highlight w:val="none"/>
        </w:rPr>
      </w:pPr>
      <w:r>
        <w:rPr>
          <w:rFonts w:ascii="Times New Roman" w:hAnsi="Times New Roman" w:eastAsia="宋体" w:cs="Times New Roman"/>
          <w:color w:val="auto"/>
          <w:kern w:val="0"/>
          <w:sz w:val="24"/>
          <w:szCs w:val="20"/>
          <w:highlight w:val="none"/>
        </w:rPr>
        <w:t>区内地下水排泄主要是向下游地势较低处或</w:t>
      </w:r>
      <w:r>
        <w:rPr>
          <w:rFonts w:hint="eastAsia" w:ascii="Times New Roman" w:hAnsi="Times New Roman" w:eastAsia="宋体" w:cs="Times New Roman"/>
          <w:color w:val="auto"/>
          <w:sz w:val="24"/>
          <w:szCs w:val="24"/>
          <w:highlight w:val="none"/>
        </w:rPr>
        <w:t>侵蚀基准面</w:t>
      </w:r>
      <w:r>
        <w:rPr>
          <w:rFonts w:ascii="Times New Roman" w:hAnsi="Times New Roman" w:eastAsia="宋体" w:cs="Times New Roman"/>
          <w:color w:val="auto"/>
          <w:kern w:val="0"/>
          <w:sz w:val="24"/>
          <w:szCs w:val="20"/>
          <w:highlight w:val="none"/>
        </w:rPr>
        <w:t>排泄，通常为</w:t>
      </w:r>
      <w:r>
        <w:rPr>
          <w:rFonts w:hint="eastAsia" w:ascii="Times New Roman" w:hAnsi="Times New Roman" w:eastAsia="宋体" w:cs="Times New Roman"/>
          <w:color w:val="auto"/>
          <w:sz w:val="24"/>
          <w:szCs w:val="24"/>
          <w:highlight w:val="none"/>
        </w:rPr>
        <w:t>沿风化带裂隙向沟谷埋藏区</w:t>
      </w:r>
      <w:r>
        <w:rPr>
          <w:rFonts w:ascii="Times New Roman" w:hAnsi="Times New Roman" w:eastAsia="宋体" w:cs="Times New Roman"/>
          <w:color w:val="auto"/>
          <w:kern w:val="0"/>
          <w:sz w:val="24"/>
          <w:szCs w:val="20"/>
          <w:highlight w:val="none"/>
        </w:rPr>
        <w:t>径流</w:t>
      </w:r>
      <w:r>
        <w:rPr>
          <w:rFonts w:hint="eastAsia" w:ascii="Times New Roman" w:hAnsi="Times New Roman" w:eastAsia="宋体" w:cs="Times New Roman"/>
          <w:color w:val="auto"/>
          <w:sz w:val="24"/>
          <w:szCs w:val="24"/>
          <w:highlight w:val="none"/>
        </w:rPr>
        <w:t>或以下降泉的形式在相对隔水的层面排泄</w:t>
      </w:r>
      <w:r>
        <w:rPr>
          <w:rFonts w:ascii="Times New Roman" w:hAnsi="Times New Roman" w:eastAsia="宋体" w:cs="Times New Roman"/>
          <w:color w:val="auto"/>
          <w:kern w:val="0"/>
          <w:sz w:val="24"/>
          <w:szCs w:val="20"/>
          <w:highlight w:val="none"/>
        </w:rPr>
        <w:t>。单个相对独立的水文地质单元会在沟谷内形成一个排泄带，一方面排泄补给地表沟水，另一方面则于沟谷内形成地下水埋藏径流区，与邻谷沟谷径流的地下水汇合后，继续向下游径流，直至适当地段排泄。评价区整体地下水流向为自</w:t>
      </w:r>
      <w:r>
        <w:rPr>
          <w:rFonts w:hint="eastAsia" w:ascii="Times New Roman" w:hAnsi="Times New Roman" w:eastAsia="宋体" w:cs="Times New Roman"/>
          <w:color w:val="auto"/>
          <w:kern w:val="0"/>
          <w:sz w:val="24"/>
          <w:szCs w:val="20"/>
          <w:highlight w:val="none"/>
        </w:rPr>
        <w:t>东北</w:t>
      </w:r>
      <w:r>
        <w:rPr>
          <w:rFonts w:ascii="Times New Roman" w:hAnsi="Times New Roman" w:eastAsia="宋体" w:cs="Times New Roman"/>
          <w:color w:val="auto"/>
          <w:kern w:val="0"/>
          <w:sz w:val="24"/>
          <w:szCs w:val="20"/>
          <w:highlight w:val="none"/>
        </w:rPr>
        <w:t>向</w:t>
      </w:r>
      <w:r>
        <w:rPr>
          <w:rFonts w:hint="eastAsia" w:ascii="Times New Roman" w:hAnsi="Times New Roman" w:eastAsia="宋体" w:cs="Times New Roman"/>
          <w:color w:val="auto"/>
          <w:kern w:val="0"/>
          <w:sz w:val="24"/>
          <w:szCs w:val="20"/>
          <w:highlight w:val="none"/>
        </w:rPr>
        <w:t>西</w:t>
      </w:r>
      <w:r>
        <w:rPr>
          <w:rFonts w:ascii="Times New Roman" w:hAnsi="Times New Roman" w:eastAsia="宋体" w:cs="Times New Roman"/>
          <w:color w:val="auto"/>
          <w:kern w:val="0"/>
          <w:sz w:val="24"/>
          <w:szCs w:val="20"/>
          <w:highlight w:val="none"/>
        </w:rPr>
        <w:t>南</w:t>
      </w:r>
      <w:r>
        <w:rPr>
          <w:rFonts w:hint="eastAsia" w:ascii="Times New Roman" w:hAnsi="Times New Roman" w:eastAsia="宋体" w:cs="Times New Roman"/>
          <w:color w:val="auto"/>
          <w:kern w:val="0"/>
          <w:sz w:val="24"/>
          <w:szCs w:val="20"/>
          <w:highlight w:val="none"/>
        </w:rPr>
        <w:t>，</w:t>
      </w:r>
      <w:r>
        <w:rPr>
          <w:rFonts w:ascii="Times New Roman" w:hAnsi="Times New Roman" w:eastAsia="宋体" w:cs="Times New Roman"/>
          <w:color w:val="auto"/>
          <w:kern w:val="0"/>
          <w:sz w:val="24"/>
          <w:szCs w:val="20"/>
          <w:highlight w:val="none"/>
        </w:rPr>
        <w:t>评价区最低排泄面为</w:t>
      </w:r>
      <w:r>
        <w:rPr>
          <w:rFonts w:hint="eastAsia" w:ascii="Times New Roman" w:hAnsi="Times New Roman" w:eastAsia="宋体" w:cs="Times New Roman"/>
          <w:color w:val="auto"/>
          <w:kern w:val="0"/>
          <w:sz w:val="24"/>
          <w:szCs w:val="20"/>
          <w:highlight w:val="none"/>
        </w:rPr>
        <w:t>罗地沟</w:t>
      </w:r>
      <w:r>
        <w:rPr>
          <w:rFonts w:ascii="Times New Roman" w:hAnsi="Times New Roman" w:eastAsia="宋体" w:cs="Times New Roman"/>
          <w:color w:val="auto"/>
          <w:kern w:val="0"/>
          <w:sz w:val="24"/>
          <w:szCs w:val="20"/>
          <w:highlight w:val="none"/>
        </w:rPr>
        <w:t>水库</w:t>
      </w:r>
      <w:r>
        <w:rPr>
          <w:rFonts w:hint="eastAsia" w:ascii="Times New Roman" w:hAnsi="Times New Roman" w:eastAsia="宋体" w:cs="Times New Roman"/>
          <w:color w:val="auto"/>
          <w:kern w:val="0"/>
          <w:sz w:val="24"/>
          <w:szCs w:val="20"/>
          <w:highlight w:val="none"/>
        </w:rPr>
        <w:t>。</w:t>
      </w:r>
    </w:p>
    <w:p>
      <w:pPr>
        <w:spacing w:line="360" w:lineRule="auto"/>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5、地下水环境保护目标</w:t>
      </w:r>
    </w:p>
    <w:p>
      <w:pPr>
        <w:spacing w:line="360" w:lineRule="auto"/>
        <w:ind w:firstLine="480" w:firstLineChars="200"/>
        <w:textAlignment w:val="center"/>
        <w:rPr>
          <w:rFonts w:ascii="Times New Roman" w:hAnsi="Times New Roman" w:eastAsia="宋体" w:cs="Times New Roman"/>
          <w:bCs/>
          <w:color w:val="auto"/>
          <w:sz w:val="24"/>
          <w:highlight w:val="none"/>
        </w:rPr>
      </w:pPr>
      <w:r>
        <w:rPr>
          <w:rFonts w:ascii="Times New Roman" w:hAnsi="Times New Roman" w:eastAsia="宋体" w:cs="Times New Roman"/>
          <w:bCs/>
          <w:color w:val="auto"/>
          <w:sz w:val="24"/>
          <w:highlight w:val="none"/>
        </w:rPr>
        <w:t>建设项目区在施工和运营期内应确保各类污染物达标排放，对各类污染物的处理结果能满足国家有关法律法规的要求，不因项目的建设而降低评价区域环境质量功能，控制施工排水对区域地下水环境造成的影响。</w:t>
      </w:r>
    </w:p>
    <w:p>
      <w:pPr>
        <w:widowControl/>
        <w:spacing w:line="360" w:lineRule="auto"/>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根据建设项目区水文地质条件及项目实施可能对地下水环境影响情况，确定地下水环境保护目标为</w:t>
      </w:r>
      <w:r>
        <w:rPr>
          <w:rFonts w:hint="eastAsia" w:ascii="Times New Roman" w:hAnsi="Times New Roman" w:eastAsia="宋体" w:cs="Times New Roman"/>
          <w:color w:val="auto"/>
          <w:kern w:val="0"/>
          <w:sz w:val="24"/>
          <w:szCs w:val="24"/>
          <w:highlight w:val="none"/>
        </w:rPr>
        <w:t>评价</w:t>
      </w:r>
      <w:r>
        <w:rPr>
          <w:rFonts w:ascii="Times New Roman" w:hAnsi="Times New Roman" w:eastAsia="宋体" w:cs="Times New Roman"/>
          <w:color w:val="auto"/>
          <w:kern w:val="0"/>
          <w:sz w:val="24"/>
          <w:szCs w:val="24"/>
          <w:highlight w:val="none"/>
        </w:rPr>
        <w:t>范围内下伏含水层。</w:t>
      </w:r>
    </w:p>
    <w:p>
      <w:pPr>
        <w:pStyle w:val="2"/>
        <w:rPr>
          <w:rFonts w:ascii="Times New Roman" w:hAnsi="Times New Roman" w:eastAsia="宋体" w:cs="Times New Roman"/>
          <w:color w:val="auto"/>
          <w:kern w:val="0"/>
          <w:sz w:val="24"/>
          <w:szCs w:val="24"/>
          <w:highlight w:val="none"/>
        </w:rPr>
      </w:pPr>
    </w:p>
    <w:p>
      <w:pPr>
        <w:pStyle w:val="90"/>
        <w:rPr>
          <w:color w:val="auto"/>
          <w:highlight w:val="none"/>
        </w:rPr>
      </w:pP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val="0"/>
          <w:color w:val="auto"/>
          <w:highlight w:val="none"/>
          <w:lang w:val="en-US" w:eastAsia="zh-CN"/>
        </w:rPr>
      </w:pPr>
      <w:r>
        <w:rPr>
          <w:rFonts w:hint="default" w:ascii="Times New Roman" w:hAnsi="Times New Roman" w:eastAsia="宋体" w:cs="Times New Roman"/>
          <w:b/>
          <w:bCs w:val="0"/>
          <w:color w:val="auto"/>
          <w:highlight w:val="none"/>
          <w:lang w:val="en-US" w:eastAsia="zh-CN"/>
        </w:rPr>
        <w:t>地下水环境保护目标</w:t>
      </w:r>
    </w:p>
    <w:tbl>
      <w:tblPr>
        <w:tblStyle w:val="91"/>
        <w:tblW w:w="844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061"/>
        <w:gridCol w:w="992"/>
        <w:gridCol w:w="1276"/>
        <w:gridCol w:w="2410"/>
        <w:gridCol w:w="227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序号</w:t>
            </w:r>
          </w:p>
        </w:tc>
        <w:tc>
          <w:tcPr>
            <w:tcW w:w="1061"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保护目标</w:t>
            </w:r>
          </w:p>
        </w:tc>
        <w:tc>
          <w:tcPr>
            <w:tcW w:w="992"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主要保护内容</w:t>
            </w:r>
          </w:p>
        </w:tc>
        <w:tc>
          <w:tcPr>
            <w:tcW w:w="1276"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位置关系</w:t>
            </w:r>
          </w:p>
        </w:tc>
        <w:tc>
          <w:tcPr>
            <w:tcW w:w="2410"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影响因素</w:t>
            </w:r>
          </w:p>
        </w:tc>
        <w:tc>
          <w:tcPr>
            <w:tcW w:w="2278"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保护要求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w:t>
            </w:r>
          </w:p>
        </w:tc>
        <w:tc>
          <w:tcPr>
            <w:tcW w:w="1061"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白垩系下统白龙组（K</w:t>
            </w:r>
            <w:r>
              <w:rPr>
                <w:rFonts w:hint="default" w:ascii="Times New Roman" w:hAnsi="Times New Roman" w:eastAsia="宋体" w:cs="Times New Roman"/>
                <w:color w:val="auto"/>
                <w:kern w:val="0"/>
                <w:szCs w:val="21"/>
                <w:highlight w:val="none"/>
                <w:vertAlign w:val="subscript"/>
              </w:rPr>
              <w:t>1</w:t>
            </w:r>
            <w:r>
              <w:rPr>
                <w:rFonts w:hint="default" w:ascii="Times New Roman" w:hAnsi="Times New Roman" w:eastAsia="宋体" w:cs="Times New Roman"/>
                <w:color w:val="auto"/>
                <w:kern w:val="0"/>
                <w:szCs w:val="21"/>
                <w:highlight w:val="none"/>
              </w:rPr>
              <w:t>b</w:t>
            </w:r>
            <w:r>
              <w:rPr>
                <w:rFonts w:hint="eastAsia" w:ascii="Times New Roman" w:hAnsi="Times New Roman" w:eastAsia="宋体" w:cs="Times New Roman"/>
                <w:color w:val="auto"/>
                <w:kern w:val="0"/>
                <w:szCs w:val="21"/>
                <w:highlight w:val="none"/>
              </w:rPr>
              <w:t>）砂岩</w:t>
            </w:r>
            <w:r>
              <w:rPr>
                <w:rFonts w:hint="default" w:ascii="Times New Roman" w:hAnsi="Times New Roman" w:eastAsia="宋体" w:cs="Times New Roman"/>
                <w:color w:val="auto"/>
                <w:kern w:val="0"/>
                <w:szCs w:val="21"/>
                <w:highlight w:val="none"/>
              </w:rPr>
              <w:t>强～中风化裂隙带</w:t>
            </w:r>
          </w:p>
        </w:tc>
        <w:tc>
          <w:tcPr>
            <w:tcW w:w="992"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w:t>
            </w:r>
          </w:p>
        </w:tc>
        <w:tc>
          <w:tcPr>
            <w:tcW w:w="1276"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评价范围内</w:t>
            </w:r>
            <w:r>
              <w:rPr>
                <w:rFonts w:hint="default" w:ascii="Times New Roman" w:hAnsi="Times New Roman" w:eastAsia="宋体" w:cs="Times New Roman"/>
                <w:color w:val="auto"/>
                <w:kern w:val="0"/>
                <w:szCs w:val="21"/>
                <w:highlight w:val="none"/>
              </w:rPr>
              <w:t>下伏含水层</w:t>
            </w:r>
          </w:p>
        </w:tc>
        <w:tc>
          <w:tcPr>
            <w:tcW w:w="2410" w:type="dxa"/>
            <w:shd w:val="clear" w:color="auto" w:fill="auto"/>
            <w:vAlign w:val="center"/>
          </w:tcPr>
          <w:p>
            <w:pPr>
              <w:keepNext w:val="0"/>
              <w:keepLines w:val="0"/>
              <w:widowControl/>
              <w:suppressLineNumbers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本项目运行过程中生产溶液及废水泄露，下渗进入区内下伏潜水含水层，将影响地下水水质，进而污染当地散户饮用水水质。影响时段为营运期。</w:t>
            </w:r>
          </w:p>
        </w:tc>
        <w:tc>
          <w:tcPr>
            <w:tcW w:w="2278" w:type="dxa"/>
            <w:shd w:val="clear" w:color="auto" w:fill="auto"/>
            <w:vAlign w:val="center"/>
          </w:tcPr>
          <w:p>
            <w:pPr>
              <w:keepNext w:val="0"/>
              <w:keepLines w:val="0"/>
              <w:widowControl/>
              <w:suppressLineNumbers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总体满足《地下水质量标准》（GB/T 14848-2017）Ⅲ类标准；不改变现有使用功能。</w:t>
            </w:r>
          </w:p>
        </w:tc>
      </w:tr>
    </w:tbl>
    <w:p>
      <w:pPr>
        <w:pStyle w:val="9"/>
        <w:rPr>
          <w:rFonts w:hint="eastAsia" w:cs="Times New Roman"/>
          <w:color w:val="auto"/>
          <w:highlight w:val="none"/>
          <w:lang w:eastAsia="zh-CN"/>
        </w:rPr>
      </w:pPr>
      <w:r>
        <w:rPr>
          <w:rFonts w:hint="eastAsia" w:cs="Times New Roman"/>
          <w:color w:val="auto"/>
          <w:highlight w:val="none"/>
          <w:lang w:eastAsia="zh-CN"/>
        </w:rPr>
        <w:t>本项目对地下水的影响分析</w:t>
      </w:r>
    </w:p>
    <w:p>
      <w:pPr>
        <w:spacing w:line="360" w:lineRule="auto"/>
        <w:textAlignment w:val="center"/>
        <w:rPr>
          <w:rFonts w:ascii="Times New Roman" w:hAnsi="Times New Roman" w:eastAsia="宋体" w:cs="Times New Roman"/>
          <w:b/>
          <w:color w:val="auto"/>
          <w:sz w:val="24"/>
          <w:highlight w:val="none"/>
        </w:rPr>
      </w:pPr>
      <w:bookmarkStart w:id="238" w:name="_Hlk520028018"/>
      <w:r>
        <w:rPr>
          <w:rFonts w:ascii="Times New Roman" w:hAnsi="Times New Roman" w:eastAsia="宋体" w:cs="Times New Roman"/>
          <w:b/>
          <w:color w:val="auto"/>
          <w:sz w:val="24"/>
          <w:highlight w:val="none"/>
        </w:rPr>
        <w:t>1、项目类型识别</w:t>
      </w:r>
    </w:p>
    <w:bookmarkEnd w:id="238"/>
    <w:p>
      <w:pPr>
        <w:spacing w:line="360" w:lineRule="auto"/>
        <w:ind w:firstLine="480" w:firstLineChars="200"/>
        <w:textAlignment w:val="center"/>
        <w:rPr>
          <w:rFonts w:ascii="Times New Roman" w:hAnsi="Times New Roman" w:eastAsia="宋体" w:cs="Times New Roman"/>
          <w:bCs/>
          <w:color w:val="auto"/>
          <w:sz w:val="24"/>
          <w:highlight w:val="none"/>
        </w:rPr>
      </w:pPr>
      <w:r>
        <w:rPr>
          <w:rFonts w:ascii="Times New Roman" w:hAnsi="Times New Roman" w:eastAsia="宋体" w:cs="Times New Roman"/>
          <w:bCs/>
          <w:color w:val="auto"/>
          <w:sz w:val="24"/>
          <w:highlight w:val="none"/>
        </w:rPr>
        <w:t>本项目</w:t>
      </w:r>
      <w:r>
        <w:rPr>
          <w:rFonts w:hint="eastAsia" w:ascii="Times New Roman" w:hAnsi="Times New Roman" w:eastAsia="宋体" w:cs="Times New Roman"/>
          <w:bCs/>
          <w:color w:val="auto"/>
          <w:sz w:val="24"/>
          <w:highlight w:val="none"/>
        </w:rPr>
        <w:t>主要建设</w:t>
      </w:r>
      <w:r>
        <w:rPr>
          <w:rFonts w:hint="eastAsia" w:ascii="Times New Roman" w:hAnsi="Times New Roman" w:eastAsia="宋体" w:cs="Times New Roman"/>
          <w:bCs/>
          <w:color w:val="auto"/>
          <w:sz w:val="24"/>
          <w:highlight w:val="none"/>
          <w:lang w:eastAsia="zh-CN"/>
        </w:rPr>
        <w:t>存</w:t>
      </w:r>
      <w:r>
        <w:rPr>
          <w:rFonts w:hint="eastAsia" w:ascii="Times New Roman" w:hAnsi="Times New Roman" w:eastAsia="宋体" w:cs="Times New Roman"/>
          <w:bCs/>
          <w:color w:val="auto"/>
          <w:sz w:val="24"/>
          <w:highlight w:val="none"/>
        </w:rPr>
        <w:t>栏量12</w:t>
      </w:r>
      <w:r>
        <w:rPr>
          <w:rFonts w:hint="eastAsia" w:ascii="Times New Roman" w:hAnsi="Times New Roman" w:eastAsia="宋体" w:cs="Times New Roman"/>
          <w:bCs/>
          <w:color w:val="auto"/>
          <w:sz w:val="24"/>
          <w:highlight w:val="none"/>
          <w:lang w:val="en-US" w:eastAsia="zh-CN"/>
        </w:rPr>
        <w:t>500</w:t>
      </w:r>
      <w:r>
        <w:rPr>
          <w:rFonts w:hint="eastAsia" w:ascii="Times New Roman" w:hAnsi="Times New Roman" w:eastAsia="宋体" w:cs="Times New Roman"/>
          <w:bCs/>
          <w:color w:val="auto"/>
          <w:sz w:val="24"/>
          <w:highlight w:val="none"/>
        </w:rPr>
        <w:t>头肉牛育肥场一个</w:t>
      </w:r>
      <w:r>
        <w:rPr>
          <w:rFonts w:ascii="Times New Roman" w:hAnsi="Times New Roman" w:eastAsia="宋体" w:cs="Times New Roman"/>
          <w:bCs/>
          <w:color w:val="auto"/>
          <w:sz w:val="24"/>
          <w:highlight w:val="none"/>
        </w:rPr>
        <w:t>，根据《环境影响评价技术导则-地下水环境》（HJ610-2016）附录A，</w:t>
      </w:r>
      <w:r>
        <w:rPr>
          <w:rFonts w:hint="eastAsia" w:ascii="Times New Roman" w:hAnsi="Times New Roman" w:eastAsia="宋体" w:cs="Times New Roman"/>
          <w:color w:val="auto"/>
          <w:kern w:val="0"/>
          <w:sz w:val="24"/>
          <w:szCs w:val="24"/>
          <w:highlight w:val="none"/>
        </w:rPr>
        <w:t>判定本项目归类为</w:t>
      </w:r>
      <w:r>
        <w:rPr>
          <w:rFonts w:ascii="Times New Roman" w:hAnsi="Times New Roman" w:eastAsia="宋体" w:cs="Times New Roman"/>
          <w:bCs/>
          <w:color w:val="auto"/>
          <w:sz w:val="24"/>
          <w:szCs w:val="24"/>
          <w:highlight w:val="none"/>
        </w:rPr>
        <w:t>B 农、林、牧、渔、海洋业 14、畜禽养殖场、养殖小区；年出栏生猪5000头（其他畜禽种类折合猪的养殖规模）及以上；</w:t>
      </w:r>
      <w:r>
        <w:rPr>
          <w:rFonts w:hint="eastAsia" w:ascii="Times New Roman" w:hAnsi="Times New Roman" w:eastAsia="宋体" w:cs="Times New Roman"/>
          <w:bCs/>
          <w:color w:val="auto"/>
          <w:sz w:val="24"/>
          <w:highlight w:val="none"/>
        </w:rPr>
        <w:t>项目属地下水环境影响评价Ⅲ类项目。</w:t>
      </w:r>
    </w:p>
    <w:p>
      <w:pPr>
        <w:spacing w:line="360" w:lineRule="auto"/>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2、评价工作等级</w:t>
      </w:r>
    </w:p>
    <w:p>
      <w:pPr>
        <w:spacing w:line="360" w:lineRule="auto"/>
        <w:ind w:firstLine="480" w:firstLineChars="200"/>
        <w:textAlignment w:val="center"/>
        <w:rPr>
          <w:rFonts w:ascii="Times New Roman" w:hAnsi="Times New Roman" w:eastAsia="宋体" w:cs="Times New Roman"/>
          <w:bCs/>
          <w:color w:val="auto"/>
          <w:sz w:val="24"/>
          <w:highlight w:val="none"/>
        </w:rPr>
      </w:pPr>
      <w:r>
        <w:rPr>
          <w:rFonts w:ascii="Times New Roman" w:hAnsi="Times New Roman" w:eastAsia="宋体" w:cs="Times New Roman"/>
          <w:bCs/>
          <w:color w:val="auto"/>
          <w:sz w:val="24"/>
          <w:highlight w:val="none"/>
        </w:rPr>
        <w:t>建设项目地下水环境影响评价等级划分应根据建设项目行业分类和地下水环境敏感程度进行判定</w:t>
      </w:r>
      <w:r>
        <w:rPr>
          <w:rFonts w:hint="eastAsia" w:ascii="Times New Roman" w:hAnsi="Times New Roman" w:eastAsia="宋体" w:cs="Times New Roman"/>
          <w:bCs/>
          <w:color w:val="auto"/>
          <w:sz w:val="24"/>
          <w:highlight w:val="none"/>
        </w:rPr>
        <w:t>：</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 xml:space="preserve"> </w:t>
      </w:r>
      <w:r>
        <w:rPr>
          <w:rFonts w:hint="default" w:ascii="Times New Roman" w:hAnsi="Times New Roman" w:eastAsia="宋体" w:cs="Times New Roman"/>
          <w:b/>
          <w:bCs w:val="0"/>
          <w:color w:val="auto"/>
          <w:highlight w:val="none"/>
          <w:lang w:val="en-US" w:eastAsia="zh-CN"/>
        </w:rPr>
        <w:t>本项目地下水环境敏感程度分级</w:t>
      </w:r>
    </w:p>
    <w:tbl>
      <w:tblPr>
        <w:tblStyle w:val="91"/>
        <w:tblW w:w="894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7"/>
        <w:gridCol w:w="5468"/>
        <w:gridCol w:w="26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857"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分级</w:t>
            </w:r>
          </w:p>
        </w:tc>
        <w:tc>
          <w:tcPr>
            <w:tcW w:w="5468"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项目场地的地下水环境敏感特征</w:t>
            </w:r>
          </w:p>
        </w:tc>
        <w:tc>
          <w:tcPr>
            <w:tcW w:w="2621"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本工程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857"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敏感</w:t>
            </w:r>
          </w:p>
        </w:tc>
        <w:tc>
          <w:tcPr>
            <w:tcW w:w="5468"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集中式饮用水源地（包括已建成的在用、备用、应急水源地，在建和规划的水源地）准保护区；除集中式饮用水源地以外的国家或地方政府设定的与地下水环境相关的其它保护区，如热水、矿泉水、温泉等特殊地下水资源保护区</w:t>
            </w:r>
          </w:p>
        </w:tc>
        <w:tc>
          <w:tcPr>
            <w:tcW w:w="2621" w:type="dxa"/>
            <w:vMerge w:val="restart"/>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根据现场调查，</w:t>
            </w:r>
            <w:r>
              <w:rPr>
                <w:rFonts w:hint="eastAsia" w:ascii="Times New Roman" w:hAnsi="Times New Roman" w:eastAsia="宋体" w:cs="Times New Roman"/>
                <w:color w:val="auto"/>
                <w:kern w:val="0"/>
                <w:szCs w:val="21"/>
                <w:highlight w:val="none"/>
              </w:rPr>
              <w:t>项目区位于巴中市巴州区鼎山镇首市村，项目区周边无分散式和集中式饮用水源分布，区域未发现有与地下水相关的水源保护区和其它资源保护区。因此，本项目地下水环境敏感程度为：不敏感。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857"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较敏感</w:t>
            </w:r>
          </w:p>
        </w:tc>
        <w:tc>
          <w:tcPr>
            <w:tcW w:w="5468"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集中式饮用水源地（包括已建成的在用、备用、应急水源，在建和规划的饮用水水源）准保护区以外的补给径流区；未划定准保护区的集中水式饮用水水源，其保护区以外的补给径流区；分散式饮用水水源地；特殊地下水资源（如矿泉水、温泉等）保护区以外的分布区等其他未列入上述敏感分级的环境敏感区</w:t>
            </w:r>
          </w:p>
        </w:tc>
        <w:tc>
          <w:tcPr>
            <w:tcW w:w="2621" w:type="dxa"/>
            <w:vMerge w:val="continue"/>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857"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不敏感（√）</w:t>
            </w:r>
          </w:p>
        </w:tc>
        <w:tc>
          <w:tcPr>
            <w:tcW w:w="5468"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上述地区之外的其它地区</w:t>
            </w:r>
          </w:p>
        </w:tc>
        <w:tc>
          <w:tcPr>
            <w:tcW w:w="2621" w:type="dxa"/>
            <w:vMerge w:val="continue"/>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8946" w:type="dxa"/>
            <w:gridSpan w:val="3"/>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注：a“环境敏感区”是指《建设项目环境影响评价分类管理名录》中所界定的涉及地下水的</w:t>
            </w:r>
          </w:p>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环境敏感区</w:t>
            </w:r>
          </w:p>
        </w:tc>
      </w:tr>
    </w:tbl>
    <w:p>
      <w:pPr>
        <w:jc w:val="center"/>
        <w:rPr>
          <w:rFonts w:ascii="Times New Roman" w:hAnsi="Times New Roman" w:eastAsia="宋体" w:cs="Times New Roman"/>
          <w:b/>
          <w:color w:val="auto"/>
          <w:kern w:val="0"/>
          <w:szCs w:val="21"/>
          <w:highlight w:val="none"/>
        </w:rPr>
      </w:pPr>
      <w:r>
        <w:rPr>
          <w:rFonts w:ascii="Times New Roman" w:hAnsi="Times New Roman" w:eastAsia="宋体" w:cs="Times New Roman"/>
          <w:b/>
          <w:color w:val="auto"/>
          <w:kern w:val="0"/>
          <w:szCs w:val="21"/>
          <w:highlight w:val="none"/>
        </w:rPr>
        <w:t>表7.5-3</w:t>
      </w:r>
      <w:r>
        <w:rPr>
          <w:rFonts w:hint="eastAsia" w:ascii="Times New Roman" w:hAnsi="Times New Roman" w:eastAsia="宋体" w:cs="Times New Roman"/>
          <w:b/>
          <w:color w:val="auto"/>
          <w:kern w:val="0"/>
          <w:szCs w:val="21"/>
          <w:highlight w:val="none"/>
        </w:rPr>
        <w:t xml:space="preserve">  </w:t>
      </w:r>
      <w:r>
        <w:rPr>
          <w:rFonts w:ascii="Times New Roman" w:hAnsi="Times New Roman" w:eastAsia="宋体" w:cs="Times New Roman"/>
          <w:b/>
          <w:color w:val="auto"/>
          <w:kern w:val="0"/>
          <w:szCs w:val="21"/>
          <w:highlight w:val="none"/>
        </w:rPr>
        <w:t>本项目地下水评价工作等级分级</w:t>
      </w:r>
    </w:p>
    <w:tbl>
      <w:tblPr>
        <w:tblStyle w:val="91"/>
        <w:tblW w:w="89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52"/>
        <w:gridCol w:w="2588"/>
        <w:gridCol w:w="38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2552" w:type="dxa"/>
            <w:tcBorders>
              <w:top w:val="single" w:color="000000" w:sz="12" w:space="0"/>
              <w:left w:val="nil"/>
              <w:tl2br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right"/>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项目类别</w:t>
            </w:r>
          </w:p>
          <w:p>
            <w:pPr>
              <w:keepNext w:val="0"/>
              <w:keepLines w:val="0"/>
              <w:widowControl/>
              <w:suppressLineNumbers w:val="0"/>
              <w:adjustRightInd w:val="0"/>
              <w:snapToGrid w:val="0"/>
              <w:spacing w:before="0" w:beforeAutospacing="0" w:after="0" w:afterAutospacing="0"/>
              <w:ind w:left="0" w:right="0"/>
              <w:jc w:val="left"/>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环境敏感程度</w:t>
            </w:r>
          </w:p>
        </w:tc>
        <w:tc>
          <w:tcPr>
            <w:tcW w:w="2588" w:type="dxa"/>
            <w:tcBorders>
              <w:top w:val="single" w:color="000000" w:sz="12" w:space="0"/>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eastAsia" w:ascii="Times New Roman" w:hAnsi="Times New Roman" w:eastAsia="宋体" w:cs="Times New Roman"/>
                <w:b/>
                <w:color w:val="auto"/>
                <w:kern w:val="0"/>
                <w:szCs w:val="21"/>
                <w:highlight w:val="none"/>
              </w:rPr>
              <w:t>Ⅲ</w:t>
            </w:r>
            <w:r>
              <w:rPr>
                <w:rFonts w:hint="default" w:ascii="Times New Roman" w:hAnsi="Times New Roman" w:eastAsia="宋体" w:cs="Times New Roman"/>
                <w:b/>
                <w:color w:val="auto"/>
                <w:kern w:val="0"/>
                <w:szCs w:val="21"/>
                <w:highlight w:val="none"/>
              </w:rPr>
              <w:t>类项目</w:t>
            </w:r>
          </w:p>
        </w:tc>
        <w:tc>
          <w:tcPr>
            <w:tcW w:w="3806" w:type="dxa"/>
            <w:tcBorders>
              <w:top w:val="single" w:color="000000" w:sz="12" w:space="0"/>
              <w:righ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本项目评价等级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 w:hRule="atLeast"/>
          <w:jc w:val="center"/>
        </w:trPr>
        <w:tc>
          <w:tcPr>
            <w:tcW w:w="2552" w:type="dxa"/>
            <w:tcBorders>
              <w:lef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敏感</w:t>
            </w:r>
          </w:p>
        </w:tc>
        <w:tc>
          <w:tcPr>
            <w:tcW w:w="2588"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二</w:t>
            </w:r>
          </w:p>
        </w:tc>
        <w:tc>
          <w:tcPr>
            <w:tcW w:w="3806" w:type="dxa"/>
            <w:vMerge w:val="restart"/>
            <w:tcBorders>
              <w:righ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本项目属</w:t>
            </w:r>
            <w:r>
              <w:rPr>
                <w:rFonts w:hint="eastAsia" w:ascii="Times New Roman" w:hAnsi="Times New Roman" w:eastAsia="宋体" w:cs="Times New Roman"/>
                <w:color w:val="auto"/>
                <w:kern w:val="0"/>
                <w:szCs w:val="21"/>
                <w:highlight w:val="none"/>
              </w:rPr>
              <w:t>Ⅲ</w:t>
            </w:r>
            <w:r>
              <w:rPr>
                <w:rFonts w:hint="default" w:ascii="Times New Roman" w:hAnsi="Times New Roman" w:eastAsia="宋体" w:cs="Times New Roman"/>
                <w:color w:val="auto"/>
                <w:kern w:val="0"/>
                <w:szCs w:val="21"/>
                <w:highlight w:val="none"/>
              </w:rPr>
              <w:t>类项目，其地下水环境敏感程度为“</w:t>
            </w:r>
            <w:r>
              <w:rPr>
                <w:rFonts w:hint="eastAsia" w:ascii="Times New Roman" w:hAnsi="Times New Roman" w:eastAsia="宋体" w:cs="Times New Roman"/>
                <w:color w:val="auto"/>
                <w:kern w:val="0"/>
                <w:szCs w:val="21"/>
                <w:highlight w:val="none"/>
              </w:rPr>
              <w:t>不</w:t>
            </w:r>
            <w:r>
              <w:rPr>
                <w:rFonts w:hint="default" w:ascii="Times New Roman" w:hAnsi="Times New Roman" w:eastAsia="宋体" w:cs="Times New Roman"/>
                <w:color w:val="auto"/>
                <w:kern w:val="0"/>
                <w:szCs w:val="21"/>
                <w:highlight w:val="none"/>
              </w:rPr>
              <w:t>敏感”，根据评价工作等级分级表判定为“三”级评价。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jc w:val="center"/>
        </w:trPr>
        <w:tc>
          <w:tcPr>
            <w:tcW w:w="2552" w:type="dxa"/>
            <w:tcBorders>
              <w:lef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shd w:val="pct10" w:color="auto" w:fill="FFFFFF"/>
              </w:rPr>
            </w:pPr>
            <w:r>
              <w:rPr>
                <w:rFonts w:hint="default" w:ascii="Times New Roman" w:hAnsi="Times New Roman" w:eastAsia="宋体" w:cs="Times New Roman"/>
                <w:color w:val="auto"/>
                <w:kern w:val="0"/>
                <w:szCs w:val="21"/>
                <w:highlight w:val="none"/>
              </w:rPr>
              <w:t>较敏感</w:t>
            </w:r>
          </w:p>
        </w:tc>
        <w:tc>
          <w:tcPr>
            <w:tcW w:w="2588"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三</w:t>
            </w:r>
          </w:p>
        </w:tc>
        <w:tc>
          <w:tcPr>
            <w:tcW w:w="3806" w:type="dxa"/>
            <w:vMerge w:val="continue"/>
            <w:tcBorders>
              <w:righ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shd w:val="pct10"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2552" w:type="dxa"/>
            <w:tcBorders>
              <w:left w:val="nil"/>
              <w:bottom w:val="single" w:color="000000" w:sz="12" w:space="0"/>
            </w:tcBorders>
            <w:shd w:val="clear" w:color="auto" w:fill="auto"/>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不敏感（√）</w:t>
            </w:r>
          </w:p>
        </w:tc>
        <w:tc>
          <w:tcPr>
            <w:tcW w:w="2588" w:type="dxa"/>
            <w:tcBorders>
              <w:bottom w:val="single" w:color="000000" w:sz="12" w:space="0"/>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三（√）</w:t>
            </w:r>
          </w:p>
        </w:tc>
        <w:tc>
          <w:tcPr>
            <w:tcW w:w="3806" w:type="dxa"/>
            <w:vMerge w:val="continue"/>
            <w:tcBorders>
              <w:bottom w:val="single" w:color="000000" w:sz="12" w:space="0"/>
              <w:righ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p>
        </w:tc>
      </w:tr>
    </w:tbl>
    <w:p>
      <w:pPr>
        <w:widowControl/>
        <w:spacing w:line="360" w:lineRule="auto"/>
        <w:ind w:firstLine="480" w:firstLineChars="200"/>
        <w:rPr>
          <w:rFonts w:ascii="Times New Roman" w:hAnsi="Times New Roman" w:eastAsia="宋体" w:cs="Times New Roman"/>
          <w:color w:val="auto"/>
          <w:kern w:val="0"/>
          <w:sz w:val="24"/>
          <w:szCs w:val="24"/>
          <w:highlight w:val="none"/>
        </w:rPr>
      </w:pPr>
      <w:bookmarkStart w:id="239" w:name="_Hlk2269107"/>
      <w:r>
        <w:rPr>
          <w:rFonts w:ascii="Times New Roman" w:hAnsi="Times New Roman" w:eastAsia="宋体" w:cs="Times New Roman"/>
          <w:color w:val="auto"/>
          <w:sz w:val="24"/>
          <w:szCs w:val="24"/>
          <w:highlight w:val="none"/>
        </w:rPr>
        <w:t>根据《环境影响评价技术</w:t>
      </w:r>
      <w:r>
        <w:rPr>
          <w:rFonts w:ascii="Times New Roman" w:hAnsi="Times New Roman" w:eastAsia="宋体" w:cs="Times New Roman"/>
          <w:color w:val="auto"/>
          <w:kern w:val="0"/>
          <w:sz w:val="24"/>
          <w:szCs w:val="24"/>
          <w:highlight w:val="none"/>
        </w:rPr>
        <w:t>导则-地下水环境》（HJ610-2016），本项目属</w:t>
      </w:r>
      <w:r>
        <w:rPr>
          <w:rFonts w:hint="eastAsia" w:ascii="Times New Roman" w:hAnsi="Times New Roman" w:eastAsia="宋体" w:cs="Times New Roman"/>
          <w:color w:val="auto"/>
          <w:kern w:val="0"/>
          <w:sz w:val="24"/>
          <w:szCs w:val="24"/>
          <w:highlight w:val="none"/>
        </w:rPr>
        <w:t>Ⅲ</w:t>
      </w:r>
      <w:r>
        <w:rPr>
          <w:rFonts w:ascii="Times New Roman" w:hAnsi="Times New Roman" w:eastAsia="宋体" w:cs="Times New Roman"/>
          <w:color w:val="auto"/>
          <w:kern w:val="0"/>
          <w:sz w:val="24"/>
          <w:szCs w:val="24"/>
          <w:highlight w:val="none"/>
        </w:rPr>
        <w:t>类项目，地下水环境敏感程度为“</w:t>
      </w:r>
      <w:r>
        <w:rPr>
          <w:rFonts w:hint="eastAsia" w:ascii="Times New Roman" w:hAnsi="Times New Roman" w:eastAsia="宋体" w:cs="Times New Roman"/>
          <w:color w:val="auto"/>
          <w:kern w:val="0"/>
          <w:sz w:val="24"/>
          <w:szCs w:val="24"/>
          <w:highlight w:val="none"/>
        </w:rPr>
        <w:t>不</w:t>
      </w:r>
      <w:r>
        <w:rPr>
          <w:rFonts w:ascii="Times New Roman" w:hAnsi="Times New Roman" w:eastAsia="宋体" w:cs="Times New Roman"/>
          <w:color w:val="auto"/>
          <w:kern w:val="0"/>
          <w:sz w:val="24"/>
          <w:szCs w:val="24"/>
          <w:highlight w:val="none"/>
        </w:rPr>
        <w:t>敏感”，根据（HJ610-2016）判定依据，本项目地下水环境影响评价工作等级判定为“三”级。</w:t>
      </w:r>
    </w:p>
    <w:bookmarkEnd w:id="239"/>
    <w:p>
      <w:pPr>
        <w:spacing w:line="360" w:lineRule="auto"/>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3、预测范围</w:t>
      </w:r>
    </w:p>
    <w:p>
      <w:pPr>
        <w:widowControl/>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根据《环境影响评价技术导则地下水环境》（HJ610-2016），地下水环境影响预测范围一般与调查评价范围一致。建设项目地下水环境现状调查评价范围的确定可采用公式计算法、查表法及自定义法。</w:t>
      </w:r>
    </w:p>
    <w:p>
      <w:pPr>
        <w:widowControl/>
        <w:spacing w:line="360" w:lineRule="auto"/>
        <w:ind w:firstLine="480" w:firstLineChars="20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（1）公式计算法</w:t>
      </w:r>
    </w:p>
    <w:p>
      <w:pPr>
        <w:widowControl/>
        <w:spacing w:line="360" w:lineRule="auto"/>
        <w:ind w:firstLine="480" w:firstLineChars="20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当建设项目所在地水文地质条件相对简单，且所掌握的资料能够满足公式计算法的要求时，应采用公式计算法确定：</w:t>
      </w:r>
    </w:p>
    <w:p>
      <w:pPr>
        <w:widowControl/>
        <w:spacing w:line="360" w:lineRule="auto"/>
        <w:ind w:right="1920" w:firstLine="1440" w:firstLineChars="600"/>
        <w:jc w:val="center"/>
        <w:rPr>
          <w:rFonts w:ascii="Times New Roman" w:hAnsi="Times New Roman" w:eastAsia="宋体" w:cs="Times New Roman"/>
          <w:i/>
          <w:color w:val="auto"/>
          <w:kern w:val="0"/>
          <w:sz w:val="24"/>
          <w:szCs w:val="24"/>
          <w:highlight w:val="none"/>
        </w:rPr>
      </w:pPr>
      <w:r>
        <w:rPr>
          <w:rFonts w:ascii="Times New Roman" w:hAnsi="Times New Roman" w:eastAsia="宋体" w:cs="Times New Roman"/>
          <w:i/>
          <w:color w:val="auto"/>
          <w:kern w:val="0"/>
          <w:sz w:val="24"/>
          <w:szCs w:val="24"/>
          <w:highlight w:val="none"/>
        </w:rPr>
        <w:t>L=α×K×I×T/n</w:t>
      </w:r>
      <w:r>
        <w:rPr>
          <w:rFonts w:ascii="Times New Roman" w:hAnsi="Times New Roman" w:eastAsia="宋体" w:cs="Times New Roman"/>
          <w:i/>
          <w:color w:val="auto"/>
          <w:kern w:val="0"/>
          <w:sz w:val="24"/>
          <w:szCs w:val="24"/>
          <w:highlight w:val="none"/>
          <w:vertAlign w:val="subscript"/>
        </w:rPr>
        <w:t>e</w:t>
      </w:r>
      <w:r>
        <w:rPr>
          <w:rFonts w:ascii="Times New Roman" w:hAnsi="Times New Roman" w:eastAsia="宋体" w:cs="Times New Roman"/>
          <w:color w:val="auto"/>
          <w:kern w:val="0"/>
          <w:sz w:val="24"/>
          <w:szCs w:val="24"/>
          <w:highlight w:val="none"/>
        </w:rPr>
        <w:t>（式1）</w:t>
      </w:r>
    </w:p>
    <w:p>
      <w:pPr>
        <w:widowControl/>
        <w:spacing w:line="360" w:lineRule="auto"/>
        <w:ind w:firstLine="48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式中：L—下游迁移距离</w:t>
      </w:r>
    </w:p>
    <w:p>
      <w:pPr>
        <w:widowControl/>
        <w:spacing w:line="360" w:lineRule="auto"/>
        <w:ind w:firstLine="960" w:firstLineChars="40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i/>
          <w:color w:val="auto"/>
          <w:kern w:val="0"/>
          <w:sz w:val="24"/>
          <w:szCs w:val="24"/>
          <w:highlight w:val="none"/>
        </w:rPr>
        <w:t>α</w:t>
      </w:r>
      <w:r>
        <w:rPr>
          <w:rFonts w:ascii="Times New Roman" w:hAnsi="Times New Roman" w:eastAsia="宋体" w:cs="Times New Roman"/>
          <w:color w:val="auto"/>
          <w:kern w:val="0"/>
          <w:sz w:val="24"/>
          <w:szCs w:val="24"/>
          <w:highlight w:val="none"/>
        </w:rPr>
        <w:t>—变化系数，</w:t>
      </w:r>
      <w:r>
        <w:rPr>
          <w:rFonts w:ascii="Times New Roman" w:hAnsi="Times New Roman" w:eastAsia="宋体" w:cs="Times New Roman"/>
          <w:i/>
          <w:color w:val="auto"/>
          <w:kern w:val="0"/>
          <w:sz w:val="24"/>
          <w:szCs w:val="24"/>
          <w:highlight w:val="none"/>
        </w:rPr>
        <w:t>α≥</w:t>
      </w:r>
      <w:r>
        <w:rPr>
          <w:rFonts w:ascii="Times New Roman" w:hAnsi="Times New Roman" w:eastAsia="宋体" w:cs="Times New Roman"/>
          <w:color w:val="auto"/>
          <w:kern w:val="0"/>
          <w:sz w:val="24"/>
          <w:szCs w:val="24"/>
          <w:highlight w:val="none"/>
        </w:rPr>
        <w:t>1，一般取2；</w:t>
      </w:r>
    </w:p>
    <w:p>
      <w:pPr>
        <w:widowControl/>
        <w:spacing w:line="360" w:lineRule="auto"/>
        <w:ind w:firstLine="48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 xml:space="preserve">    K—渗透系数，m/d；</w:t>
      </w:r>
    </w:p>
    <w:p>
      <w:pPr>
        <w:widowControl/>
        <w:spacing w:line="360" w:lineRule="auto"/>
        <w:ind w:firstLine="48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 xml:space="preserve">    I—水力坡度，无量纲；</w:t>
      </w:r>
    </w:p>
    <w:p>
      <w:pPr>
        <w:widowControl/>
        <w:spacing w:line="360" w:lineRule="auto"/>
        <w:ind w:firstLine="48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 xml:space="preserve">    T—质点迁移天数，取值不小于5000d；</w:t>
      </w:r>
    </w:p>
    <w:p>
      <w:pPr>
        <w:widowControl/>
        <w:spacing w:line="360" w:lineRule="auto"/>
        <w:ind w:firstLine="48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 xml:space="preserve">    n</w:t>
      </w:r>
      <w:r>
        <w:rPr>
          <w:rFonts w:ascii="Times New Roman" w:hAnsi="Times New Roman" w:eastAsia="宋体" w:cs="Times New Roman"/>
          <w:color w:val="auto"/>
          <w:kern w:val="0"/>
          <w:sz w:val="24"/>
          <w:szCs w:val="24"/>
          <w:highlight w:val="none"/>
          <w:vertAlign w:val="subscript"/>
        </w:rPr>
        <w:t>e</w:t>
      </w:r>
      <w:r>
        <w:rPr>
          <w:rFonts w:ascii="Times New Roman" w:hAnsi="Times New Roman" w:eastAsia="宋体" w:cs="Times New Roman"/>
          <w:color w:val="auto"/>
          <w:kern w:val="0"/>
          <w:sz w:val="24"/>
          <w:szCs w:val="24"/>
          <w:highlight w:val="none"/>
        </w:rPr>
        <w:t>—有效孔隙度，无量纲。</w:t>
      </w:r>
    </w:p>
    <w:p>
      <w:pPr>
        <w:widowControl/>
        <w:spacing w:line="360" w:lineRule="auto"/>
        <w:ind w:firstLine="480" w:firstLineChars="20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（2）查表法</w:t>
      </w:r>
    </w:p>
    <w:p>
      <w:pPr>
        <w:widowControl/>
        <w:spacing w:line="360" w:lineRule="auto"/>
        <w:ind w:firstLine="480" w:firstLineChars="20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当不满足公式计算法的要求时，可采用查表法确定。</w:t>
      </w:r>
    </w:p>
    <w:p>
      <w:pPr>
        <w:pStyle w:val="2"/>
        <w:rPr>
          <w:color w:val="auto"/>
          <w:highlight w:val="none"/>
        </w:rPr>
      </w:pPr>
    </w:p>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 xml:space="preserve">  地下水环境现状调查评价范围参照</w:t>
      </w:r>
    </w:p>
    <w:tbl>
      <w:tblPr>
        <w:tblStyle w:val="91"/>
        <w:tblW w:w="8499"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676"/>
        <w:gridCol w:w="3767"/>
        <w:gridCol w:w="305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76"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评价等级</w:t>
            </w:r>
          </w:p>
        </w:tc>
        <w:tc>
          <w:tcPr>
            <w:tcW w:w="3767"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调查评价面积（km</w:t>
            </w:r>
            <w:r>
              <w:rPr>
                <w:rFonts w:hint="default" w:ascii="Times New Roman" w:hAnsi="Times New Roman" w:eastAsia="宋体" w:cs="Times New Roman"/>
                <w:b/>
                <w:bCs/>
                <w:color w:val="auto"/>
                <w:kern w:val="0"/>
                <w:szCs w:val="21"/>
                <w:highlight w:val="none"/>
                <w:vertAlign w:val="superscript"/>
              </w:rPr>
              <w:t>2</w:t>
            </w:r>
            <w:r>
              <w:rPr>
                <w:rFonts w:hint="default" w:ascii="Times New Roman" w:hAnsi="Times New Roman" w:eastAsia="宋体" w:cs="Times New Roman"/>
                <w:b/>
                <w:bCs/>
                <w:color w:val="auto"/>
                <w:kern w:val="0"/>
                <w:szCs w:val="21"/>
                <w:highlight w:val="none"/>
              </w:rPr>
              <w:t>）</w:t>
            </w:r>
          </w:p>
        </w:tc>
        <w:tc>
          <w:tcPr>
            <w:tcW w:w="3056"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76"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一级</w:t>
            </w:r>
          </w:p>
        </w:tc>
        <w:tc>
          <w:tcPr>
            <w:tcW w:w="3767"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w:t>
            </w:r>
          </w:p>
        </w:tc>
        <w:tc>
          <w:tcPr>
            <w:tcW w:w="3056" w:type="dxa"/>
            <w:vMerge w:val="restar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应包括重要的地下水环境保护目标，必要时适当扩大范围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76"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二级</w:t>
            </w:r>
          </w:p>
        </w:tc>
        <w:tc>
          <w:tcPr>
            <w:tcW w:w="3767"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6～20</w:t>
            </w:r>
          </w:p>
        </w:tc>
        <w:tc>
          <w:tcPr>
            <w:tcW w:w="3056" w:type="dxa"/>
            <w:vMerge w:val="continue"/>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76"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三级</w:t>
            </w:r>
          </w:p>
        </w:tc>
        <w:tc>
          <w:tcPr>
            <w:tcW w:w="3767"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≤6</w:t>
            </w:r>
          </w:p>
        </w:tc>
        <w:tc>
          <w:tcPr>
            <w:tcW w:w="3056" w:type="dxa"/>
            <w:vMerge w:val="continue"/>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p>
        </w:tc>
      </w:tr>
    </w:tbl>
    <w:p>
      <w:pPr>
        <w:widowControl/>
        <w:spacing w:line="360" w:lineRule="auto"/>
        <w:ind w:firstLine="480" w:firstLineChars="20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（3）自定义法</w:t>
      </w:r>
    </w:p>
    <w:p>
      <w:pPr>
        <w:widowControl/>
        <w:spacing w:line="360" w:lineRule="auto"/>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当计算或查表范围超出所处水文地质单元边界时，应以所处水文地质单元边界为宜，可根据建设项目所在区域水文地质条件确定。</w:t>
      </w:r>
    </w:p>
    <w:p>
      <w:pPr>
        <w:widowControl/>
        <w:spacing w:line="360" w:lineRule="auto"/>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sz w:val="24"/>
          <w:szCs w:val="24"/>
          <w:highlight w:val="none"/>
        </w:rPr>
        <w:t>根据《环境影响评价技术导则-地下水环境》（HJ610-2016）结合建设项目所在地水文地质条件及地形坡度、地层岩性等相关水文地质资料，并结合现场调查，选取自定义法确定本项目地下水环境影响评价范围：</w:t>
      </w:r>
      <w:r>
        <w:rPr>
          <w:rFonts w:ascii="Times New Roman" w:hAnsi="Times New Roman" w:eastAsia="宋体" w:cs="Times New Roman"/>
          <w:color w:val="auto"/>
          <w:kern w:val="0"/>
          <w:sz w:val="24"/>
          <w:szCs w:val="24"/>
          <w:highlight w:val="none"/>
        </w:rPr>
        <w:t>评价区西侧及</w:t>
      </w:r>
      <w:r>
        <w:rPr>
          <w:rFonts w:hint="eastAsia" w:ascii="Times New Roman" w:hAnsi="Times New Roman" w:eastAsia="宋体" w:cs="Times New Roman"/>
          <w:color w:val="auto"/>
          <w:kern w:val="0"/>
          <w:sz w:val="24"/>
          <w:szCs w:val="24"/>
          <w:highlight w:val="none"/>
        </w:rPr>
        <w:t>西南</w:t>
      </w:r>
      <w:r>
        <w:rPr>
          <w:rFonts w:ascii="Times New Roman" w:hAnsi="Times New Roman" w:eastAsia="宋体" w:cs="Times New Roman"/>
          <w:color w:val="auto"/>
          <w:kern w:val="0"/>
          <w:sz w:val="24"/>
          <w:szCs w:val="24"/>
          <w:highlight w:val="none"/>
        </w:rPr>
        <w:t>侧以</w:t>
      </w:r>
      <w:r>
        <w:rPr>
          <w:rFonts w:hint="eastAsia" w:ascii="Times New Roman" w:hAnsi="Times New Roman" w:eastAsia="宋体" w:cs="Times New Roman"/>
          <w:color w:val="auto"/>
          <w:kern w:val="0"/>
          <w:sz w:val="24"/>
          <w:szCs w:val="24"/>
          <w:highlight w:val="none"/>
        </w:rPr>
        <w:t>罗</w:t>
      </w:r>
      <w:r>
        <w:rPr>
          <w:rFonts w:ascii="Times New Roman" w:hAnsi="Times New Roman" w:eastAsia="宋体" w:cs="Times New Roman"/>
          <w:color w:val="auto"/>
          <w:kern w:val="0"/>
          <w:sz w:val="24"/>
          <w:szCs w:val="24"/>
          <w:highlight w:val="none"/>
        </w:rPr>
        <w:t>地沟水库为界</w:t>
      </w:r>
      <w:r>
        <w:rPr>
          <w:rFonts w:hint="eastAsia" w:ascii="Times New Roman" w:hAnsi="Times New Roman" w:eastAsia="宋体" w:cs="Times New Roman"/>
          <w:color w:val="auto"/>
          <w:kern w:val="0"/>
          <w:sz w:val="24"/>
          <w:szCs w:val="24"/>
          <w:highlight w:val="none"/>
        </w:rPr>
        <w:t>，北</w:t>
      </w:r>
      <w:r>
        <w:rPr>
          <w:rFonts w:ascii="Times New Roman" w:hAnsi="Times New Roman" w:eastAsia="宋体" w:cs="Times New Roman"/>
          <w:color w:val="auto"/>
          <w:kern w:val="0"/>
          <w:sz w:val="24"/>
          <w:szCs w:val="24"/>
          <w:highlight w:val="none"/>
        </w:rPr>
        <w:t>侧以</w:t>
      </w:r>
      <w:r>
        <w:rPr>
          <w:rFonts w:hint="eastAsia" w:ascii="Times New Roman" w:hAnsi="Times New Roman" w:eastAsia="宋体" w:cs="Times New Roman"/>
          <w:color w:val="auto"/>
          <w:kern w:val="0"/>
          <w:sz w:val="24"/>
          <w:szCs w:val="24"/>
          <w:highlight w:val="none"/>
        </w:rPr>
        <w:t>纸长</w:t>
      </w:r>
      <w:r>
        <w:rPr>
          <w:rFonts w:ascii="Times New Roman" w:hAnsi="Times New Roman" w:eastAsia="宋体" w:cs="Times New Roman"/>
          <w:color w:val="auto"/>
          <w:kern w:val="0"/>
          <w:sz w:val="24"/>
          <w:szCs w:val="24"/>
          <w:highlight w:val="none"/>
        </w:rPr>
        <w:t>河支流油坊沟为界</w:t>
      </w:r>
      <w:r>
        <w:rPr>
          <w:rFonts w:hint="eastAsia" w:ascii="Times New Roman" w:hAnsi="Times New Roman" w:eastAsia="宋体" w:cs="Times New Roman"/>
          <w:color w:val="auto"/>
          <w:kern w:val="0"/>
          <w:sz w:val="24"/>
          <w:szCs w:val="24"/>
          <w:highlight w:val="none"/>
        </w:rPr>
        <w:t>，东</w:t>
      </w:r>
      <w:r>
        <w:rPr>
          <w:rFonts w:ascii="Times New Roman" w:hAnsi="Times New Roman" w:eastAsia="宋体" w:cs="Times New Roman"/>
          <w:color w:val="auto"/>
          <w:kern w:val="0"/>
          <w:sz w:val="24"/>
          <w:szCs w:val="24"/>
          <w:highlight w:val="none"/>
        </w:rPr>
        <w:t>侧和</w:t>
      </w:r>
      <w:r>
        <w:rPr>
          <w:rFonts w:hint="eastAsia" w:ascii="Times New Roman" w:hAnsi="Times New Roman" w:eastAsia="宋体" w:cs="Times New Roman"/>
          <w:color w:val="auto"/>
          <w:kern w:val="0"/>
          <w:sz w:val="24"/>
          <w:szCs w:val="24"/>
          <w:highlight w:val="none"/>
        </w:rPr>
        <w:t>南</w:t>
      </w:r>
      <w:r>
        <w:rPr>
          <w:rFonts w:ascii="Times New Roman" w:hAnsi="Times New Roman" w:eastAsia="宋体" w:cs="Times New Roman"/>
          <w:color w:val="auto"/>
          <w:kern w:val="0"/>
          <w:sz w:val="24"/>
          <w:szCs w:val="24"/>
          <w:highlight w:val="none"/>
        </w:rPr>
        <w:t>侧以地表分水岭为界</w:t>
      </w:r>
      <w:r>
        <w:rPr>
          <w:rFonts w:hint="eastAsia" w:ascii="Times New Roman" w:hAnsi="Times New Roman" w:eastAsia="宋体" w:cs="Times New Roman"/>
          <w:color w:val="auto"/>
          <w:kern w:val="0"/>
          <w:sz w:val="24"/>
          <w:szCs w:val="24"/>
          <w:highlight w:val="none"/>
        </w:rPr>
        <w:t>，</w:t>
      </w:r>
      <w:r>
        <w:rPr>
          <w:rFonts w:ascii="Times New Roman" w:hAnsi="Times New Roman" w:eastAsia="宋体" w:cs="Times New Roman"/>
          <w:color w:val="auto"/>
          <w:kern w:val="0"/>
          <w:sz w:val="24"/>
          <w:szCs w:val="24"/>
          <w:highlight w:val="none"/>
        </w:rPr>
        <w:t>本项目地下水环境评价范围共计约</w:t>
      </w:r>
      <w:r>
        <w:rPr>
          <w:rFonts w:hint="eastAsia" w:ascii="Times New Roman" w:hAnsi="Times New Roman" w:eastAsia="宋体" w:cs="Times New Roman"/>
          <w:color w:val="auto"/>
          <w:kern w:val="0"/>
          <w:sz w:val="24"/>
          <w:szCs w:val="24"/>
          <w:highlight w:val="none"/>
        </w:rPr>
        <w:t>2</w:t>
      </w:r>
      <w:r>
        <w:rPr>
          <w:rFonts w:ascii="Times New Roman" w:hAnsi="Times New Roman" w:eastAsia="宋体" w:cs="Times New Roman"/>
          <w:color w:val="auto"/>
          <w:kern w:val="0"/>
          <w:sz w:val="24"/>
          <w:szCs w:val="24"/>
          <w:highlight w:val="none"/>
        </w:rPr>
        <w:t>.</w:t>
      </w:r>
      <w:r>
        <w:rPr>
          <w:rFonts w:hint="eastAsia" w:ascii="Times New Roman" w:hAnsi="Times New Roman" w:eastAsia="宋体" w:cs="Times New Roman"/>
          <w:color w:val="auto"/>
          <w:kern w:val="0"/>
          <w:sz w:val="24"/>
          <w:szCs w:val="24"/>
          <w:highlight w:val="none"/>
        </w:rPr>
        <w:t>0</w:t>
      </w:r>
      <w:r>
        <w:rPr>
          <w:rFonts w:ascii="Times New Roman" w:hAnsi="Times New Roman" w:eastAsia="宋体" w:cs="Times New Roman"/>
          <w:color w:val="auto"/>
          <w:kern w:val="0"/>
          <w:sz w:val="24"/>
          <w:szCs w:val="24"/>
          <w:highlight w:val="none"/>
        </w:rPr>
        <w:t>km</w:t>
      </w:r>
      <w:r>
        <w:rPr>
          <w:rFonts w:ascii="Times New Roman" w:hAnsi="Times New Roman" w:eastAsia="宋体" w:cs="Times New Roman"/>
          <w:color w:val="auto"/>
          <w:kern w:val="0"/>
          <w:sz w:val="24"/>
          <w:szCs w:val="24"/>
          <w:highlight w:val="none"/>
          <w:vertAlign w:val="superscript"/>
        </w:rPr>
        <w:t>2</w:t>
      </w:r>
      <w:r>
        <w:rPr>
          <w:rFonts w:ascii="Times New Roman" w:hAnsi="Times New Roman" w:eastAsia="宋体" w:cs="Times New Roman"/>
          <w:color w:val="auto"/>
          <w:kern w:val="0"/>
          <w:sz w:val="24"/>
          <w:szCs w:val="24"/>
          <w:highlight w:val="none"/>
        </w:rPr>
        <w:t>。</w:t>
      </w:r>
    </w:p>
    <w:p>
      <w:pPr>
        <w:widowControl/>
        <w:spacing w:line="360" w:lineRule="auto"/>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drawing>
          <wp:inline distT="0" distB="0" distL="0" distR="0">
            <wp:extent cx="5274310" cy="3743960"/>
            <wp:effectExtent l="1905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4" cstate="print"/>
                    <a:srcRect/>
                    <a:stretch>
                      <a:fillRect/>
                    </a:stretch>
                  </pic:blipFill>
                  <pic:spPr>
                    <a:xfrm>
                      <a:off x="0" y="0"/>
                      <a:ext cx="5274310" cy="3744357"/>
                    </a:xfrm>
                    <a:prstGeom prst="rect">
                      <a:avLst/>
                    </a:prstGeom>
                    <a:noFill/>
                    <a:ln w="9525">
                      <a:noFill/>
                      <a:miter lim="800000"/>
                      <a:headEnd/>
                      <a:tailEnd/>
                    </a:ln>
                  </pic:spPr>
                </pic:pic>
              </a:graphicData>
            </a:graphic>
          </wp:inline>
        </w:drawing>
      </w:r>
    </w:p>
    <w:p>
      <w:pPr>
        <w:jc w:val="center"/>
        <w:rPr>
          <w:rFonts w:ascii="Times New Roman" w:hAnsi="Times New Roman" w:eastAsia="宋体" w:cs="Times New Roman"/>
          <w:b/>
          <w:color w:val="auto"/>
          <w:kern w:val="0"/>
          <w:szCs w:val="21"/>
          <w:highlight w:val="none"/>
        </w:rPr>
      </w:pPr>
      <w:r>
        <w:rPr>
          <w:rFonts w:ascii="Times New Roman" w:hAnsi="Times New Roman" w:eastAsia="宋体" w:cs="Times New Roman"/>
          <w:b/>
          <w:color w:val="auto"/>
          <w:kern w:val="0"/>
          <w:szCs w:val="21"/>
          <w:highlight w:val="none"/>
        </w:rPr>
        <w:t>图</w:t>
      </w:r>
      <w:r>
        <w:rPr>
          <w:rFonts w:hint="eastAsia" w:ascii="Times New Roman" w:hAnsi="Times New Roman" w:eastAsia="宋体" w:cs="Times New Roman"/>
          <w:b/>
          <w:color w:val="auto"/>
          <w:kern w:val="0"/>
          <w:szCs w:val="21"/>
          <w:highlight w:val="none"/>
          <w:lang w:val="en-US" w:eastAsia="zh-CN"/>
        </w:rPr>
        <w:t>5.2</w:t>
      </w:r>
      <w:r>
        <w:rPr>
          <w:rFonts w:ascii="Times New Roman" w:hAnsi="Times New Roman" w:eastAsia="宋体" w:cs="Times New Roman"/>
          <w:b/>
          <w:color w:val="auto"/>
          <w:kern w:val="0"/>
          <w:szCs w:val="21"/>
          <w:highlight w:val="none"/>
        </w:rPr>
        <w:t>-2地下水调查评价范围图</w:t>
      </w:r>
    </w:p>
    <w:p>
      <w:pPr>
        <w:spacing w:line="360" w:lineRule="auto"/>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4、预测情景设置</w:t>
      </w:r>
    </w:p>
    <w:p>
      <w:pPr>
        <w:widowControl/>
        <w:spacing w:line="360" w:lineRule="auto"/>
        <w:ind w:firstLine="480" w:firstLineChars="200"/>
        <w:rPr>
          <w:rFonts w:ascii="Times New Roman" w:hAnsi="Times New Roman" w:eastAsia="宋体" w:cs="Times New Roman"/>
          <w:color w:val="auto"/>
          <w:sz w:val="24"/>
          <w:szCs w:val="24"/>
          <w:highlight w:val="none"/>
        </w:rPr>
      </w:pPr>
      <w:bookmarkStart w:id="240" w:name="_Hlk58164737"/>
      <w:r>
        <w:rPr>
          <w:rFonts w:hint="eastAsia" w:ascii="Times New Roman" w:hAnsi="Times New Roman" w:eastAsia="宋体" w:cs="Times New Roman"/>
          <w:color w:val="auto"/>
          <w:sz w:val="24"/>
          <w:szCs w:val="24"/>
          <w:highlight w:val="none"/>
        </w:rPr>
        <w:t>根据工程分析和产污环节分析，</w:t>
      </w:r>
      <w:r>
        <w:rPr>
          <w:rFonts w:ascii="Times New Roman" w:hAnsi="Times New Roman" w:eastAsia="宋体" w:cs="Times New Roman"/>
          <w:color w:val="auto"/>
          <w:sz w:val="24"/>
          <w:szCs w:val="24"/>
          <w:highlight w:val="none"/>
        </w:rPr>
        <w:t>本项目可能的产污构筑物主要为：</w:t>
      </w:r>
      <w:r>
        <w:rPr>
          <w:rFonts w:hint="eastAsia" w:ascii="Times New Roman" w:hAnsi="Times New Roman" w:eastAsia="宋体" w:cs="Times New Roman"/>
          <w:bCs/>
          <w:color w:val="auto"/>
          <w:sz w:val="24"/>
          <w:szCs w:val="24"/>
          <w:highlight w:val="none"/>
        </w:rPr>
        <w:t>干粪棚、机修车间、</w:t>
      </w:r>
      <w:r>
        <w:rPr>
          <w:rFonts w:ascii="Times New Roman" w:hAnsi="Times New Roman" w:eastAsia="宋体" w:cs="Times New Roman"/>
          <w:bCs/>
          <w:color w:val="auto"/>
          <w:sz w:val="24"/>
          <w:szCs w:val="24"/>
          <w:highlight w:val="none"/>
        </w:rPr>
        <w:t>污水处理站、生活废水处理设施、集污池、尾水储存池、</w:t>
      </w:r>
      <w:r>
        <w:rPr>
          <w:rFonts w:hint="eastAsia" w:ascii="Times New Roman" w:hAnsi="Times New Roman" w:eastAsia="宋体" w:cs="Times New Roman"/>
          <w:bCs/>
          <w:color w:val="auto"/>
          <w:sz w:val="24"/>
          <w:szCs w:val="24"/>
          <w:highlight w:val="none"/>
        </w:rPr>
        <w:t>事故应急池</w:t>
      </w:r>
      <w:r>
        <w:rPr>
          <w:rFonts w:hint="eastAsia" w:ascii="Times New Roman" w:hAnsi="Times New Roman" w:eastAsia="宋体" w:cs="Times New Roman"/>
          <w:color w:val="auto"/>
          <w:sz w:val="24"/>
          <w:szCs w:val="24"/>
          <w:highlight w:val="none"/>
        </w:rPr>
        <w:t>。</w:t>
      </w:r>
    </w:p>
    <w:p>
      <w:pPr>
        <w:adjustRightInd w:val="0"/>
        <w:snapToGrid w:val="0"/>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kern w:val="0"/>
          <w:sz w:val="24"/>
          <w:szCs w:val="24"/>
          <w:highlight w:val="none"/>
        </w:rPr>
        <w:t>其中</w:t>
      </w:r>
      <w:r>
        <w:rPr>
          <w:rFonts w:hint="eastAsia" w:ascii="Times New Roman" w:hAnsi="Times New Roman" w:eastAsia="宋体" w:cs="Times New Roman"/>
          <w:color w:val="auto"/>
          <w:sz w:val="24"/>
          <w:szCs w:val="24"/>
          <w:highlight w:val="none"/>
        </w:rPr>
        <w:t>事故应急池用于暂存事故废水，</w:t>
      </w:r>
      <w:r>
        <w:rPr>
          <w:rFonts w:ascii="Times New Roman" w:hAnsi="Times New Roman" w:eastAsia="宋体" w:cs="Times New Roman"/>
          <w:color w:val="auto"/>
          <w:kern w:val="0"/>
          <w:sz w:val="24"/>
          <w:szCs w:val="24"/>
          <w:highlight w:val="none"/>
        </w:rPr>
        <w:t>平时为空置；</w:t>
      </w:r>
      <w:r>
        <w:rPr>
          <w:rFonts w:hint="eastAsia" w:ascii="Times New Roman" w:hAnsi="Times New Roman" w:eastAsia="宋体" w:cs="Times New Roman"/>
          <w:color w:val="auto"/>
          <w:kern w:val="0"/>
          <w:sz w:val="24"/>
          <w:szCs w:val="24"/>
          <w:highlight w:val="none"/>
          <w:lang w:eastAsia="zh-CN"/>
        </w:rPr>
        <w:t>项目废水处理站</w:t>
      </w:r>
      <w:r>
        <w:rPr>
          <w:rFonts w:hint="eastAsia" w:ascii="Times New Roman" w:hAnsi="Times New Roman" w:eastAsia="宋体" w:cs="Times New Roman"/>
          <w:color w:val="auto"/>
          <w:kern w:val="0"/>
          <w:sz w:val="24"/>
          <w:szCs w:val="24"/>
          <w:highlight w:val="none"/>
        </w:rPr>
        <w:t>受其废水处理规模控制，其发生非正常状况废水泄露量有限，可及时处理。</w:t>
      </w:r>
      <w:r>
        <w:rPr>
          <w:rFonts w:hint="eastAsia" w:ascii="Times New Roman" w:hAnsi="Times New Roman" w:eastAsia="宋体" w:cs="Times New Roman"/>
          <w:bCs/>
          <w:color w:val="auto"/>
          <w:sz w:val="24"/>
          <w:szCs w:val="24"/>
          <w:highlight w:val="none"/>
        </w:rPr>
        <w:t>机修车间</w:t>
      </w:r>
      <w:r>
        <w:rPr>
          <w:rFonts w:ascii="Times New Roman" w:hAnsi="Times New Roman" w:eastAsia="宋体" w:cs="Times New Roman"/>
          <w:color w:val="auto"/>
          <w:kern w:val="0"/>
          <w:sz w:val="24"/>
          <w:szCs w:val="24"/>
          <w:highlight w:val="none"/>
        </w:rPr>
        <w:t>运行过程中仅可能跑冒滴漏少量的</w:t>
      </w:r>
      <w:r>
        <w:rPr>
          <w:rFonts w:hint="eastAsia" w:ascii="Times New Roman" w:hAnsi="Times New Roman" w:eastAsia="宋体" w:cs="Times New Roman"/>
          <w:color w:val="auto"/>
          <w:kern w:val="0"/>
          <w:sz w:val="24"/>
          <w:szCs w:val="24"/>
          <w:highlight w:val="none"/>
          <w:lang w:eastAsia="zh-CN"/>
        </w:rPr>
        <w:t>机油</w:t>
      </w:r>
      <w:r>
        <w:rPr>
          <w:rFonts w:ascii="Times New Roman" w:hAnsi="Times New Roman" w:eastAsia="宋体" w:cs="Times New Roman"/>
          <w:color w:val="auto"/>
          <w:kern w:val="0"/>
          <w:sz w:val="24"/>
          <w:szCs w:val="24"/>
          <w:highlight w:val="none"/>
        </w:rPr>
        <w:t>污染物；</w:t>
      </w:r>
      <w:r>
        <w:rPr>
          <w:rFonts w:hint="eastAsia" w:ascii="Times New Roman" w:hAnsi="Times New Roman" w:eastAsia="宋体" w:cs="Times New Roman"/>
          <w:color w:val="auto"/>
          <w:kern w:val="0"/>
          <w:sz w:val="24"/>
          <w:szCs w:val="24"/>
          <w:highlight w:val="none"/>
        </w:rPr>
        <w:t>危废暂存间用于暂存危险固废</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kern w:val="0"/>
          <w:sz w:val="24"/>
          <w:szCs w:val="24"/>
          <w:highlight w:val="none"/>
        </w:rPr>
        <w:t>运行过程中均无持续性地下水污染源产生及下渗所需水力条件</w:t>
      </w:r>
      <w:r>
        <w:rPr>
          <w:rFonts w:ascii="Times New Roman" w:hAnsi="Times New Roman" w:eastAsia="宋体" w:cs="Times New Roman"/>
          <w:color w:val="auto"/>
          <w:sz w:val="24"/>
          <w:szCs w:val="24"/>
          <w:highlight w:val="none"/>
        </w:rPr>
        <w:t>。</w:t>
      </w:r>
    </w:p>
    <w:p>
      <w:pPr>
        <w:spacing w:line="360" w:lineRule="auto"/>
        <w:ind w:firstLine="480" w:firstLineChars="200"/>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环评要求以上构筑物须采取相应防渗及地下水环境保护措施；在采取相应措施后，以上构筑物运行过程中产生污染物下渗进入含水层几率较小。因此，以上构筑物不作为本次预测工作重点。</w:t>
      </w:r>
    </w:p>
    <w:p>
      <w:pPr>
        <w:widowControl/>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kern w:val="0"/>
          <w:sz w:val="24"/>
          <w:szCs w:val="24"/>
          <w:highlight w:val="none"/>
        </w:rPr>
        <w:t>本环评将重点针对</w:t>
      </w:r>
      <w:r>
        <w:rPr>
          <w:rFonts w:ascii="Times New Roman" w:hAnsi="Times New Roman" w:eastAsia="宋体" w:cs="Times New Roman"/>
          <w:bCs/>
          <w:color w:val="auto"/>
          <w:sz w:val="24"/>
          <w:szCs w:val="24"/>
          <w:highlight w:val="none"/>
        </w:rPr>
        <w:t>污水处理站、生活废水处理设施、集污池、尾水储存池</w:t>
      </w:r>
      <w:r>
        <w:rPr>
          <w:rFonts w:hint="eastAsia" w:ascii="Times New Roman" w:hAnsi="Times New Roman" w:eastAsia="宋体" w:cs="Times New Roman"/>
          <w:color w:val="auto"/>
          <w:kern w:val="0"/>
          <w:sz w:val="24"/>
          <w:szCs w:val="24"/>
          <w:highlight w:val="none"/>
        </w:rPr>
        <w:t>进行预测。</w:t>
      </w:r>
    </w:p>
    <w:p>
      <w:pPr>
        <w:widowControl/>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正常状况下</w:t>
      </w:r>
      <w:r>
        <w:rPr>
          <w:rFonts w:hint="eastAsia" w:ascii="Times New Roman" w:hAnsi="Times New Roman" w:eastAsia="宋体" w:cs="Times New Roman"/>
          <w:color w:val="auto"/>
          <w:sz w:val="24"/>
          <w:szCs w:val="24"/>
          <w:highlight w:val="none"/>
        </w:rPr>
        <w:t>各池体需</w:t>
      </w:r>
      <w:r>
        <w:rPr>
          <w:rFonts w:ascii="Times New Roman" w:hAnsi="Times New Roman" w:eastAsia="宋体" w:cs="Times New Roman"/>
          <w:color w:val="auto"/>
          <w:sz w:val="24"/>
          <w:szCs w:val="24"/>
          <w:highlight w:val="none"/>
        </w:rPr>
        <w:t>采取相应防渗及地下水环境保护措施；在采取相应措施后，以上构筑物运行过程中产生污染物下渗进入含水层几率较小。因此，正常状况下以上构筑物不作为本次预测工作重点。因此，这里仅预测非正常工况，主要考虑池体防渗层由于老化、腐蚀等原因出现破裂后，导致废水持续泄露进入地下水系统中，并且下渗进入含水层，对地下水造成的影响</w:t>
      </w:r>
      <w:bookmarkEnd w:id="240"/>
      <w:r>
        <w:rPr>
          <w:rFonts w:hint="eastAsia" w:ascii="Times New Roman" w:hAnsi="Times New Roman" w:eastAsia="宋体" w:cs="Times New Roman"/>
          <w:color w:val="auto"/>
          <w:sz w:val="24"/>
          <w:szCs w:val="24"/>
          <w:highlight w:val="none"/>
        </w:rPr>
        <w:t>。</w:t>
      </w:r>
    </w:p>
    <w:p>
      <w:pPr>
        <w:spacing w:line="360" w:lineRule="auto"/>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5、预测源强</w:t>
      </w:r>
    </w:p>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本项目运行状况设计</w:t>
      </w:r>
    </w:p>
    <w:tbl>
      <w:tblPr>
        <w:tblStyle w:val="2517"/>
        <w:tblW w:w="836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510"/>
        <w:gridCol w:w="2969"/>
        <w:gridCol w:w="38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10" w:type="dxa"/>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构筑物</w:t>
            </w:r>
          </w:p>
        </w:tc>
        <w:tc>
          <w:tcPr>
            <w:tcW w:w="2969" w:type="dxa"/>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正常状况</w:t>
            </w:r>
          </w:p>
        </w:tc>
        <w:tc>
          <w:tcPr>
            <w:tcW w:w="3883" w:type="dxa"/>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非正常状况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23" w:hRule="atLeast"/>
          <w:jc w:val="center"/>
        </w:trPr>
        <w:tc>
          <w:tcPr>
            <w:tcW w:w="1510" w:type="dxa"/>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rPr>
            </w:pPr>
            <w:bookmarkStart w:id="241" w:name="_Hlk522825142"/>
            <w:r>
              <w:rPr>
                <w:rFonts w:hint="default" w:ascii="Times New Roman" w:hAnsi="Times New Roman" w:eastAsia="宋体" w:cs="Times New Roman"/>
                <w:bCs/>
                <w:color w:val="auto"/>
                <w:kern w:val="2"/>
                <w:sz w:val="21"/>
                <w:szCs w:val="21"/>
                <w:highlight w:val="none"/>
              </w:rPr>
              <w:t>污水处理站、生活废水处理设施、集污池、尾水储存池</w:t>
            </w:r>
          </w:p>
        </w:tc>
        <w:tc>
          <w:tcPr>
            <w:tcW w:w="2969" w:type="dxa"/>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采用30cm厚P8等级混凝土防渗结构。在采取上述措施情况下，正常运行状况对地下水环境较小，将不作为预测重点。</w:t>
            </w:r>
          </w:p>
        </w:tc>
        <w:tc>
          <w:tcPr>
            <w:tcW w:w="3883" w:type="dxa"/>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rPr>
            </w:pPr>
            <w:bookmarkStart w:id="242" w:name="_Hlk1568225"/>
            <w:r>
              <w:rPr>
                <w:rFonts w:hint="eastAsia" w:ascii="Times New Roman" w:hAnsi="Times New Roman" w:eastAsia="宋体" w:cs="Times New Roman"/>
                <w:color w:val="auto"/>
                <w:kern w:val="0"/>
                <w:sz w:val="21"/>
                <w:szCs w:val="21"/>
                <w:highlight w:val="none"/>
              </w:rPr>
              <w:t>各</w:t>
            </w:r>
            <w:r>
              <w:rPr>
                <w:rFonts w:hint="default" w:ascii="Times New Roman" w:hAnsi="Times New Roman" w:eastAsia="宋体" w:cs="Times New Roman"/>
                <w:color w:val="auto"/>
                <w:kern w:val="0"/>
                <w:sz w:val="21"/>
                <w:szCs w:val="21"/>
                <w:highlight w:val="none"/>
              </w:rPr>
              <w:t>池体因腐蚀等原因出现裂缝，池体防渗层裂缝面积占池体面积10%，池体内水位高度取满载水头。</w:t>
            </w:r>
            <w:r>
              <w:rPr>
                <w:rFonts w:hint="eastAsia" w:ascii="Times New Roman" w:hAnsi="Times New Roman" w:eastAsia="宋体" w:cs="Times New Roman"/>
                <w:color w:val="auto"/>
                <w:kern w:val="0"/>
                <w:sz w:val="21"/>
                <w:szCs w:val="21"/>
                <w:highlight w:val="none"/>
              </w:rPr>
              <w:t>泄漏时间按30d考虑。考虑最大不利影响即不考虑包气带的吸附作用，泄漏废水下渗全部进入地下水系统。</w:t>
            </w:r>
            <w:bookmarkEnd w:id="242"/>
          </w:p>
        </w:tc>
      </w:tr>
      <w:bookmarkEnd w:id="241"/>
    </w:tbl>
    <w:p>
      <w:pPr>
        <w:widowControl/>
        <w:spacing w:line="360" w:lineRule="auto"/>
        <w:ind w:firstLine="480" w:firstLineChars="200"/>
        <w:rPr>
          <w:rFonts w:ascii="Times New Roman" w:hAnsi="Times New Roman" w:eastAsia="宋体" w:cs="Times New Roman"/>
          <w:color w:val="auto"/>
          <w:sz w:val="24"/>
          <w:szCs w:val="24"/>
          <w:highlight w:val="none"/>
        </w:rPr>
      </w:pPr>
      <w:bookmarkStart w:id="243" w:name="_Hlk58165112"/>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计算公式如下</w:t>
      </w:r>
      <w:r>
        <w:rPr>
          <w:rFonts w:hint="eastAsia" w:ascii="Times New Roman" w:hAnsi="Times New Roman" w:eastAsia="宋体" w:cs="Times New Roman"/>
          <w:color w:val="auto"/>
          <w:sz w:val="24"/>
          <w:szCs w:val="24"/>
          <w:highlight w:val="none"/>
        </w:rPr>
        <w:t>：</w:t>
      </w:r>
    </w:p>
    <w:p>
      <w:pPr>
        <w:snapToGrid w:val="0"/>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池体下渗量计算</w:t>
      </w:r>
    </w:p>
    <w:p>
      <w:pPr>
        <w:snapToGrid w:val="0"/>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假设</w:t>
      </w:r>
      <w:bookmarkStart w:id="244" w:name="_Hlk16433231"/>
      <w:r>
        <w:rPr>
          <w:rFonts w:ascii="Times New Roman" w:hAnsi="Times New Roman" w:eastAsia="宋体" w:cs="Times New Roman"/>
          <w:color w:val="auto"/>
          <w:sz w:val="24"/>
          <w:szCs w:val="24"/>
          <w:highlight w:val="none"/>
        </w:rPr>
        <w:t>正常状况下</w:t>
      </w:r>
      <w:bookmarkEnd w:id="244"/>
      <w:r>
        <w:rPr>
          <w:rFonts w:ascii="Times New Roman" w:hAnsi="Times New Roman" w:eastAsia="宋体" w:cs="Times New Roman"/>
          <w:color w:val="auto"/>
          <w:sz w:val="24"/>
          <w:szCs w:val="24"/>
          <w:highlight w:val="none"/>
        </w:rPr>
        <w:t>各池体构筑物废水下渗满足达西定律，正常运行状况下，废水穿过防渗层及包气带，渗漏进入含水层废水下渗量可采用基于达西定律具有防渗层条件的下渗量估算公式进行估算：</w:t>
      </w:r>
    </w:p>
    <w:tbl>
      <w:tblPr>
        <w:tblStyle w:val="91"/>
        <w:tblW w:w="0" w:type="auto"/>
        <w:tblInd w:w="0" w:type="dxa"/>
        <w:tblLayout w:type="fixed"/>
        <w:tblCellMar>
          <w:top w:w="0" w:type="dxa"/>
          <w:left w:w="108" w:type="dxa"/>
          <w:bottom w:w="0" w:type="dxa"/>
          <w:right w:w="108" w:type="dxa"/>
        </w:tblCellMar>
      </w:tblPr>
      <w:tblGrid>
        <w:gridCol w:w="1242"/>
        <w:gridCol w:w="5245"/>
        <w:gridCol w:w="2035"/>
      </w:tblGrid>
      <w:tr>
        <w:tblPrEx>
          <w:tblCellMar>
            <w:top w:w="0" w:type="dxa"/>
            <w:left w:w="108" w:type="dxa"/>
            <w:bottom w:w="0" w:type="dxa"/>
            <w:right w:w="108" w:type="dxa"/>
          </w:tblCellMar>
        </w:tblPrEx>
        <w:tc>
          <w:tcPr>
            <w:tcW w:w="1242"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 w:val="24"/>
                <w:szCs w:val="24"/>
                <w:highlight w:val="none"/>
              </w:rPr>
            </w:pPr>
          </w:p>
        </w:tc>
        <w:tc>
          <w:tcPr>
            <w:tcW w:w="5245"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Cs w:val="24"/>
                <w:highlight w:val="none"/>
              </w:rPr>
              <w:drawing>
                <wp:inline distT="0" distB="0" distL="0" distR="0">
                  <wp:extent cx="1111250" cy="4635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5"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111250" cy="463550"/>
                          </a:xfrm>
                          <a:prstGeom prst="rect">
                            <a:avLst/>
                          </a:prstGeom>
                          <a:noFill/>
                          <a:ln>
                            <a:noFill/>
                          </a:ln>
                        </pic:spPr>
                      </pic:pic>
                    </a:graphicData>
                  </a:graphic>
                </wp:inline>
              </w:drawing>
            </w:r>
          </w:p>
        </w:tc>
        <w:tc>
          <w:tcPr>
            <w:tcW w:w="2035"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0"/>
                <w:sz w:val="24"/>
                <w:szCs w:val="24"/>
                <w:highlight w:val="none"/>
              </w:rPr>
              <w:t>（式</w:t>
            </w:r>
            <w:r>
              <w:rPr>
                <w:rFonts w:hint="eastAsia" w:ascii="Times New Roman" w:hAnsi="Times New Roman" w:eastAsia="宋体" w:cs="Times New Roman"/>
                <w:color w:val="auto"/>
                <w:kern w:val="0"/>
                <w:sz w:val="24"/>
                <w:szCs w:val="24"/>
                <w:highlight w:val="none"/>
              </w:rPr>
              <w:t>2</w:t>
            </w:r>
            <w:r>
              <w:rPr>
                <w:rFonts w:hint="default" w:ascii="Times New Roman" w:hAnsi="Times New Roman" w:eastAsia="宋体" w:cs="Times New Roman"/>
                <w:color w:val="auto"/>
                <w:kern w:val="0"/>
                <w:sz w:val="24"/>
                <w:szCs w:val="24"/>
                <w:highlight w:val="none"/>
              </w:rPr>
              <w:t>）</w:t>
            </w:r>
          </w:p>
        </w:tc>
      </w:tr>
      <w:tr>
        <w:tblPrEx>
          <w:tblCellMar>
            <w:top w:w="0" w:type="dxa"/>
            <w:left w:w="108" w:type="dxa"/>
            <w:bottom w:w="0" w:type="dxa"/>
            <w:right w:w="108" w:type="dxa"/>
          </w:tblCellMar>
        </w:tblPrEx>
        <w:tc>
          <w:tcPr>
            <w:tcW w:w="1242"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 w:val="24"/>
                <w:szCs w:val="24"/>
                <w:highlight w:val="none"/>
              </w:rPr>
            </w:pPr>
          </w:p>
        </w:tc>
        <w:tc>
          <w:tcPr>
            <w:tcW w:w="5245"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 w:val="24"/>
                <w:szCs w:val="24"/>
                <w:highlight w:val="none"/>
              </w:rPr>
            </w:pPr>
            <m:oMathPara>
              <m:oMath>
                <m:sSub>
                  <m:sSubPr>
                    <m:ctrlPr>
                      <w:rPr>
                        <w:rFonts w:hint="default" w:ascii="Cambria Math" w:hAnsi="Cambria Math" w:eastAsia="等线" w:cs="Times New Roman"/>
                        <w:color w:val="auto"/>
                        <w:sz w:val="24"/>
                        <w:highlight w:val="none"/>
                      </w:rPr>
                    </m:ctrlPr>
                  </m:sSubPr>
                  <m:e>
                    <m:r>
                      <m:rPr>
                        <m:sty m:val="p"/>
                      </m:rPr>
                      <w:rPr>
                        <w:rFonts w:hint="default" w:ascii="Cambria Math" w:hAnsi="Cambria Math" w:eastAsia="等线" w:cs="Times New Roman"/>
                        <w:color w:val="auto"/>
                        <w:kern w:val="0"/>
                        <w:sz w:val="24"/>
                        <w:highlight w:val="none"/>
                      </w:rPr>
                      <m:t>K</m:t>
                    </m:r>
                    <m:ctrlPr>
                      <w:rPr>
                        <w:rFonts w:hint="default" w:ascii="Cambria Math" w:hAnsi="Cambria Math" w:eastAsia="等线" w:cs="Times New Roman"/>
                        <w:color w:val="auto"/>
                        <w:sz w:val="24"/>
                        <w:highlight w:val="none"/>
                      </w:rPr>
                    </m:ctrlPr>
                  </m:e>
                  <m:sub>
                    <m:r>
                      <m:rPr/>
                      <w:rPr>
                        <w:rFonts w:hint="default" w:ascii="Cambria Math" w:hAnsi="Cambria Math" w:eastAsia="等线" w:cs="Times New Roman"/>
                        <w:color w:val="auto"/>
                        <w:kern w:val="0"/>
                        <w:sz w:val="24"/>
                        <w:highlight w:val="none"/>
                      </w:rPr>
                      <m:t>1</m:t>
                    </m:r>
                    <m:ctrlPr>
                      <w:rPr>
                        <w:rFonts w:hint="default" w:ascii="Cambria Math" w:hAnsi="Cambria Math" w:eastAsia="等线" w:cs="Times New Roman"/>
                        <w:color w:val="auto"/>
                        <w:sz w:val="24"/>
                        <w:highlight w:val="none"/>
                      </w:rPr>
                    </m:ctrlPr>
                  </m:sub>
                </m:sSub>
                <m:r>
                  <m:rPr>
                    <m:sty m:val="p"/>
                  </m:rPr>
                  <w:rPr>
                    <w:rFonts w:hint="default" w:ascii="Cambria Math" w:hAnsi="Cambria Math" w:eastAsia="等线" w:cs="Times New Roman"/>
                    <w:color w:val="auto"/>
                    <w:kern w:val="0"/>
                    <w:sz w:val="24"/>
                    <w:highlight w:val="none"/>
                  </w:rPr>
                  <m:t>A</m:t>
                </m:r>
                <m:f>
                  <m:fPr>
                    <m:ctrlPr>
                      <w:rPr>
                        <w:rFonts w:hint="default" w:ascii="Cambria Math" w:hAnsi="Cambria Math" w:eastAsia="等线" w:cs="Times New Roman"/>
                        <w:color w:val="auto"/>
                        <w:sz w:val="24"/>
                        <w:highlight w:val="none"/>
                      </w:rPr>
                    </m:ctrlPr>
                  </m:fPr>
                  <m:num>
                    <m:sSub>
                      <m:sSubPr>
                        <m:ctrlPr>
                          <w:rPr>
                            <w:rFonts w:hint="default" w:ascii="Cambria Math" w:hAnsi="Cambria Math" w:eastAsia="等线" w:cs="Times New Roman"/>
                            <w:i/>
                            <w:color w:val="auto"/>
                            <w:sz w:val="24"/>
                            <w:highlight w:val="none"/>
                          </w:rPr>
                        </m:ctrlPr>
                      </m:sSubPr>
                      <m:e>
                        <m:r>
                          <m:rPr/>
                          <w:rPr>
                            <w:rFonts w:hint="default" w:ascii="Cambria Math" w:hAnsi="Cambria Math" w:eastAsia="等线" w:cs="Times New Roman"/>
                            <w:color w:val="auto"/>
                            <w:kern w:val="0"/>
                            <w:sz w:val="24"/>
                            <w:highlight w:val="none"/>
                          </w:rPr>
                          <m:t>ℎ</m:t>
                        </m:r>
                        <m:ctrlPr>
                          <w:rPr>
                            <w:rFonts w:hint="default" w:ascii="Cambria Math" w:hAnsi="Cambria Math" w:eastAsia="等线" w:cs="Times New Roman"/>
                            <w:i/>
                            <w:color w:val="auto"/>
                            <w:sz w:val="24"/>
                            <w:highlight w:val="none"/>
                          </w:rPr>
                        </m:ctrlPr>
                      </m:e>
                      <m:sub>
                        <m:r>
                          <m:rPr/>
                          <w:rPr>
                            <w:rFonts w:hint="default" w:ascii="Cambria Math" w:hAnsi="Cambria Math" w:eastAsia="等线" w:cs="Times New Roman"/>
                            <w:color w:val="auto"/>
                            <w:kern w:val="0"/>
                            <w:sz w:val="24"/>
                            <w:highlight w:val="none"/>
                          </w:rPr>
                          <m:t>池</m:t>
                        </m:r>
                        <m:ctrlPr>
                          <w:rPr>
                            <w:rFonts w:hint="default" w:ascii="Cambria Math" w:hAnsi="Cambria Math" w:eastAsia="等线" w:cs="Times New Roman"/>
                            <w:i/>
                            <w:color w:val="auto"/>
                            <w:sz w:val="24"/>
                            <w:highlight w:val="none"/>
                          </w:rPr>
                        </m:ctrlPr>
                      </m:sub>
                    </m:sSub>
                    <m:r>
                      <m:rPr/>
                      <w:rPr>
                        <w:rFonts w:hint="default" w:ascii="Cambria Math" w:hAnsi="Cambria Math" w:eastAsia="MS Gothic" w:cs="Times New Roman"/>
                        <w:color w:val="auto"/>
                        <w:kern w:val="0"/>
                        <w:sz w:val="24"/>
                        <w:highlight w:val="none"/>
                      </w:rPr>
                      <m:t>−</m:t>
                    </m:r>
                    <m:sSub>
                      <m:sSubPr>
                        <m:ctrlPr>
                          <w:rPr>
                            <w:rFonts w:hint="default" w:ascii="Cambria Math" w:hAnsi="Cambria Math" w:eastAsia="等线" w:cs="Times New Roman"/>
                            <w:i/>
                            <w:color w:val="auto"/>
                            <w:sz w:val="24"/>
                            <w:highlight w:val="none"/>
                          </w:rPr>
                        </m:ctrlPr>
                      </m:sSubPr>
                      <m:e>
                        <m:r>
                          <m:rPr/>
                          <w:rPr>
                            <w:rFonts w:hint="default" w:ascii="Cambria Math" w:hAnsi="Cambria Math" w:eastAsia="等线" w:cs="Times New Roman"/>
                            <w:color w:val="auto"/>
                            <w:kern w:val="0"/>
                            <w:sz w:val="24"/>
                            <w:highlight w:val="none"/>
                          </w:rPr>
                          <m:t>ℎ</m:t>
                        </m:r>
                        <m:ctrlPr>
                          <w:rPr>
                            <w:rFonts w:hint="default" w:ascii="Cambria Math" w:hAnsi="Cambria Math" w:eastAsia="等线" w:cs="Times New Roman"/>
                            <w:i/>
                            <w:color w:val="auto"/>
                            <w:sz w:val="24"/>
                            <w:highlight w:val="none"/>
                          </w:rPr>
                        </m:ctrlPr>
                      </m:e>
                      <m:sub>
                        <m:r>
                          <m:rPr/>
                          <w:rPr>
                            <w:rFonts w:hint="default" w:ascii="Cambria Math" w:hAnsi="Cambria Math" w:eastAsia="等线" w:cs="Times New Roman"/>
                            <w:color w:val="auto"/>
                            <w:kern w:val="0"/>
                            <w:sz w:val="24"/>
                            <w:highlight w:val="none"/>
                          </w:rPr>
                          <m:t>1</m:t>
                        </m:r>
                        <m:ctrlPr>
                          <w:rPr>
                            <w:rFonts w:hint="default" w:ascii="Cambria Math" w:hAnsi="Cambria Math" w:eastAsia="等线" w:cs="Times New Roman"/>
                            <w:i/>
                            <w:color w:val="auto"/>
                            <w:sz w:val="24"/>
                            <w:highlight w:val="none"/>
                          </w:rPr>
                        </m:ctrlPr>
                      </m:sub>
                    </m:sSub>
                    <m:ctrlPr>
                      <w:rPr>
                        <w:rFonts w:hint="default" w:ascii="Cambria Math" w:hAnsi="Cambria Math" w:eastAsia="等线" w:cs="Times New Roman"/>
                        <w:color w:val="auto"/>
                        <w:sz w:val="24"/>
                        <w:highlight w:val="none"/>
                      </w:rPr>
                    </m:ctrlPr>
                  </m:num>
                  <m:den>
                    <m:sSub>
                      <m:sSubPr>
                        <m:ctrlPr>
                          <w:rPr>
                            <w:rFonts w:hint="default" w:ascii="Cambria Math" w:hAnsi="Cambria Math" w:eastAsia="等线" w:cs="Times New Roman"/>
                            <w:i/>
                            <w:color w:val="auto"/>
                            <w:sz w:val="24"/>
                            <w:highlight w:val="none"/>
                          </w:rPr>
                        </m:ctrlPr>
                      </m:sSubPr>
                      <m:e>
                        <m:r>
                          <m:rPr/>
                          <w:rPr>
                            <w:rFonts w:hint="default" w:ascii="Cambria Math" w:hAnsi="Cambria Math" w:eastAsia="等线" w:cs="Times New Roman"/>
                            <w:color w:val="auto"/>
                            <w:kern w:val="0"/>
                            <w:sz w:val="24"/>
                            <w:highlight w:val="none"/>
                          </w:rPr>
                          <m:t>ℎ</m:t>
                        </m:r>
                        <m:ctrlPr>
                          <w:rPr>
                            <w:rFonts w:hint="default" w:ascii="Cambria Math" w:hAnsi="Cambria Math" w:eastAsia="等线" w:cs="Times New Roman"/>
                            <w:i/>
                            <w:color w:val="auto"/>
                            <w:sz w:val="24"/>
                            <w:highlight w:val="none"/>
                          </w:rPr>
                        </m:ctrlPr>
                      </m:e>
                      <m:sub>
                        <m:r>
                          <m:rPr/>
                          <w:rPr>
                            <w:rFonts w:hint="default" w:ascii="Cambria Math" w:hAnsi="Cambria Math" w:eastAsia="等线" w:cs="Times New Roman"/>
                            <w:color w:val="auto"/>
                            <w:kern w:val="0"/>
                            <w:sz w:val="24"/>
                            <w:highlight w:val="none"/>
                          </w:rPr>
                          <m:t>防</m:t>
                        </m:r>
                        <m:ctrlPr>
                          <w:rPr>
                            <w:rFonts w:hint="default" w:ascii="Cambria Math" w:hAnsi="Cambria Math" w:eastAsia="等线" w:cs="Times New Roman"/>
                            <w:i/>
                            <w:color w:val="auto"/>
                            <w:sz w:val="24"/>
                            <w:highlight w:val="none"/>
                          </w:rPr>
                        </m:ctrlPr>
                      </m:sub>
                    </m:sSub>
                    <m:ctrlPr>
                      <w:rPr>
                        <w:rFonts w:hint="default" w:ascii="Cambria Math" w:hAnsi="Cambria Math" w:eastAsia="等线" w:cs="Times New Roman"/>
                        <w:color w:val="auto"/>
                        <w:sz w:val="24"/>
                        <w:highlight w:val="none"/>
                      </w:rPr>
                    </m:ctrlPr>
                  </m:den>
                </m:f>
                <m:r>
                  <m:rPr>
                    <m:sty m:val="p"/>
                  </m:rPr>
                  <w:rPr>
                    <w:rFonts w:hint="default" w:ascii="Cambria Math" w:hAnsi="Cambria Math" w:eastAsia="等线" w:cs="Times New Roman"/>
                    <w:color w:val="auto"/>
                    <w:kern w:val="0"/>
                    <w:sz w:val="24"/>
                    <w:highlight w:val="none"/>
                  </w:rPr>
                  <m:t>=</m:t>
                </m:r>
                <m:sSub>
                  <m:sSubPr>
                    <m:ctrlPr>
                      <w:rPr>
                        <w:rFonts w:hint="default" w:ascii="Cambria Math" w:hAnsi="Cambria Math" w:eastAsia="等线" w:cs="Times New Roman"/>
                        <w:color w:val="auto"/>
                        <w:sz w:val="24"/>
                        <w:highlight w:val="none"/>
                      </w:rPr>
                    </m:ctrlPr>
                  </m:sSubPr>
                  <m:e>
                    <m:r>
                      <m:rPr>
                        <m:sty m:val="p"/>
                      </m:rPr>
                      <w:rPr>
                        <w:rFonts w:hint="default" w:ascii="Cambria Math" w:hAnsi="Cambria Math" w:eastAsia="等线" w:cs="Times New Roman"/>
                        <w:color w:val="auto"/>
                        <w:kern w:val="0"/>
                        <w:sz w:val="24"/>
                        <w:highlight w:val="none"/>
                      </w:rPr>
                      <m:t>K</m:t>
                    </m:r>
                    <m:ctrlPr>
                      <w:rPr>
                        <w:rFonts w:hint="default" w:ascii="Cambria Math" w:hAnsi="Cambria Math" w:eastAsia="等线" w:cs="Times New Roman"/>
                        <w:color w:val="auto"/>
                        <w:sz w:val="24"/>
                        <w:highlight w:val="none"/>
                      </w:rPr>
                    </m:ctrlPr>
                  </m:e>
                  <m:sub>
                    <m:r>
                      <m:rPr/>
                      <w:rPr>
                        <w:rFonts w:hint="default" w:ascii="Cambria Math" w:hAnsi="Cambria Math" w:eastAsia="等线" w:cs="Times New Roman"/>
                        <w:color w:val="auto"/>
                        <w:kern w:val="0"/>
                        <w:sz w:val="24"/>
                        <w:highlight w:val="none"/>
                      </w:rPr>
                      <m:t>2</m:t>
                    </m:r>
                    <m:ctrlPr>
                      <w:rPr>
                        <w:rFonts w:hint="default" w:ascii="Cambria Math" w:hAnsi="Cambria Math" w:eastAsia="等线" w:cs="Times New Roman"/>
                        <w:color w:val="auto"/>
                        <w:sz w:val="24"/>
                        <w:highlight w:val="none"/>
                      </w:rPr>
                    </m:ctrlPr>
                  </m:sub>
                </m:sSub>
                <m:r>
                  <m:rPr>
                    <m:sty m:val="p"/>
                  </m:rPr>
                  <w:rPr>
                    <w:rFonts w:hint="default" w:ascii="Cambria Math" w:hAnsi="Cambria Math" w:eastAsia="等线" w:cs="Times New Roman"/>
                    <w:color w:val="auto"/>
                    <w:kern w:val="0"/>
                    <w:sz w:val="24"/>
                    <w:highlight w:val="none"/>
                  </w:rPr>
                  <m:t>A</m:t>
                </m:r>
                <m:f>
                  <m:fPr>
                    <m:ctrlPr>
                      <w:rPr>
                        <w:rFonts w:hint="default" w:ascii="Cambria Math" w:hAnsi="Cambria Math" w:eastAsia="等线" w:cs="Times New Roman"/>
                        <w:color w:val="auto"/>
                        <w:sz w:val="24"/>
                        <w:highlight w:val="none"/>
                      </w:rPr>
                    </m:ctrlPr>
                  </m:fPr>
                  <m:num>
                    <m:sSub>
                      <m:sSubPr>
                        <m:ctrlPr>
                          <w:rPr>
                            <w:rFonts w:hint="default" w:ascii="Cambria Math" w:hAnsi="Cambria Math" w:eastAsia="等线" w:cs="Times New Roman"/>
                            <w:i/>
                            <w:color w:val="auto"/>
                            <w:sz w:val="24"/>
                            <w:highlight w:val="none"/>
                          </w:rPr>
                        </m:ctrlPr>
                      </m:sSubPr>
                      <m:e>
                        <m:r>
                          <m:rPr/>
                          <w:rPr>
                            <w:rFonts w:hint="default" w:ascii="Cambria Math" w:hAnsi="Cambria Math" w:eastAsia="等线" w:cs="Times New Roman"/>
                            <w:color w:val="auto"/>
                            <w:kern w:val="0"/>
                            <w:sz w:val="24"/>
                            <w:highlight w:val="none"/>
                          </w:rPr>
                          <m:t>ℎ</m:t>
                        </m:r>
                        <m:ctrlPr>
                          <w:rPr>
                            <w:rFonts w:hint="default" w:ascii="Cambria Math" w:hAnsi="Cambria Math" w:eastAsia="等线" w:cs="Times New Roman"/>
                            <w:i/>
                            <w:color w:val="auto"/>
                            <w:sz w:val="24"/>
                            <w:highlight w:val="none"/>
                          </w:rPr>
                        </m:ctrlPr>
                      </m:e>
                      <m:sub>
                        <m:r>
                          <m:rPr/>
                          <w:rPr>
                            <w:rFonts w:hint="default" w:ascii="Cambria Math" w:hAnsi="Cambria Math" w:eastAsia="等线" w:cs="Times New Roman"/>
                            <w:color w:val="auto"/>
                            <w:kern w:val="0"/>
                            <w:sz w:val="24"/>
                            <w:highlight w:val="none"/>
                          </w:rPr>
                          <m:t>1</m:t>
                        </m:r>
                        <m:ctrlPr>
                          <w:rPr>
                            <w:rFonts w:hint="default" w:ascii="Cambria Math" w:hAnsi="Cambria Math" w:eastAsia="等线" w:cs="Times New Roman"/>
                            <w:i/>
                            <w:color w:val="auto"/>
                            <w:sz w:val="24"/>
                            <w:highlight w:val="none"/>
                          </w:rPr>
                        </m:ctrlPr>
                      </m:sub>
                    </m:sSub>
                    <m:ctrlPr>
                      <w:rPr>
                        <w:rFonts w:hint="default" w:ascii="Cambria Math" w:hAnsi="Cambria Math" w:eastAsia="等线" w:cs="Times New Roman"/>
                        <w:color w:val="auto"/>
                        <w:sz w:val="24"/>
                        <w:highlight w:val="none"/>
                      </w:rPr>
                    </m:ctrlPr>
                  </m:num>
                  <m:den>
                    <m:sSub>
                      <m:sSubPr>
                        <m:ctrlPr>
                          <w:rPr>
                            <w:rFonts w:hint="default" w:ascii="Cambria Math" w:hAnsi="Cambria Math" w:eastAsia="等线" w:cs="Times New Roman"/>
                            <w:i/>
                            <w:color w:val="auto"/>
                            <w:sz w:val="24"/>
                            <w:highlight w:val="none"/>
                          </w:rPr>
                        </m:ctrlPr>
                      </m:sSubPr>
                      <m:e>
                        <m:r>
                          <m:rPr/>
                          <w:rPr>
                            <w:rFonts w:hint="default" w:ascii="Cambria Math" w:hAnsi="Cambria Math" w:eastAsia="等线" w:cs="Times New Roman"/>
                            <w:color w:val="auto"/>
                            <w:kern w:val="0"/>
                            <w:sz w:val="24"/>
                            <w:highlight w:val="none"/>
                          </w:rPr>
                          <m:t>ℎ</m:t>
                        </m:r>
                        <m:ctrlPr>
                          <w:rPr>
                            <w:rFonts w:hint="default" w:ascii="Cambria Math" w:hAnsi="Cambria Math" w:eastAsia="等线" w:cs="Times New Roman"/>
                            <w:i/>
                            <w:color w:val="auto"/>
                            <w:sz w:val="24"/>
                            <w:highlight w:val="none"/>
                          </w:rPr>
                        </m:ctrlPr>
                      </m:e>
                      <m:sub>
                        <m:r>
                          <m:rPr/>
                          <w:rPr>
                            <w:rFonts w:hint="default" w:ascii="Cambria Math" w:hAnsi="Cambria Math" w:eastAsia="等线" w:cs="Times New Roman"/>
                            <w:color w:val="auto"/>
                            <w:kern w:val="0"/>
                            <w:sz w:val="24"/>
                            <w:highlight w:val="none"/>
                          </w:rPr>
                          <m:t>包</m:t>
                        </m:r>
                        <m:ctrlPr>
                          <w:rPr>
                            <w:rFonts w:hint="default" w:ascii="Cambria Math" w:hAnsi="Cambria Math" w:eastAsia="等线" w:cs="Times New Roman"/>
                            <w:i/>
                            <w:color w:val="auto"/>
                            <w:sz w:val="24"/>
                            <w:highlight w:val="none"/>
                          </w:rPr>
                        </m:ctrlPr>
                      </m:sub>
                    </m:sSub>
                    <m:ctrlPr>
                      <w:rPr>
                        <w:rFonts w:hint="default" w:ascii="Cambria Math" w:hAnsi="Cambria Math" w:eastAsia="等线" w:cs="Times New Roman"/>
                        <w:color w:val="auto"/>
                        <w:sz w:val="24"/>
                        <w:highlight w:val="none"/>
                      </w:rPr>
                    </m:ctrlPr>
                  </m:den>
                </m:f>
              </m:oMath>
            </m:oMathPara>
          </w:p>
        </w:tc>
        <w:tc>
          <w:tcPr>
            <w:tcW w:w="2035"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0"/>
                <w:sz w:val="24"/>
                <w:szCs w:val="24"/>
                <w:highlight w:val="none"/>
              </w:rPr>
              <w:t>（式</w:t>
            </w:r>
            <w:r>
              <w:rPr>
                <w:rFonts w:hint="eastAsia" w:ascii="Times New Roman" w:hAnsi="Times New Roman" w:eastAsia="宋体" w:cs="Times New Roman"/>
                <w:color w:val="auto"/>
                <w:kern w:val="0"/>
                <w:sz w:val="24"/>
                <w:szCs w:val="24"/>
                <w:highlight w:val="none"/>
              </w:rPr>
              <w:t>3</w:t>
            </w:r>
            <w:r>
              <w:rPr>
                <w:rFonts w:hint="default" w:ascii="Times New Roman" w:hAnsi="Times New Roman" w:eastAsia="宋体" w:cs="Times New Roman"/>
                <w:color w:val="auto"/>
                <w:kern w:val="0"/>
                <w:sz w:val="24"/>
                <w:szCs w:val="24"/>
                <w:highlight w:val="none"/>
              </w:rPr>
              <w:t>）</w:t>
            </w:r>
          </w:p>
        </w:tc>
      </w:tr>
      <w:tr>
        <w:tblPrEx>
          <w:tblCellMar>
            <w:top w:w="0" w:type="dxa"/>
            <w:left w:w="108" w:type="dxa"/>
            <w:bottom w:w="0" w:type="dxa"/>
            <w:right w:w="108" w:type="dxa"/>
          </w:tblCellMar>
        </w:tblPrEx>
        <w:tc>
          <w:tcPr>
            <w:tcW w:w="8522" w:type="dxa"/>
            <w:gridSpan w:val="3"/>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drawing>
                <wp:inline distT="0" distB="0" distL="0" distR="0">
                  <wp:extent cx="3095625" cy="2606040"/>
                  <wp:effectExtent l="0" t="0" r="0" b="0"/>
                  <wp:docPr id="15" name="图片 15" descr="池体构筑物渗透示意图-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池体构筑物渗透示意图-Model"/>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3096000" cy="2606400"/>
                          </a:xfrm>
                          <a:prstGeom prst="rect">
                            <a:avLst/>
                          </a:prstGeom>
                          <a:noFill/>
                          <a:ln>
                            <a:noFill/>
                          </a:ln>
                        </pic:spPr>
                      </pic:pic>
                    </a:graphicData>
                  </a:graphic>
                </wp:inline>
              </w:drawing>
            </w:r>
          </w:p>
        </w:tc>
      </w:tr>
      <w:tr>
        <w:tblPrEx>
          <w:tblCellMar>
            <w:top w:w="0" w:type="dxa"/>
            <w:left w:w="108" w:type="dxa"/>
            <w:bottom w:w="0" w:type="dxa"/>
            <w:right w:w="108" w:type="dxa"/>
          </w:tblCellMar>
        </w:tblPrEx>
        <w:trPr>
          <w:trHeight w:val="390" w:hRule="atLeast"/>
        </w:trPr>
        <w:tc>
          <w:tcPr>
            <w:tcW w:w="8522" w:type="dxa"/>
            <w:gridSpan w:val="3"/>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kern w:val="0"/>
                <w:szCs w:val="21"/>
                <w:highlight w:val="none"/>
              </w:rPr>
              <w:t>图</w:t>
            </w:r>
            <w:r>
              <w:rPr>
                <w:rFonts w:hint="eastAsia" w:ascii="Times New Roman" w:hAnsi="Times New Roman" w:eastAsia="宋体" w:cs="Times New Roman"/>
                <w:b/>
                <w:color w:val="auto"/>
                <w:kern w:val="0"/>
                <w:szCs w:val="21"/>
                <w:highlight w:val="none"/>
                <w:lang w:val="en-US" w:eastAsia="zh-CN"/>
              </w:rPr>
              <w:t>5.2</w:t>
            </w:r>
            <w:r>
              <w:rPr>
                <w:rFonts w:hint="default" w:ascii="Times New Roman" w:hAnsi="Times New Roman" w:eastAsia="宋体" w:cs="Times New Roman"/>
                <w:b/>
                <w:color w:val="auto"/>
                <w:kern w:val="0"/>
                <w:szCs w:val="21"/>
                <w:highlight w:val="none"/>
              </w:rPr>
              <w:t>-3有防渗层条件的池体构筑物废水下渗示意图</w:t>
            </w:r>
          </w:p>
        </w:tc>
      </w:tr>
    </w:tbl>
    <w:p>
      <w:pPr>
        <w:snapToGrid w:val="0"/>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非正常运行状况，池体未破损区仍采用式</w:t>
      </w:r>
      <w:r>
        <w:rPr>
          <w:rFonts w:hint="eastAsia" w:ascii="Times New Roman" w:hAnsi="Times New Roman" w:eastAsia="宋体" w:cs="Times New Roman"/>
          <w:color w:val="auto"/>
          <w:sz w:val="24"/>
          <w:szCs w:val="24"/>
          <w:highlight w:val="none"/>
        </w:rPr>
        <w:t>2</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rPr>
        <w:t>式3</w:t>
      </w:r>
      <w:r>
        <w:rPr>
          <w:rFonts w:ascii="Times New Roman" w:hAnsi="Times New Roman" w:eastAsia="宋体" w:cs="Times New Roman"/>
          <w:color w:val="auto"/>
          <w:sz w:val="24"/>
          <w:szCs w:val="24"/>
          <w:highlight w:val="none"/>
        </w:rPr>
        <w:t>进行估算，破损区可直接依据达西公式进行估算：</w:t>
      </w:r>
    </w:p>
    <w:tbl>
      <w:tblPr>
        <w:tblStyle w:val="91"/>
        <w:tblW w:w="0" w:type="auto"/>
        <w:tblInd w:w="0" w:type="dxa"/>
        <w:tblLayout w:type="fixed"/>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2840"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rPr>
                <w:rFonts w:hint="default" w:ascii="Times New Roman" w:hAnsi="Times New Roman" w:eastAsia="宋体" w:cs="Times New Roman"/>
                <w:color w:val="auto"/>
                <w:sz w:val="24"/>
                <w:szCs w:val="24"/>
                <w:highlight w:val="none"/>
              </w:rPr>
            </w:pPr>
          </w:p>
        </w:tc>
        <w:tc>
          <w:tcPr>
            <w:tcW w:w="2841"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 w:val="24"/>
                <w:szCs w:val="24"/>
                <w:highlight w:val="none"/>
              </w:rPr>
            </w:pPr>
            <m:oMathPara>
              <m:oMath>
                <m:r>
                  <m:rPr>
                    <m:sty m:val="p"/>
                  </m:rPr>
                  <w:rPr>
                    <w:rFonts w:hint="default" w:ascii="Cambria Math" w:hAnsi="Cambria Math" w:eastAsia="等线" w:cs="Times New Roman"/>
                    <w:color w:val="auto"/>
                    <w:sz w:val="24"/>
                    <w:highlight w:val="none"/>
                  </w:rPr>
                  <m:t>Q=</m:t>
                </m:r>
                <m:sSub>
                  <m:sSubPr>
                    <m:ctrlPr>
                      <w:rPr>
                        <w:rFonts w:hint="default" w:ascii="Cambria Math" w:hAnsi="Cambria Math" w:eastAsia="等线" w:cs="Times New Roman"/>
                        <w:color w:val="auto"/>
                        <w:sz w:val="24"/>
                        <w:highlight w:val="none"/>
                      </w:rPr>
                    </m:ctrlPr>
                  </m:sSubPr>
                  <m:e>
                    <m:r>
                      <m:rPr>
                        <m:sty m:val="p"/>
                      </m:rPr>
                      <w:rPr>
                        <w:rFonts w:hint="default" w:ascii="Cambria Math" w:hAnsi="Cambria Math" w:eastAsia="等线" w:cs="Times New Roman"/>
                        <w:color w:val="auto"/>
                        <w:sz w:val="24"/>
                        <w:highlight w:val="none"/>
                      </w:rPr>
                      <m:t>K</m:t>
                    </m:r>
                    <m:ctrlPr>
                      <w:rPr>
                        <w:rFonts w:hint="default" w:ascii="Cambria Math" w:hAnsi="Cambria Math" w:eastAsia="等线" w:cs="Times New Roman"/>
                        <w:color w:val="auto"/>
                        <w:sz w:val="24"/>
                        <w:highlight w:val="none"/>
                      </w:rPr>
                    </m:ctrlPr>
                  </m:e>
                  <m:sub>
                    <m:r>
                      <m:rPr/>
                      <w:rPr>
                        <w:rFonts w:hint="default" w:ascii="Cambria Math" w:hAnsi="Cambria Math" w:eastAsia="等线" w:cs="Times New Roman"/>
                        <w:color w:val="auto"/>
                        <w:sz w:val="24"/>
                        <w:highlight w:val="none"/>
                      </w:rPr>
                      <m:t>2</m:t>
                    </m:r>
                    <m:ctrlPr>
                      <w:rPr>
                        <w:rFonts w:hint="default" w:ascii="Cambria Math" w:hAnsi="Cambria Math" w:eastAsia="等线" w:cs="Times New Roman"/>
                        <w:color w:val="auto"/>
                        <w:sz w:val="24"/>
                        <w:highlight w:val="none"/>
                      </w:rPr>
                    </m:ctrlPr>
                  </m:sub>
                </m:sSub>
                <m:r>
                  <m:rPr>
                    <m:sty m:val="p"/>
                  </m:rPr>
                  <w:rPr>
                    <w:rFonts w:hint="default" w:ascii="Cambria Math" w:hAnsi="Cambria Math" w:eastAsia="等线" w:cs="Times New Roman"/>
                    <w:color w:val="auto"/>
                    <w:sz w:val="24"/>
                    <w:highlight w:val="none"/>
                  </w:rPr>
                  <m:t>A</m:t>
                </m:r>
                <m:f>
                  <m:fPr>
                    <m:ctrlPr>
                      <w:rPr>
                        <w:rFonts w:hint="default" w:ascii="Cambria Math" w:hAnsi="Cambria Math" w:eastAsia="等线" w:cs="Times New Roman"/>
                        <w:color w:val="auto"/>
                        <w:sz w:val="24"/>
                        <w:highlight w:val="none"/>
                      </w:rPr>
                    </m:ctrlPr>
                  </m:fPr>
                  <m:num>
                    <m:sSub>
                      <m:sSubPr>
                        <m:ctrlPr>
                          <w:rPr>
                            <w:rFonts w:hint="default" w:ascii="Cambria Math" w:hAnsi="Cambria Math" w:eastAsia="等线" w:cs="Times New Roman"/>
                            <w:i/>
                            <w:color w:val="auto"/>
                            <w:sz w:val="24"/>
                            <w:highlight w:val="none"/>
                          </w:rPr>
                        </m:ctrlPr>
                      </m:sSubPr>
                      <m:e>
                        <m:r>
                          <m:rPr/>
                          <w:rPr>
                            <w:rFonts w:hint="default" w:ascii="Cambria Math" w:hAnsi="Cambria Math" w:eastAsia="等线" w:cs="Times New Roman"/>
                            <w:color w:val="auto"/>
                            <w:sz w:val="24"/>
                            <w:highlight w:val="none"/>
                          </w:rPr>
                          <m:t>ℎ</m:t>
                        </m:r>
                        <m:ctrlPr>
                          <w:rPr>
                            <w:rFonts w:hint="default" w:ascii="Cambria Math" w:hAnsi="Cambria Math" w:eastAsia="等线" w:cs="Times New Roman"/>
                            <w:i/>
                            <w:color w:val="auto"/>
                            <w:sz w:val="24"/>
                            <w:highlight w:val="none"/>
                          </w:rPr>
                        </m:ctrlPr>
                      </m:e>
                      <m:sub>
                        <m:r>
                          <m:rPr/>
                          <w:rPr>
                            <w:rFonts w:hint="default" w:ascii="Cambria Math" w:hAnsi="Cambria Math" w:eastAsia="等线" w:cs="Times New Roman"/>
                            <w:color w:val="auto"/>
                            <w:sz w:val="24"/>
                            <w:highlight w:val="none"/>
                          </w:rPr>
                          <m:t>池</m:t>
                        </m:r>
                        <m:ctrlPr>
                          <w:rPr>
                            <w:rFonts w:hint="default" w:ascii="Cambria Math" w:hAnsi="Cambria Math" w:eastAsia="等线" w:cs="Times New Roman"/>
                            <w:i/>
                            <w:color w:val="auto"/>
                            <w:sz w:val="24"/>
                            <w:highlight w:val="none"/>
                          </w:rPr>
                        </m:ctrlPr>
                      </m:sub>
                    </m:sSub>
                    <m:r>
                      <m:rPr/>
                      <w:rPr>
                        <w:rFonts w:hint="default" w:ascii="Cambria Math" w:hAnsi="Cambria Math" w:eastAsia="等线" w:cs="Times New Roman"/>
                        <w:color w:val="auto"/>
                        <w:sz w:val="24"/>
                        <w:highlight w:val="none"/>
                      </w:rPr>
                      <m:t>+</m:t>
                    </m:r>
                    <m:sSub>
                      <m:sSubPr>
                        <m:ctrlPr>
                          <w:rPr>
                            <w:rFonts w:hint="default" w:ascii="Cambria Math" w:hAnsi="Cambria Math" w:eastAsia="等线" w:cs="Times New Roman"/>
                            <w:i/>
                            <w:color w:val="auto"/>
                            <w:sz w:val="24"/>
                            <w:highlight w:val="none"/>
                          </w:rPr>
                        </m:ctrlPr>
                      </m:sSubPr>
                      <m:e>
                        <m:r>
                          <m:rPr/>
                          <w:rPr>
                            <w:rFonts w:hint="default" w:ascii="Cambria Math" w:hAnsi="Cambria Math" w:eastAsia="等线" w:cs="Times New Roman"/>
                            <w:color w:val="auto"/>
                            <w:sz w:val="24"/>
                            <w:highlight w:val="none"/>
                          </w:rPr>
                          <m:t>ℎ</m:t>
                        </m:r>
                        <m:ctrlPr>
                          <w:rPr>
                            <w:rFonts w:hint="default" w:ascii="Cambria Math" w:hAnsi="Cambria Math" w:eastAsia="等线" w:cs="Times New Roman"/>
                            <w:i/>
                            <w:color w:val="auto"/>
                            <w:sz w:val="24"/>
                            <w:highlight w:val="none"/>
                          </w:rPr>
                        </m:ctrlPr>
                      </m:e>
                      <m:sub>
                        <m:r>
                          <m:rPr/>
                          <w:rPr>
                            <w:rFonts w:hint="default" w:ascii="Cambria Math" w:hAnsi="Cambria Math" w:eastAsia="等线" w:cs="Times New Roman"/>
                            <w:color w:val="auto"/>
                            <w:sz w:val="24"/>
                            <w:highlight w:val="none"/>
                          </w:rPr>
                          <m:t>包</m:t>
                        </m:r>
                        <m:ctrlPr>
                          <w:rPr>
                            <w:rFonts w:hint="default" w:ascii="Cambria Math" w:hAnsi="Cambria Math" w:eastAsia="等线" w:cs="Times New Roman"/>
                            <w:i/>
                            <w:color w:val="auto"/>
                            <w:sz w:val="24"/>
                            <w:highlight w:val="none"/>
                          </w:rPr>
                        </m:ctrlPr>
                      </m:sub>
                    </m:sSub>
                    <m:ctrlPr>
                      <w:rPr>
                        <w:rFonts w:hint="default" w:ascii="Cambria Math" w:hAnsi="Cambria Math" w:eastAsia="等线" w:cs="Times New Roman"/>
                        <w:color w:val="auto"/>
                        <w:sz w:val="24"/>
                        <w:highlight w:val="none"/>
                      </w:rPr>
                    </m:ctrlPr>
                  </m:num>
                  <m:den>
                    <m:sSub>
                      <m:sSubPr>
                        <m:ctrlPr>
                          <w:rPr>
                            <w:rFonts w:hint="default" w:ascii="Cambria Math" w:hAnsi="Cambria Math" w:eastAsia="等线" w:cs="Times New Roman"/>
                            <w:i/>
                            <w:color w:val="auto"/>
                            <w:sz w:val="24"/>
                            <w:highlight w:val="none"/>
                          </w:rPr>
                        </m:ctrlPr>
                      </m:sSubPr>
                      <m:e>
                        <m:r>
                          <m:rPr/>
                          <w:rPr>
                            <w:rFonts w:hint="default" w:ascii="Cambria Math" w:hAnsi="Cambria Math" w:eastAsia="等线" w:cs="Times New Roman"/>
                            <w:color w:val="auto"/>
                            <w:sz w:val="24"/>
                            <w:highlight w:val="none"/>
                          </w:rPr>
                          <m:t>ℎ</m:t>
                        </m:r>
                        <m:ctrlPr>
                          <w:rPr>
                            <w:rFonts w:hint="default" w:ascii="Cambria Math" w:hAnsi="Cambria Math" w:eastAsia="等线" w:cs="Times New Roman"/>
                            <w:i/>
                            <w:color w:val="auto"/>
                            <w:sz w:val="24"/>
                            <w:highlight w:val="none"/>
                          </w:rPr>
                        </m:ctrlPr>
                      </m:e>
                      <m:sub>
                        <m:r>
                          <m:rPr/>
                          <w:rPr>
                            <w:rFonts w:hint="default" w:ascii="Cambria Math" w:hAnsi="Cambria Math" w:eastAsia="等线" w:cs="Times New Roman"/>
                            <w:color w:val="auto"/>
                            <w:sz w:val="24"/>
                            <w:highlight w:val="none"/>
                          </w:rPr>
                          <m:t>包</m:t>
                        </m:r>
                        <m:ctrlPr>
                          <w:rPr>
                            <w:rFonts w:hint="default" w:ascii="Cambria Math" w:hAnsi="Cambria Math" w:eastAsia="等线" w:cs="Times New Roman"/>
                            <w:i/>
                            <w:color w:val="auto"/>
                            <w:sz w:val="24"/>
                            <w:highlight w:val="none"/>
                          </w:rPr>
                        </m:ctrlPr>
                      </m:sub>
                    </m:sSub>
                    <m:ctrlPr>
                      <w:rPr>
                        <w:rFonts w:hint="default" w:ascii="Cambria Math" w:hAnsi="Cambria Math" w:eastAsia="等线" w:cs="Times New Roman"/>
                        <w:color w:val="auto"/>
                        <w:sz w:val="24"/>
                        <w:highlight w:val="none"/>
                      </w:rPr>
                    </m:ctrlPr>
                  </m:den>
                </m:f>
              </m:oMath>
            </m:oMathPara>
          </w:p>
        </w:tc>
        <w:tc>
          <w:tcPr>
            <w:tcW w:w="2841"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120"/>
              <w:jc w:val="righ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kern w:val="0"/>
                <w:sz w:val="24"/>
                <w:szCs w:val="24"/>
                <w:highlight w:val="none"/>
              </w:rPr>
              <w:t>式</w:t>
            </w:r>
            <w:r>
              <w:rPr>
                <w:rFonts w:hint="eastAsia" w:ascii="Times New Roman" w:hAnsi="Times New Roman" w:eastAsia="宋体" w:cs="Times New Roman"/>
                <w:color w:val="auto"/>
                <w:sz w:val="24"/>
                <w:szCs w:val="24"/>
                <w:highlight w:val="none"/>
              </w:rPr>
              <w:t>4</w:t>
            </w:r>
            <w:r>
              <w:rPr>
                <w:rFonts w:hint="default" w:ascii="Times New Roman" w:hAnsi="Times New Roman" w:eastAsia="宋体" w:cs="Times New Roman"/>
                <w:color w:val="auto"/>
                <w:sz w:val="24"/>
                <w:szCs w:val="24"/>
                <w:highlight w:val="none"/>
              </w:rPr>
              <w:t>）</w:t>
            </w:r>
          </w:p>
        </w:tc>
      </w:tr>
    </w:tbl>
    <w:p>
      <w:pPr>
        <w:autoSpaceDE w:val="0"/>
        <w:autoSpaceDN w:val="0"/>
        <w:adjustRightInd w:val="0"/>
        <w:snapToGrid w:val="0"/>
        <w:spacing w:line="360" w:lineRule="auto"/>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式中：K</w:t>
      </w:r>
      <w:r>
        <w:rPr>
          <w:rFonts w:ascii="Times New Roman" w:hAnsi="Times New Roman" w:eastAsia="宋体" w:cs="Times New Roman"/>
          <w:color w:val="auto"/>
          <w:sz w:val="24"/>
          <w:szCs w:val="24"/>
          <w:highlight w:val="none"/>
          <w:vertAlign w:val="subscript"/>
        </w:rPr>
        <w:t>1</w:t>
      </w:r>
      <w:r>
        <w:rPr>
          <w:rFonts w:ascii="Times New Roman" w:hAnsi="Times New Roman" w:eastAsia="宋体" w:cs="Times New Roman"/>
          <w:color w:val="auto"/>
          <w:sz w:val="24"/>
          <w:szCs w:val="24"/>
          <w:highlight w:val="none"/>
        </w:rPr>
        <w:t>—防渗层渗透系数（m/d）；</w:t>
      </w:r>
    </w:p>
    <w:p>
      <w:pPr>
        <w:autoSpaceDE w:val="0"/>
        <w:autoSpaceDN w:val="0"/>
        <w:adjustRightInd w:val="0"/>
        <w:snapToGrid w:val="0"/>
        <w:spacing w:line="360" w:lineRule="auto"/>
        <w:ind w:firstLine="720" w:firstLineChars="3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K</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—包气带渗透系数（m/d）；</w:t>
      </w:r>
    </w:p>
    <w:p>
      <w:pPr>
        <w:autoSpaceDE w:val="0"/>
        <w:autoSpaceDN w:val="0"/>
        <w:adjustRightInd w:val="0"/>
        <w:snapToGrid w:val="0"/>
        <w:spacing w:line="360" w:lineRule="auto"/>
        <w:ind w:firstLine="720" w:firstLineChars="3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池</w:t>
      </w:r>
      <w:r>
        <w:rPr>
          <w:rFonts w:ascii="Times New Roman" w:hAnsi="Times New Roman" w:eastAsia="宋体" w:cs="Times New Roman"/>
          <w:color w:val="auto"/>
          <w:sz w:val="24"/>
          <w:szCs w:val="24"/>
          <w:highlight w:val="none"/>
        </w:rPr>
        <w:t>—池体内水头高度；</w:t>
      </w:r>
    </w:p>
    <w:p>
      <w:pPr>
        <w:autoSpaceDE w:val="0"/>
        <w:autoSpaceDN w:val="0"/>
        <w:adjustRightInd w:val="0"/>
        <w:snapToGrid w:val="0"/>
        <w:spacing w:line="360" w:lineRule="auto"/>
        <w:ind w:firstLine="720" w:firstLineChars="3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1</w:t>
      </w:r>
      <w:r>
        <w:rPr>
          <w:rFonts w:ascii="Times New Roman" w:hAnsi="Times New Roman" w:eastAsia="宋体" w:cs="Times New Roman"/>
          <w:color w:val="auto"/>
          <w:sz w:val="24"/>
          <w:szCs w:val="24"/>
          <w:highlight w:val="none"/>
        </w:rPr>
        <w:t>—池内水头克服防渗层阻力后，防渗层底板水头（m）；</w:t>
      </w:r>
    </w:p>
    <w:p>
      <w:pPr>
        <w:autoSpaceDE w:val="0"/>
        <w:autoSpaceDN w:val="0"/>
        <w:adjustRightInd w:val="0"/>
        <w:snapToGrid w:val="0"/>
        <w:spacing w:line="360" w:lineRule="auto"/>
        <w:ind w:firstLine="720" w:firstLineChars="3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Q—池体内废水渗漏量（m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/d）；</w:t>
      </w:r>
    </w:p>
    <w:p>
      <w:pPr>
        <w:autoSpaceDE w:val="0"/>
        <w:autoSpaceDN w:val="0"/>
        <w:adjustRightInd w:val="0"/>
        <w:snapToGrid w:val="0"/>
        <w:spacing w:line="360" w:lineRule="auto"/>
        <w:ind w:firstLine="720" w:firstLineChars="3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防</w:t>
      </w:r>
      <w:r>
        <w:rPr>
          <w:rFonts w:ascii="Times New Roman" w:hAnsi="Times New Roman" w:eastAsia="宋体" w:cs="Times New Roman"/>
          <w:color w:val="auto"/>
          <w:sz w:val="24"/>
          <w:szCs w:val="24"/>
          <w:highlight w:val="none"/>
        </w:rPr>
        <w:t>—防渗层厚度（m）；</w:t>
      </w:r>
    </w:p>
    <w:p>
      <w:pPr>
        <w:autoSpaceDE w:val="0"/>
        <w:autoSpaceDN w:val="0"/>
        <w:adjustRightInd w:val="0"/>
        <w:snapToGrid w:val="0"/>
        <w:spacing w:line="360" w:lineRule="auto"/>
        <w:ind w:firstLine="720" w:firstLineChars="3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h</w:t>
      </w:r>
      <w:r>
        <w:rPr>
          <w:rFonts w:ascii="Times New Roman" w:hAnsi="Times New Roman" w:eastAsia="宋体" w:cs="Times New Roman"/>
          <w:color w:val="auto"/>
          <w:sz w:val="24"/>
          <w:szCs w:val="24"/>
          <w:highlight w:val="none"/>
          <w:vertAlign w:val="subscript"/>
        </w:rPr>
        <w:t>包</w:t>
      </w:r>
      <w:r>
        <w:rPr>
          <w:rFonts w:ascii="Times New Roman" w:hAnsi="Times New Roman" w:eastAsia="宋体" w:cs="Times New Roman"/>
          <w:color w:val="auto"/>
          <w:sz w:val="24"/>
          <w:szCs w:val="24"/>
          <w:highlight w:val="none"/>
        </w:rPr>
        <w:t>—包气带厚度（m）；</w:t>
      </w:r>
    </w:p>
    <w:p>
      <w:pPr>
        <w:autoSpaceDE w:val="0"/>
        <w:autoSpaceDN w:val="0"/>
        <w:adjustRightInd w:val="0"/>
        <w:snapToGrid w:val="0"/>
        <w:spacing w:line="360" w:lineRule="auto"/>
        <w:ind w:firstLine="720" w:firstLineChars="3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A—池体面积（m</w:t>
      </w:r>
      <w:r>
        <w:rPr>
          <w:rFonts w:ascii="Times New Roman" w:hAnsi="Times New Roman" w:eastAsia="宋体" w:cs="Times New Roman"/>
          <w:color w:val="auto"/>
          <w:sz w:val="24"/>
          <w:szCs w:val="24"/>
          <w:highlight w:val="none"/>
          <w:vertAlign w:val="superscript"/>
        </w:rPr>
        <w:t>2</w:t>
      </w:r>
      <w:r>
        <w:rPr>
          <w:rFonts w:ascii="Times New Roman" w:hAnsi="Times New Roman" w:eastAsia="宋体" w:cs="Times New Roman"/>
          <w:color w:val="auto"/>
          <w:sz w:val="24"/>
          <w:szCs w:val="24"/>
          <w:highlight w:val="none"/>
        </w:rPr>
        <w:t>）。</w:t>
      </w:r>
    </w:p>
    <w:p>
      <w:pPr>
        <w:widowControl/>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）源强</w:t>
      </w:r>
      <w:r>
        <w:rPr>
          <w:rFonts w:ascii="Times New Roman" w:hAnsi="Times New Roman" w:eastAsia="宋体" w:cs="Times New Roman"/>
          <w:color w:val="auto"/>
          <w:sz w:val="24"/>
          <w:szCs w:val="24"/>
          <w:highlight w:val="none"/>
        </w:rPr>
        <w:t>估算</w:t>
      </w:r>
      <w:r>
        <w:rPr>
          <w:rFonts w:hint="eastAsia" w:ascii="Times New Roman" w:hAnsi="Times New Roman" w:eastAsia="宋体" w:cs="Times New Roman"/>
          <w:color w:val="auto"/>
          <w:sz w:val="24"/>
          <w:szCs w:val="24"/>
          <w:highlight w:val="none"/>
        </w:rPr>
        <w:t>：</w:t>
      </w:r>
    </w:p>
    <w:bookmarkEnd w:id="243"/>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根据本项目运行状况分析，项目正常运行状况下对地下水环境影响极小。非正常状况下，各池体废水下渗量统计见下表，同时根据可研资料及物料平衡和水平衡，</w:t>
      </w:r>
      <w:r>
        <w:rPr>
          <w:rFonts w:hint="eastAsia" w:ascii="Times New Roman" w:hAnsi="Times New Roman" w:eastAsia="宋体" w:cs="Times New Roman"/>
          <w:color w:val="auto"/>
          <w:sz w:val="24"/>
          <w:szCs w:val="24"/>
          <w:highlight w:val="none"/>
          <w:lang w:val="en-US" w:eastAsia="zh-CN"/>
        </w:rPr>
        <w:t>结合工程分析章节，</w:t>
      </w:r>
      <w:r>
        <w:rPr>
          <w:rFonts w:hint="eastAsia" w:ascii="Times New Roman" w:hAnsi="Times New Roman" w:eastAsia="宋体" w:cs="Times New Roman"/>
          <w:color w:val="auto"/>
          <w:sz w:val="24"/>
          <w:szCs w:val="24"/>
          <w:highlight w:val="none"/>
        </w:rPr>
        <w:t>可计算出非正常状况下的污染源强，见下表：</w:t>
      </w:r>
    </w:p>
    <w:p>
      <w:pPr>
        <w:pStyle w:val="2"/>
        <w:rPr>
          <w:color w:val="auto"/>
          <w:highlight w:val="none"/>
        </w:rPr>
      </w:pPr>
    </w:p>
    <w:p>
      <w:pPr>
        <w:rPr>
          <w:color w:val="auto"/>
          <w:highlight w:val="none"/>
        </w:rPr>
      </w:pPr>
    </w:p>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污染源下渗量计算</w:t>
      </w:r>
    </w:p>
    <w:tbl>
      <w:tblPr>
        <w:tblStyle w:val="92"/>
        <w:tblW w:w="852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498"/>
        <w:gridCol w:w="34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bookmarkStart w:id="245" w:name="_Hlk1445943"/>
            <w:r>
              <w:rPr>
                <w:rFonts w:hint="default" w:ascii="Times New Roman" w:hAnsi="Times New Roman" w:cs="Times New Roman"/>
                <w:color w:val="auto"/>
                <w:kern w:val="0"/>
                <w:sz w:val="21"/>
                <w:szCs w:val="21"/>
                <w:highlight w:val="none"/>
              </w:rPr>
              <w:t>污水处理站下渗量计算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预测因子</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COD</w:t>
            </w:r>
            <w:r>
              <w:rPr>
                <w:rFonts w:hint="eastAsia" w:ascii="Times New Roman" w:hAnsi="Times New Roman" w:cs="Times New Roman"/>
                <w:color w:val="auto"/>
                <w:kern w:val="0"/>
                <w:sz w:val="21"/>
                <w:szCs w:val="21"/>
                <w:highlight w:val="none"/>
                <w:vertAlign w:val="subscript"/>
              </w:rPr>
              <w:t>Mn</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NH</w:t>
            </w:r>
            <w:r>
              <w:rPr>
                <w:rFonts w:hint="eastAsia" w:ascii="Times New Roman" w:hAnsi="Times New Roman" w:cs="Times New Roman"/>
                <w:color w:val="auto"/>
                <w:kern w:val="0"/>
                <w:sz w:val="21"/>
                <w:szCs w:val="21"/>
                <w:highlight w:val="none"/>
                <w:vertAlign w:val="subscript"/>
              </w:rPr>
              <w:t>3</w:t>
            </w:r>
            <w:r>
              <w:rPr>
                <w:rFonts w:hint="eastAsia" w:ascii="Times New Roman" w:hAnsi="Times New Roman" w:cs="Times New Roman"/>
                <w:color w:val="auto"/>
                <w:kern w:val="0"/>
                <w:sz w:val="21"/>
                <w:szCs w:val="21"/>
                <w:highlight w:val="none"/>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浓度（mg/L）</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215.7</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22.25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下渗量（</w:t>
            </w:r>
            <w:r>
              <w:rPr>
                <w:rFonts w:hint="default" w:ascii="Times New Roman" w:hAnsi="Times New Roman" w:eastAsia="宋体" w:cs="Times New Roman"/>
                <w:color w:val="auto"/>
                <w:kern w:val="2"/>
                <w:sz w:val="21"/>
                <w:szCs w:val="21"/>
                <w:highlight w:val="none"/>
              </w:rPr>
              <w:t>m</w:t>
            </w:r>
            <w:r>
              <w:rPr>
                <w:rFonts w:hint="default" w:ascii="Times New Roman" w:hAnsi="Times New Roman" w:eastAsia="宋体" w:cs="Times New Roman"/>
                <w:color w:val="auto"/>
                <w:kern w:val="2"/>
                <w:sz w:val="21"/>
                <w:szCs w:val="21"/>
                <w:highlight w:val="none"/>
                <w:vertAlign w:val="superscript"/>
              </w:rPr>
              <w:t>3</w:t>
            </w:r>
            <w:r>
              <w:rPr>
                <w:rFonts w:hint="default" w:ascii="Times New Roman" w:hAnsi="Times New Roman" w:eastAsia="宋体" w:cs="Times New Roman"/>
                <w:color w:val="auto"/>
                <w:kern w:val="2"/>
                <w:sz w:val="21"/>
                <w:szCs w:val="21"/>
                <w:highlight w:val="none"/>
              </w:rPr>
              <w:t>/d</w:t>
            </w:r>
            <w:r>
              <w:rPr>
                <w:rFonts w:hint="default" w:ascii="Times New Roman" w:hAnsi="Times New Roman" w:cs="Times New Roman"/>
                <w:color w:val="auto"/>
                <w:kern w:val="0"/>
                <w:sz w:val="21"/>
                <w:szCs w:val="21"/>
                <w:highlight w:val="none"/>
              </w:rPr>
              <w:t>）</w:t>
            </w:r>
          </w:p>
        </w:tc>
        <w:tc>
          <w:tcPr>
            <w:tcW w:w="6996" w:type="dxa"/>
            <w:gridSpan w:val="2"/>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生活废水处理设施下渗量计算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预测因子</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COD</w:t>
            </w:r>
            <w:r>
              <w:rPr>
                <w:rFonts w:hint="eastAsia" w:ascii="Times New Roman" w:hAnsi="Times New Roman" w:cs="Times New Roman"/>
                <w:color w:val="auto"/>
                <w:kern w:val="0"/>
                <w:sz w:val="21"/>
                <w:szCs w:val="21"/>
                <w:highlight w:val="none"/>
                <w:vertAlign w:val="subscript"/>
              </w:rPr>
              <w:t>Mn</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NH</w:t>
            </w:r>
            <w:r>
              <w:rPr>
                <w:rFonts w:hint="eastAsia" w:ascii="Times New Roman" w:hAnsi="Times New Roman" w:cs="Times New Roman"/>
                <w:color w:val="auto"/>
                <w:kern w:val="0"/>
                <w:sz w:val="21"/>
                <w:szCs w:val="21"/>
                <w:highlight w:val="none"/>
                <w:vertAlign w:val="subscript"/>
              </w:rPr>
              <w:t>3</w:t>
            </w:r>
            <w:r>
              <w:rPr>
                <w:rFonts w:hint="eastAsia" w:ascii="Times New Roman" w:hAnsi="Times New Roman" w:cs="Times New Roman"/>
                <w:color w:val="auto"/>
                <w:kern w:val="0"/>
                <w:sz w:val="21"/>
                <w:szCs w:val="21"/>
                <w:highlight w:val="none"/>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浓度（mg/L）</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87.5</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下渗量（</w:t>
            </w:r>
            <w:r>
              <w:rPr>
                <w:rFonts w:hint="default" w:ascii="Times New Roman" w:hAnsi="Times New Roman" w:eastAsia="宋体" w:cs="Times New Roman"/>
                <w:color w:val="auto"/>
                <w:kern w:val="2"/>
                <w:sz w:val="21"/>
                <w:szCs w:val="21"/>
                <w:highlight w:val="none"/>
              </w:rPr>
              <w:t>m</w:t>
            </w:r>
            <w:r>
              <w:rPr>
                <w:rFonts w:hint="default" w:ascii="Times New Roman" w:hAnsi="Times New Roman" w:eastAsia="宋体" w:cs="Times New Roman"/>
                <w:color w:val="auto"/>
                <w:kern w:val="2"/>
                <w:sz w:val="21"/>
                <w:szCs w:val="21"/>
                <w:highlight w:val="none"/>
                <w:vertAlign w:val="superscript"/>
              </w:rPr>
              <w:t>3</w:t>
            </w:r>
            <w:r>
              <w:rPr>
                <w:rFonts w:hint="default" w:ascii="Times New Roman" w:hAnsi="Times New Roman" w:eastAsia="宋体" w:cs="Times New Roman"/>
                <w:color w:val="auto"/>
                <w:kern w:val="2"/>
                <w:sz w:val="21"/>
                <w:szCs w:val="21"/>
                <w:highlight w:val="none"/>
              </w:rPr>
              <w:t>/d</w:t>
            </w:r>
            <w:r>
              <w:rPr>
                <w:rFonts w:hint="default" w:ascii="Times New Roman" w:hAnsi="Times New Roman" w:cs="Times New Roman"/>
                <w:color w:val="auto"/>
                <w:kern w:val="0"/>
                <w:sz w:val="21"/>
                <w:szCs w:val="21"/>
                <w:highlight w:val="none"/>
              </w:rPr>
              <w:t>）</w:t>
            </w:r>
          </w:p>
        </w:tc>
        <w:tc>
          <w:tcPr>
            <w:tcW w:w="6996" w:type="dxa"/>
            <w:gridSpan w:val="2"/>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0.16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集污池下渗量计算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预测因子</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COD</w:t>
            </w:r>
            <w:r>
              <w:rPr>
                <w:rFonts w:hint="eastAsia" w:ascii="Times New Roman" w:hAnsi="Times New Roman" w:cs="Times New Roman"/>
                <w:color w:val="auto"/>
                <w:kern w:val="0"/>
                <w:sz w:val="21"/>
                <w:szCs w:val="21"/>
                <w:highlight w:val="none"/>
                <w:vertAlign w:val="subscript"/>
              </w:rPr>
              <w:t>Mn</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NH</w:t>
            </w:r>
            <w:r>
              <w:rPr>
                <w:rFonts w:hint="eastAsia" w:ascii="Times New Roman" w:hAnsi="Times New Roman" w:cs="Times New Roman"/>
                <w:color w:val="auto"/>
                <w:kern w:val="0"/>
                <w:sz w:val="21"/>
                <w:szCs w:val="21"/>
                <w:highlight w:val="none"/>
                <w:vertAlign w:val="subscript"/>
              </w:rPr>
              <w:t>3</w:t>
            </w:r>
            <w:r>
              <w:rPr>
                <w:rFonts w:hint="eastAsia" w:ascii="Times New Roman" w:hAnsi="Times New Roman" w:cs="Times New Roman"/>
                <w:color w:val="auto"/>
                <w:kern w:val="0"/>
                <w:sz w:val="21"/>
                <w:szCs w:val="21"/>
                <w:highlight w:val="none"/>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浓度（mg/L）</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221.75</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22.1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下渗量（</w:t>
            </w:r>
            <w:r>
              <w:rPr>
                <w:rFonts w:hint="default" w:ascii="Times New Roman" w:hAnsi="Times New Roman" w:eastAsia="宋体" w:cs="Times New Roman"/>
                <w:color w:val="auto"/>
                <w:kern w:val="2"/>
                <w:sz w:val="21"/>
                <w:szCs w:val="21"/>
                <w:highlight w:val="none"/>
              </w:rPr>
              <w:t>m</w:t>
            </w:r>
            <w:r>
              <w:rPr>
                <w:rFonts w:hint="default" w:ascii="Times New Roman" w:hAnsi="Times New Roman" w:eastAsia="宋体" w:cs="Times New Roman"/>
                <w:color w:val="auto"/>
                <w:kern w:val="2"/>
                <w:sz w:val="21"/>
                <w:szCs w:val="21"/>
                <w:highlight w:val="none"/>
                <w:vertAlign w:val="superscript"/>
              </w:rPr>
              <w:t>3</w:t>
            </w:r>
            <w:r>
              <w:rPr>
                <w:rFonts w:hint="default" w:ascii="Times New Roman" w:hAnsi="Times New Roman" w:eastAsia="宋体" w:cs="Times New Roman"/>
                <w:color w:val="auto"/>
                <w:kern w:val="2"/>
                <w:sz w:val="21"/>
                <w:szCs w:val="21"/>
                <w:highlight w:val="none"/>
              </w:rPr>
              <w:t>/d</w:t>
            </w:r>
            <w:r>
              <w:rPr>
                <w:rFonts w:hint="default" w:ascii="Times New Roman" w:hAnsi="Times New Roman" w:cs="Times New Roman"/>
                <w:color w:val="auto"/>
                <w:kern w:val="0"/>
                <w:sz w:val="21"/>
                <w:szCs w:val="21"/>
                <w:highlight w:val="none"/>
              </w:rPr>
              <w:t>）</w:t>
            </w:r>
          </w:p>
        </w:tc>
        <w:tc>
          <w:tcPr>
            <w:tcW w:w="6996" w:type="dxa"/>
            <w:gridSpan w:val="2"/>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尾水储存池下渗量计算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预测因子</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bCs/>
                <w:color w:val="auto"/>
                <w:kern w:val="2"/>
                <w:sz w:val="21"/>
                <w:szCs w:val="21"/>
                <w:highlight w:val="none"/>
              </w:rPr>
              <w:t>COD</w:t>
            </w:r>
            <w:r>
              <w:rPr>
                <w:rFonts w:hint="default" w:ascii="Times New Roman" w:hAnsi="Times New Roman" w:eastAsia="宋体" w:cs="Times New Roman"/>
                <w:bCs/>
                <w:color w:val="auto"/>
                <w:kern w:val="2"/>
                <w:sz w:val="21"/>
                <w:szCs w:val="21"/>
                <w:highlight w:val="none"/>
                <w:vertAlign w:val="subscript"/>
              </w:rPr>
              <w:t>Mn</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NH</w:t>
            </w:r>
            <w:r>
              <w:rPr>
                <w:rFonts w:hint="default" w:ascii="Times New Roman" w:hAnsi="Times New Roman" w:cs="Times New Roman"/>
                <w:color w:val="auto"/>
                <w:kern w:val="0"/>
                <w:sz w:val="21"/>
                <w:szCs w:val="21"/>
                <w:highlight w:val="none"/>
                <w:vertAlign w:val="subscript"/>
              </w:rPr>
              <w:t>3</w:t>
            </w:r>
            <w:r>
              <w:rPr>
                <w:rFonts w:hint="default" w:ascii="Times New Roman" w:hAnsi="Times New Roman" w:cs="Times New Roman"/>
                <w:color w:val="auto"/>
                <w:kern w:val="0"/>
                <w:sz w:val="21"/>
                <w:szCs w:val="21"/>
                <w:highlight w:val="none"/>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浓度（mg/L）</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25</w:t>
            </w:r>
          </w:p>
        </w:tc>
        <w:tc>
          <w:tcPr>
            <w:tcW w:w="3498"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下渗量（</w:t>
            </w:r>
            <w:r>
              <w:rPr>
                <w:rFonts w:hint="default" w:ascii="Times New Roman" w:hAnsi="Times New Roman" w:eastAsia="宋体" w:cs="Times New Roman"/>
                <w:color w:val="auto"/>
                <w:kern w:val="2"/>
                <w:sz w:val="21"/>
                <w:szCs w:val="21"/>
                <w:highlight w:val="none"/>
              </w:rPr>
              <w:t>m</w:t>
            </w:r>
            <w:r>
              <w:rPr>
                <w:rFonts w:hint="default" w:ascii="Times New Roman" w:hAnsi="Times New Roman" w:eastAsia="宋体" w:cs="Times New Roman"/>
                <w:color w:val="auto"/>
                <w:kern w:val="2"/>
                <w:sz w:val="21"/>
                <w:szCs w:val="21"/>
                <w:highlight w:val="none"/>
                <w:vertAlign w:val="superscript"/>
              </w:rPr>
              <w:t>3</w:t>
            </w:r>
            <w:r>
              <w:rPr>
                <w:rFonts w:hint="default" w:ascii="Times New Roman" w:hAnsi="Times New Roman" w:eastAsia="宋体" w:cs="Times New Roman"/>
                <w:color w:val="auto"/>
                <w:kern w:val="2"/>
                <w:sz w:val="21"/>
                <w:szCs w:val="21"/>
                <w:highlight w:val="none"/>
              </w:rPr>
              <w:t>/d</w:t>
            </w:r>
            <w:r>
              <w:rPr>
                <w:rFonts w:hint="default" w:ascii="Times New Roman" w:hAnsi="Times New Roman" w:cs="Times New Roman"/>
                <w:color w:val="auto"/>
                <w:kern w:val="0"/>
                <w:sz w:val="21"/>
                <w:szCs w:val="21"/>
                <w:highlight w:val="none"/>
              </w:rPr>
              <w:t>）</w:t>
            </w:r>
          </w:p>
        </w:tc>
        <w:tc>
          <w:tcPr>
            <w:tcW w:w="6996" w:type="dxa"/>
            <w:gridSpan w:val="2"/>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10.4</w:t>
            </w:r>
          </w:p>
        </w:tc>
      </w:tr>
      <w:bookmarkEnd w:id="245"/>
    </w:tbl>
    <w:p>
      <w:pPr>
        <w:widowControl/>
        <w:spacing w:line="360" w:lineRule="auto"/>
        <w:ind w:firstLine="422" w:firstLineChars="200"/>
        <w:rPr>
          <w:rFonts w:ascii="Times New Roman" w:hAnsi="Times New Roman" w:eastAsia="宋体" w:cs="Times New Roman"/>
          <w:b/>
          <w:color w:val="auto"/>
          <w:kern w:val="0"/>
          <w:szCs w:val="21"/>
          <w:highlight w:val="none"/>
        </w:rPr>
      </w:pPr>
      <w:r>
        <w:rPr>
          <w:rFonts w:ascii="Times New Roman" w:hAnsi="Times New Roman" w:eastAsia="宋体" w:cs="Times New Roman"/>
          <w:b/>
          <w:color w:val="auto"/>
          <w:kern w:val="0"/>
          <w:szCs w:val="21"/>
          <w:highlight w:val="none"/>
        </w:rPr>
        <w:t>注</w:t>
      </w:r>
      <w:r>
        <w:rPr>
          <w:rFonts w:hint="eastAsia" w:ascii="Times New Roman" w:hAnsi="Times New Roman" w:eastAsia="宋体" w:cs="Times New Roman"/>
          <w:b/>
          <w:color w:val="auto"/>
          <w:kern w:val="0"/>
          <w:szCs w:val="21"/>
          <w:highlight w:val="none"/>
        </w:rPr>
        <w:t>：其中</w:t>
      </w:r>
      <w:r>
        <w:rPr>
          <w:rFonts w:ascii="Times New Roman" w:hAnsi="Times New Roman" w:eastAsia="宋体" w:cs="Times New Roman"/>
          <w:b/>
          <w:color w:val="auto"/>
          <w:kern w:val="0"/>
          <w:szCs w:val="21"/>
          <w:highlight w:val="none"/>
        </w:rPr>
        <w:t>COD</w:t>
      </w:r>
      <w:r>
        <w:rPr>
          <w:rFonts w:ascii="Times New Roman" w:hAnsi="Times New Roman" w:eastAsia="宋体" w:cs="Times New Roman"/>
          <w:b/>
          <w:color w:val="auto"/>
          <w:kern w:val="0"/>
          <w:szCs w:val="21"/>
          <w:highlight w:val="none"/>
          <w:vertAlign w:val="subscript"/>
        </w:rPr>
        <w:t>Cr</w:t>
      </w:r>
      <w:r>
        <w:rPr>
          <w:rFonts w:ascii="Times New Roman" w:hAnsi="Times New Roman" w:eastAsia="宋体" w:cs="Times New Roman"/>
          <w:b/>
          <w:color w:val="auto"/>
          <w:kern w:val="0"/>
          <w:szCs w:val="21"/>
          <w:highlight w:val="none"/>
        </w:rPr>
        <w:t>按COD</w:t>
      </w:r>
      <w:r>
        <w:rPr>
          <w:rFonts w:ascii="Times New Roman" w:hAnsi="Times New Roman" w:eastAsia="宋体" w:cs="Times New Roman"/>
          <w:b/>
          <w:color w:val="auto"/>
          <w:kern w:val="0"/>
          <w:szCs w:val="21"/>
          <w:highlight w:val="none"/>
          <w:vertAlign w:val="subscript"/>
        </w:rPr>
        <w:t>Mn</w:t>
      </w:r>
      <w:r>
        <w:rPr>
          <w:rFonts w:ascii="Times New Roman" w:hAnsi="Times New Roman" w:eastAsia="宋体" w:cs="Times New Roman"/>
          <w:b/>
          <w:color w:val="auto"/>
          <w:kern w:val="0"/>
          <w:szCs w:val="21"/>
          <w:highlight w:val="none"/>
        </w:rPr>
        <w:t>：COD</w:t>
      </w:r>
      <w:r>
        <w:rPr>
          <w:rFonts w:ascii="Times New Roman" w:hAnsi="Times New Roman" w:eastAsia="宋体" w:cs="Times New Roman"/>
          <w:b/>
          <w:color w:val="auto"/>
          <w:kern w:val="0"/>
          <w:szCs w:val="21"/>
          <w:highlight w:val="none"/>
          <w:vertAlign w:val="subscript"/>
        </w:rPr>
        <w:t>Cr</w:t>
      </w:r>
      <w:r>
        <w:rPr>
          <w:rFonts w:ascii="Times New Roman" w:hAnsi="Times New Roman" w:eastAsia="宋体" w:cs="Times New Roman"/>
          <w:b/>
          <w:color w:val="auto"/>
          <w:kern w:val="0"/>
          <w:szCs w:val="21"/>
          <w:highlight w:val="none"/>
        </w:rPr>
        <w:t>=1：4进行换算</w:t>
      </w:r>
    </w:p>
    <w:p>
      <w:pPr>
        <w:widowControl/>
        <w:spacing w:line="360" w:lineRule="auto"/>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szCs w:val="24"/>
          <w:highlight w:val="none"/>
        </w:rPr>
        <w:t>经计算，项目非正常工况下各主要产污构筑物</w:t>
      </w:r>
      <w:r>
        <w:rPr>
          <w:rFonts w:hint="eastAsia" w:ascii="Times New Roman" w:hAnsi="Times New Roman" w:eastAsia="宋体" w:cs="Times New Roman"/>
          <w:color w:val="auto"/>
          <w:sz w:val="24"/>
          <w:szCs w:val="24"/>
          <w:highlight w:val="none"/>
        </w:rPr>
        <w:t>泄露</w:t>
      </w:r>
      <w:r>
        <w:rPr>
          <w:rFonts w:ascii="Times New Roman" w:hAnsi="Times New Roman" w:eastAsia="宋体" w:cs="Times New Roman"/>
          <w:color w:val="auto"/>
          <w:sz w:val="24"/>
          <w:szCs w:val="24"/>
          <w:highlight w:val="none"/>
        </w:rPr>
        <w:t>量如下：污水处理站下渗量为</w:t>
      </w:r>
      <w:r>
        <w:rPr>
          <w:rFonts w:hint="eastAsia" w:ascii="Times New Roman" w:hAnsi="Times New Roman" w:cs="Times New Roman"/>
          <w:color w:val="auto"/>
          <w:sz w:val="24"/>
          <w:szCs w:val="24"/>
          <w:highlight w:val="none"/>
        </w:rPr>
        <w:t>1</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rPr>
        <w:t>2</w:t>
      </w:r>
      <w:r>
        <w:rPr>
          <w:rFonts w:ascii="Times New Roman" w:hAnsi="Times New Roman" w:cs="Times New Roman"/>
          <w:color w:val="auto"/>
          <w:sz w:val="24"/>
          <w:szCs w:val="24"/>
          <w:highlight w:val="none"/>
        </w:rPr>
        <w:t>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/d</w:t>
      </w:r>
      <w:r>
        <w:rPr>
          <w:rFonts w:hint="eastAsia" w:ascii="Times New Roman" w:hAnsi="Times New Roman" w:cs="Times New Roman"/>
          <w:color w:val="auto"/>
          <w:sz w:val="24"/>
          <w:szCs w:val="24"/>
          <w:highlight w:val="none"/>
        </w:rPr>
        <w:t>；</w:t>
      </w:r>
      <w:r>
        <w:rPr>
          <w:rFonts w:ascii="Times New Roman" w:hAnsi="Times New Roman" w:cs="Times New Roman"/>
          <w:color w:val="auto"/>
          <w:kern w:val="0"/>
          <w:sz w:val="24"/>
          <w:szCs w:val="24"/>
          <w:highlight w:val="none"/>
        </w:rPr>
        <w:t>生活废水处理设施</w:t>
      </w:r>
      <w:r>
        <w:rPr>
          <w:rFonts w:hint="eastAsia" w:ascii="Times New Roman" w:hAnsi="Times New Roman" w:eastAsia="宋体" w:cs="Times New Roman"/>
          <w:color w:val="auto"/>
          <w:sz w:val="24"/>
          <w:highlight w:val="none"/>
        </w:rPr>
        <w:t>为</w:t>
      </w:r>
      <w:r>
        <w:rPr>
          <w:rFonts w:ascii="Times New Roman" w:hAnsi="Times New Roman" w:cs="Times New Roman"/>
          <w:color w:val="auto"/>
          <w:sz w:val="24"/>
          <w:szCs w:val="24"/>
          <w:highlight w:val="none"/>
        </w:rPr>
        <w:t>0.</w:t>
      </w:r>
      <w:r>
        <w:rPr>
          <w:rFonts w:hint="eastAsia" w:ascii="Times New Roman" w:hAnsi="Times New Roman" w:cs="Times New Roman"/>
          <w:color w:val="auto"/>
          <w:sz w:val="24"/>
          <w:szCs w:val="24"/>
          <w:highlight w:val="none"/>
        </w:rPr>
        <w:t>16</w:t>
      </w:r>
      <w:r>
        <w:rPr>
          <w:rFonts w:ascii="Times New Roman" w:hAnsi="Times New Roman" w:eastAsia="宋体" w:cs="Times New Roman"/>
          <w:color w:val="auto"/>
          <w:sz w:val="24"/>
          <w:szCs w:val="24"/>
          <w:highlight w:val="none"/>
        </w:rPr>
        <w:t>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rPr>
        <w:t>；</w:t>
      </w:r>
      <w:r>
        <w:rPr>
          <w:rFonts w:ascii="Times New Roman" w:hAnsi="Times New Roman" w:cs="Times New Roman"/>
          <w:color w:val="auto"/>
          <w:kern w:val="0"/>
          <w:sz w:val="24"/>
          <w:szCs w:val="24"/>
          <w:highlight w:val="none"/>
        </w:rPr>
        <w:t>集污池</w:t>
      </w:r>
      <w:r>
        <w:rPr>
          <w:rFonts w:ascii="Times New Roman" w:hAnsi="Times New Roman" w:eastAsia="宋体" w:cs="Times New Roman"/>
          <w:color w:val="auto"/>
          <w:sz w:val="24"/>
          <w:highlight w:val="none"/>
        </w:rPr>
        <w:t>下渗量</w:t>
      </w:r>
      <w:r>
        <w:rPr>
          <w:rFonts w:hint="eastAsia" w:ascii="Times New Roman" w:hAnsi="Times New Roman" w:eastAsia="宋体" w:cs="Times New Roman"/>
          <w:color w:val="auto"/>
          <w:sz w:val="24"/>
          <w:highlight w:val="none"/>
        </w:rPr>
        <w:t>为</w:t>
      </w:r>
      <w:r>
        <w:rPr>
          <w:rFonts w:hint="eastAsia" w:ascii="Times New Roman" w:hAnsi="Times New Roman" w:cs="Times New Roman"/>
          <w:color w:val="auto"/>
          <w:sz w:val="24"/>
          <w:szCs w:val="24"/>
          <w:highlight w:val="none"/>
        </w:rPr>
        <w:t>1</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rPr>
        <w:t>0</w:t>
      </w:r>
      <w:r>
        <w:rPr>
          <w:rFonts w:ascii="Times New Roman" w:hAnsi="Times New Roman" w:cs="Times New Roman"/>
          <w:color w:val="auto"/>
          <w:sz w:val="24"/>
          <w:szCs w:val="24"/>
          <w:highlight w:val="none"/>
        </w:rPr>
        <w:t>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/d</w:t>
      </w:r>
      <w:r>
        <w:rPr>
          <w:rFonts w:hint="eastAsia" w:ascii="Times New Roman" w:hAnsi="Times New Roman" w:cs="Times New Roman"/>
          <w:color w:val="auto"/>
          <w:sz w:val="24"/>
          <w:szCs w:val="24"/>
          <w:highlight w:val="none"/>
        </w:rPr>
        <w:t>；</w:t>
      </w:r>
      <w:r>
        <w:rPr>
          <w:rFonts w:ascii="Times New Roman" w:hAnsi="Times New Roman" w:eastAsia="宋体" w:cs="Times New Roman"/>
          <w:color w:val="auto"/>
          <w:sz w:val="24"/>
          <w:szCs w:val="24"/>
          <w:highlight w:val="none"/>
        </w:rPr>
        <w:t>尾水储存池下渗量</w:t>
      </w:r>
      <w:r>
        <w:rPr>
          <w:rFonts w:hint="eastAsia" w:ascii="Times New Roman" w:hAnsi="Times New Roman" w:eastAsia="宋体" w:cs="Times New Roman"/>
          <w:color w:val="auto"/>
          <w:sz w:val="24"/>
          <w:szCs w:val="24"/>
          <w:highlight w:val="none"/>
        </w:rPr>
        <w:t>为</w:t>
      </w:r>
      <w:r>
        <w:rPr>
          <w:rFonts w:hint="eastAsia" w:ascii="Times New Roman" w:hAnsi="Times New Roman" w:cs="Times New Roman"/>
          <w:color w:val="auto"/>
          <w:sz w:val="24"/>
          <w:szCs w:val="24"/>
          <w:highlight w:val="none"/>
        </w:rPr>
        <w:t>10</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rPr>
        <w:t>4</w:t>
      </w:r>
      <w:r>
        <w:rPr>
          <w:rFonts w:ascii="Times New Roman" w:hAnsi="Times New Roman" w:cs="Times New Roman"/>
          <w:color w:val="auto"/>
          <w:sz w:val="24"/>
          <w:szCs w:val="24"/>
          <w:highlight w:val="none"/>
        </w:rPr>
        <w:t>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/d。</w:t>
      </w:r>
    </w:p>
    <w:p>
      <w:pPr>
        <w:spacing w:line="360" w:lineRule="auto"/>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6、预测因子</w:t>
      </w:r>
      <w:r>
        <w:rPr>
          <w:rFonts w:hint="eastAsia" w:ascii="Times New Roman" w:hAnsi="Times New Roman" w:eastAsia="宋体" w:cs="Times New Roman"/>
          <w:b/>
          <w:color w:val="auto"/>
          <w:sz w:val="24"/>
          <w:highlight w:val="none"/>
        </w:rPr>
        <w:t>、范围及时段</w:t>
      </w:r>
    </w:p>
    <w:p>
      <w:pPr>
        <w:widowControl/>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根据建设项目污染物的实际情况和预测的可行性，同时考虑预测因子的代表性，选取污染物相对较高浓度为源强进行地下水环境污染的预测，本次评价将重点针对</w:t>
      </w:r>
      <w:r>
        <w:rPr>
          <w:rFonts w:ascii="Times New Roman" w:hAnsi="Times New Roman" w:eastAsia="宋体" w:cs="Times New Roman"/>
          <w:bCs/>
          <w:color w:val="auto"/>
          <w:sz w:val="24"/>
          <w:szCs w:val="24"/>
          <w:highlight w:val="none"/>
        </w:rPr>
        <w:t>污水处理站、生活废水处理设施、集污池、尾水储存池</w:t>
      </w:r>
      <w:r>
        <w:rPr>
          <w:rFonts w:ascii="Times New Roman" w:hAnsi="Times New Roman" w:eastAsia="宋体" w:cs="Times New Roman"/>
          <w:color w:val="auto"/>
          <w:sz w:val="24"/>
          <w:szCs w:val="24"/>
          <w:highlight w:val="none"/>
        </w:rPr>
        <w:t>进行预测。选取的预测因子主要为COD</w:t>
      </w:r>
      <w:r>
        <w:rPr>
          <w:rFonts w:ascii="Times New Roman" w:hAnsi="Times New Roman" w:eastAsia="宋体" w:cs="Times New Roman"/>
          <w:color w:val="auto"/>
          <w:sz w:val="24"/>
          <w:szCs w:val="24"/>
          <w:highlight w:val="none"/>
          <w:vertAlign w:val="subscript"/>
        </w:rPr>
        <w:t>Mn</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NH</w:t>
      </w:r>
      <w:r>
        <w:rPr>
          <w:rFonts w:ascii="Times New Roman" w:hAnsi="Times New Roman" w:eastAsia="宋体" w:cs="Times New Roman"/>
          <w:color w:val="auto"/>
          <w:sz w:val="24"/>
          <w:szCs w:val="24"/>
          <w:highlight w:val="none"/>
          <w:vertAlign w:val="subscript"/>
        </w:rPr>
        <w:t>3</w:t>
      </w:r>
      <w:r>
        <w:rPr>
          <w:rFonts w:ascii="Times New Roman" w:hAnsi="Times New Roman" w:eastAsia="宋体" w:cs="Times New Roman"/>
          <w:color w:val="auto"/>
          <w:sz w:val="24"/>
          <w:szCs w:val="24"/>
          <w:highlight w:val="none"/>
        </w:rPr>
        <w:t>-N</w:t>
      </w:r>
      <w:bookmarkStart w:id="246" w:name="_Hlk58164513"/>
      <w:r>
        <w:rPr>
          <w:rFonts w:ascii="Times New Roman" w:hAnsi="Times New Roman" w:eastAsia="宋体" w:cs="Times New Roman"/>
          <w:color w:val="auto"/>
          <w:sz w:val="24"/>
          <w:szCs w:val="24"/>
          <w:highlight w:val="none"/>
        </w:rPr>
        <w:t>。</w:t>
      </w:r>
      <w:bookmarkEnd w:id="246"/>
    </w:p>
    <w:p>
      <w:pPr>
        <w:widowControl/>
        <w:spacing w:line="360" w:lineRule="auto"/>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根据现场调查、</w:t>
      </w:r>
      <w:r>
        <w:rPr>
          <w:rFonts w:hint="eastAsia" w:ascii="Times New Roman" w:hAnsi="Times New Roman" w:eastAsia="宋体" w:cs="Times New Roman"/>
          <w:color w:val="auto"/>
          <w:kern w:val="0"/>
          <w:sz w:val="24"/>
          <w:szCs w:val="24"/>
          <w:highlight w:val="none"/>
        </w:rPr>
        <w:t>评价区</w:t>
      </w:r>
      <w:r>
        <w:rPr>
          <w:rFonts w:ascii="Times New Roman" w:hAnsi="Times New Roman" w:eastAsia="宋体" w:cs="Times New Roman"/>
          <w:color w:val="auto"/>
          <w:kern w:val="0"/>
          <w:sz w:val="24"/>
          <w:szCs w:val="24"/>
          <w:highlight w:val="none"/>
        </w:rPr>
        <w:t>水文地质</w:t>
      </w:r>
      <w:r>
        <w:rPr>
          <w:rFonts w:hint="eastAsia" w:ascii="Times New Roman" w:hAnsi="Times New Roman" w:eastAsia="宋体" w:cs="Times New Roman"/>
          <w:color w:val="auto"/>
          <w:kern w:val="0"/>
          <w:sz w:val="24"/>
          <w:szCs w:val="24"/>
          <w:highlight w:val="none"/>
        </w:rPr>
        <w:t>条件，综合考虑边界条件及模型图框范围要求，</w:t>
      </w:r>
      <w:r>
        <w:rPr>
          <w:rFonts w:hint="eastAsia" w:ascii="宋体" w:hAnsi="等线" w:eastAsia="宋体" w:cs="宋体"/>
          <w:color w:val="auto"/>
          <w:kern w:val="0"/>
          <w:sz w:val="24"/>
          <w:szCs w:val="24"/>
          <w:highlight w:val="none"/>
        </w:rPr>
        <w:t>确定本项目预测范围：</w:t>
      </w:r>
      <w:r>
        <w:rPr>
          <w:rFonts w:ascii="Times New Roman" w:hAnsi="Times New Roman" w:eastAsia="宋体" w:cs="Times New Roman"/>
          <w:color w:val="auto"/>
          <w:kern w:val="0"/>
          <w:sz w:val="24"/>
          <w:szCs w:val="24"/>
          <w:highlight w:val="none"/>
        </w:rPr>
        <w:t>西侧及</w:t>
      </w:r>
      <w:r>
        <w:rPr>
          <w:rFonts w:hint="eastAsia" w:ascii="Times New Roman" w:hAnsi="Times New Roman" w:eastAsia="宋体" w:cs="Times New Roman"/>
          <w:color w:val="auto"/>
          <w:kern w:val="0"/>
          <w:sz w:val="24"/>
          <w:szCs w:val="24"/>
          <w:highlight w:val="none"/>
        </w:rPr>
        <w:t>西南</w:t>
      </w:r>
      <w:r>
        <w:rPr>
          <w:rFonts w:ascii="Times New Roman" w:hAnsi="Times New Roman" w:eastAsia="宋体" w:cs="Times New Roman"/>
          <w:color w:val="auto"/>
          <w:kern w:val="0"/>
          <w:sz w:val="24"/>
          <w:szCs w:val="24"/>
          <w:highlight w:val="none"/>
        </w:rPr>
        <w:t>侧以</w:t>
      </w:r>
      <w:r>
        <w:rPr>
          <w:rFonts w:hint="eastAsia" w:ascii="Times New Roman" w:hAnsi="Times New Roman" w:eastAsia="宋体" w:cs="Times New Roman"/>
          <w:color w:val="auto"/>
          <w:kern w:val="0"/>
          <w:sz w:val="24"/>
          <w:szCs w:val="24"/>
          <w:highlight w:val="none"/>
        </w:rPr>
        <w:t>罗</w:t>
      </w:r>
      <w:r>
        <w:rPr>
          <w:rFonts w:ascii="Times New Roman" w:hAnsi="Times New Roman" w:eastAsia="宋体" w:cs="Times New Roman"/>
          <w:color w:val="auto"/>
          <w:kern w:val="0"/>
          <w:sz w:val="24"/>
          <w:szCs w:val="24"/>
          <w:highlight w:val="none"/>
        </w:rPr>
        <w:t>地沟水库为界</w:t>
      </w:r>
      <w:r>
        <w:rPr>
          <w:rFonts w:hint="eastAsia" w:ascii="Times New Roman" w:hAnsi="Times New Roman" w:eastAsia="宋体" w:cs="Times New Roman"/>
          <w:color w:val="auto"/>
          <w:kern w:val="0"/>
          <w:sz w:val="24"/>
          <w:szCs w:val="24"/>
          <w:highlight w:val="none"/>
        </w:rPr>
        <w:t>，北</w:t>
      </w:r>
      <w:r>
        <w:rPr>
          <w:rFonts w:ascii="Times New Roman" w:hAnsi="Times New Roman" w:eastAsia="宋体" w:cs="Times New Roman"/>
          <w:color w:val="auto"/>
          <w:kern w:val="0"/>
          <w:sz w:val="24"/>
          <w:szCs w:val="24"/>
          <w:highlight w:val="none"/>
        </w:rPr>
        <w:t>侧以</w:t>
      </w:r>
      <w:r>
        <w:rPr>
          <w:rFonts w:hint="eastAsia" w:ascii="Times New Roman" w:hAnsi="Times New Roman" w:eastAsia="宋体" w:cs="Times New Roman"/>
          <w:color w:val="auto"/>
          <w:kern w:val="0"/>
          <w:sz w:val="24"/>
          <w:szCs w:val="24"/>
          <w:highlight w:val="none"/>
        </w:rPr>
        <w:t>纸长</w:t>
      </w:r>
      <w:r>
        <w:rPr>
          <w:rFonts w:ascii="Times New Roman" w:hAnsi="Times New Roman" w:eastAsia="宋体" w:cs="Times New Roman"/>
          <w:color w:val="auto"/>
          <w:kern w:val="0"/>
          <w:sz w:val="24"/>
          <w:szCs w:val="24"/>
          <w:highlight w:val="none"/>
        </w:rPr>
        <w:t>河支流油坊沟为界</w:t>
      </w:r>
      <w:r>
        <w:rPr>
          <w:rFonts w:hint="eastAsia" w:ascii="Times New Roman" w:hAnsi="Times New Roman" w:eastAsia="宋体" w:cs="Times New Roman"/>
          <w:color w:val="auto"/>
          <w:kern w:val="0"/>
          <w:sz w:val="24"/>
          <w:szCs w:val="24"/>
          <w:highlight w:val="none"/>
        </w:rPr>
        <w:t>，东</w:t>
      </w:r>
      <w:r>
        <w:rPr>
          <w:rFonts w:ascii="Times New Roman" w:hAnsi="Times New Roman" w:eastAsia="宋体" w:cs="Times New Roman"/>
          <w:color w:val="auto"/>
          <w:kern w:val="0"/>
          <w:sz w:val="24"/>
          <w:szCs w:val="24"/>
          <w:highlight w:val="none"/>
        </w:rPr>
        <w:t>侧和</w:t>
      </w:r>
      <w:r>
        <w:rPr>
          <w:rFonts w:hint="eastAsia" w:ascii="Times New Roman" w:hAnsi="Times New Roman" w:eastAsia="宋体" w:cs="Times New Roman"/>
          <w:color w:val="auto"/>
          <w:kern w:val="0"/>
          <w:sz w:val="24"/>
          <w:szCs w:val="24"/>
          <w:highlight w:val="none"/>
        </w:rPr>
        <w:t>南</w:t>
      </w:r>
      <w:r>
        <w:rPr>
          <w:rFonts w:ascii="Times New Roman" w:hAnsi="Times New Roman" w:eastAsia="宋体" w:cs="Times New Roman"/>
          <w:color w:val="auto"/>
          <w:kern w:val="0"/>
          <w:sz w:val="24"/>
          <w:szCs w:val="24"/>
          <w:highlight w:val="none"/>
        </w:rPr>
        <w:t>侧以地表分水岭为界</w:t>
      </w:r>
      <w:r>
        <w:rPr>
          <w:rFonts w:hint="eastAsia" w:ascii="Times New Roman" w:hAnsi="Times New Roman" w:eastAsia="宋体" w:cs="Times New Roman"/>
          <w:color w:val="auto"/>
          <w:kern w:val="0"/>
          <w:sz w:val="24"/>
          <w:szCs w:val="24"/>
          <w:highlight w:val="none"/>
        </w:rPr>
        <w:t>，</w:t>
      </w:r>
      <w:r>
        <w:rPr>
          <w:rFonts w:ascii="Times New Roman" w:hAnsi="Times New Roman" w:eastAsia="宋体" w:cs="Times New Roman"/>
          <w:color w:val="auto"/>
          <w:kern w:val="0"/>
          <w:sz w:val="24"/>
          <w:szCs w:val="24"/>
          <w:highlight w:val="none"/>
        </w:rPr>
        <w:t>本项目地下水环境评价范围共计约</w:t>
      </w:r>
      <w:r>
        <w:rPr>
          <w:rFonts w:hint="eastAsia" w:ascii="Times New Roman" w:hAnsi="Times New Roman" w:eastAsia="宋体" w:cs="Times New Roman"/>
          <w:color w:val="auto"/>
          <w:kern w:val="0"/>
          <w:sz w:val="24"/>
          <w:szCs w:val="24"/>
          <w:highlight w:val="none"/>
        </w:rPr>
        <w:t>2</w:t>
      </w:r>
      <w:r>
        <w:rPr>
          <w:rFonts w:ascii="Times New Roman" w:hAnsi="Times New Roman" w:eastAsia="宋体" w:cs="Times New Roman"/>
          <w:color w:val="auto"/>
          <w:kern w:val="0"/>
          <w:sz w:val="24"/>
          <w:szCs w:val="24"/>
          <w:highlight w:val="none"/>
        </w:rPr>
        <w:t>.</w:t>
      </w:r>
      <w:r>
        <w:rPr>
          <w:rFonts w:hint="eastAsia" w:ascii="Times New Roman" w:hAnsi="Times New Roman" w:eastAsia="宋体" w:cs="Times New Roman"/>
          <w:color w:val="auto"/>
          <w:kern w:val="0"/>
          <w:sz w:val="24"/>
          <w:szCs w:val="24"/>
          <w:highlight w:val="none"/>
        </w:rPr>
        <w:t>0</w:t>
      </w:r>
      <w:r>
        <w:rPr>
          <w:rFonts w:ascii="Times New Roman" w:hAnsi="Times New Roman" w:eastAsia="宋体" w:cs="Times New Roman"/>
          <w:color w:val="auto"/>
          <w:kern w:val="0"/>
          <w:sz w:val="24"/>
          <w:szCs w:val="24"/>
          <w:highlight w:val="none"/>
        </w:rPr>
        <w:t>km</w:t>
      </w:r>
      <w:r>
        <w:rPr>
          <w:rFonts w:ascii="Times New Roman" w:hAnsi="Times New Roman" w:eastAsia="宋体" w:cs="Times New Roman"/>
          <w:color w:val="auto"/>
          <w:kern w:val="0"/>
          <w:sz w:val="24"/>
          <w:szCs w:val="24"/>
          <w:highlight w:val="none"/>
          <w:vertAlign w:val="superscript"/>
        </w:rPr>
        <w:t>2</w:t>
      </w:r>
      <w:r>
        <w:rPr>
          <w:rFonts w:ascii="Times New Roman" w:hAnsi="Times New Roman" w:eastAsia="宋体" w:cs="Times New Roman"/>
          <w:color w:val="auto"/>
          <w:kern w:val="0"/>
          <w:sz w:val="24"/>
          <w:szCs w:val="24"/>
          <w:highlight w:val="none"/>
        </w:rPr>
        <w:t>。</w:t>
      </w:r>
    </w:p>
    <w:p>
      <w:pPr>
        <w:spacing w:line="360" w:lineRule="auto"/>
        <w:ind w:firstLine="480" w:firstLineChars="200"/>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针对本项目产污特征，本次预测时段主要为：项目运行期非正常状况下发生后0～2</w:t>
      </w:r>
      <w:r>
        <w:rPr>
          <w:rFonts w:ascii="Times New Roman" w:hAnsi="Times New Roman" w:eastAsia="宋体" w:cs="Times New Roman"/>
          <w:color w:val="auto"/>
          <w:kern w:val="0"/>
          <w:sz w:val="24"/>
          <w:szCs w:val="24"/>
          <w:highlight w:val="none"/>
        </w:rPr>
        <w:t>000d</w:t>
      </w:r>
      <w:r>
        <w:rPr>
          <w:rFonts w:hint="eastAsia" w:ascii="Times New Roman" w:hAnsi="Times New Roman" w:eastAsia="宋体" w:cs="Times New Roman"/>
          <w:color w:val="auto"/>
          <w:kern w:val="0"/>
          <w:sz w:val="24"/>
          <w:szCs w:val="24"/>
          <w:highlight w:val="none"/>
        </w:rPr>
        <w:t>的地下水环境影响。</w:t>
      </w:r>
    </w:p>
    <w:p>
      <w:pPr>
        <w:spacing w:line="360" w:lineRule="auto"/>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7、预测方法及结果</w:t>
      </w:r>
    </w:p>
    <w:p>
      <w:pPr>
        <w:spacing w:line="360" w:lineRule="auto"/>
        <w:ind w:firstLine="482" w:firstLineChars="200"/>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1）</w:t>
      </w:r>
      <w:r>
        <w:rPr>
          <w:rFonts w:hint="eastAsia" w:ascii="Times New Roman" w:hAnsi="Times New Roman" w:eastAsia="宋体" w:cs="Times New Roman"/>
          <w:b/>
          <w:color w:val="auto"/>
          <w:sz w:val="24"/>
          <w:highlight w:val="none"/>
        </w:rPr>
        <w:t>预测方法</w:t>
      </w:r>
    </w:p>
    <w:p>
      <w:pPr>
        <w:spacing w:line="360" w:lineRule="auto"/>
        <w:ind w:firstLine="480" w:firstLineChars="200"/>
        <w:textAlignment w:val="center"/>
        <w:rPr>
          <w:rFonts w:ascii="Times New Roman" w:hAnsi="Times New Roman" w:eastAsia="宋体" w:cs="Times New Roman"/>
          <w:bCs/>
          <w:color w:val="auto"/>
          <w:sz w:val="24"/>
          <w:highlight w:val="none"/>
        </w:rPr>
      </w:pPr>
      <w:r>
        <w:rPr>
          <w:rFonts w:ascii="Times New Roman" w:hAnsi="Times New Roman" w:eastAsia="宋体" w:cs="Times New Roman"/>
          <w:bCs/>
          <w:color w:val="auto"/>
          <w:sz w:val="24"/>
          <w:highlight w:val="none"/>
        </w:rPr>
        <w:t>由于本项目无重质非水相污染物，主要污染物为污水，污染物泄漏后将会污染潜水含水层，因此本次地下水模型主要模拟评价区域内的潜水含水层。</w:t>
      </w:r>
      <w:r>
        <w:rPr>
          <w:rFonts w:hint="eastAsia" w:ascii="Times New Roman" w:hAnsi="Times New Roman" w:eastAsia="宋体" w:cs="Times New Roman"/>
          <w:bCs/>
          <w:color w:val="auto"/>
          <w:sz w:val="24"/>
          <w:highlight w:val="none"/>
        </w:rPr>
        <w:t>采用解析法进行预测。</w:t>
      </w:r>
    </w:p>
    <w:p>
      <w:pPr>
        <w:spacing w:line="360" w:lineRule="auto"/>
        <w:ind w:firstLine="480" w:firstLineChars="200"/>
        <w:textAlignment w:val="center"/>
        <w:rPr>
          <w:rFonts w:ascii="Times New Roman" w:hAnsi="Times New Roman" w:eastAsia="宋体" w:cs="Times New Roman"/>
          <w:bCs/>
          <w:color w:val="auto"/>
          <w:sz w:val="24"/>
          <w:highlight w:val="none"/>
        </w:rPr>
      </w:pPr>
      <w:r>
        <w:rPr>
          <w:rFonts w:ascii="Times New Roman" w:hAnsi="Times New Roman" w:eastAsia="宋体" w:cs="Times New Roman"/>
          <w:bCs/>
          <w:color w:val="auto"/>
          <w:sz w:val="24"/>
          <w:highlight w:val="none"/>
        </w:rPr>
        <w:t>含有污染物的废水将以入渗的方式进入含水层，从保守角度，本次计算忽略污染物在包气带的运移过程。项目地地下水流向呈一维流动，地下水位动态稳定，因此污染物在浅层含水层中的迁移，可概化为瞬时注入示踪剂（平面瞬时点源）的一维稳定流动二维水动力弥散问题，当取平行地下水流动的方向为x 轴正方向时，则污染物浓度分布模型如下：</w:t>
      </w:r>
    </w:p>
    <w:p>
      <w:pPr>
        <w:spacing w:line="360" w:lineRule="auto"/>
        <w:ind w:firstLine="480" w:firstLineChars="200"/>
        <w:jc w:val="center"/>
        <w:textAlignment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drawing>
          <wp:inline distT="0" distB="0" distL="114300" distR="114300">
            <wp:extent cx="2329815" cy="524510"/>
            <wp:effectExtent l="0" t="0" r="13335" b="0"/>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pic:cNvPicPr>
                      <a:picLocks noChangeAspect="1"/>
                    </pic:cNvPicPr>
                  </pic:nvPicPr>
                  <pic:blipFill>
                    <a:blip r:embed="rId57">
                      <a:clrChange>
                        <a:clrFrom>
                          <a:srgbClr val="FFFFFF"/>
                        </a:clrFrom>
                        <a:clrTo>
                          <a:srgbClr val="FFFFFF">
                            <a:alpha val="0"/>
                          </a:srgbClr>
                        </a:clrTo>
                      </a:clrChange>
                    </a:blip>
                    <a:stretch>
                      <a:fillRect/>
                    </a:stretch>
                  </pic:blipFill>
                  <pic:spPr>
                    <a:xfrm>
                      <a:off x="0" y="0"/>
                      <a:ext cx="2329815" cy="524510"/>
                    </a:xfrm>
                    <a:prstGeom prst="rect">
                      <a:avLst/>
                    </a:prstGeom>
                    <a:noFill/>
                    <a:ln>
                      <a:noFill/>
                    </a:ln>
                  </pic:spPr>
                </pic:pic>
              </a:graphicData>
            </a:graphic>
          </wp:inline>
        </w:drawing>
      </w:r>
    </w:p>
    <w:p>
      <w:pPr>
        <w:spacing w:line="360" w:lineRule="auto"/>
        <w:ind w:firstLine="480" w:firstLineChars="2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式中：x、y -计算点处的位置坐标，m；</w:t>
      </w:r>
    </w:p>
    <w:p>
      <w:pPr>
        <w:spacing w:line="360" w:lineRule="auto"/>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t -时间，d；</w:t>
      </w:r>
    </w:p>
    <w:p>
      <w:pPr>
        <w:spacing w:line="360" w:lineRule="auto"/>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C（x，y，t）-t 时刻点x，y 处的示踪剂浓度，g/L；</w:t>
      </w:r>
    </w:p>
    <w:p>
      <w:pPr>
        <w:spacing w:line="360" w:lineRule="auto"/>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M -含水层的厚度，m；</w:t>
      </w:r>
    </w:p>
    <w:p>
      <w:pPr>
        <w:spacing w:line="360" w:lineRule="auto"/>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m</w:t>
      </w:r>
      <w:r>
        <w:rPr>
          <w:rFonts w:ascii="Times New Roman" w:hAnsi="Times New Roman" w:eastAsia="宋体" w:cs="Times New Roman"/>
          <w:color w:val="auto"/>
          <w:sz w:val="24"/>
          <w:szCs w:val="24"/>
          <w:highlight w:val="none"/>
          <w:vertAlign w:val="subscript"/>
        </w:rPr>
        <w:t>M</w:t>
      </w:r>
      <w:r>
        <w:rPr>
          <w:rFonts w:ascii="Times New Roman" w:hAnsi="Times New Roman" w:eastAsia="宋体" w:cs="Times New Roman"/>
          <w:color w:val="auto"/>
          <w:sz w:val="24"/>
          <w:szCs w:val="24"/>
          <w:highlight w:val="none"/>
        </w:rPr>
        <w:t xml:space="preserve"> -长度为M的线源瞬时注入的示踪剂质量，kg；</w:t>
      </w:r>
    </w:p>
    <w:p>
      <w:pPr>
        <w:spacing w:line="360" w:lineRule="auto"/>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u -水流速度，m/d；</w:t>
      </w:r>
    </w:p>
    <w:p>
      <w:pPr>
        <w:spacing w:line="360" w:lineRule="auto"/>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n -有效孔隙度，无量纲；</w:t>
      </w:r>
    </w:p>
    <w:p>
      <w:pPr>
        <w:spacing w:line="360" w:lineRule="auto"/>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D</w:t>
      </w:r>
      <w:r>
        <w:rPr>
          <w:rFonts w:ascii="Times New Roman" w:hAnsi="Times New Roman" w:eastAsia="宋体" w:cs="Times New Roman"/>
          <w:color w:val="auto"/>
          <w:sz w:val="24"/>
          <w:szCs w:val="24"/>
          <w:highlight w:val="none"/>
          <w:vertAlign w:val="subscript"/>
        </w:rPr>
        <w:t>L</w:t>
      </w:r>
      <w:r>
        <w:rPr>
          <w:rFonts w:ascii="Times New Roman" w:hAnsi="Times New Roman" w:eastAsia="宋体" w:cs="Times New Roman"/>
          <w:color w:val="auto"/>
          <w:sz w:val="24"/>
          <w:szCs w:val="24"/>
          <w:highlight w:val="none"/>
        </w:rPr>
        <w:t>-纵向弥散系数，m</w:t>
      </w:r>
      <w:r>
        <w:rPr>
          <w:rFonts w:ascii="Times New Roman" w:hAnsi="Times New Roman" w:eastAsia="宋体" w:cs="Times New Roman"/>
          <w:color w:val="auto"/>
          <w:sz w:val="24"/>
          <w:szCs w:val="24"/>
          <w:highlight w:val="none"/>
          <w:vertAlign w:val="superscript"/>
        </w:rPr>
        <w:t>2</w:t>
      </w:r>
      <w:r>
        <w:rPr>
          <w:rFonts w:ascii="Times New Roman" w:hAnsi="Times New Roman" w:eastAsia="宋体" w:cs="Times New Roman"/>
          <w:color w:val="auto"/>
          <w:sz w:val="24"/>
          <w:szCs w:val="24"/>
          <w:highlight w:val="none"/>
        </w:rPr>
        <w:t>/d；</w:t>
      </w:r>
    </w:p>
    <w:p>
      <w:pPr>
        <w:spacing w:line="360" w:lineRule="auto"/>
        <w:ind w:firstLine="1200" w:firstLineChars="5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D</w:t>
      </w:r>
      <w:r>
        <w:rPr>
          <w:rFonts w:ascii="Times New Roman" w:hAnsi="Times New Roman" w:eastAsia="宋体" w:cs="Times New Roman"/>
          <w:color w:val="auto"/>
          <w:sz w:val="24"/>
          <w:szCs w:val="24"/>
          <w:highlight w:val="none"/>
          <w:vertAlign w:val="subscript"/>
        </w:rPr>
        <w:t>T</w:t>
      </w:r>
      <w:r>
        <w:rPr>
          <w:rFonts w:ascii="Times New Roman" w:hAnsi="Times New Roman" w:eastAsia="宋体" w:cs="Times New Roman"/>
          <w:color w:val="auto"/>
          <w:sz w:val="24"/>
          <w:szCs w:val="24"/>
          <w:highlight w:val="none"/>
        </w:rPr>
        <w:t>-横向弥散系数，m</w:t>
      </w:r>
      <w:r>
        <w:rPr>
          <w:rFonts w:ascii="Times New Roman" w:hAnsi="Times New Roman" w:eastAsia="宋体" w:cs="Times New Roman"/>
          <w:color w:val="auto"/>
          <w:sz w:val="24"/>
          <w:szCs w:val="24"/>
          <w:highlight w:val="none"/>
          <w:vertAlign w:val="superscript"/>
        </w:rPr>
        <w:t>2</w:t>
      </w:r>
      <w:r>
        <w:rPr>
          <w:rFonts w:ascii="Times New Roman" w:hAnsi="Times New Roman" w:eastAsia="宋体" w:cs="Times New Roman"/>
          <w:color w:val="auto"/>
          <w:sz w:val="24"/>
          <w:szCs w:val="24"/>
          <w:highlight w:val="none"/>
        </w:rPr>
        <w:t>/d；</w:t>
      </w:r>
    </w:p>
    <w:p>
      <w:pPr>
        <w:spacing w:line="360" w:lineRule="auto"/>
        <w:ind w:firstLine="1200" w:firstLineChars="500"/>
        <w:textAlignment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π-圆周率。</w:t>
      </w:r>
    </w:p>
    <w:p>
      <w:pPr>
        <w:spacing w:line="360" w:lineRule="auto"/>
        <w:ind w:firstLine="482" w:firstLineChars="200"/>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2）参数选取</w:t>
      </w:r>
    </w:p>
    <w:p>
      <w:pPr>
        <w:spacing w:line="360" w:lineRule="auto"/>
        <w:ind w:firstLine="480" w:firstLineChars="200"/>
        <w:textAlignment w:val="center"/>
        <w:rPr>
          <w:rFonts w:ascii="Times New Roman" w:hAnsi="Times New Roman" w:eastAsia="宋体" w:cs="Times New Roman"/>
          <w:bCs/>
          <w:color w:val="auto"/>
          <w:sz w:val="24"/>
          <w:highlight w:val="none"/>
        </w:rPr>
      </w:pPr>
      <w:r>
        <w:rPr>
          <w:rFonts w:hint="eastAsia" w:ascii="宋体" w:hAnsi="宋体" w:eastAsia="宋体" w:cs="宋体"/>
          <w:bCs/>
          <w:color w:val="auto"/>
          <w:sz w:val="24"/>
          <w:highlight w:val="none"/>
        </w:rPr>
        <w:t>①</w:t>
      </w:r>
      <w:r>
        <w:rPr>
          <w:rFonts w:ascii="Times New Roman" w:hAnsi="Times New Roman" w:eastAsia="宋体" w:cs="Times New Roman"/>
          <w:bCs/>
          <w:color w:val="auto"/>
          <w:sz w:val="24"/>
          <w:highlight w:val="none"/>
        </w:rPr>
        <w:t>含水层厚度M</w:t>
      </w:r>
      <w:r>
        <w:rPr>
          <w:rFonts w:hint="eastAsia" w:ascii="Times New Roman" w:hAnsi="Times New Roman" w:eastAsia="宋体" w:cs="Times New Roman"/>
          <w:bCs/>
          <w:color w:val="auto"/>
          <w:sz w:val="24"/>
          <w:highlight w:val="none"/>
        </w:rPr>
        <w:t>：根据《仪陇幅1:20万综合水文地质图》及其配套水文地质普查报告，结合项目岩土工程勘察报告和钻孔资料，本项目目标含水层厚度平均</w:t>
      </w:r>
      <w:r>
        <w:rPr>
          <w:rFonts w:ascii="Times New Roman" w:hAnsi="Times New Roman" w:eastAsia="宋体" w:cs="Times New Roman"/>
          <w:bCs/>
          <w:color w:val="auto"/>
          <w:sz w:val="24"/>
          <w:highlight w:val="none"/>
        </w:rPr>
        <w:t>取约</w:t>
      </w:r>
      <w:r>
        <w:rPr>
          <w:rFonts w:hint="eastAsia" w:ascii="Times New Roman" w:hAnsi="Times New Roman" w:eastAsia="宋体" w:cs="Times New Roman"/>
          <w:bCs/>
          <w:color w:val="auto"/>
          <w:sz w:val="24"/>
          <w:highlight w:val="none"/>
        </w:rPr>
        <w:t>2</w:t>
      </w:r>
      <w:r>
        <w:rPr>
          <w:rFonts w:ascii="Times New Roman" w:hAnsi="Times New Roman" w:eastAsia="宋体" w:cs="Times New Roman"/>
          <w:bCs/>
          <w:color w:val="auto"/>
          <w:sz w:val="24"/>
          <w:highlight w:val="none"/>
        </w:rPr>
        <w:t>0m。</w:t>
      </w:r>
    </w:p>
    <w:p>
      <w:pPr>
        <w:widowControl/>
        <w:spacing w:line="360" w:lineRule="auto"/>
        <w:ind w:firstLine="480" w:firstLineChars="200"/>
        <w:rPr>
          <w:rFonts w:ascii="Times New Roman" w:hAnsi="Times New Roman" w:eastAsia="宋体" w:cs="Times New Roman"/>
          <w:color w:val="auto"/>
          <w:sz w:val="24"/>
          <w:highlight w:val="none"/>
        </w:rPr>
      </w:pPr>
      <w:r>
        <w:rPr>
          <w:rFonts w:hint="eastAsia" w:ascii="宋体" w:hAnsi="宋体" w:eastAsia="宋体" w:cs="宋体"/>
          <w:bCs/>
          <w:color w:val="auto"/>
          <w:sz w:val="24"/>
          <w:highlight w:val="none"/>
        </w:rPr>
        <w:t>②</w:t>
      </w:r>
      <w:r>
        <w:rPr>
          <w:rFonts w:ascii="Times New Roman" w:hAnsi="Times New Roman" w:eastAsia="宋体" w:cs="Times New Roman"/>
          <w:bCs/>
          <w:color w:val="auto"/>
          <w:sz w:val="24"/>
          <w:highlight w:val="none"/>
        </w:rPr>
        <w:t>瞬时注入的示踪剂质量m</w:t>
      </w:r>
      <w:r>
        <w:rPr>
          <w:rFonts w:ascii="Times New Roman" w:hAnsi="Times New Roman" w:eastAsia="宋体" w:cs="Times New Roman"/>
          <w:bCs/>
          <w:color w:val="auto"/>
          <w:sz w:val="24"/>
          <w:highlight w:val="none"/>
          <w:vertAlign w:val="subscript"/>
        </w:rPr>
        <w:t>M</w:t>
      </w:r>
      <w:r>
        <w:rPr>
          <w:rFonts w:hint="eastAsia" w:ascii="Times New Roman" w:hAnsi="Times New Roman" w:eastAsia="宋体" w:cs="Times New Roman"/>
          <w:bCs/>
          <w:color w:val="auto"/>
          <w:sz w:val="24"/>
          <w:highlight w:val="none"/>
        </w:rPr>
        <w:t>。</w:t>
      </w:r>
    </w:p>
    <w:p>
      <w:pPr>
        <w:spacing w:line="360" w:lineRule="auto"/>
        <w:ind w:firstLine="480" w:firstLineChars="200"/>
        <w:textAlignment w:val="center"/>
        <w:rPr>
          <w:rFonts w:ascii="Times New Roman" w:hAnsi="Times New Roman" w:eastAsia="宋体" w:cs="Times New Roman"/>
          <w:bCs/>
          <w:color w:val="auto"/>
          <w:sz w:val="24"/>
          <w:highlight w:val="none"/>
        </w:rPr>
      </w:pPr>
      <w:r>
        <w:rPr>
          <w:rFonts w:hint="eastAsia" w:ascii="宋体" w:hAnsi="宋体" w:eastAsia="宋体" w:cs="宋体"/>
          <w:bCs/>
          <w:color w:val="auto"/>
          <w:sz w:val="24"/>
          <w:highlight w:val="none"/>
        </w:rPr>
        <w:t>③</w:t>
      </w:r>
      <w:r>
        <w:rPr>
          <w:rFonts w:ascii="Times New Roman" w:hAnsi="Times New Roman" w:eastAsia="宋体" w:cs="Times New Roman"/>
          <w:bCs/>
          <w:color w:val="auto"/>
          <w:sz w:val="24"/>
          <w:highlight w:val="none"/>
        </w:rPr>
        <w:t>含水层的平均有效孔隙度n：考虑含水层岩性特征，根据相关经验，项目厂区所处水文地质单元</w:t>
      </w:r>
      <w:r>
        <w:rPr>
          <w:rFonts w:hint="eastAsia" w:ascii="Times New Roman" w:hAnsi="Times New Roman" w:eastAsia="宋体" w:cs="Times New Roman"/>
          <w:bCs/>
          <w:color w:val="auto"/>
          <w:sz w:val="24"/>
          <w:highlight w:val="none"/>
        </w:rPr>
        <w:t>基岩裂隙带含水层</w:t>
      </w:r>
      <w:r>
        <w:rPr>
          <w:rFonts w:ascii="Times New Roman" w:hAnsi="Times New Roman" w:eastAsia="宋体" w:cs="Times New Roman"/>
          <w:bCs/>
          <w:color w:val="auto"/>
          <w:sz w:val="24"/>
          <w:highlight w:val="none"/>
        </w:rPr>
        <w:t>有效孔隙度取0.10。</w:t>
      </w:r>
    </w:p>
    <w:p>
      <w:pPr>
        <w:spacing w:line="360" w:lineRule="auto"/>
        <w:ind w:firstLine="480" w:firstLineChars="200"/>
        <w:textAlignment w:val="center"/>
        <w:rPr>
          <w:rFonts w:ascii="宋体" w:hAnsi="宋体" w:eastAsia="宋体" w:cs="宋体"/>
          <w:bCs/>
          <w:color w:val="auto"/>
          <w:sz w:val="24"/>
          <w:highlight w:val="none"/>
        </w:rPr>
      </w:pPr>
      <w:r>
        <w:rPr>
          <w:rFonts w:hint="eastAsia" w:ascii="宋体" w:hAnsi="宋体" w:eastAsia="宋体" w:cs="宋体"/>
          <w:bCs/>
          <w:color w:val="auto"/>
          <w:sz w:val="24"/>
          <w:highlight w:val="none"/>
        </w:rPr>
        <w:t>④</w:t>
      </w:r>
      <w:r>
        <w:rPr>
          <w:rFonts w:ascii="宋体" w:hAnsi="宋体" w:eastAsia="宋体" w:cs="宋体"/>
          <w:bCs/>
          <w:color w:val="auto"/>
          <w:sz w:val="24"/>
          <w:highlight w:val="none"/>
        </w:rPr>
        <w:t>水流速度u：根据现场调查，同时参考经验系数及同区域同地层</w:t>
      </w:r>
      <w:r>
        <w:rPr>
          <w:rFonts w:hint="eastAsia" w:ascii="宋体" w:hAnsi="宋体" w:eastAsia="宋体" w:cs="宋体"/>
          <w:bCs/>
          <w:color w:val="auto"/>
          <w:sz w:val="24"/>
          <w:highlight w:val="none"/>
        </w:rPr>
        <w:t>水文地质实验</w:t>
      </w:r>
      <w:r>
        <w:rPr>
          <w:rFonts w:ascii="宋体" w:hAnsi="宋体" w:eastAsia="宋体" w:cs="宋体"/>
          <w:bCs/>
          <w:color w:val="auto"/>
          <w:sz w:val="24"/>
          <w:highlight w:val="none"/>
        </w:rPr>
        <w:t>相关数据资料</w:t>
      </w:r>
      <w:r>
        <w:rPr>
          <w:rFonts w:ascii="Times New Roman" w:hAnsi="Times New Roman" w:eastAsia="宋体" w:cs="Times New Roman"/>
          <w:bCs/>
          <w:color w:val="auto"/>
          <w:sz w:val="24"/>
          <w:highlight w:val="none"/>
        </w:rPr>
        <w:t>，厂区所处水文地质单元水力坡度约2%，渗透系数约为</w:t>
      </w:r>
      <w:r>
        <w:rPr>
          <w:rFonts w:hint="eastAsia" w:ascii="Times New Roman" w:hAnsi="Times New Roman" w:eastAsia="宋体" w:cs="Times New Roman"/>
          <w:color w:val="auto"/>
          <w:kern w:val="0"/>
          <w:sz w:val="24"/>
          <w:szCs w:val="24"/>
          <w:highlight w:val="none"/>
        </w:rPr>
        <w:t>3</w:t>
      </w:r>
      <w:r>
        <w:rPr>
          <w:rFonts w:ascii="Times New Roman" w:hAnsi="Times New Roman" w:eastAsia="宋体" w:cs="Times New Roman"/>
          <w:color w:val="auto"/>
          <w:kern w:val="0"/>
          <w:sz w:val="24"/>
          <w:szCs w:val="24"/>
          <w:highlight w:val="none"/>
        </w:rPr>
        <w:t>.</w:t>
      </w:r>
      <w:r>
        <w:rPr>
          <w:rFonts w:hint="eastAsia" w:ascii="Times New Roman" w:hAnsi="Times New Roman" w:eastAsia="宋体" w:cs="Times New Roman"/>
          <w:color w:val="auto"/>
          <w:kern w:val="0"/>
          <w:sz w:val="24"/>
          <w:szCs w:val="24"/>
          <w:highlight w:val="none"/>
        </w:rPr>
        <w:t>5×</w:t>
      </w:r>
      <w:r>
        <w:rPr>
          <w:rFonts w:ascii="Times New Roman" w:hAnsi="Times New Roman" w:eastAsia="宋体" w:cs="Times New Roman"/>
          <w:color w:val="auto"/>
          <w:kern w:val="0"/>
          <w:sz w:val="24"/>
          <w:szCs w:val="24"/>
          <w:highlight w:val="none"/>
        </w:rPr>
        <w:t>10</w:t>
      </w:r>
      <w:r>
        <w:rPr>
          <w:rFonts w:ascii="Times New Roman" w:hAnsi="Times New Roman" w:eastAsia="宋体" w:cs="Times New Roman"/>
          <w:color w:val="auto"/>
          <w:kern w:val="0"/>
          <w:sz w:val="24"/>
          <w:szCs w:val="24"/>
          <w:highlight w:val="none"/>
          <w:vertAlign w:val="superscript"/>
        </w:rPr>
        <w:t>-4</w:t>
      </w:r>
      <w:r>
        <w:rPr>
          <w:rFonts w:ascii="Times New Roman" w:hAnsi="Times New Roman" w:eastAsia="宋体" w:cs="Times New Roman"/>
          <w:color w:val="auto"/>
          <w:kern w:val="0"/>
          <w:sz w:val="24"/>
          <w:szCs w:val="24"/>
          <w:highlight w:val="none"/>
        </w:rPr>
        <w:t>cm/</w:t>
      </w:r>
      <w:r>
        <w:rPr>
          <w:rFonts w:hint="eastAsia" w:ascii="Times New Roman" w:hAnsi="Times New Roman" w:eastAsia="宋体" w:cs="Times New Roman"/>
          <w:color w:val="auto"/>
          <w:kern w:val="0"/>
          <w:sz w:val="24"/>
          <w:szCs w:val="24"/>
          <w:highlight w:val="none"/>
        </w:rPr>
        <w:t>s（</w:t>
      </w:r>
      <w:r>
        <w:rPr>
          <w:rFonts w:ascii="Times New Roman" w:hAnsi="Times New Roman" w:eastAsia="宋体" w:cs="Times New Roman"/>
          <w:bCs/>
          <w:color w:val="auto"/>
          <w:sz w:val="24"/>
          <w:highlight w:val="none"/>
        </w:rPr>
        <w:t>0.3m/d</w:t>
      </w:r>
      <w:r>
        <w:rPr>
          <w:rFonts w:hint="eastAsia" w:ascii="Times New Roman" w:hAnsi="Times New Roman" w:eastAsia="宋体" w:cs="Times New Roman"/>
          <w:bCs/>
          <w:color w:val="auto"/>
          <w:sz w:val="24"/>
          <w:highlight w:val="none"/>
        </w:rPr>
        <w:t>）</w:t>
      </w:r>
      <w:r>
        <w:rPr>
          <w:rFonts w:ascii="Times New Roman" w:hAnsi="Times New Roman" w:eastAsia="宋体" w:cs="Times New Roman"/>
          <w:bCs/>
          <w:color w:val="auto"/>
          <w:sz w:val="24"/>
          <w:highlight w:val="none"/>
        </w:rPr>
        <w:t>。根据达西定律，u=ki/n，故通过计算厂区所处水文地质单元地下水流速u=0.06m/d。</w:t>
      </w:r>
    </w:p>
    <w:p>
      <w:pPr>
        <w:spacing w:line="360" w:lineRule="auto"/>
        <w:ind w:firstLine="480" w:firstLineChars="200"/>
        <w:textAlignment w:val="center"/>
        <w:rPr>
          <w:rFonts w:ascii="Times New Roman" w:hAnsi="Times New Roman" w:eastAsia="宋体" w:cs="Times New Roman"/>
          <w:bCs/>
          <w:color w:val="auto"/>
          <w:sz w:val="24"/>
          <w:highlight w:val="none"/>
        </w:rPr>
      </w:pPr>
      <w:r>
        <w:rPr>
          <w:rFonts w:hint="eastAsia" w:ascii="宋体" w:hAnsi="宋体" w:eastAsia="宋体" w:cs="宋体"/>
          <w:bCs/>
          <w:color w:val="auto"/>
          <w:sz w:val="24"/>
          <w:highlight w:val="none"/>
        </w:rPr>
        <w:t>⑤</w:t>
      </w:r>
      <w:r>
        <w:rPr>
          <w:rFonts w:ascii="Times New Roman" w:hAnsi="Times New Roman" w:eastAsia="宋体" w:cs="Times New Roman"/>
          <w:bCs/>
          <w:color w:val="auto"/>
          <w:sz w:val="24"/>
          <w:highlight w:val="none"/>
        </w:rPr>
        <w:t>纵向弥散系数D</w:t>
      </w:r>
      <w:r>
        <w:rPr>
          <w:rFonts w:ascii="Times New Roman" w:hAnsi="Times New Roman" w:eastAsia="宋体" w:cs="Times New Roman"/>
          <w:bCs/>
          <w:color w:val="auto"/>
          <w:sz w:val="24"/>
          <w:highlight w:val="none"/>
          <w:vertAlign w:val="subscript"/>
        </w:rPr>
        <w:t>L</w:t>
      </w:r>
      <w:r>
        <w:rPr>
          <w:rFonts w:ascii="Times New Roman" w:hAnsi="Times New Roman" w:eastAsia="宋体" w:cs="Times New Roman"/>
          <w:bCs/>
          <w:color w:val="auto"/>
          <w:sz w:val="24"/>
          <w:highlight w:val="none"/>
        </w:rPr>
        <w:t>：参考Gelhar 等人关于纵向弥散度与观测尺度关系的理论，根据本次污染场地的研究尺度，纵向弥散度αL 取值为20m，纵向弥散系数DL=αL×u，项目厂区所处水文地质单元D</w:t>
      </w:r>
      <w:r>
        <w:rPr>
          <w:rFonts w:ascii="Times New Roman" w:hAnsi="Times New Roman" w:eastAsia="宋体" w:cs="Times New Roman"/>
          <w:bCs/>
          <w:color w:val="auto"/>
          <w:sz w:val="24"/>
          <w:highlight w:val="none"/>
          <w:vertAlign w:val="subscript"/>
        </w:rPr>
        <w:t>L</w:t>
      </w:r>
      <w:r>
        <w:rPr>
          <w:rFonts w:ascii="Times New Roman" w:hAnsi="Times New Roman" w:eastAsia="宋体" w:cs="Times New Roman"/>
          <w:bCs/>
          <w:color w:val="auto"/>
          <w:sz w:val="24"/>
          <w:highlight w:val="none"/>
        </w:rPr>
        <w:t>取值为1.2</w:t>
      </w:r>
      <w:r>
        <w:rPr>
          <w:rFonts w:hint="eastAsia" w:ascii="Times New Roman" w:hAnsi="Times New Roman" w:eastAsia="宋体" w:cs="Times New Roman"/>
          <w:bCs/>
          <w:color w:val="auto"/>
          <w:sz w:val="24"/>
          <w:highlight w:val="none"/>
        </w:rPr>
        <w:t>0</w:t>
      </w:r>
      <w:r>
        <w:rPr>
          <w:rFonts w:ascii="Times New Roman" w:hAnsi="Times New Roman" w:eastAsia="宋体" w:cs="Times New Roman"/>
          <w:bCs/>
          <w:color w:val="auto"/>
          <w:sz w:val="24"/>
          <w:highlight w:val="none"/>
        </w:rPr>
        <w:t>m</w:t>
      </w:r>
      <w:r>
        <w:rPr>
          <w:rFonts w:ascii="Times New Roman" w:hAnsi="Times New Roman" w:eastAsia="宋体" w:cs="Times New Roman"/>
          <w:bCs/>
          <w:color w:val="auto"/>
          <w:sz w:val="24"/>
          <w:highlight w:val="none"/>
          <w:vertAlign w:val="superscript"/>
        </w:rPr>
        <w:t>2</w:t>
      </w:r>
      <w:r>
        <w:rPr>
          <w:rFonts w:ascii="Times New Roman" w:hAnsi="Times New Roman" w:eastAsia="宋体" w:cs="Times New Roman"/>
          <w:bCs/>
          <w:color w:val="auto"/>
          <w:sz w:val="24"/>
          <w:highlight w:val="none"/>
        </w:rPr>
        <w:t>/d</w:t>
      </w:r>
    </w:p>
    <w:p>
      <w:pPr>
        <w:spacing w:line="360" w:lineRule="auto"/>
        <w:ind w:firstLine="480" w:firstLineChars="200"/>
        <w:textAlignment w:val="center"/>
        <w:rPr>
          <w:color w:val="auto"/>
          <w:highlight w:val="none"/>
        </w:rPr>
      </w:pPr>
      <w:r>
        <w:rPr>
          <w:rFonts w:hint="eastAsia" w:ascii="宋体" w:hAnsi="宋体" w:eastAsia="宋体" w:cs="宋体"/>
          <w:bCs/>
          <w:color w:val="auto"/>
          <w:sz w:val="24"/>
          <w:highlight w:val="none"/>
        </w:rPr>
        <w:t>⑥</w:t>
      </w:r>
      <w:r>
        <w:rPr>
          <w:rFonts w:ascii="Times New Roman" w:hAnsi="Times New Roman" w:eastAsia="宋体" w:cs="Times New Roman"/>
          <w:bCs/>
          <w:color w:val="auto"/>
          <w:sz w:val="24"/>
          <w:highlight w:val="none"/>
        </w:rPr>
        <w:t>横向弥散系数</w:t>
      </w:r>
      <w:r>
        <w:rPr>
          <w:rFonts w:ascii="Times New Roman" w:hAnsi="Times New Roman" w:eastAsia="宋体" w:cs="Times New Roman"/>
          <w:color w:val="auto"/>
          <w:kern w:val="0"/>
          <w:sz w:val="24"/>
          <w:szCs w:val="24"/>
          <w:highlight w:val="none"/>
        </w:rPr>
        <w:t>D</w:t>
      </w:r>
      <w:r>
        <w:rPr>
          <w:rFonts w:ascii="Times New Roman" w:hAnsi="Times New Roman" w:eastAsia="宋体" w:cs="Times New Roman"/>
          <w:i/>
          <w:iCs/>
          <w:color w:val="auto"/>
          <w:kern w:val="0"/>
          <w:sz w:val="24"/>
          <w:szCs w:val="24"/>
          <w:highlight w:val="none"/>
          <w:vertAlign w:val="subscript"/>
        </w:rPr>
        <w:t>Γ</w:t>
      </w:r>
      <w:r>
        <w:rPr>
          <w:rFonts w:ascii="Times New Roman" w:hAnsi="Times New Roman" w:eastAsia="宋体" w:cs="Times New Roman"/>
          <w:bCs/>
          <w:color w:val="auto"/>
          <w:sz w:val="24"/>
          <w:highlight w:val="none"/>
        </w:rPr>
        <w:t>：根据经验，一般横向弥散系数</w:t>
      </w:r>
      <w:r>
        <w:rPr>
          <w:rFonts w:ascii="Times New Roman" w:hAnsi="Times New Roman" w:eastAsia="宋体" w:cs="Times New Roman"/>
          <w:color w:val="auto"/>
          <w:kern w:val="0"/>
          <w:sz w:val="24"/>
          <w:szCs w:val="24"/>
          <w:highlight w:val="none"/>
        </w:rPr>
        <w:t>D</w:t>
      </w:r>
      <w:r>
        <w:rPr>
          <w:rFonts w:ascii="Times New Roman" w:hAnsi="Times New Roman" w:eastAsia="宋体" w:cs="Times New Roman"/>
          <w:i/>
          <w:iCs/>
          <w:color w:val="auto"/>
          <w:kern w:val="0"/>
          <w:sz w:val="24"/>
          <w:szCs w:val="24"/>
          <w:highlight w:val="none"/>
          <w:vertAlign w:val="subscript"/>
        </w:rPr>
        <w:t>Γ</w:t>
      </w:r>
      <w:r>
        <w:rPr>
          <w:rFonts w:ascii="Times New Roman" w:hAnsi="Times New Roman" w:eastAsia="宋体" w:cs="Times New Roman"/>
          <w:bCs/>
          <w:color w:val="auto"/>
          <w:sz w:val="24"/>
          <w:highlight w:val="none"/>
        </w:rPr>
        <w:t xml:space="preserve"> /D</w:t>
      </w:r>
      <w:r>
        <w:rPr>
          <w:rFonts w:ascii="Times New Roman" w:hAnsi="Times New Roman" w:eastAsia="宋体" w:cs="Times New Roman"/>
          <w:bCs/>
          <w:color w:val="auto"/>
          <w:sz w:val="24"/>
          <w:highlight w:val="none"/>
          <w:vertAlign w:val="subscript"/>
        </w:rPr>
        <w:t>L</w:t>
      </w:r>
      <w:r>
        <w:rPr>
          <w:rFonts w:ascii="Times New Roman" w:hAnsi="Times New Roman" w:eastAsia="宋体" w:cs="Times New Roman"/>
          <w:bCs/>
          <w:color w:val="auto"/>
          <w:sz w:val="24"/>
          <w:highlight w:val="none"/>
        </w:rPr>
        <w:t xml:space="preserve"> = 0.1，故项目厂区所处水文地质单元横向弥散系数取值为0.12m</w:t>
      </w:r>
      <w:r>
        <w:rPr>
          <w:rFonts w:ascii="Times New Roman" w:hAnsi="Times New Roman" w:eastAsia="宋体" w:cs="Times New Roman"/>
          <w:bCs/>
          <w:color w:val="auto"/>
          <w:sz w:val="24"/>
          <w:highlight w:val="none"/>
          <w:vertAlign w:val="superscript"/>
        </w:rPr>
        <w:t>2</w:t>
      </w:r>
      <w:r>
        <w:rPr>
          <w:rFonts w:ascii="Times New Roman" w:hAnsi="Times New Roman" w:eastAsia="宋体" w:cs="Times New Roman"/>
          <w:bCs/>
          <w:color w:val="auto"/>
          <w:sz w:val="24"/>
          <w:highlight w:val="none"/>
        </w:rPr>
        <w:t>/d。</w:t>
      </w:r>
    </w:p>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 xml:space="preserve"> 参数取值表</w:t>
      </w:r>
    </w:p>
    <w:tbl>
      <w:tblPr>
        <w:tblStyle w:val="9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172"/>
        <w:gridCol w:w="967"/>
        <w:gridCol w:w="1016"/>
        <w:gridCol w:w="964"/>
        <w:gridCol w:w="967"/>
        <w:gridCol w:w="1330"/>
        <w:gridCol w:w="11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12"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类别</w:t>
            </w:r>
          </w:p>
        </w:tc>
        <w:tc>
          <w:tcPr>
            <w:tcW w:w="1172"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含水层厚度（M）</w:t>
            </w:r>
          </w:p>
        </w:tc>
        <w:tc>
          <w:tcPr>
            <w:tcW w:w="967"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kern w:val="0"/>
                <w:szCs w:val="21"/>
                <w:highlight w:val="none"/>
              </w:rPr>
              <w:t>有限孔隙度（n）</w:t>
            </w:r>
          </w:p>
        </w:tc>
        <w:tc>
          <w:tcPr>
            <w:tcW w:w="1016"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kern w:val="0"/>
                <w:szCs w:val="21"/>
                <w:highlight w:val="none"/>
              </w:rPr>
              <w:t>渗透系数（K）</w:t>
            </w:r>
          </w:p>
        </w:tc>
        <w:tc>
          <w:tcPr>
            <w:tcW w:w="964"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kern w:val="0"/>
                <w:szCs w:val="21"/>
                <w:highlight w:val="none"/>
              </w:rPr>
              <w:t>水力坡度（I）</w:t>
            </w:r>
          </w:p>
        </w:tc>
        <w:tc>
          <w:tcPr>
            <w:tcW w:w="967"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kern w:val="0"/>
                <w:szCs w:val="21"/>
                <w:highlight w:val="none"/>
              </w:rPr>
              <w:t>水流速度（u）</w:t>
            </w:r>
          </w:p>
        </w:tc>
        <w:tc>
          <w:tcPr>
            <w:tcW w:w="1330"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纵向弥散</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kern w:val="0"/>
                <w:szCs w:val="21"/>
                <w:highlight w:val="none"/>
              </w:rPr>
              <w:t>系数（D</w:t>
            </w:r>
            <w:r>
              <w:rPr>
                <w:rFonts w:hint="default" w:ascii="Times New Roman" w:hAnsi="Times New Roman" w:eastAsia="宋体" w:cs="Times New Roman"/>
                <w:b/>
                <w:color w:val="auto"/>
                <w:kern w:val="0"/>
                <w:szCs w:val="21"/>
                <w:highlight w:val="none"/>
                <w:vertAlign w:val="subscript"/>
              </w:rPr>
              <w:t>L</w:t>
            </w:r>
            <w:r>
              <w:rPr>
                <w:rFonts w:hint="default" w:ascii="Times New Roman" w:hAnsi="Times New Roman" w:eastAsia="宋体" w:cs="Times New Roman"/>
                <w:b/>
                <w:color w:val="auto"/>
                <w:kern w:val="0"/>
                <w:szCs w:val="21"/>
                <w:highlight w:val="none"/>
              </w:rPr>
              <w:t>）</w:t>
            </w:r>
          </w:p>
        </w:tc>
        <w:tc>
          <w:tcPr>
            <w:tcW w:w="1187" w:type="dxa"/>
            <w:tcBorders>
              <w:top w:val="single" w:color="auto" w:sz="12" w:space="0"/>
              <w:left w:val="single" w:color="auto" w:sz="4" w:space="0"/>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横向弥散</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kern w:val="0"/>
                <w:szCs w:val="21"/>
                <w:highlight w:val="none"/>
              </w:rPr>
              <w:t>系数（D</w:t>
            </w:r>
            <w:r>
              <w:rPr>
                <w:rFonts w:hint="default" w:ascii="Times New Roman" w:hAnsi="Times New Roman" w:eastAsia="宋体" w:cs="Times New Roman"/>
                <w:b/>
                <w:i/>
                <w:iCs/>
                <w:color w:val="auto"/>
                <w:kern w:val="0"/>
                <w:szCs w:val="21"/>
                <w:highlight w:val="none"/>
                <w:vertAlign w:val="subscript"/>
              </w:rPr>
              <w:t>Γ</w:t>
            </w:r>
            <w:r>
              <w:rPr>
                <w:rFonts w:hint="default" w:ascii="Times New Roman" w:hAnsi="Times New Roman" w:eastAsia="宋体" w:cs="Times New Roman"/>
                <w:b/>
                <w:color w:val="auto"/>
                <w:kern w:val="0"/>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nil"/>
              <w:bottom w:val="single" w:color="auto" w:sz="12"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值</w:t>
            </w:r>
          </w:p>
        </w:tc>
        <w:tc>
          <w:tcPr>
            <w:tcW w:w="1172"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w:t>
            </w:r>
            <w:r>
              <w:rPr>
                <w:rFonts w:hint="default" w:ascii="Times New Roman" w:hAnsi="Times New Roman" w:eastAsia="宋体" w:cs="Times New Roman"/>
                <w:bCs/>
                <w:color w:val="auto"/>
                <w:szCs w:val="21"/>
                <w:highlight w:val="none"/>
              </w:rPr>
              <w:t>0</w:t>
            </w:r>
          </w:p>
        </w:tc>
        <w:tc>
          <w:tcPr>
            <w:tcW w:w="967"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0.10</w:t>
            </w:r>
          </w:p>
        </w:tc>
        <w:tc>
          <w:tcPr>
            <w:tcW w:w="1016"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0.3m/d</w:t>
            </w:r>
          </w:p>
        </w:tc>
        <w:tc>
          <w:tcPr>
            <w:tcW w:w="964"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w:t>
            </w:r>
          </w:p>
        </w:tc>
        <w:tc>
          <w:tcPr>
            <w:tcW w:w="967"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0.06m/d</w:t>
            </w:r>
          </w:p>
        </w:tc>
        <w:tc>
          <w:tcPr>
            <w:tcW w:w="1330"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color w:val="auto"/>
                <w:kern w:val="0"/>
                <w:szCs w:val="21"/>
                <w:highlight w:val="none"/>
              </w:rPr>
              <w:t>1.2</w:t>
            </w:r>
            <w:r>
              <w:rPr>
                <w:rFonts w:hint="eastAsia" w:ascii="Times New Roman" w:hAnsi="Times New Roman" w:eastAsia="宋体" w:cs="Times New Roman"/>
                <w:color w:val="auto"/>
                <w:kern w:val="0"/>
                <w:szCs w:val="21"/>
                <w:highlight w:val="none"/>
              </w:rPr>
              <w:t>0</w:t>
            </w:r>
            <w:r>
              <w:rPr>
                <w:rFonts w:hint="default" w:ascii="Times New Roman" w:hAnsi="Times New Roman" w:eastAsia="宋体" w:cs="Times New Roman"/>
                <w:color w:val="auto"/>
                <w:kern w:val="0"/>
                <w:szCs w:val="21"/>
                <w:highlight w:val="none"/>
              </w:rPr>
              <w:t>m</w:t>
            </w:r>
            <w:r>
              <w:rPr>
                <w:rFonts w:hint="default" w:ascii="Times New Roman" w:hAnsi="Times New Roman" w:eastAsia="宋体" w:cs="Times New Roman"/>
                <w:color w:val="auto"/>
                <w:kern w:val="0"/>
                <w:szCs w:val="21"/>
                <w:highlight w:val="none"/>
                <w:vertAlign w:val="superscript"/>
              </w:rPr>
              <w:t>2</w:t>
            </w:r>
            <w:r>
              <w:rPr>
                <w:rFonts w:hint="default" w:ascii="Times New Roman" w:hAnsi="Times New Roman" w:eastAsia="宋体" w:cs="Times New Roman"/>
                <w:color w:val="auto"/>
                <w:kern w:val="0"/>
                <w:szCs w:val="21"/>
                <w:highlight w:val="none"/>
              </w:rPr>
              <w:t>/d</w:t>
            </w:r>
          </w:p>
        </w:tc>
        <w:tc>
          <w:tcPr>
            <w:tcW w:w="1187" w:type="dxa"/>
            <w:tcBorders>
              <w:top w:val="single" w:color="auto" w:sz="4" w:space="0"/>
              <w:left w:val="single" w:color="auto" w:sz="4" w:space="0"/>
              <w:bottom w:val="single" w:color="auto" w:sz="12" w:space="0"/>
              <w:right w:val="nil"/>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0.12</w:t>
            </w:r>
            <w:r>
              <w:rPr>
                <w:rFonts w:hint="default" w:ascii="Times New Roman" w:hAnsi="Times New Roman" w:eastAsia="宋体" w:cs="Times New Roman"/>
                <w:color w:val="auto"/>
                <w:kern w:val="0"/>
                <w:szCs w:val="21"/>
                <w:highlight w:val="none"/>
              </w:rPr>
              <w:t>m</w:t>
            </w:r>
            <w:r>
              <w:rPr>
                <w:rFonts w:hint="default" w:ascii="Times New Roman" w:hAnsi="Times New Roman" w:eastAsia="宋体" w:cs="Times New Roman"/>
                <w:color w:val="auto"/>
                <w:kern w:val="0"/>
                <w:szCs w:val="21"/>
                <w:highlight w:val="none"/>
                <w:vertAlign w:val="superscript"/>
              </w:rPr>
              <w:t>2</w:t>
            </w:r>
            <w:r>
              <w:rPr>
                <w:rFonts w:hint="default" w:ascii="Times New Roman" w:hAnsi="Times New Roman" w:eastAsia="宋体" w:cs="Times New Roman"/>
                <w:color w:val="auto"/>
                <w:kern w:val="0"/>
                <w:szCs w:val="21"/>
                <w:highlight w:val="none"/>
              </w:rPr>
              <w:t>/d</w:t>
            </w:r>
          </w:p>
        </w:tc>
      </w:tr>
    </w:tbl>
    <w:p>
      <w:pPr>
        <w:spacing w:line="360" w:lineRule="auto"/>
        <w:ind w:firstLine="482" w:firstLineChars="200"/>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3）预测结果</w:t>
      </w:r>
    </w:p>
    <w:p>
      <w:pPr>
        <w:spacing w:line="360" w:lineRule="auto"/>
        <w:ind w:firstLine="480" w:firstLineChars="200"/>
        <w:textAlignment w:val="center"/>
        <w:rPr>
          <w:rFonts w:ascii="Times New Roman" w:hAnsi="Times New Roman" w:eastAsia="宋体" w:cs="Times New Roman"/>
          <w:bCs/>
          <w:color w:val="auto"/>
          <w:sz w:val="24"/>
          <w:highlight w:val="none"/>
        </w:rPr>
      </w:pPr>
      <w:r>
        <w:rPr>
          <w:rFonts w:hint="eastAsia" w:ascii="Times New Roman" w:hAnsi="Times New Roman" w:eastAsia="宋体" w:cs="Times New Roman"/>
          <w:bCs/>
          <w:color w:val="auto"/>
          <w:sz w:val="24"/>
          <w:highlight w:val="none"/>
        </w:rPr>
        <w:t>各</w:t>
      </w:r>
      <w:r>
        <w:rPr>
          <w:rFonts w:ascii="Times New Roman" w:hAnsi="Times New Roman" w:eastAsia="宋体" w:cs="Times New Roman"/>
          <w:bCs/>
          <w:color w:val="auto"/>
          <w:sz w:val="24"/>
          <w:highlight w:val="none"/>
        </w:rPr>
        <w:t>产污构筑物泄漏</w:t>
      </w:r>
      <w:r>
        <w:rPr>
          <w:rFonts w:hint="eastAsia" w:ascii="Times New Roman" w:hAnsi="Times New Roman" w:eastAsia="宋体" w:cs="Times New Roman"/>
          <w:bCs/>
          <w:color w:val="auto"/>
          <w:sz w:val="24"/>
          <w:highlight w:val="none"/>
        </w:rPr>
        <w:t>污染物</w:t>
      </w:r>
      <w:r>
        <w:rPr>
          <w:rFonts w:ascii="Times New Roman" w:hAnsi="Times New Roman" w:eastAsia="宋体" w:cs="Times New Roman"/>
          <w:bCs/>
          <w:color w:val="auto"/>
          <w:sz w:val="24"/>
          <w:highlight w:val="none"/>
        </w:rPr>
        <w:t>影响范围及迁移距离见下表：</w:t>
      </w:r>
    </w:p>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污水处理站泄漏地下水中各污染物各时间点超标范围</w:t>
      </w:r>
    </w:p>
    <w:tbl>
      <w:tblPr>
        <w:tblStyle w:val="91"/>
        <w:tblpPr w:leftFromText="180" w:rightFromText="180" w:vertAnchor="text" w:tblpXSpec="center" w:tblpY="10"/>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02"/>
        <w:gridCol w:w="986"/>
        <w:gridCol w:w="1125"/>
        <w:gridCol w:w="1431"/>
        <w:gridCol w:w="1276"/>
        <w:gridCol w:w="1314"/>
        <w:gridCol w:w="12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2"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污染源</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总重</w:t>
            </w:r>
            <w:r>
              <w:rPr>
                <w:rFonts w:hint="default" w:ascii="Times New Roman" w:hAnsi="Times New Roman" w:cs="Times New Roman"/>
                <w:b/>
                <w:color w:val="auto"/>
                <w:kern w:val="0"/>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模拟时间</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（天）</w:t>
            </w:r>
          </w:p>
        </w:tc>
        <w:tc>
          <w:tcPr>
            <w:tcW w:w="1125"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中心迁移距离</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w:t>
            </w:r>
            <w:r>
              <w:rPr>
                <w:rFonts w:hint="default" w:ascii="Times New Roman" w:hAnsi="Times New Roman" w:cs="Times New Roman"/>
                <w:b/>
                <w:color w:val="auto"/>
                <w:kern w:val="0"/>
                <w:szCs w:val="21"/>
                <w:highlight w:val="none"/>
              </w:rPr>
              <w:t>m</w:t>
            </w:r>
            <w:r>
              <w:rPr>
                <w:rFonts w:hint="default" w:ascii="Times New Roman" w:cs="Times New Roman" w:hAnsiTheme="minorEastAsia"/>
                <w:b/>
                <w:color w:val="auto"/>
                <w:kern w:val="0"/>
                <w:szCs w:val="21"/>
                <w:highlight w:val="none"/>
              </w:rPr>
              <w:t>）</w:t>
            </w:r>
          </w:p>
        </w:tc>
        <w:tc>
          <w:tcPr>
            <w:tcW w:w="1431"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最大贡献浓度</w:t>
            </w:r>
            <w:r>
              <w:rPr>
                <w:rFonts w:hint="default" w:ascii="Times New Roman" w:hAnsi="Times New Roman" w:cs="Times New Roman"/>
                <w:b/>
                <w:color w:val="auto"/>
                <w:kern w:val="0"/>
                <w:szCs w:val="21"/>
                <w:highlight w:val="none"/>
              </w:rPr>
              <w:t>(mg/L)</w:t>
            </w:r>
          </w:p>
        </w:tc>
        <w:tc>
          <w:tcPr>
            <w:tcW w:w="127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最大超标距离（</w:t>
            </w:r>
            <w:r>
              <w:rPr>
                <w:rFonts w:hint="default" w:ascii="Times New Roman" w:hAnsi="Times New Roman" w:cs="Times New Roman"/>
                <w:b/>
                <w:color w:val="auto"/>
                <w:kern w:val="0"/>
                <w:szCs w:val="21"/>
                <w:highlight w:val="none"/>
              </w:rPr>
              <w:t>m</w:t>
            </w:r>
            <w:r>
              <w:rPr>
                <w:rFonts w:hint="default" w:ascii="Times New Roman" w:cs="Times New Roman" w:hAnsiTheme="minorEastAsia"/>
                <w:b/>
                <w:color w:val="auto"/>
                <w:kern w:val="0"/>
                <w:szCs w:val="21"/>
                <w:highlight w:val="none"/>
              </w:rPr>
              <w:t>）</w:t>
            </w:r>
          </w:p>
        </w:tc>
        <w:tc>
          <w:tcPr>
            <w:tcW w:w="1314"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最大超标</w:t>
            </w:r>
            <w:r>
              <w:rPr>
                <w:rFonts w:hint="eastAsia" w:ascii="Times New Roman" w:cs="Times New Roman" w:hAnsiTheme="minorEastAsia"/>
                <w:b/>
                <w:color w:val="auto"/>
                <w:kern w:val="0"/>
                <w:szCs w:val="21"/>
                <w:highlight w:val="none"/>
              </w:rPr>
              <w:t>范围</w:t>
            </w:r>
            <w:r>
              <w:rPr>
                <w:rFonts w:hint="default" w:ascii="Times New Roman" w:cs="Times New Roman" w:hAnsiTheme="minorEastAsia"/>
                <w:b/>
                <w:color w:val="auto"/>
                <w:kern w:val="0"/>
                <w:szCs w:val="21"/>
                <w:highlight w:val="none"/>
              </w:rPr>
              <w:t>（</w:t>
            </w:r>
            <w:r>
              <w:rPr>
                <w:rFonts w:hint="default" w:ascii="Times New Roman" w:hAnsi="Times New Roman" w:cs="Times New Roman"/>
                <w:b/>
                <w:color w:val="auto"/>
                <w:kern w:val="0"/>
                <w:szCs w:val="21"/>
                <w:highlight w:val="none"/>
              </w:rPr>
              <w:t>m</w:t>
            </w:r>
            <w:r>
              <w:rPr>
                <w:rFonts w:hint="eastAsia" w:ascii="Times New Roman" w:hAnsi="Times New Roman" w:cs="Times New Roman"/>
                <w:b/>
                <w:color w:val="auto"/>
                <w:kern w:val="0"/>
                <w:szCs w:val="21"/>
                <w:highlight w:val="none"/>
                <w:vertAlign w:val="superscript"/>
              </w:rPr>
              <w:t>2</w:t>
            </w:r>
            <w:r>
              <w:rPr>
                <w:rFonts w:hint="default" w:ascii="Times New Roman" w:cs="Times New Roman" w:hAnsiTheme="minorEastAsia"/>
                <w:b/>
                <w:color w:val="auto"/>
                <w:kern w:val="0"/>
                <w:szCs w:val="21"/>
                <w:highlight w:val="none"/>
              </w:rPr>
              <w:t>）</w:t>
            </w:r>
          </w:p>
        </w:tc>
        <w:tc>
          <w:tcPr>
            <w:tcW w:w="1288"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标准限值</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 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highlight w:val="none"/>
                <w:vertAlign w:val="subscript"/>
              </w:rPr>
            </w:pPr>
            <w:r>
              <w:rPr>
                <w:rFonts w:hint="default" w:ascii="Times New Roman" w:hAnsi="Times New Roman" w:cs="Times New Roman"/>
                <w:bCs/>
                <w:color w:val="auto"/>
                <w:szCs w:val="21"/>
                <w:highlight w:val="none"/>
              </w:rPr>
              <w:t>COD</w:t>
            </w:r>
            <w:r>
              <w:rPr>
                <w:rFonts w:hint="default" w:ascii="Times New Roman" w:hAnsi="Times New Roman" w:cs="Times New Roman"/>
                <w:bCs/>
                <w:color w:val="auto"/>
                <w:szCs w:val="21"/>
                <w:highlight w:val="none"/>
                <w:vertAlign w:val="subscript"/>
              </w:rPr>
              <w:t>Mn</w:t>
            </w:r>
          </w:p>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color w:val="auto"/>
                <w:szCs w:val="21"/>
                <w:highlight w:val="none"/>
              </w:rPr>
              <w:t>7765.2</w:t>
            </w:r>
            <w:r>
              <w:rPr>
                <w:rFonts w:hint="default" w:ascii="Times New Roman" w:hAnsi="Times New Roman" w:cs="Times New Roman"/>
                <w:color w:val="auto"/>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1.8</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27.1400</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19.61</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315.21</w:t>
            </w:r>
          </w:p>
        </w:tc>
        <w:tc>
          <w:tcPr>
            <w:tcW w:w="1288"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8.1420</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27.90</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476.45</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365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21.9</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2.2307</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730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43.8</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1.1153</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0.8142</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1500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90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0.5428</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1825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109.5</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0.4461</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120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0.4071</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NH</w:t>
            </w:r>
            <w:r>
              <w:rPr>
                <w:rFonts w:hint="default" w:ascii="Times New Roman" w:hAnsi="Times New Roman" w:cs="Times New Roman"/>
                <w:color w:val="auto"/>
                <w:szCs w:val="21"/>
                <w:highlight w:val="none"/>
                <w:vertAlign w:val="subscript"/>
              </w:rPr>
              <w:t>3</w:t>
            </w:r>
            <w:r>
              <w:rPr>
                <w:rFonts w:hint="default" w:ascii="Times New Roman" w:hAnsi="Times New Roman" w:cs="Times New Roman"/>
                <w:color w:val="auto"/>
                <w:szCs w:val="21"/>
                <w:highlight w:val="none"/>
              </w:rPr>
              <w:t>-N</w:t>
            </w:r>
          </w:p>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color w:val="auto"/>
                <w:szCs w:val="21"/>
                <w:highlight w:val="none"/>
              </w:rPr>
              <w:t>801</w:t>
            </w:r>
            <w:r>
              <w:rPr>
                <w:rFonts w:hint="default" w:ascii="Times New Roman" w:hAnsi="Times New Roman" w:cs="Times New Roman"/>
                <w:color w:val="auto"/>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1.8</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 xml:space="preserve">2.7996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17.55</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246.56</w:t>
            </w:r>
          </w:p>
        </w:tc>
        <w:tc>
          <w:tcPr>
            <w:tcW w:w="1288"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 xml:space="preserve">0.8399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21.79</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247.61</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365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21.9</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 xml:space="preserve">0.2301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730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43.8</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 xml:space="preserve">0.1151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 xml:space="preserve">0.0840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1500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90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 xml:space="preserve">0.0560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1825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109.5</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 xml:space="preserve">0.0460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120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 xml:space="preserve">0.0420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bl>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生活废水处理设施泄漏地下水中各污染物各时间点超标范围</w:t>
      </w:r>
    </w:p>
    <w:tbl>
      <w:tblPr>
        <w:tblStyle w:val="91"/>
        <w:tblpPr w:leftFromText="180" w:rightFromText="180" w:vertAnchor="text" w:tblpXSpec="center" w:tblpY="10"/>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02"/>
        <w:gridCol w:w="986"/>
        <w:gridCol w:w="1125"/>
        <w:gridCol w:w="1431"/>
        <w:gridCol w:w="1276"/>
        <w:gridCol w:w="1314"/>
        <w:gridCol w:w="12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2"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污染源</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总重</w:t>
            </w:r>
            <w:r>
              <w:rPr>
                <w:rFonts w:hint="default" w:ascii="Times New Roman" w:hAnsi="Times New Roman" w:cs="Times New Roman"/>
                <w:b/>
                <w:color w:val="auto"/>
                <w:kern w:val="0"/>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模拟时间</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（天）</w:t>
            </w:r>
          </w:p>
        </w:tc>
        <w:tc>
          <w:tcPr>
            <w:tcW w:w="1125"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中心迁移距离</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w:t>
            </w:r>
            <w:r>
              <w:rPr>
                <w:rFonts w:hint="default" w:ascii="Times New Roman" w:hAnsi="Times New Roman" w:cs="Times New Roman"/>
                <w:b/>
                <w:color w:val="auto"/>
                <w:kern w:val="0"/>
                <w:szCs w:val="21"/>
                <w:highlight w:val="none"/>
              </w:rPr>
              <w:t>m</w:t>
            </w:r>
            <w:r>
              <w:rPr>
                <w:rFonts w:hint="default" w:ascii="Times New Roman" w:cs="Times New Roman" w:hAnsiTheme="minorEastAsia"/>
                <w:b/>
                <w:color w:val="auto"/>
                <w:kern w:val="0"/>
                <w:szCs w:val="21"/>
                <w:highlight w:val="none"/>
              </w:rPr>
              <w:t>）</w:t>
            </w:r>
          </w:p>
        </w:tc>
        <w:tc>
          <w:tcPr>
            <w:tcW w:w="1431"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最大贡献浓度</w:t>
            </w:r>
            <w:r>
              <w:rPr>
                <w:rFonts w:hint="default" w:ascii="Times New Roman" w:hAnsi="Times New Roman" w:cs="Times New Roman"/>
                <w:b/>
                <w:color w:val="auto"/>
                <w:kern w:val="0"/>
                <w:szCs w:val="21"/>
                <w:highlight w:val="none"/>
              </w:rPr>
              <w:t>(mg/L)</w:t>
            </w:r>
          </w:p>
        </w:tc>
        <w:tc>
          <w:tcPr>
            <w:tcW w:w="127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最大超标距离（</w:t>
            </w:r>
            <w:r>
              <w:rPr>
                <w:rFonts w:hint="default" w:ascii="Times New Roman" w:hAnsi="Times New Roman" w:cs="Times New Roman"/>
                <w:b/>
                <w:color w:val="auto"/>
                <w:kern w:val="0"/>
                <w:szCs w:val="21"/>
                <w:highlight w:val="none"/>
              </w:rPr>
              <w:t>m</w:t>
            </w:r>
            <w:r>
              <w:rPr>
                <w:rFonts w:hint="default" w:ascii="Times New Roman" w:cs="Times New Roman" w:hAnsiTheme="minorEastAsia"/>
                <w:b/>
                <w:color w:val="auto"/>
                <w:kern w:val="0"/>
                <w:szCs w:val="21"/>
                <w:highlight w:val="none"/>
              </w:rPr>
              <w:t>）</w:t>
            </w:r>
          </w:p>
        </w:tc>
        <w:tc>
          <w:tcPr>
            <w:tcW w:w="1314"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最大超标</w:t>
            </w:r>
            <w:r>
              <w:rPr>
                <w:rFonts w:hint="eastAsia" w:ascii="Times New Roman" w:cs="Times New Roman" w:hAnsiTheme="minorEastAsia"/>
                <w:b/>
                <w:color w:val="auto"/>
                <w:kern w:val="0"/>
                <w:szCs w:val="21"/>
                <w:highlight w:val="none"/>
              </w:rPr>
              <w:t>范围</w:t>
            </w:r>
            <w:r>
              <w:rPr>
                <w:rFonts w:hint="default" w:ascii="Times New Roman" w:cs="Times New Roman" w:hAnsiTheme="minorEastAsia"/>
                <w:b/>
                <w:color w:val="auto"/>
                <w:kern w:val="0"/>
                <w:szCs w:val="21"/>
                <w:highlight w:val="none"/>
              </w:rPr>
              <w:t>（</w:t>
            </w:r>
            <w:r>
              <w:rPr>
                <w:rFonts w:hint="default" w:ascii="Times New Roman" w:hAnsi="Times New Roman" w:cs="Times New Roman"/>
                <w:b/>
                <w:color w:val="auto"/>
                <w:kern w:val="0"/>
                <w:szCs w:val="21"/>
                <w:highlight w:val="none"/>
              </w:rPr>
              <w:t>m</w:t>
            </w:r>
            <w:r>
              <w:rPr>
                <w:rFonts w:hint="eastAsia" w:ascii="Times New Roman" w:hAnsi="Times New Roman" w:cs="Times New Roman"/>
                <w:b/>
                <w:color w:val="auto"/>
                <w:kern w:val="0"/>
                <w:szCs w:val="21"/>
                <w:highlight w:val="none"/>
                <w:vertAlign w:val="superscript"/>
              </w:rPr>
              <w:t>2</w:t>
            </w:r>
            <w:r>
              <w:rPr>
                <w:rFonts w:hint="default" w:ascii="Times New Roman" w:cs="Times New Roman" w:hAnsiTheme="minorEastAsia"/>
                <w:b/>
                <w:color w:val="auto"/>
                <w:kern w:val="0"/>
                <w:szCs w:val="21"/>
                <w:highlight w:val="none"/>
              </w:rPr>
              <w:t>）</w:t>
            </w:r>
          </w:p>
        </w:tc>
        <w:tc>
          <w:tcPr>
            <w:tcW w:w="1288"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标准限值</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 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highlight w:val="none"/>
                <w:vertAlign w:val="subscript"/>
              </w:rPr>
            </w:pPr>
            <w:r>
              <w:rPr>
                <w:rFonts w:hint="default" w:ascii="Times New Roman" w:hAnsi="Times New Roman" w:cs="Times New Roman"/>
                <w:bCs/>
                <w:color w:val="auto"/>
                <w:szCs w:val="21"/>
                <w:highlight w:val="none"/>
              </w:rPr>
              <w:t>COD</w:t>
            </w:r>
            <w:r>
              <w:rPr>
                <w:rFonts w:hint="default" w:ascii="Times New Roman" w:hAnsi="Times New Roman" w:cs="Times New Roman"/>
                <w:bCs/>
                <w:color w:val="auto"/>
                <w:szCs w:val="21"/>
                <w:highlight w:val="none"/>
                <w:vertAlign w:val="subscript"/>
              </w:rPr>
              <w:t>Mn</w:t>
            </w:r>
          </w:p>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color w:val="auto"/>
                <w:szCs w:val="21"/>
                <w:highlight w:val="none"/>
              </w:rPr>
              <w:t>420</w:t>
            </w:r>
            <w:r>
              <w:rPr>
                <w:rFonts w:hint="default" w:ascii="Times New Roman" w:hAnsi="Times New Roman" w:cs="Times New Roman"/>
                <w:color w:val="auto"/>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1.8</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highlight w:val="none"/>
              </w:rPr>
              <w:t xml:space="preserve">1.4679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highlight w:val="none"/>
              </w:rPr>
              <w:t xml:space="preserve">0.4404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365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21.9</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highlight w:val="none"/>
              </w:rPr>
              <w:t xml:space="preserve">0.1207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730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43.8</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highlight w:val="none"/>
              </w:rPr>
              <w:t xml:space="preserve">0.0603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highlight w:val="none"/>
              </w:rPr>
              <w:t xml:space="preserve">0.0440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1500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90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highlight w:val="none"/>
              </w:rPr>
              <w:t xml:space="preserve">0.0294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1825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109.5</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highlight w:val="none"/>
              </w:rPr>
              <w:t xml:space="preserve">0.0241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120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highlight w:val="none"/>
              </w:rPr>
              <w:t xml:space="preserve">0.0220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NH</w:t>
            </w:r>
            <w:r>
              <w:rPr>
                <w:rFonts w:hint="default" w:ascii="Times New Roman" w:hAnsi="Times New Roman" w:cs="Times New Roman"/>
                <w:color w:val="auto"/>
                <w:szCs w:val="21"/>
                <w:highlight w:val="none"/>
                <w:vertAlign w:val="subscript"/>
              </w:rPr>
              <w:t>3</w:t>
            </w:r>
            <w:r>
              <w:rPr>
                <w:rFonts w:hint="default" w:ascii="Times New Roman" w:hAnsi="Times New Roman" w:cs="Times New Roman"/>
                <w:color w:val="auto"/>
                <w:szCs w:val="21"/>
                <w:highlight w:val="none"/>
              </w:rPr>
              <w:t>-N</w:t>
            </w:r>
          </w:p>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color w:val="auto"/>
                <w:szCs w:val="21"/>
                <w:highlight w:val="none"/>
              </w:rPr>
              <w:t>120</w:t>
            </w:r>
            <w:r>
              <w:rPr>
                <w:rFonts w:hint="default" w:ascii="Times New Roman" w:hAnsi="Times New Roman" w:cs="Times New Roman"/>
                <w:color w:val="auto"/>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1.8</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 xml:space="preserve">0.4194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 xml:space="preserve">0.1258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365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21.9</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 xml:space="preserve">0.0345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730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43.8</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 xml:space="preserve">0.0172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 xml:space="preserve">0.0126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1500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90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 xml:space="preserve">0.0084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1825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109.5</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 xml:space="preserve">0.0069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120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rPr>
              <w:t xml:space="preserve">0.0063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bl>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集污池泄漏地下水中各污染物各时间点超标范围</w:t>
      </w:r>
    </w:p>
    <w:tbl>
      <w:tblPr>
        <w:tblStyle w:val="91"/>
        <w:tblpPr w:leftFromText="180" w:rightFromText="180" w:vertAnchor="text" w:tblpXSpec="center" w:tblpY="10"/>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02"/>
        <w:gridCol w:w="986"/>
        <w:gridCol w:w="1125"/>
        <w:gridCol w:w="1431"/>
        <w:gridCol w:w="1276"/>
        <w:gridCol w:w="1314"/>
        <w:gridCol w:w="12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2"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污染源</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总重</w:t>
            </w:r>
            <w:r>
              <w:rPr>
                <w:rFonts w:hint="default" w:ascii="Times New Roman" w:hAnsi="Times New Roman" w:cs="Times New Roman"/>
                <w:b/>
                <w:color w:val="auto"/>
                <w:kern w:val="0"/>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模拟时间</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（天）</w:t>
            </w:r>
          </w:p>
        </w:tc>
        <w:tc>
          <w:tcPr>
            <w:tcW w:w="1125"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中心迁移距离</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w:t>
            </w:r>
            <w:r>
              <w:rPr>
                <w:rFonts w:hint="default" w:ascii="Times New Roman" w:hAnsi="Times New Roman" w:cs="Times New Roman"/>
                <w:b/>
                <w:color w:val="auto"/>
                <w:kern w:val="0"/>
                <w:szCs w:val="21"/>
                <w:highlight w:val="none"/>
              </w:rPr>
              <w:t>m</w:t>
            </w:r>
            <w:r>
              <w:rPr>
                <w:rFonts w:hint="default" w:ascii="Times New Roman" w:cs="Times New Roman" w:hAnsiTheme="minorEastAsia"/>
                <w:b/>
                <w:color w:val="auto"/>
                <w:kern w:val="0"/>
                <w:szCs w:val="21"/>
                <w:highlight w:val="none"/>
              </w:rPr>
              <w:t>）</w:t>
            </w:r>
          </w:p>
        </w:tc>
        <w:tc>
          <w:tcPr>
            <w:tcW w:w="1431"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最大贡献浓度</w:t>
            </w:r>
            <w:r>
              <w:rPr>
                <w:rFonts w:hint="default" w:ascii="Times New Roman" w:hAnsi="Times New Roman" w:cs="Times New Roman"/>
                <w:b/>
                <w:color w:val="auto"/>
                <w:kern w:val="0"/>
                <w:szCs w:val="21"/>
                <w:highlight w:val="none"/>
              </w:rPr>
              <w:t>(mg/L)</w:t>
            </w:r>
          </w:p>
        </w:tc>
        <w:tc>
          <w:tcPr>
            <w:tcW w:w="127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最大超标距离（</w:t>
            </w:r>
            <w:r>
              <w:rPr>
                <w:rFonts w:hint="default" w:ascii="Times New Roman" w:hAnsi="Times New Roman" w:cs="Times New Roman"/>
                <w:b/>
                <w:color w:val="auto"/>
                <w:kern w:val="0"/>
                <w:szCs w:val="21"/>
                <w:highlight w:val="none"/>
              </w:rPr>
              <w:t>m</w:t>
            </w:r>
            <w:r>
              <w:rPr>
                <w:rFonts w:hint="default" w:ascii="Times New Roman" w:cs="Times New Roman" w:hAnsiTheme="minorEastAsia"/>
                <w:b/>
                <w:color w:val="auto"/>
                <w:kern w:val="0"/>
                <w:szCs w:val="21"/>
                <w:highlight w:val="none"/>
              </w:rPr>
              <w:t>）</w:t>
            </w:r>
          </w:p>
        </w:tc>
        <w:tc>
          <w:tcPr>
            <w:tcW w:w="1314"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最大超标</w:t>
            </w:r>
            <w:r>
              <w:rPr>
                <w:rFonts w:hint="eastAsia" w:ascii="Times New Roman" w:cs="Times New Roman" w:hAnsiTheme="minorEastAsia"/>
                <w:b/>
                <w:color w:val="auto"/>
                <w:kern w:val="0"/>
                <w:szCs w:val="21"/>
                <w:highlight w:val="none"/>
              </w:rPr>
              <w:t>范围</w:t>
            </w:r>
            <w:r>
              <w:rPr>
                <w:rFonts w:hint="default" w:ascii="Times New Roman" w:cs="Times New Roman" w:hAnsiTheme="minorEastAsia"/>
                <w:b/>
                <w:color w:val="auto"/>
                <w:kern w:val="0"/>
                <w:szCs w:val="21"/>
                <w:highlight w:val="none"/>
              </w:rPr>
              <w:t>（</w:t>
            </w:r>
            <w:r>
              <w:rPr>
                <w:rFonts w:hint="default" w:ascii="Times New Roman" w:hAnsi="Times New Roman" w:cs="Times New Roman"/>
                <w:b/>
                <w:color w:val="auto"/>
                <w:kern w:val="0"/>
                <w:szCs w:val="21"/>
                <w:highlight w:val="none"/>
              </w:rPr>
              <w:t>m</w:t>
            </w:r>
            <w:r>
              <w:rPr>
                <w:rFonts w:hint="eastAsia" w:ascii="Times New Roman" w:hAnsi="Times New Roman" w:cs="Times New Roman"/>
                <w:b/>
                <w:color w:val="auto"/>
                <w:kern w:val="0"/>
                <w:szCs w:val="21"/>
                <w:highlight w:val="none"/>
                <w:vertAlign w:val="superscript"/>
              </w:rPr>
              <w:t>2</w:t>
            </w:r>
            <w:r>
              <w:rPr>
                <w:rFonts w:hint="default" w:ascii="Times New Roman" w:cs="Times New Roman" w:hAnsiTheme="minorEastAsia"/>
                <w:b/>
                <w:color w:val="auto"/>
                <w:kern w:val="0"/>
                <w:szCs w:val="21"/>
                <w:highlight w:val="none"/>
              </w:rPr>
              <w:t>）</w:t>
            </w:r>
          </w:p>
        </w:tc>
        <w:tc>
          <w:tcPr>
            <w:tcW w:w="1288"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标准限值</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 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highlight w:val="none"/>
                <w:vertAlign w:val="subscript"/>
              </w:rPr>
            </w:pPr>
            <w:r>
              <w:rPr>
                <w:rFonts w:hint="default" w:ascii="Times New Roman" w:hAnsi="Times New Roman" w:cs="Times New Roman"/>
                <w:bCs/>
                <w:color w:val="auto"/>
                <w:szCs w:val="21"/>
                <w:highlight w:val="none"/>
              </w:rPr>
              <w:t>COD</w:t>
            </w:r>
            <w:r>
              <w:rPr>
                <w:rFonts w:hint="default" w:ascii="Times New Roman" w:hAnsi="Times New Roman" w:cs="Times New Roman"/>
                <w:bCs/>
                <w:color w:val="auto"/>
                <w:szCs w:val="21"/>
                <w:highlight w:val="none"/>
                <w:vertAlign w:val="subscript"/>
              </w:rPr>
              <w:t>Mn</w:t>
            </w:r>
          </w:p>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color w:val="auto"/>
                <w:szCs w:val="21"/>
                <w:highlight w:val="none"/>
              </w:rPr>
              <w:t>6652.5</w:t>
            </w:r>
            <w:r>
              <w:rPr>
                <w:rFonts w:hint="default" w:ascii="Times New Roman" w:hAnsi="Times New Roman" w:cs="Times New Roman"/>
                <w:color w:val="auto"/>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1.8</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23.2510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18.97</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293.08</w:t>
            </w:r>
          </w:p>
        </w:tc>
        <w:tc>
          <w:tcPr>
            <w:tcW w:w="1288"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6.9753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26.13</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402.69</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365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21.9</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1.9110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730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43.8</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0.9555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60</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0.6975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1500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90</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0.4650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1825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109.5</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0.3822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120</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0.3488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NH</w:t>
            </w:r>
            <w:r>
              <w:rPr>
                <w:rFonts w:hint="default" w:ascii="Times New Roman" w:hAnsi="Times New Roman" w:cs="Times New Roman"/>
                <w:color w:val="auto"/>
                <w:szCs w:val="21"/>
                <w:highlight w:val="none"/>
                <w:vertAlign w:val="subscript"/>
              </w:rPr>
              <w:t>3</w:t>
            </w:r>
            <w:r>
              <w:rPr>
                <w:rFonts w:hint="default" w:ascii="Times New Roman" w:hAnsi="Times New Roman" w:cs="Times New Roman"/>
                <w:color w:val="auto"/>
                <w:szCs w:val="21"/>
                <w:highlight w:val="none"/>
              </w:rPr>
              <w:t>-N</w:t>
            </w:r>
          </w:p>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color w:val="auto"/>
                <w:szCs w:val="21"/>
                <w:highlight w:val="none"/>
              </w:rPr>
              <w:t>663</w:t>
            </w:r>
            <w:r>
              <w:rPr>
                <w:rFonts w:hint="default" w:ascii="Times New Roman" w:hAnsi="Times New Roman" w:cs="Times New Roman"/>
                <w:color w:val="auto"/>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1.8</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2.3172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16.66</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219.50</w:t>
            </w:r>
          </w:p>
        </w:tc>
        <w:tc>
          <w:tcPr>
            <w:tcW w:w="1288"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0.6952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18.59</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157.43</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365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21.9</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0.1905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730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43.8</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0.0952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60</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0.0695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1500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90</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0.0463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1825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109.5</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0.0381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120</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0.0348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bl>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 xml:space="preserve"> 尾水储存池泄漏地下水中各污染物各时间点超标范围</w:t>
      </w:r>
    </w:p>
    <w:tbl>
      <w:tblPr>
        <w:tblStyle w:val="91"/>
        <w:tblpPr w:leftFromText="180" w:rightFromText="180" w:vertAnchor="text" w:tblpXSpec="center" w:tblpY="10"/>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02"/>
        <w:gridCol w:w="986"/>
        <w:gridCol w:w="1125"/>
        <w:gridCol w:w="1431"/>
        <w:gridCol w:w="1276"/>
        <w:gridCol w:w="1314"/>
        <w:gridCol w:w="12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2"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污染源</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总重</w:t>
            </w:r>
            <w:r>
              <w:rPr>
                <w:rFonts w:hint="default" w:ascii="Times New Roman" w:hAnsi="Times New Roman" w:cs="Times New Roman"/>
                <w:b/>
                <w:color w:val="auto"/>
                <w:kern w:val="0"/>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模拟时间</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（天）</w:t>
            </w:r>
          </w:p>
        </w:tc>
        <w:tc>
          <w:tcPr>
            <w:tcW w:w="1125"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中心迁移距离</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w:t>
            </w:r>
            <w:r>
              <w:rPr>
                <w:rFonts w:hint="default" w:ascii="Times New Roman" w:hAnsi="Times New Roman" w:cs="Times New Roman"/>
                <w:b/>
                <w:color w:val="auto"/>
                <w:kern w:val="0"/>
                <w:szCs w:val="21"/>
                <w:highlight w:val="none"/>
              </w:rPr>
              <w:t>m</w:t>
            </w:r>
            <w:r>
              <w:rPr>
                <w:rFonts w:hint="default" w:ascii="Times New Roman" w:cs="Times New Roman" w:hAnsiTheme="minorEastAsia"/>
                <w:b/>
                <w:color w:val="auto"/>
                <w:kern w:val="0"/>
                <w:szCs w:val="21"/>
                <w:highlight w:val="none"/>
              </w:rPr>
              <w:t>）</w:t>
            </w:r>
          </w:p>
        </w:tc>
        <w:tc>
          <w:tcPr>
            <w:tcW w:w="1431"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最大贡献浓度</w:t>
            </w:r>
            <w:r>
              <w:rPr>
                <w:rFonts w:hint="default" w:ascii="Times New Roman" w:hAnsi="Times New Roman" w:cs="Times New Roman"/>
                <w:b/>
                <w:color w:val="auto"/>
                <w:kern w:val="0"/>
                <w:szCs w:val="21"/>
                <w:highlight w:val="none"/>
              </w:rPr>
              <w:t>(mg/L)</w:t>
            </w:r>
          </w:p>
        </w:tc>
        <w:tc>
          <w:tcPr>
            <w:tcW w:w="127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最大超标距离（</w:t>
            </w:r>
            <w:r>
              <w:rPr>
                <w:rFonts w:hint="default" w:ascii="Times New Roman" w:hAnsi="Times New Roman" w:cs="Times New Roman"/>
                <w:b/>
                <w:color w:val="auto"/>
                <w:kern w:val="0"/>
                <w:szCs w:val="21"/>
                <w:highlight w:val="none"/>
              </w:rPr>
              <w:t>m</w:t>
            </w:r>
            <w:r>
              <w:rPr>
                <w:rFonts w:hint="default" w:ascii="Times New Roman" w:cs="Times New Roman" w:hAnsiTheme="minorEastAsia"/>
                <w:b/>
                <w:color w:val="auto"/>
                <w:kern w:val="0"/>
                <w:szCs w:val="21"/>
                <w:highlight w:val="none"/>
              </w:rPr>
              <w:t>）</w:t>
            </w:r>
          </w:p>
        </w:tc>
        <w:tc>
          <w:tcPr>
            <w:tcW w:w="1314"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最大超标</w:t>
            </w:r>
            <w:r>
              <w:rPr>
                <w:rFonts w:hint="eastAsia" w:ascii="Times New Roman" w:cs="Times New Roman" w:hAnsiTheme="minorEastAsia"/>
                <w:b/>
                <w:color w:val="auto"/>
                <w:kern w:val="0"/>
                <w:szCs w:val="21"/>
                <w:highlight w:val="none"/>
              </w:rPr>
              <w:t>范围</w:t>
            </w:r>
            <w:r>
              <w:rPr>
                <w:rFonts w:hint="default" w:ascii="Times New Roman" w:cs="Times New Roman" w:hAnsiTheme="minorEastAsia"/>
                <w:b/>
                <w:color w:val="auto"/>
                <w:kern w:val="0"/>
                <w:szCs w:val="21"/>
                <w:highlight w:val="none"/>
              </w:rPr>
              <w:t>（</w:t>
            </w:r>
            <w:r>
              <w:rPr>
                <w:rFonts w:hint="default" w:ascii="Times New Roman" w:hAnsi="Times New Roman" w:cs="Times New Roman"/>
                <w:b/>
                <w:color w:val="auto"/>
                <w:kern w:val="0"/>
                <w:szCs w:val="21"/>
                <w:highlight w:val="none"/>
              </w:rPr>
              <w:t>m</w:t>
            </w:r>
            <w:r>
              <w:rPr>
                <w:rFonts w:hint="eastAsia" w:ascii="Times New Roman" w:hAnsi="Times New Roman" w:cs="Times New Roman"/>
                <w:b/>
                <w:color w:val="auto"/>
                <w:kern w:val="0"/>
                <w:szCs w:val="21"/>
                <w:highlight w:val="none"/>
                <w:vertAlign w:val="superscript"/>
              </w:rPr>
              <w:t>2</w:t>
            </w:r>
            <w:r>
              <w:rPr>
                <w:rFonts w:hint="default" w:ascii="Times New Roman" w:cs="Times New Roman" w:hAnsiTheme="minorEastAsia"/>
                <w:b/>
                <w:color w:val="auto"/>
                <w:kern w:val="0"/>
                <w:szCs w:val="21"/>
                <w:highlight w:val="none"/>
              </w:rPr>
              <w:t>）</w:t>
            </w:r>
          </w:p>
        </w:tc>
        <w:tc>
          <w:tcPr>
            <w:tcW w:w="1288"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cs="Times New Roman" w:hAnsiTheme="minorEastAsia"/>
                <w:b/>
                <w:color w:val="auto"/>
                <w:kern w:val="0"/>
                <w:szCs w:val="21"/>
                <w:highlight w:val="none"/>
              </w:rPr>
              <w:t>标准限值</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 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highlight w:val="none"/>
                <w:vertAlign w:val="subscript"/>
              </w:rPr>
            </w:pPr>
            <w:r>
              <w:rPr>
                <w:rFonts w:hint="default" w:ascii="Times New Roman" w:hAnsi="Times New Roman" w:cs="Times New Roman"/>
                <w:bCs/>
                <w:color w:val="auto"/>
                <w:szCs w:val="21"/>
                <w:highlight w:val="none"/>
              </w:rPr>
              <w:t>COD</w:t>
            </w:r>
            <w:r>
              <w:rPr>
                <w:rFonts w:hint="default" w:ascii="Times New Roman" w:hAnsi="Times New Roman" w:cs="Times New Roman"/>
                <w:bCs/>
                <w:color w:val="auto"/>
                <w:szCs w:val="21"/>
                <w:highlight w:val="none"/>
                <w:vertAlign w:val="subscript"/>
              </w:rPr>
              <w:t>Mn</w:t>
            </w:r>
          </w:p>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color w:val="auto"/>
                <w:szCs w:val="21"/>
                <w:highlight w:val="none"/>
                <w:lang w:val="en-US" w:eastAsia="zh-CN"/>
              </w:rPr>
              <w:t>7800</w:t>
            </w:r>
            <w:r>
              <w:rPr>
                <w:rFonts w:hint="default" w:ascii="Times New Roman" w:hAnsi="Times New Roman" w:cs="Times New Roman"/>
                <w:color w:val="auto"/>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1.8</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 xml:space="preserve">27.2617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19.63 </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315.85 </w:t>
            </w:r>
          </w:p>
        </w:tc>
        <w:tc>
          <w:tcPr>
            <w:tcW w:w="1288"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 xml:space="preserve">8.1785 </w:t>
            </w:r>
          </w:p>
        </w:tc>
        <w:tc>
          <w:tcPr>
            <w:tcW w:w="1276"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27.95 </w:t>
            </w:r>
          </w:p>
        </w:tc>
        <w:tc>
          <w:tcPr>
            <w:tcW w:w="1314"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478.59 </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365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21.9</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 xml:space="preserve">2.2407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eastAsiaTheme="minorEastAsia"/>
                <w:bCs/>
                <w:color w:val="auto"/>
                <w:kern w:val="0"/>
                <w:szCs w:val="21"/>
                <w:highlight w:val="none"/>
                <w:lang w:eastAsia="zh-CN"/>
              </w:rPr>
            </w:pPr>
            <w:r>
              <w:rPr>
                <w:rFonts w:hint="eastAsia" w:ascii="Times New Roman" w:hAnsi="Times New Roman" w:cs="Times New Roman"/>
                <w:bCs/>
                <w:color w:val="auto"/>
                <w:kern w:val="0"/>
                <w:szCs w:val="21"/>
                <w:highlight w:val="none"/>
                <w:lang w:val="en-US" w:eastAsia="zh-CN"/>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eastAsiaTheme="minorEastAsia"/>
                <w:bCs/>
                <w:color w:val="auto"/>
                <w:kern w:val="0"/>
                <w:szCs w:val="21"/>
                <w:highlight w:val="none"/>
                <w:lang w:eastAsia="zh-CN"/>
              </w:rPr>
            </w:pPr>
            <w:r>
              <w:rPr>
                <w:rFonts w:hint="eastAsia" w:ascii="Times New Roman" w:hAnsi="Times New Roman" w:cs="Times New Roman"/>
                <w:bCs/>
                <w:color w:val="auto"/>
                <w:kern w:val="0"/>
                <w:szCs w:val="21"/>
                <w:highlight w:val="none"/>
                <w:lang w:val="en-US" w:eastAsia="zh-CN"/>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730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43.8</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1.1203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0.8178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1500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90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0.5452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1825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109.5</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0.4481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120</w:t>
            </w:r>
          </w:p>
        </w:tc>
        <w:tc>
          <w:tcPr>
            <w:tcW w:w="1431"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0.4089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NH</w:t>
            </w:r>
            <w:r>
              <w:rPr>
                <w:rFonts w:hint="default" w:ascii="Times New Roman" w:hAnsi="Times New Roman" w:cs="Times New Roman"/>
                <w:color w:val="auto"/>
                <w:szCs w:val="21"/>
                <w:highlight w:val="none"/>
                <w:vertAlign w:val="subscript"/>
              </w:rPr>
              <w:t>3</w:t>
            </w:r>
            <w:r>
              <w:rPr>
                <w:rFonts w:hint="default" w:ascii="Times New Roman" w:hAnsi="Times New Roman" w:cs="Times New Roman"/>
                <w:color w:val="auto"/>
                <w:szCs w:val="21"/>
                <w:highlight w:val="none"/>
              </w:rPr>
              <w:t>-N</w:t>
            </w:r>
          </w:p>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color w:val="auto"/>
                <w:szCs w:val="21"/>
                <w:highlight w:val="none"/>
              </w:rPr>
              <w:t>4680</w:t>
            </w:r>
            <w:r>
              <w:rPr>
                <w:rFonts w:hint="default" w:ascii="Times New Roman" w:hAnsi="Times New Roman" w:cs="Times New Roman"/>
                <w:color w:val="auto"/>
                <w:szCs w:val="21"/>
                <w:highlight w:val="none"/>
              </w:rPr>
              <w:t>g</w:t>
            </w: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1.8</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16.3570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24.21</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499.14</w:t>
            </w:r>
          </w:p>
        </w:tc>
        <w:tc>
          <w:tcPr>
            <w:tcW w:w="1288"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4.9071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39.11</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1089.54</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365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21.9</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1.3444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63.54</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1722.82</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730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43.8</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0.6722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76.03</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1032.23</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60</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0.4907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1500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90</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0.3271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1825</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109.5</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0.2689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02"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986"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2000</w:t>
            </w:r>
          </w:p>
        </w:tc>
        <w:tc>
          <w:tcPr>
            <w:tcW w:w="1125"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120</w:t>
            </w:r>
          </w:p>
        </w:tc>
        <w:tc>
          <w:tcPr>
            <w:tcW w:w="1431"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 xml:space="preserve">0.2454 </w:t>
            </w:r>
          </w:p>
        </w:tc>
        <w:tc>
          <w:tcPr>
            <w:tcW w:w="1276"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314" w:type="dxa"/>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eastAsia" w:ascii="Times New Roman" w:hAnsi="Times New Roman" w:cs="Times New Roman"/>
                <w:bCs/>
                <w:color w:val="auto"/>
                <w:kern w:val="0"/>
                <w:szCs w:val="21"/>
                <w:highlight w:val="none"/>
              </w:rPr>
              <w:t>-</w:t>
            </w:r>
          </w:p>
        </w:tc>
        <w:tc>
          <w:tcPr>
            <w:tcW w:w="128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r>
    </w:tbl>
    <w:p>
      <w:pPr>
        <w:widowControl/>
        <w:spacing w:line="360" w:lineRule="auto"/>
        <w:ind w:firstLine="480" w:firstLineChars="200"/>
        <w:rPr>
          <w:rFonts w:ascii="Times New Roman" w:hAnsi="Times New Roman" w:cs="Times New Roman"/>
          <w:color w:val="auto"/>
          <w:kern w:val="0"/>
          <w:sz w:val="24"/>
          <w:szCs w:val="24"/>
          <w:highlight w:val="none"/>
        </w:rPr>
      </w:pPr>
      <w:r>
        <w:rPr>
          <w:rFonts w:ascii="Times New Roman" w:hAnsi="Times New Roman" w:cs="Times New Roman"/>
          <w:bCs/>
          <w:color w:val="auto"/>
          <w:sz w:val="24"/>
          <w:highlight w:val="none"/>
        </w:rPr>
        <w:t>根据预测结果可知，当各产污构筑物发生泄漏后地下水中污染物在短时间内浓度增加，在地下水水流作用下污染羽不断向周边扩散，污染物主要向地下水下游方向运移。随着时间的增加，污染的范围不断扩大，中心浓度也随着地下水水流向下游方向发生迁移，在地下水的稀释和岩土体的物理化学作用下，中心浓度不断减小。本项目区域地下水执行《地下水质量标准》（GB/T 14847-2017）中的Ⅲ类标准</w:t>
      </w:r>
      <w:r>
        <w:rPr>
          <w:rFonts w:ascii="Times New Roman" w:hAnsi="Times New Roman" w:cs="Times New Roman"/>
          <w:color w:val="auto"/>
          <w:kern w:val="0"/>
          <w:sz w:val="24"/>
          <w:szCs w:val="24"/>
          <w:highlight w:val="none"/>
        </w:rPr>
        <w:t>（NH</w:t>
      </w:r>
      <w:r>
        <w:rPr>
          <w:rFonts w:ascii="Times New Roman" w:hAnsi="Times New Roman" w:cs="Times New Roman"/>
          <w:color w:val="auto"/>
          <w:kern w:val="0"/>
          <w:sz w:val="24"/>
          <w:szCs w:val="24"/>
          <w:highlight w:val="none"/>
          <w:vertAlign w:val="subscript"/>
        </w:rPr>
        <w:t>3</w:t>
      </w:r>
      <w:r>
        <w:rPr>
          <w:rFonts w:ascii="Times New Roman" w:hAnsi="Times New Roman" w:cs="Times New Roman"/>
          <w:color w:val="auto"/>
          <w:kern w:val="0"/>
          <w:sz w:val="24"/>
          <w:szCs w:val="24"/>
          <w:highlight w:val="none"/>
        </w:rPr>
        <w:t>-N≤0.50</w:t>
      </w:r>
      <w:bookmarkStart w:id="247" w:name="_Hlk57712725"/>
      <w:r>
        <w:rPr>
          <w:rFonts w:ascii="Times New Roman" w:hAnsi="Times New Roman" w:cs="Times New Roman"/>
          <w:color w:val="auto"/>
          <w:kern w:val="0"/>
          <w:sz w:val="24"/>
          <w:szCs w:val="24"/>
          <w:highlight w:val="none"/>
        </w:rPr>
        <w:t>mg/L</w:t>
      </w:r>
      <w:bookmarkEnd w:id="247"/>
      <w:r>
        <w:rPr>
          <w:rFonts w:ascii="Times New Roman" w:hAnsi="Times New Roman" w:cs="Times New Roman"/>
          <w:color w:val="auto"/>
          <w:kern w:val="0"/>
          <w:sz w:val="24"/>
          <w:szCs w:val="24"/>
          <w:highlight w:val="none"/>
        </w:rPr>
        <w:t>，COD</w:t>
      </w:r>
      <w:r>
        <w:rPr>
          <w:rFonts w:ascii="Times New Roman" w:hAnsi="Times New Roman" w:cs="Times New Roman"/>
          <w:color w:val="auto"/>
          <w:kern w:val="0"/>
          <w:sz w:val="24"/>
          <w:szCs w:val="24"/>
          <w:highlight w:val="none"/>
          <w:vertAlign w:val="subscript"/>
        </w:rPr>
        <w:t>Mn</w:t>
      </w:r>
      <w:r>
        <w:rPr>
          <w:rFonts w:ascii="Times New Roman" w:hAnsi="Times New Roman" w:cs="Times New Roman"/>
          <w:color w:val="auto"/>
          <w:kern w:val="0"/>
          <w:sz w:val="24"/>
          <w:szCs w:val="24"/>
          <w:highlight w:val="none"/>
        </w:rPr>
        <w:t>≤3.0mg/L）。</w:t>
      </w:r>
    </w:p>
    <w:p>
      <w:pPr>
        <w:widowControl/>
        <w:spacing w:line="360" w:lineRule="auto"/>
        <w:ind w:firstLine="480" w:firstLineChars="200"/>
        <w:rPr>
          <w:rFonts w:ascii="Times New Roman" w:hAnsi="Times New Roman" w:eastAsia="宋体" w:cs="Times New Roman"/>
          <w:bCs/>
          <w:color w:val="auto"/>
          <w:sz w:val="24"/>
          <w:highlight w:val="none"/>
        </w:rPr>
      </w:pPr>
      <w:r>
        <w:rPr>
          <w:rFonts w:hint="eastAsia" w:ascii="Times New Roman" w:hAnsi="Times New Roman" w:eastAsia="宋体" w:cs="Times New Roman"/>
          <w:bCs/>
          <w:color w:val="auto"/>
          <w:sz w:val="24"/>
          <w:highlight w:val="none"/>
        </w:rPr>
        <w:t>分析非正常运行状况污染源浓度变化趋势，</w:t>
      </w:r>
      <w:r>
        <w:rPr>
          <w:rFonts w:ascii="Times New Roman" w:hAnsi="Times New Roman" w:eastAsia="宋体" w:cs="Times New Roman"/>
          <w:bCs/>
          <w:color w:val="auto"/>
          <w:sz w:val="24"/>
          <w:highlight w:val="none"/>
        </w:rPr>
        <w:t>污水处理站</w:t>
      </w:r>
      <w:r>
        <w:rPr>
          <w:rFonts w:hint="eastAsia" w:ascii="Times New Roman" w:hAnsi="Times New Roman" w:eastAsia="宋体" w:cs="Times New Roman"/>
          <w:bCs/>
          <w:color w:val="auto"/>
          <w:sz w:val="24"/>
          <w:highlight w:val="none"/>
        </w:rPr>
        <w:t>非正常运行状况发生后，地下水中</w:t>
      </w:r>
      <w:r>
        <w:rPr>
          <w:rFonts w:ascii="Times New Roman" w:hAnsi="Times New Roman" w:eastAsia="宋体" w:cs="Times New Roman"/>
          <w:bCs/>
          <w:color w:val="auto"/>
          <w:sz w:val="24"/>
          <w:highlight w:val="none"/>
        </w:rPr>
        <w:t>COD</w:t>
      </w:r>
      <w:r>
        <w:rPr>
          <w:rFonts w:ascii="Times New Roman" w:hAnsi="Times New Roman" w:eastAsia="宋体" w:cs="Times New Roman"/>
          <w:bCs/>
          <w:color w:val="auto"/>
          <w:sz w:val="24"/>
          <w:highlight w:val="none"/>
          <w:vertAlign w:val="subscript"/>
        </w:rPr>
        <w:t>Mn</w:t>
      </w:r>
      <w:r>
        <w:rPr>
          <w:rFonts w:ascii="Times New Roman" w:hAnsi="Times New Roman" w:eastAsia="宋体" w:cs="Times New Roman"/>
          <w:bCs/>
          <w:color w:val="auto"/>
          <w:sz w:val="24"/>
          <w:highlight w:val="none"/>
        </w:rPr>
        <w:t>和</w:t>
      </w:r>
      <w:r>
        <w:rPr>
          <w:rFonts w:ascii="Times New Roman" w:hAnsi="Times New Roman" w:eastAsia="宋体" w:cs="Times New Roman"/>
          <w:color w:val="auto"/>
          <w:kern w:val="0"/>
          <w:sz w:val="24"/>
          <w:szCs w:val="24"/>
          <w:highlight w:val="none"/>
        </w:rPr>
        <w:t>NH</w:t>
      </w:r>
      <w:r>
        <w:rPr>
          <w:rFonts w:ascii="Times New Roman" w:hAnsi="Times New Roman" w:eastAsia="宋体" w:cs="Times New Roman"/>
          <w:color w:val="auto"/>
          <w:kern w:val="0"/>
          <w:sz w:val="24"/>
          <w:szCs w:val="24"/>
          <w:highlight w:val="none"/>
          <w:vertAlign w:val="subscript"/>
        </w:rPr>
        <w:t>3</w:t>
      </w:r>
      <w:r>
        <w:rPr>
          <w:rFonts w:ascii="Times New Roman" w:hAnsi="Times New Roman" w:eastAsia="宋体" w:cs="Times New Roman"/>
          <w:color w:val="auto"/>
          <w:kern w:val="0"/>
          <w:sz w:val="24"/>
          <w:szCs w:val="24"/>
          <w:highlight w:val="none"/>
        </w:rPr>
        <w:t>-N</w:t>
      </w:r>
      <w:r>
        <w:rPr>
          <w:rFonts w:hint="eastAsia" w:ascii="Times New Roman" w:hAnsi="Times New Roman" w:eastAsia="宋体" w:cs="Times New Roman"/>
          <w:bCs/>
          <w:color w:val="auto"/>
          <w:sz w:val="24"/>
          <w:highlight w:val="none"/>
        </w:rPr>
        <w:t>超标范围集中于构筑物下游</w:t>
      </w:r>
      <w:r>
        <w:rPr>
          <w:rFonts w:ascii="Times New Roman" w:hAnsi="Times New Roman" w:eastAsia="宋体" w:cs="Times New Roman"/>
          <w:bCs/>
          <w:color w:val="auto"/>
          <w:sz w:val="24"/>
          <w:highlight w:val="none"/>
        </w:rPr>
        <w:t>30</w:t>
      </w:r>
      <w:r>
        <w:rPr>
          <w:rFonts w:hint="eastAsia" w:ascii="Times New Roman" w:hAnsi="Times New Roman" w:eastAsia="宋体" w:cs="Times New Roman"/>
          <w:bCs/>
          <w:color w:val="auto"/>
          <w:sz w:val="24"/>
          <w:highlight w:val="none"/>
        </w:rPr>
        <w:t>m范围内，超标时长集中于0～365d。</w:t>
      </w:r>
      <w:r>
        <w:rPr>
          <w:rFonts w:ascii="Times New Roman" w:hAnsi="Times New Roman" w:eastAsia="宋体" w:cs="Times New Roman"/>
          <w:bCs/>
          <w:color w:val="auto"/>
          <w:sz w:val="24"/>
          <w:highlight w:val="none"/>
        </w:rPr>
        <w:t>生活废水处理设施泄漏后</w:t>
      </w:r>
      <w:r>
        <w:rPr>
          <w:rFonts w:hint="eastAsia" w:ascii="Times New Roman" w:hAnsi="Times New Roman" w:eastAsia="宋体" w:cs="Times New Roman"/>
          <w:bCs/>
          <w:color w:val="auto"/>
          <w:sz w:val="24"/>
          <w:highlight w:val="none"/>
        </w:rPr>
        <w:t>地下水中</w:t>
      </w:r>
      <w:r>
        <w:rPr>
          <w:rFonts w:ascii="Times New Roman" w:hAnsi="Times New Roman" w:eastAsia="宋体" w:cs="Times New Roman"/>
          <w:bCs/>
          <w:color w:val="auto"/>
          <w:sz w:val="24"/>
          <w:highlight w:val="none"/>
        </w:rPr>
        <w:t>COD</w:t>
      </w:r>
      <w:r>
        <w:rPr>
          <w:rFonts w:ascii="Times New Roman" w:hAnsi="Times New Roman" w:eastAsia="宋体" w:cs="Times New Roman"/>
          <w:bCs/>
          <w:color w:val="auto"/>
          <w:sz w:val="24"/>
          <w:highlight w:val="none"/>
          <w:vertAlign w:val="subscript"/>
        </w:rPr>
        <w:t>Mn</w:t>
      </w:r>
      <w:r>
        <w:rPr>
          <w:rFonts w:ascii="Times New Roman" w:hAnsi="Times New Roman" w:eastAsia="宋体" w:cs="Times New Roman"/>
          <w:bCs/>
          <w:color w:val="auto"/>
          <w:sz w:val="24"/>
          <w:highlight w:val="none"/>
        </w:rPr>
        <w:t>和NH</w:t>
      </w:r>
      <w:r>
        <w:rPr>
          <w:rFonts w:ascii="Times New Roman" w:hAnsi="Times New Roman" w:eastAsia="宋体" w:cs="Times New Roman"/>
          <w:bCs/>
          <w:color w:val="auto"/>
          <w:sz w:val="24"/>
          <w:highlight w:val="none"/>
          <w:vertAlign w:val="subscript"/>
        </w:rPr>
        <w:t>3</w:t>
      </w:r>
      <w:r>
        <w:rPr>
          <w:rFonts w:ascii="Times New Roman" w:hAnsi="Times New Roman" w:eastAsia="宋体" w:cs="Times New Roman"/>
          <w:bCs/>
          <w:color w:val="auto"/>
          <w:sz w:val="24"/>
          <w:highlight w:val="none"/>
        </w:rPr>
        <w:t>-N未出现超标。</w:t>
      </w:r>
      <w:r>
        <w:rPr>
          <w:rFonts w:hint="eastAsia" w:ascii="Times New Roman" w:hAnsi="Times New Roman" w:eastAsia="宋体" w:cs="Times New Roman"/>
          <w:bCs/>
          <w:color w:val="auto"/>
          <w:sz w:val="24"/>
          <w:highlight w:val="none"/>
        </w:rPr>
        <w:t>集污池非正常运行状况发生后，地下水中</w:t>
      </w:r>
      <w:r>
        <w:rPr>
          <w:rFonts w:ascii="Times New Roman" w:hAnsi="Times New Roman" w:eastAsia="宋体" w:cs="Times New Roman"/>
          <w:bCs/>
          <w:color w:val="auto"/>
          <w:sz w:val="24"/>
          <w:highlight w:val="none"/>
        </w:rPr>
        <w:t>COD</w:t>
      </w:r>
      <w:r>
        <w:rPr>
          <w:rFonts w:ascii="Times New Roman" w:hAnsi="Times New Roman" w:eastAsia="宋体" w:cs="Times New Roman"/>
          <w:bCs/>
          <w:color w:val="auto"/>
          <w:sz w:val="24"/>
          <w:highlight w:val="none"/>
          <w:vertAlign w:val="subscript"/>
        </w:rPr>
        <w:t>Mn</w:t>
      </w:r>
      <w:r>
        <w:rPr>
          <w:rFonts w:hint="eastAsia" w:ascii="Times New Roman" w:hAnsi="Times New Roman" w:eastAsia="宋体" w:cs="Times New Roman"/>
          <w:bCs/>
          <w:color w:val="auto"/>
          <w:sz w:val="24"/>
          <w:highlight w:val="none"/>
        </w:rPr>
        <w:t>超标范围集中于构筑物下游</w:t>
      </w:r>
      <w:r>
        <w:rPr>
          <w:rFonts w:ascii="Times New Roman" w:hAnsi="Times New Roman" w:eastAsia="宋体" w:cs="Times New Roman"/>
          <w:bCs/>
          <w:color w:val="auto"/>
          <w:sz w:val="24"/>
          <w:highlight w:val="none"/>
        </w:rPr>
        <w:t>30</w:t>
      </w:r>
      <w:r>
        <w:rPr>
          <w:rFonts w:hint="eastAsia" w:ascii="Times New Roman" w:hAnsi="Times New Roman" w:eastAsia="宋体" w:cs="Times New Roman"/>
          <w:bCs/>
          <w:color w:val="auto"/>
          <w:sz w:val="24"/>
          <w:highlight w:val="none"/>
        </w:rPr>
        <w:t>m范围内，超标时长集中于0～365d；地下水中</w:t>
      </w:r>
      <w:r>
        <w:rPr>
          <w:rFonts w:ascii="Times New Roman" w:hAnsi="Times New Roman" w:eastAsia="宋体" w:cs="Times New Roman"/>
          <w:color w:val="auto"/>
          <w:kern w:val="0"/>
          <w:sz w:val="24"/>
          <w:szCs w:val="24"/>
          <w:highlight w:val="none"/>
        </w:rPr>
        <w:t>NH</w:t>
      </w:r>
      <w:r>
        <w:rPr>
          <w:rFonts w:ascii="Times New Roman" w:hAnsi="Times New Roman" w:eastAsia="宋体" w:cs="Times New Roman"/>
          <w:color w:val="auto"/>
          <w:kern w:val="0"/>
          <w:sz w:val="24"/>
          <w:szCs w:val="24"/>
          <w:highlight w:val="none"/>
          <w:vertAlign w:val="subscript"/>
        </w:rPr>
        <w:t>3</w:t>
      </w:r>
      <w:r>
        <w:rPr>
          <w:rFonts w:ascii="Times New Roman" w:hAnsi="Times New Roman" w:eastAsia="宋体" w:cs="Times New Roman"/>
          <w:color w:val="auto"/>
          <w:kern w:val="0"/>
          <w:sz w:val="24"/>
          <w:szCs w:val="24"/>
          <w:highlight w:val="none"/>
        </w:rPr>
        <w:t>-N</w:t>
      </w:r>
      <w:r>
        <w:rPr>
          <w:rFonts w:hint="eastAsia" w:ascii="Times New Roman" w:hAnsi="Times New Roman" w:eastAsia="宋体" w:cs="Times New Roman"/>
          <w:bCs/>
          <w:color w:val="auto"/>
          <w:sz w:val="24"/>
          <w:highlight w:val="none"/>
        </w:rPr>
        <w:t>超标范围集中于构筑物下游2</w:t>
      </w:r>
      <w:r>
        <w:rPr>
          <w:rFonts w:ascii="Times New Roman" w:hAnsi="Times New Roman" w:eastAsia="宋体" w:cs="Times New Roman"/>
          <w:bCs/>
          <w:color w:val="auto"/>
          <w:sz w:val="24"/>
          <w:highlight w:val="none"/>
        </w:rPr>
        <w:t>0</w:t>
      </w:r>
      <w:r>
        <w:rPr>
          <w:rFonts w:hint="eastAsia" w:ascii="Times New Roman" w:hAnsi="Times New Roman" w:eastAsia="宋体" w:cs="Times New Roman"/>
          <w:bCs/>
          <w:color w:val="auto"/>
          <w:sz w:val="24"/>
          <w:highlight w:val="none"/>
        </w:rPr>
        <w:t>m范围内，超标时长集中于0～365d。</w:t>
      </w:r>
      <w:r>
        <w:rPr>
          <w:rFonts w:ascii="Times New Roman" w:cs="Times New Roman" w:hAnsiTheme="minorEastAsia"/>
          <w:color w:val="auto"/>
          <w:sz w:val="24"/>
          <w:szCs w:val="24"/>
          <w:highlight w:val="none"/>
        </w:rPr>
        <w:t>尾水储存池</w:t>
      </w:r>
      <w:r>
        <w:rPr>
          <w:rFonts w:hint="eastAsia" w:ascii="Times New Roman" w:hAnsi="Times New Roman" w:eastAsia="宋体" w:cs="Times New Roman"/>
          <w:bCs/>
          <w:color w:val="auto"/>
          <w:sz w:val="24"/>
          <w:highlight w:val="none"/>
        </w:rPr>
        <w:t>非正常运行状况发生后，地下水中</w:t>
      </w:r>
      <w:r>
        <w:rPr>
          <w:rFonts w:ascii="Times New Roman" w:hAnsi="Times New Roman" w:eastAsia="宋体" w:cs="Times New Roman"/>
          <w:bCs/>
          <w:color w:val="auto"/>
          <w:sz w:val="24"/>
          <w:highlight w:val="none"/>
        </w:rPr>
        <w:t>COD</w:t>
      </w:r>
      <w:r>
        <w:rPr>
          <w:rFonts w:ascii="Times New Roman" w:hAnsi="Times New Roman" w:eastAsia="宋体" w:cs="Times New Roman"/>
          <w:bCs/>
          <w:color w:val="auto"/>
          <w:sz w:val="24"/>
          <w:highlight w:val="none"/>
          <w:vertAlign w:val="subscript"/>
        </w:rPr>
        <w:t>Mn</w:t>
      </w:r>
      <w:r>
        <w:rPr>
          <w:rFonts w:hint="eastAsia" w:ascii="Times New Roman" w:hAnsi="Times New Roman" w:eastAsia="宋体" w:cs="Times New Roman"/>
          <w:bCs/>
          <w:color w:val="auto"/>
          <w:sz w:val="24"/>
          <w:highlight w:val="none"/>
        </w:rPr>
        <w:t>超标范围集中于构筑物下游</w:t>
      </w:r>
      <w:r>
        <w:rPr>
          <w:rFonts w:hint="eastAsia" w:ascii="Times New Roman" w:hAnsi="Times New Roman" w:eastAsia="宋体" w:cs="Times New Roman"/>
          <w:bCs/>
          <w:color w:val="auto"/>
          <w:sz w:val="24"/>
          <w:highlight w:val="none"/>
          <w:lang w:val="en-US" w:eastAsia="zh-CN"/>
        </w:rPr>
        <w:t>3</w:t>
      </w:r>
      <w:r>
        <w:rPr>
          <w:rFonts w:ascii="Times New Roman" w:hAnsi="Times New Roman" w:eastAsia="宋体" w:cs="Times New Roman"/>
          <w:bCs/>
          <w:color w:val="auto"/>
          <w:sz w:val="24"/>
          <w:highlight w:val="none"/>
        </w:rPr>
        <w:t>0</w:t>
      </w:r>
      <w:r>
        <w:rPr>
          <w:rFonts w:hint="eastAsia" w:ascii="Times New Roman" w:hAnsi="Times New Roman" w:eastAsia="宋体" w:cs="Times New Roman"/>
          <w:bCs/>
          <w:color w:val="auto"/>
          <w:sz w:val="24"/>
          <w:highlight w:val="none"/>
        </w:rPr>
        <w:t>m范围内，超标时长集中于0～</w:t>
      </w:r>
      <w:r>
        <w:rPr>
          <w:rFonts w:hint="eastAsia" w:ascii="Times New Roman" w:hAnsi="Times New Roman" w:eastAsia="宋体" w:cs="Times New Roman"/>
          <w:bCs/>
          <w:color w:val="auto"/>
          <w:sz w:val="24"/>
          <w:highlight w:val="none"/>
          <w:lang w:val="en-US" w:eastAsia="zh-CN"/>
        </w:rPr>
        <w:t>365</w:t>
      </w:r>
      <w:r>
        <w:rPr>
          <w:rFonts w:hint="eastAsia" w:ascii="Times New Roman" w:hAnsi="Times New Roman" w:eastAsia="宋体" w:cs="Times New Roman"/>
          <w:bCs/>
          <w:color w:val="auto"/>
          <w:sz w:val="24"/>
          <w:highlight w:val="none"/>
        </w:rPr>
        <w:t>d；</w:t>
      </w:r>
      <w:r>
        <w:rPr>
          <w:rFonts w:hint="eastAsia" w:ascii="Times New Roman" w:hAnsi="Times New Roman" w:eastAsia="宋体" w:cs="Times New Roman"/>
          <w:bCs/>
          <w:color w:val="auto"/>
          <w:sz w:val="24"/>
          <w:highlight w:val="none"/>
        </w:rPr>
        <w:t>地下水中</w:t>
      </w:r>
      <w:r>
        <w:rPr>
          <w:rFonts w:ascii="Times New Roman" w:hAnsi="Times New Roman" w:eastAsia="宋体" w:cs="Times New Roman"/>
          <w:color w:val="auto"/>
          <w:kern w:val="0"/>
          <w:sz w:val="24"/>
          <w:szCs w:val="24"/>
          <w:highlight w:val="none"/>
        </w:rPr>
        <w:t>NH</w:t>
      </w:r>
      <w:r>
        <w:rPr>
          <w:rFonts w:ascii="Times New Roman" w:hAnsi="Times New Roman" w:eastAsia="宋体" w:cs="Times New Roman"/>
          <w:color w:val="auto"/>
          <w:kern w:val="0"/>
          <w:sz w:val="24"/>
          <w:szCs w:val="24"/>
          <w:highlight w:val="none"/>
          <w:vertAlign w:val="subscript"/>
        </w:rPr>
        <w:t>3</w:t>
      </w:r>
      <w:r>
        <w:rPr>
          <w:rFonts w:ascii="Times New Roman" w:hAnsi="Times New Roman" w:eastAsia="宋体" w:cs="Times New Roman"/>
          <w:color w:val="auto"/>
          <w:kern w:val="0"/>
          <w:sz w:val="24"/>
          <w:szCs w:val="24"/>
          <w:highlight w:val="none"/>
        </w:rPr>
        <w:t>-N</w:t>
      </w:r>
      <w:r>
        <w:rPr>
          <w:rFonts w:hint="eastAsia" w:ascii="Times New Roman" w:hAnsi="Times New Roman" w:eastAsia="宋体" w:cs="Times New Roman"/>
          <w:bCs/>
          <w:color w:val="auto"/>
          <w:sz w:val="24"/>
          <w:highlight w:val="none"/>
        </w:rPr>
        <w:t>超标范围集中于构筑物下游8</w:t>
      </w:r>
      <w:r>
        <w:rPr>
          <w:rFonts w:ascii="Times New Roman" w:hAnsi="Times New Roman" w:eastAsia="宋体" w:cs="Times New Roman"/>
          <w:bCs/>
          <w:color w:val="auto"/>
          <w:sz w:val="24"/>
          <w:highlight w:val="none"/>
        </w:rPr>
        <w:t>0</w:t>
      </w:r>
      <w:r>
        <w:rPr>
          <w:rFonts w:hint="eastAsia" w:ascii="Times New Roman" w:hAnsi="Times New Roman" w:eastAsia="宋体" w:cs="Times New Roman"/>
          <w:bCs/>
          <w:color w:val="auto"/>
          <w:sz w:val="24"/>
          <w:highlight w:val="none"/>
        </w:rPr>
        <w:t>m范围内，超标时长集中于0～1000d。</w:t>
      </w:r>
    </w:p>
    <w:p>
      <w:pPr>
        <w:spacing w:line="360" w:lineRule="auto"/>
        <w:ind w:firstLine="480" w:firstLineChars="200"/>
        <w:textAlignment w:val="center"/>
        <w:rPr>
          <w:rFonts w:ascii="Times New Roman" w:hAnsi="Times New Roman" w:eastAsia="宋体" w:cs="Times New Roman"/>
          <w:bCs/>
          <w:color w:val="auto"/>
          <w:sz w:val="24"/>
          <w:highlight w:val="none"/>
        </w:rPr>
      </w:pPr>
      <w:r>
        <w:rPr>
          <w:rFonts w:ascii="Times New Roman" w:hAnsi="Times New Roman" w:eastAsia="宋体" w:cs="Times New Roman"/>
          <w:bCs/>
          <w:color w:val="auto"/>
          <w:sz w:val="24"/>
          <w:highlight w:val="none"/>
        </w:rPr>
        <w:t>非正常运行状况下，污染物下渗进入地下水系统后，将污染本项目区及下游下伏含水层，且地下水恢复至背景水平需要时间，因此应尽量避免非正常状况发生，严格做好地下水防渗措施。</w:t>
      </w:r>
    </w:p>
    <w:p>
      <w:pPr>
        <w:spacing w:line="360" w:lineRule="auto"/>
        <w:ind w:firstLine="480" w:firstLineChars="200"/>
        <w:textAlignment w:val="center"/>
        <w:rPr>
          <w:rFonts w:ascii="Times New Roman" w:hAnsi="Times New Roman" w:eastAsia="宋体" w:cs="Times New Roman"/>
          <w:bCs/>
          <w:color w:val="auto"/>
          <w:sz w:val="24"/>
          <w:highlight w:val="none"/>
        </w:rPr>
      </w:pPr>
      <w:r>
        <w:rPr>
          <w:rFonts w:ascii="Times New Roman" w:hAnsi="Times New Roman" w:eastAsia="宋体" w:cs="Times New Roman"/>
          <w:bCs/>
          <w:color w:val="auto"/>
          <w:sz w:val="24"/>
          <w:highlight w:val="none"/>
        </w:rPr>
        <w:t>环评要求本项目运行过程中，于项目下游布设地下水水质监测井，定期对地下水水质进行监测，如发现水质异常，立刻采取有效措施（如采用水动力隔离技术）阻止污染羽的扩散迁移，将地下水控制在局部范围，避免对厂区下游地下水造成污染。</w:t>
      </w:r>
    </w:p>
    <w:p>
      <w:pPr>
        <w:spacing w:line="360" w:lineRule="auto"/>
        <w:ind w:firstLine="480" w:firstLineChars="200"/>
        <w:textAlignment w:val="center"/>
        <w:rPr>
          <w:rFonts w:hint="eastAsia" w:ascii="Times New Roman" w:hAnsi="Times New Roman" w:eastAsia="宋体" w:cs="Times New Roman"/>
          <w:bCs/>
          <w:color w:val="auto"/>
          <w:sz w:val="24"/>
          <w:highlight w:val="none"/>
          <w:lang w:eastAsia="zh-CN"/>
        </w:rPr>
      </w:pPr>
      <w:r>
        <w:rPr>
          <w:rFonts w:hint="eastAsia" w:ascii="Times New Roman" w:hAnsi="Times New Roman" w:eastAsia="宋体" w:cs="Times New Roman"/>
          <w:bCs/>
          <w:color w:val="auto"/>
          <w:sz w:val="24"/>
          <w:highlight w:val="none"/>
          <w:lang w:eastAsia="zh-CN"/>
        </w:rPr>
        <w:t>在农灌过程中本项目的的废水已处理达到</w:t>
      </w:r>
      <w:r>
        <w:rPr>
          <w:rFonts w:hint="default" w:ascii="Times New Roman" w:hAnsi="Times New Roman" w:eastAsia="宋体" w:cs="Times New Roman"/>
          <w:bCs/>
          <w:color w:val="auto"/>
          <w:sz w:val="24"/>
          <w:highlight w:val="none"/>
        </w:rPr>
        <w:t>《农田灌溉水质标准》（GB5084-20</w:t>
      </w:r>
      <w:r>
        <w:rPr>
          <w:rFonts w:hint="eastAsia" w:ascii="Times New Roman" w:hAnsi="Times New Roman" w:eastAsia="宋体" w:cs="Times New Roman"/>
          <w:bCs/>
          <w:color w:val="auto"/>
          <w:sz w:val="24"/>
          <w:highlight w:val="none"/>
          <w:lang w:val="en-US" w:eastAsia="zh-CN"/>
        </w:rPr>
        <w:t>21</w:t>
      </w:r>
      <w:r>
        <w:rPr>
          <w:rFonts w:hint="default" w:ascii="Times New Roman" w:hAnsi="Times New Roman" w:eastAsia="宋体" w:cs="Times New Roman"/>
          <w:bCs/>
          <w:color w:val="auto"/>
          <w:sz w:val="24"/>
          <w:highlight w:val="none"/>
        </w:rPr>
        <w:t>）</w:t>
      </w:r>
      <w:r>
        <w:rPr>
          <w:rFonts w:hint="eastAsia" w:ascii="Times New Roman" w:hAnsi="Times New Roman" w:eastAsia="宋体" w:cs="Times New Roman"/>
          <w:bCs/>
          <w:color w:val="auto"/>
          <w:sz w:val="24"/>
          <w:highlight w:val="none"/>
          <w:lang w:eastAsia="zh-CN"/>
        </w:rPr>
        <w:t>，农灌面积较大，根据农灌可行性分析，项目所产生废水可全部用于还田，可完全满足项目废水消纳需求。项目粪污的处理和土壤肥力、作物生长之间是趋于平衡的，不会超过土壤负荷，对地下水不会造成明显的不利影响。</w:t>
      </w:r>
    </w:p>
    <w:p>
      <w:pPr>
        <w:pStyle w:val="9"/>
        <w:rPr>
          <w:rFonts w:hint="eastAsia" w:cs="Times New Roman"/>
          <w:color w:val="auto"/>
          <w:highlight w:val="none"/>
          <w:lang w:eastAsia="zh-CN"/>
        </w:rPr>
      </w:pPr>
      <w:r>
        <w:rPr>
          <w:rFonts w:hint="eastAsia" w:cs="Times New Roman"/>
          <w:color w:val="auto"/>
          <w:highlight w:val="none"/>
          <w:lang w:eastAsia="zh-CN"/>
        </w:rPr>
        <w:t>地下水防治措施</w:t>
      </w:r>
    </w:p>
    <w:p>
      <w:pPr>
        <w:widowControl/>
        <w:spacing w:line="360" w:lineRule="auto"/>
        <w:ind w:firstLine="480" w:firstLineChars="200"/>
        <w:jc w:val="left"/>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本项目主要构筑物包括：</w:t>
      </w:r>
    </w:p>
    <w:p>
      <w:pPr>
        <w:spacing w:line="360" w:lineRule="auto"/>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kern w:val="0"/>
          <w:sz w:val="24"/>
          <w:szCs w:val="24"/>
          <w:highlight w:val="none"/>
        </w:rPr>
        <w:t>主体工程：</w:t>
      </w:r>
      <w:r>
        <w:rPr>
          <w:rFonts w:hint="eastAsia" w:ascii="Times New Roman" w:hAnsi="Times New Roman" w:cs="Times New Roman"/>
          <w:color w:val="auto"/>
          <w:kern w:val="0"/>
          <w:sz w:val="24"/>
          <w:szCs w:val="24"/>
          <w:highlight w:val="none"/>
        </w:rPr>
        <w:t>育肥舍、</w:t>
      </w:r>
      <w:r>
        <w:rPr>
          <w:rFonts w:hint="eastAsia" w:ascii="Times New Roman" w:hAnsi="Times New Roman" w:cs="Times New Roman"/>
          <w:color w:val="auto"/>
          <w:sz w:val="24"/>
          <w:szCs w:val="24"/>
          <w:highlight w:val="none"/>
        </w:rPr>
        <w:t>隔离舍</w:t>
      </w:r>
      <w:r>
        <w:rPr>
          <w:rFonts w:hint="eastAsia" w:ascii="Times New Roman" w:hAnsi="Times New Roman" w:eastAsia="宋体" w:cs="Times New Roman"/>
          <w:color w:val="auto"/>
          <w:kern w:val="0"/>
          <w:sz w:val="24"/>
          <w:szCs w:val="24"/>
          <w:highlight w:val="none"/>
        </w:rPr>
        <w:t>。</w:t>
      </w:r>
    </w:p>
    <w:p>
      <w:pPr>
        <w:spacing w:line="360" w:lineRule="auto"/>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公辅</w:t>
      </w:r>
      <w:r>
        <w:rPr>
          <w:rFonts w:hint="eastAsia" w:ascii="Times New Roman" w:hAnsi="Times New Roman" w:eastAsia="宋体" w:cs="Times New Roman"/>
          <w:color w:val="auto"/>
          <w:kern w:val="0"/>
          <w:sz w:val="24"/>
          <w:szCs w:val="24"/>
          <w:highlight w:val="none"/>
        </w:rPr>
        <w:t>工程：</w:t>
      </w:r>
      <w:r>
        <w:rPr>
          <w:rFonts w:hint="eastAsia" w:ascii="Times New Roman" w:hAnsi="Times New Roman" w:cs="Times New Roman"/>
          <w:color w:val="auto"/>
          <w:sz w:val="24"/>
          <w:szCs w:val="24"/>
          <w:highlight w:val="none"/>
        </w:rPr>
        <w:t>消毒通道、</w:t>
      </w:r>
      <w:r>
        <w:rPr>
          <w:rFonts w:ascii="Times New Roman" w:cs="Times New Roman"/>
          <w:color w:val="auto"/>
          <w:sz w:val="24"/>
          <w:szCs w:val="24"/>
          <w:highlight w:val="none"/>
        </w:rPr>
        <w:t>汽车消毒通道</w:t>
      </w:r>
      <w:r>
        <w:rPr>
          <w:rFonts w:hint="eastAsia" w:ascii="Times New Roman" w:cs="Times New Roman"/>
          <w:color w:val="auto"/>
          <w:sz w:val="24"/>
          <w:szCs w:val="24"/>
          <w:highlight w:val="none"/>
        </w:rPr>
        <w:t>、烘干房、</w:t>
      </w:r>
      <w:r>
        <w:rPr>
          <w:rFonts w:hint="eastAsia" w:ascii="Times New Roman" w:hAnsi="Times New Roman" w:eastAsia="宋体" w:cs="Times New Roman"/>
          <w:color w:val="auto"/>
          <w:kern w:val="0"/>
          <w:sz w:val="24"/>
          <w:szCs w:val="24"/>
          <w:highlight w:val="none"/>
        </w:rPr>
        <w:t>兽药室、干粪棚、</w:t>
      </w:r>
      <w:r>
        <w:rPr>
          <w:rFonts w:ascii="Times New Roman" w:hAnsi="Times New Roman" w:eastAsia="宋体" w:cs="Times New Roman"/>
          <w:color w:val="auto"/>
          <w:kern w:val="0"/>
          <w:sz w:val="24"/>
          <w:szCs w:val="24"/>
          <w:highlight w:val="none"/>
        </w:rPr>
        <w:t>供配电系统、</w:t>
      </w:r>
      <w:r>
        <w:rPr>
          <w:rFonts w:hint="eastAsia" w:ascii="Times New Roman" w:hAnsi="Times New Roman" w:eastAsia="宋体" w:cs="Times New Roman"/>
          <w:color w:val="auto"/>
          <w:kern w:val="0"/>
          <w:sz w:val="24"/>
          <w:szCs w:val="24"/>
          <w:highlight w:val="none"/>
        </w:rPr>
        <w:t>高位蓄水池。</w:t>
      </w:r>
    </w:p>
    <w:p>
      <w:pPr>
        <w:spacing w:line="360" w:lineRule="auto"/>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储运</w:t>
      </w:r>
      <w:r>
        <w:rPr>
          <w:rFonts w:hint="eastAsia" w:ascii="Times New Roman" w:hAnsi="Times New Roman" w:eastAsia="宋体" w:cs="Times New Roman"/>
          <w:color w:val="auto"/>
          <w:kern w:val="0"/>
          <w:sz w:val="24"/>
          <w:szCs w:val="24"/>
          <w:highlight w:val="none"/>
        </w:rPr>
        <w:t>工程：饲料库（露天青贮窖、干草库、TMR饲喂中心系统、精料库）、机修车间。</w:t>
      </w:r>
    </w:p>
    <w:p>
      <w:pPr>
        <w:spacing w:line="360" w:lineRule="auto"/>
        <w:ind w:firstLine="480" w:firstLineChars="200"/>
        <w:rPr>
          <w:rFonts w:ascii="Times New Roman" w:hAnsi="Times New Roman" w:eastAsia="宋体" w:cs="Times New Roman"/>
          <w:color w:val="auto"/>
          <w:kern w:val="0"/>
          <w:sz w:val="24"/>
          <w:szCs w:val="24"/>
          <w:highlight w:val="none"/>
        </w:rPr>
      </w:pPr>
      <w:bookmarkStart w:id="248" w:name="_Hlk1139422"/>
      <w:r>
        <w:rPr>
          <w:rFonts w:ascii="Times New Roman" w:hAnsi="Times New Roman" w:eastAsia="宋体" w:cs="Times New Roman"/>
          <w:color w:val="auto"/>
          <w:sz w:val="24"/>
          <w:szCs w:val="24"/>
          <w:highlight w:val="none"/>
        </w:rPr>
        <w:t>4）</w:t>
      </w:r>
      <w:r>
        <w:rPr>
          <w:rFonts w:hint="eastAsia" w:ascii="Times New Roman" w:hAnsi="Times New Roman" w:eastAsia="宋体" w:cs="Times New Roman"/>
          <w:color w:val="auto"/>
          <w:sz w:val="24"/>
          <w:szCs w:val="24"/>
          <w:highlight w:val="none"/>
        </w:rPr>
        <w:t>环保</w:t>
      </w:r>
      <w:r>
        <w:rPr>
          <w:rFonts w:hint="eastAsia" w:ascii="Times New Roman" w:hAnsi="Times New Roman" w:eastAsia="宋体" w:cs="Times New Roman"/>
          <w:color w:val="auto"/>
          <w:kern w:val="0"/>
          <w:sz w:val="24"/>
          <w:szCs w:val="24"/>
          <w:highlight w:val="none"/>
        </w:rPr>
        <w:t>工程：</w:t>
      </w:r>
      <w:bookmarkEnd w:id="248"/>
      <w:r>
        <w:rPr>
          <w:rFonts w:hint="eastAsia" w:ascii="Times New Roman" w:hAnsi="Times New Roman" w:eastAsia="宋体" w:cs="Times New Roman"/>
          <w:color w:val="auto"/>
          <w:kern w:val="0"/>
          <w:sz w:val="24"/>
          <w:szCs w:val="24"/>
          <w:highlight w:val="none"/>
        </w:rPr>
        <w:t>废气处理设施、</w:t>
      </w:r>
      <w:r>
        <w:rPr>
          <w:rFonts w:ascii="Times New Roman" w:hAnsi="Times New Roman" w:eastAsia="宋体" w:cs="Times New Roman"/>
          <w:color w:val="auto"/>
          <w:kern w:val="0"/>
          <w:sz w:val="24"/>
          <w:szCs w:val="24"/>
          <w:highlight w:val="none"/>
        </w:rPr>
        <w:t>污水处理站、生活废水处理设施、集污池、尾水储存池、</w:t>
      </w:r>
      <w:r>
        <w:rPr>
          <w:rFonts w:hint="eastAsia" w:ascii="Times New Roman" w:hAnsi="Times New Roman" w:eastAsia="宋体" w:cs="Times New Roman"/>
          <w:color w:val="auto"/>
          <w:kern w:val="0"/>
          <w:sz w:val="24"/>
          <w:szCs w:val="24"/>
          <w:highlight w:val="none"/>
        </w:rPr>
        <w:t>事故应急池、危废暂存间。</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5）</w:t>
      </w:r>
      <w:r>
        <w:rPr>
          <w:rFonts w:hint="eastAsia" w:ascii="Times New Roman" w:hAnsi="Times New Roman" w:eastAsia="宋体" w:cs="Times New Roman"/>
          <w:color w:val="auto"/>
          <w:sz w:val="24"/>
          <w:szCs w:val="24"/>
          <w:highlight w:val="none"/>
        </w:rPr>
        <w:t>办公生活设施</w:t>
      </w:r>
      <w:r>
        <w:rPr>
          <w:rFonts w:hint="eastAsia" w:ascii="Times New Roman" w:hAnsi="Times New Roman" w:eastAsia="宋体" w:cs="Times New Roman"/>
          <w:color w:val="auto"/>
          <w:kern w:val="0"/>
          <w:sz w:val="24"/>
          <w:szCs w:val="24"/>
          <w:highlight w:val="none"/>
        </w:rPr>
        <w:t>：办公综合房等。</w:t>
      </w:r>
    </w:p>
    <w:p>
      <w:pPr>
        <w:widowControl/>
        <w:spacing w:line="360" w:lineRule="auto"/>
        <w:ind w:firstLine="480" w:firstLineChars="200"/>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根据《环境影响评价技术导则-地下水环境》（</w:t>
      </w:r>
      <w:r>
        <w:rPr>
          <w:rFonts w:ascii="Times New Roman" w:hAnsi="Times New Roman" w:eastAsia="宋体" w:cs="Times New Roman"/>
          <w:color w:val="auto"/>
          <w:kern w:val="0"/>
          <w:sz w:val="24"/>
          <w:szCs w:val="24"/>
          <w:highlight w:val="none"/>
        </w:rPr>
        <w:t>HJ610-2016</w:t>
      </w:r>
      <w:r>
        <w:rPr>
          <w:rFonts w:hint="eastAsia" w:ascii="Times New Roman" w:hAnsi="Times New Roman" w:eastAsia="宋体" w:cs="Times New Roman"/>
          <w:color w:val="auto"/>
          <w:kern w:val="0"/>
          <w:sz w:val="24"/>
          <w:szCs w:val="24"/>
          <w:highlight w:val="none"/>
        </w:rPr>
        <w:t>）要求，本项目厂区应设置分区防控措施，结合建设项目场地天然包气带防污性能、污染控制难易程度和污染物特征</w:t>
      </w:r>
      <w:r>
        <w:rPr>
          <w:rFonts w:hint="eastAsia" w:ascii="Times New Roman" w:hAnsi="Times New Roman" w:eastAsia="宋体" w:cs="Times New Roman"/>
          <w:color w:val="auto"/>
          <w:sz w:val="24"/>
          <w:szCs w:val="24"/>
          <w:highlight w:val="none"/>
        </w:rPr>
        <w:t>提出防渗技术要求</w:t>
      </w:r>
      <w:r>
        <w:rPr>
          <w:rFonts w:hint="eastAsia" w:ascii="Times New Roman" w:hAnsi="Times New Roman" w:eastAsia="宋体" w:cs="Times New Roman"/>
          <w:color w:val="auto"/>
          <w:kern w:val="0"/>
          <w:sz w:val="24"/>
          <w:szCs w:val="24"/>
          <w:highlight w:val="none"/>
        </w:rPr>
        <w:t>，划分为重点防渗区、一般防渗区及简单防渗区：</w:t>
      </w:r>
    </w:p>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本项目污染控制难易程度分级</w:t>
      </w:r>
    </w:p>
    <w:tbl>
      <w:tblPr>
        <w:tblStyle w:val="91"/>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64"/>
        <w:gridCol w:w="1938"/>
        <w:gridCol w:w="2410"/>
        <w:gridCol w:w="331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507" w:type="pc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污染物控制难易程度</w:t>
            </w:r>
          </w:p>
        </w:tc>
        <w:tc>
          <w:tcPr>
            <w:tcW w:w="1137" w:type="pc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主要特征</w:t>
            </w:r>
          </w:p>
        </w:tc>
        <w:tc>
          <w:tcPr>
            <w:tcW w:w="1414" w:type="pc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本项目拟建构筑物</w:t>
            </w:r>
          </w:p>
        </w:tc>
        <w:tc>
          <w:tcPr>
            <w:tcW w:w="1942" w:type="pc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507"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难</w:t>
            </w:r>
          </w:p>
        </w:tc>
        <w:tc>
          <w:tcPr>
            <w:tcW w:w="1137"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对地下水环境由污染的物料或污染物泄露后，不能及时发现和处理</w:t>
            </w:r>
          </w:p>
        </w:tc>
        <w:tc>
          <w:tcPr>
            <w:tcW w:w="1414"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干粪棚、机修车间、</w:t>
            </w:r>
            <w:r>
              <w:rPr>
                <w:rFonts w:hint="default" w:ascii="Times New Roman" w:hAnsi="Times New Roman" w:eastAsia="宋体" w:cs="Times New Roman"/>
                <w:color w:val="auto"/>
                <w:kern w:val="0"/>
                <w:szCs w:val="21"/>
                <w:highlight w:val="none"/>
              </w:rPr>
              <w:t>污水处理站</w:t>
            </w:r>
            <w:r>
              <w:rPr>
                <w:rFonts w:hint="eastAsia" w:ascii="Times New Roman" w:hAnsi="Times New Roman" w:eastAsia="宋体" w:cs="Times New Roman"/>
                <w:color w:val="auto"/>
                <w:kern w:val="0"/>
                <w:szCs w:val="21"/>
                <w:highlight w:val="none"/>
                <w:lang w:eastAsia="zh-CN"/>
              </w:rPr>
              <w:t>（含</w:t>
            </w:r>
            <w:r>
              <w:rPr>
                <w:rFonts w:hint="default" w:ascii="Times New Roman" w:hAnsi="Times New Roman" w:eastAsia="宋体" w:cs="Times New Roman"/>
                <w:color w:val="auto"/>
                <w:kern w:val="0"/>
                <w:szCs w:val="21"/>
                <w:highlight w:val="none"/>
              </w:rPr>
              <w:t>集污池</w:t>
            </w:r>
            <w:r>
              <w:rPr>
                <w:rFonts w:hint="eastAsia" w:ascii="Times New Roman" w:hAnsi="Times New Roman" w:eastAsia="宋体" w:cs="Times New Roman"/>
                <w:color w:val="auto"/>
                <w:kern w:val="0"/>
                <w:szCs w:val="21"/>
                <w:highlight w:val="none"/>
                <w:lang w:eastAsia="zh-CN"/>
              </w:rPr>
              <w:t>）</w:t>
            </w:r>
            <w:r>
              <w:rPr>
                <w:rFonts w:hint="default" w:ascii="Times New Roman" w:hAnsi="Times New Roman" w:eastAsia="宋体" w:cs="Times New Roman"/>
                <w:color w:val="auto"/>
                <w:kern w:val="0"/>
                <w:szCs w:val="21"/>
                <w:highlight w:val="none"/>
              </w:rPr>
              <w:t>生活废水处理设施、尾水储存池、</w:t>
            </w:r>
            <w:r>
              <w:rPr>
                <w:rFonts w:hint="eastAsia" w:ascii="Times New Roman" w:hAnsi="Times New Roman" w:eastAsia="宋体" w:cs="Times New Roman"/>
                <w:color w:val="auto"/>
                <w:kern w:val="0"/>
                <w:szCs w:val="21"/>
                <w:highlight w:val="none"/>
              </w:rPr>
              <w:t>事故应急池、危废暂存间</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p>
        </w:tc>
        <w:tc>
          <w:tcPr>
            <w:tcW w:w="1942" w:type="pct"/>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各类池体受地下水环境保护措施系统老化及腐蚀</w:t>
            </w:r>
            <w:r>
              <w:rPr>
                <w:rFonts w:hint="eastAsia" w:ascii="Times New Roman" w:hAnsi="Times New Roman" w:eastAsia="宋体" w:cs="Times New Roman"/>
                <w:color w:val="auto"/>
                <w:kern w:val="0"/>
                <w:szCs w:val="21"/>
                <w:highlight w:val="none"/>
              </w:rPr>
              <w:t>、管道变形</w:t>
            </w:r>
            <w:r>
              <w:rPr>
                <w:rFonts w:hint="default" w:ascii="Times New Roman" w:hAnsi="Times New Roman" w:eastAsia="宋体" w:cs="Times New Roman"/>
                <w:color w:val="auto"/>
                <w:kern w:val="0"/>
                <w:szCs w:val="21"/>
                <w:highlight w:val="none"/>
              </w:rPr>
              <w:t>等因素影响，破损后废水泄漏进入地下水系统，污染物泄漏后均不能及时发现和处理。</w:t>
            </w:r>
            <w:r>
              <w:rPr>
                <w:rFonts w:hint="eastAsia" w:ascii="Times New Roman" w:hAnsi="Times New Roman" w:eastAsia="宋体" w:cs="Times New Roman"/>
                <w:color w:val="auto"/>
                <w:kern w:val="0"/>
                <w:szCs w:val="21"/>
                <w:highlight w:val="none"/>
              </w:rPr>
              <w:t>危废暂存间等如场地出现破损，危废淋滤液下渗进入地下水系统，渗漏过程不易及时发现和处理；</w:t>
            </w:r>
            <w:r>
              <w:rPr>
                <w:rFonts w:hint="default" w:ascii="Times New Roman" w:hAnsi="Times New Roman" w:eastAsia="宋体" w:cs="Times New Roman"/>
                <w:color w:val="auto"/>
                <w:kern w:val="0"/>
                <w:szCs w:val="21"/>
                <w:highlight w:val="none"/>
              </w:rPr>
              <w:t>综上，确定</w:t>
            </w:r>
            <w:r>
              <w:rPr>
                <w:rFonts w:hint="eastAsia" w:ascii="Times New Roman" w:hAnsi="Times New Roman" w:eastAsia="宋体" w:cs="Times New Roman"/>
                <w:color w:val="auto"/>
                <w:kern w:val="0"/>
                <w:szCs w:val="21"/>
                <w:highlight w:val="none"/>
              </w:rPr>
              <w:t>上述构筑物</w:t>
            </w:r>
            <w:r>
              <w:rPr>
                <w:rFonts w:hint="default" w:ascii="Times New Roman" w:hAnsi="Times New Roman" w:eastAsia="宋体" w:cs="Times New Roman"/>
                <w:color w:val="auto"/>
                <w:kern w:val="0"/>
                <w:szCs w:val="21"/>
                <w:highlight w:val="none"/>
              </w:rPr>
              <w:t>污染物控制难易程度为“难”。</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507"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易</w:t>
            </w:r>
          </w:p>
        </w:tc>
        <w:tc>
          <w:tcPr>
            <w:tcW w:w="1137"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对地下水环境由污染的物料或污染物泄露后，能及时发现和处理</w:t>
            </w:r>
          </w:p>
        </w:tc>
        <w:tc>
          <w:tcPr>
            <w:tcW w:w="1414"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育肥舍、隔离舍、烘干房、兽药室、</w:t>
            </w:r>
            <w:r>
              <w:rPr>
                <w:rFonts w:hint="default" w:ascii="Times New Roman" w:hAnsi="Times New Roman" w:eastAsia="宋体" w:cs="Times New Roman"/>
                <w:color w:val="auto"/>
                <w:kern w:val="0"/>
                <w:szCs w:val="21"/>
                <w:highlight w:val="none"/>
              </w:rPr>
              <w:t>供配电系统、</w:t>
            </w:r>
            <w:r>
              <w:rPr>
                <w:rFonts w:hint="eastAsia" w:ascii="Times New Roman" w:hAnsi="Times New Roman" w:eastAsia="宋体" w:cs="Times New Roman"/>
                <w:color w:val="auto"/>
                <w:kern w:val="0"/>
                <w:szCs w:val="21"/>
                <w:highlight w:val="none"/>
              </w:rPr>
              <w:t>饲料库（露天青贮窖、干草库、TMR饲喂中心系统、精料库）、废气处理设施</w:t>
            </w:r>
          </w:p>
        </w:tc>
        <w:tc>
          <w:tcPr>
            <w:tcW w:w="1942" w:type="pct"/>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各设施</w:t>
            </w:r>
            <w:r>
              <w:rPr>
                <w:rFonts w:hint="default" w:ascii="Times New Roman" w:hAnsi="Times New Roman" w:eastAsia="宋体" w:cs="Times New Roman"/>
                <w:color w:val="auto"/>
                <w:kern w:val="0"/>
                <w:szCs w:val="21"/>
                <w:highlight w:val="none"/>
              </w:rPr>
              <w:t>无地埋式管线，无地埋式、半地埋式、地上式池体，各类设备、容器、管线等均为地上式</w:t>
            </w:r>
            <w:r>
              <w:rPr>
                <w:rFonts w:hint="eastAsia"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rPr>
              <w:t>上述功能区在非正常状况下，储存液露于地表易被及时发现和处理。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78" w:hRule="atLeast"/>
          <w:jc w:val="center"/>
        </w:trPr>
        <w:tc>
          <w:tcPr>
            <w:tcW w:w="507"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其它</w:t>
            </w:r>
          </w:p>
        </w:tc>
        <w:tc>
          <w:tcPr>
            <w:tcW w:w="1137"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t>
            </w:r>
          </w:p>
        </w:tc>
        <w:tc>
          <w:tcPr>
            <w:tcW w:w="1414"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办公生活设施、</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高位蓄水池</w:t>
            </w:r>
          </w:p>
        </w:tc>
        <w:tc>
          <w:tcPr>
            <w:tcW w:w="1942" w:type="pct"/>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办公生活设施等</w:t>
            </w:r>
            <w:r>
              <w:rPr>
                <w:rFonts w:hint="default" w:ascii="Times New Roman" w:hAnsi="Times New Roman" w:eastAsia="宋体" w:cs="Times New Roman"/>
                <w:color w:val="auto"/>
                <w:kern w:val="0"/>
                <w:szCs w:val="21"/>
                <w:highlight w:val="none"/>
              </w:rPr>
              <w:t>无持续性地下水污染源或下渗所需水力条件，一般情况下不会造成地下水污染。</w:t>
            </w:r>
          </w:p>
        </w:tc>
      </w:tr>
    </w:tbl>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 xml:space="preserve"> 天然包气带防污性能分级</w:t>
      </w:r>
    </w:p>
    <w:tbl>
      <w:tblPr>
        <w:tblStyle w:val="91"/>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67"/>
        <w:gridCol w:w="4343"/>
        <w:gridCol w:w="331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4" w:hRule="atLeast"/>
          <w:jc w:val="center"/>
        </w:trPr>
        <w:tc>
          <w:tcPr>
            <w:tcW w:w="509" w:type="pct"/>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分级</w:t>
            </w:r>
          </w:p>
        </w:tc>
        <w:tc>
          <w:tcPr>
            <w:tcW w:w="2548" w:type="pct"/>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包气带岩土的渗透性能</w:t>
            </w:r>
          </w:p>
        </w:tc>
        <w:tc>
          <w:tcPr>
            <w:tcW w:w="1943" w:type="pct"/>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本工程</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4" w:hRule="atLeast"/>
          <w:jc w:val="center"/>
        </w:trPr>
        <w:tc>
          <w:tcPr>
            <w:tcW w:w="509"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强</w:t>
            </w:r>
          </w:p>
        </w:tc>
        <w:tc>
          <w:tcPr>
            <w:tcW w:w="2548"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岩（土）层单层厚度Mb≥1.0m，渗透系数K≤10</w:t>
            </w:r>
            <w:r>
              <w:rPr>
                <w:rFonts w:hint="default" w:ascii="Times New Roman" w:hAnsi="Times New Roman" w:eastAsia="宋体" w:cs="Times New Roman"/>
                <w:color w:val="auto"/>
                <w:kern w:val="0"/>
                <w:szCs w:val="21"/>
                <w:highlight w:val="none"/>
                <w:vertAlign w:val="superscript"/>
              </w:rPr>
              <w:t>-7</w:t>
            </w:r>
            <w:r>
              <w:rPr>
                <w:rFonts w:hint="default" w:ascii="Times New Roman" w:hAnsi="Times New Roman" w:eastAsia="宋体" w:cs="Times New Roman"/>
                <w:color w:val="auto"/>
                <w:kern w:val="0"/>
                <w:szCs w:val="21"/>
                <w:highlight w:val="none"/>
              </w:rPr>
              <w:t>cm/s，且分布连续、稳定。</w:t>
            </w:r>
          </w:p>
        </w:tc>
        <w:tc>
          <w:tcPr>
            <w:tcW w:w="1943" w:type="pct"/>
            <w:vMerge w:val="restart"/>
            <w:vAlign w:val="center"/>
          </w:tcPr>
          <w:p>
            <w:pPr>
              <w:keepNext w:val="0"/>
              <w:keepLines w:val="0"/>
              <w:suppressLineNumbers w:val="0"/>
              <w:autoSpaceDE w:val="0"/>
              <w:autoSpaceDN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根据现场调查、本项目地质勘查资料、同区域水文地质试验成果（项目区包气带</w:t>
            </w:r>
            <w:r>
              <w:rPr>
                <w:rFonts w:hint="default" w:ascii="Times New Roman" w:hAnsi="Times New Roman" w:eastAsia="宋体" w:cs="Times New Roman"/>
                <w:color w:val="auto"/>
                <w:kern w:val="0"/>
                <w:szCs w:val="21"/>
                <w:highlight w:val="none"/>
              </w:rPr>
              <w:t>垂向渗透系数</w:t>
            </w:r>
            <w:r>
              <w:rPr>
                <w:rFonts w:hint="eastAsia" w:ascii="Times New Roman" w:hAnsi="Times New Roman" w:eastAsia="宋体" w:cs="Times New Roman"/>
                <w:color w:val="auto"/>
                <w:kern w:val="0"/>
                <w:szCs w:val="21"/>
                <w:highlight w:val="none"/>
              </w:rPr>
              <w:t>6</w:t>
            </w:r>
            <w:r>
              <w:rPr>
                <w:rFonts w:hint="default" w:ascii="Times New Roman" w:hAnsi="Times New Roman" w:eastAsia="宋体" w:cs="Times New Roman"/>
                <w:color w:val="auto"/>
                <w:kern w:val="0"/>
                <w:szCs w:val="21"/>
                <w:highlight w:val="none"/>
              </w:rPr>
              <w:t>.</w:t>
            </w:r>
            <w:r>
              <w:rPr>
                <w:rFonts w:hint="eastAsia" w:ascii="Times New Roman" w:hAnsi="Times New Roman" w:eastAsia="宋体" w:cs="Times New Roman"/>
                <w:color w:val="auto"/>
                <w:kern w:val="0"/>
                <w:szCs w:val="21"/>
                <w:highlight w:val="none"/>
              </w:rPr>
              <w:t>0</w:t>
            </w:r>
            <w:r>
              <w:rPr>
                <w:rFonts w:hint="default" w:ascii="Times New Roman" w:hAnsi="Times New Roman" w:eastAsia="宋体" w:cs="Times New Roman"/>
                <w:color w:val="auto"/>
                <w:kern w:val="0"/>
                <w:szCs w:val="21"/>
                <w:highlight w:val="none"/>
              </w:rPr>
              <w:t>×10</w:t>
            </w:r>
            <w:r>
              <w:rPr>
                <w:rFonts w:hint="default" w:ascii="Times New Roman" w:hAnsi="Times New Roman" w:eastAsia="宋体" w:cs="Times New Roman"/>
                <w:color w:val="auto"/>
                <w:kern w:val="0"/>
                <w:szCs w:val="21"/>
                <w:highlight w:val="none"/>
                <w:vertAlign w:val="superscript"/>
              </w:rPr>
              <w:t>-5</w:t>
            </w:r>
            <w:r>
              <w:rPr>
                <w:rFonts w:hint="default" w:ascii="Times New Roman" w:hAnsi="Times New Roman" w:eastAsia="宋体" w:cs="Times New Roman"/>
                <w:color w:val="auto"/>
                <w:kern w:val="0"/>
                <w:szCs w:val="21"/>
                <w:highlight w:val="none"/>
              </w:rPr>
              <w:t>cm/s～</w:t>
            </w:r>
            <w:r>
              <w:rPr>
                <w:rFonts w:hint="eastAsia" w:ascii="Times New Roman" w:hAnsi="Times New Roman" w:eastAsia="宋体" w:cs="Times New Roman"/>
                <w:color w:val="auto"/>
                <w:kern w:val="0"/>
                <w:szCs w:val="21"/>
                <w:highlight w:val="none"/>
              </w:rPr>
              <w:t>4</w:t>
            </w:r>
            <w:r>
              <w:rPr>
                <w:rFonts w:hint="default" w:ascii="Times New Roman" w:hAnsi="Times New Roman" w:eastAsia="宋体" w:cs="Times New Roman"/>
                <w:color w:val="auto"/>
                <w:kern w:val="0"/>
                <w:szCs w:val="21"/>
                <w:highlight w:val="none"/>
              </w:rPr>
              <w:t>×10</w:t>
            </w:r>
            <w:r>
              <w:rPr>
                <w:rFonts w:hint="default" w:ascii="Times New Roman" w:hAnsi="Times New Roman" w:eastAsia="宋体" w:cs="Times New Roman"/>
                <w:color w:val="auto"/>
                <w:kern w:val="0"/>
                <w:szCs w:val="21"/>
                <w:highlight w:val="none"/>
                <w:vertAlign w:val="superscript"/>
              </w:rPr>
              <w:t>-</w:t>
            </w:r>
            <w:r>
              <w:rPr>
                <w:rFonts w:hint="eastAsia" w:ascii="Times New Roman" w:hAnsi="Times New Roman" w:eastAsia="宋体" w:cs="Times New Roman"/>
                <w:color w:val="auto"/>
                <w:kern w:val="0"/>
                <w:szCs w:val="21"/>
                <w:highlight w:val="none"/>
                <w:vertAlign w:val="superscript"/>
              </w:rPr>
              <w:t>4</w:t>
            </w:r>
            <w:r>
              <w:rPr>
                <w:rFonts w:hint="default" w:ascii="Times New Roman" w:hAnsi="Times New Roman" w:eastAsia="宋体" w:cs="Times New Roman"/>
                <w:color w:val="auto"/>
                <w:kern w:val="0"/>
                <w:szCs w:val="21"/>
                <w:highlight w:val="none"/>
              </w:rPr>
              <w:t>cm/s）。综上确定包气带防污性能为“弱”。</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4" w:hRule="atLeast"/>
          <w:jc w:val="center"/>
        </w:trPr>
        <w:tc>
          <w:tcPr>
            <w:tcW w:w="509"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中</w:t>
            </w:r>
          </w:p>
        </w:tc>
        <w:tc>
          <w:tcPr>
            <w:tcW w:w="2548"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岩（土）层单层厚度0.5m≤Mb&lt;1.0m，渗透系数K≤10</w:t>
            </w:r>
            <w:r>
              <w:rPr>
                <w:rFonts w:hint="default" w:ascii="Times New Roman" w:hAnsi="Times New Roman" w:eastAsia="宋体" w:cs="Times New Roman"/>
                <w:color w:val="auto"/>
                <w:kern w:val="0"/>
                <w:szCs w:val="21"/>
                <w:highlight w:val="none"/>
                <w:vertAlign w:val="superscript"/>
              </w:rPr>
              <w:t>-7</w:t>
            </w:r>
            <w:r>
              <w:rPr>
                <w:rFonts w:hint="default" w:ascii="Times New Roman" w:hAnsi="Times New Roman" w:eastAsia="宋体" w:cs="Times New Roman"/>
                <w:color w:val="auto"/>
                <w:kern w:val="0"/>
                <w:szCs w:val="21"/>
                <w:highlight w:val="none"/>
              </w:rPr>
              <w:t>cm/s，且分布连续、稳定。岩（土）层单层厚度Mb≥1.0m，渗透系数10</w:t>
            </w:r>
            <w:r>
              <w:rPr>
                <w:rFonts w:hint="default" w:ascii="Times New Roman" w:hAnsi="Times New Roman" w:eastAsia="宋体" w:cs="Times New Roman"/>
                <w:color w:val="auto"/>
                <w:kern w:val="0"/>
                <w:szCs w:val="21"/>
                <w:highlight w:val="none"/>
                <w:vertAlign w:val="superscript"/>
              </w:rPr>
              <w:t>-7</w:t>
            </w:r>
            <w:r>
              <w:rPr>
                <w:rFonts w:hint="default" w:ascii="Times New Roman" w:hAnsi="Times New Roman" w:eastAsia="宋体" w:cs="Times New Roman"/>
                <w:color w:val="auto"/>
                <w:kern w:val="0"/>
                <w:szCs w:val="21"/>
                <w:highlight w:val="none"/>
              </w:rPr>
              <w:t>cm/s&lt;K≤10</w:t>
            </w:r>
            <w:r>
              <w:rPr>
                <w:rFonts w:hint="default" w:ascii="Times New Roman" w:hAnsi="Times New Roman" w:eastAsia="宋体" w:cs="Times New Roman"/>
                <w:color w:val="auto"/>
                <w:kern w:val="0"/>
                <w:szCs w:val="21"/>
                <w:highlight w:val="none"/>
                <w:vertAlign w:val="superscript"/>
              </w:rPr>
              <w:t>-4</w:t>
            </w:r>
            <w:r>
              <w:rPr>
                <w:rFonts w:hint="default" w:ascii="Times New Roman" w:hAnsi="Times New Roman" w:eastAsia="宋体" w:cs="Times New Roman"/>
                <w:color w:val="auto"/>
                <w:kern w:val="0"/>
                <w:szCs w:val="21"/>
                <w:highlight w:val="none"/>
              </w:rPr>
              <w:t>cm/s，且分布连续、稳定。</w:t>
            </w:r>
          </w:p>
        </w:tc>
        <w:tc>
          <w:tcPr>
            <w:tcW w:w="1943" w:type="pct"/>
            <w:vMerge w:val="continue"/>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4" w:hRule="atLeast"/>
          <w:jc w:val="center"/>
        </w:trPr>
        <w:tc>
          <w:tcPr>
            <w:tcW w:w="509"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shd w:val="pct10" w:color="auto" w:fill="FFFFFF"/>
              </w:rPr>
            </w:pPr>
            <w:r>
              <w:rPr>
                <w:rFonts w:hint="default" w:ascii="Times New Roman" w:hAnsi="Times New Roman" w:eastAsia="宋体" w:cs="Times New Roman"/>
                <w:color w:val="auto"/>
                <w:kern w:val="0"/>
                <w:szCs w:val="21"/>
                <w:highlight w:val="none"/>
                <w:shd w:val="pct10" w:color="auto" w:fill="FFFFFF"/>
              </w:rPr>
              <w:t>弱（√）</w:t>
            </w:r>
          </w:p>
        </w:tc>
        <w:tc>
          <w:tcPr>
            <w:tcW w:w="2548"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shd w:val="pct10" w:color="auto" w:fill="FFFFFF"/>
              </w:rPr>
            </w:pPr>
            <w:r>
              <w:rPr>
                <w:rFonts w:hint="default" w:ascii="Times New Roman" w:hAnsi="Times New Roman" w:eastAsia="宋体" w:cs="Times New Roman"/>
                <w:color w:val="auto"/>
                <w:kern w:val="0"/>
                <w:szCs w:val="21"/>
                <w:highlight w:val="none"/>
              </w:rPr>
              <w:t>岩（土）层不满足上述“强”和“中”条件。</w:t>
            </w:r>
          </w:p>
        </w:tc>
        <w:tc>
          <w:tcPr>
            <w:tcW w:w="1943" w:type="pct"/>
            <w:vMerge w:val="continue"/>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p>
        </w:tc>
      </w:tr>
    </w:tbl>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 xml:space="preserve"> 地下水污染防渗分区</w:t>
      </w:r>
    </w:p>
    <w:tbl>
      <w:tblPr>
        <w:tblStyle w:val="9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453"/>
        <w:gridCol w:w="828"/>
        <w:gridCol w:w="793"/>
        <w:gridCol w:w="987"/>
        <w:gridCol w:w="1254"/>
        <w:gridCol w:w="2234"/>
        <w:gridCol w:w="18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1" w:hRule="atLeast"/>
          <w:jc w:val="center"/>
        </w:trPr>
        <w:tc>
          <w:tcPr>
            <w:tcW w:w="271" w:type="pct"/>
            <w:shd w:val="clear" w:color="auto" w:fill="auto"/>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防渗分区</w:t>
            </w:r>
          </w:p>
        </w:tc>
        <w:tc>
          <w:tcPr>
            <w:tcW w:w="495" w:type="pct"/>
            <w:shd w:val="clear" w:color="auto" w:fill="auto"/>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天然包气带防污性能</w:t>
            </w:r>
          </w:p>
        </w:tc>
        <w:tc>
          <w:tcPr>
            <w:tcW w:w="474" w:type="pct"/>
            <w:shd w:val="clear" w:color="auto" w:fill="auto"/>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污染控制</w:t>
            </w:r>
          </w:p>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难易程度</w:t>
            </w:r>
          </w:p>
        </w:tc>
        <w:tc>
          <w:tcPr>
            <w:tcW w:w="590" w:type="pct"/>
            <w:shd w:val="clear" w:color="auto" w:fill="auto"/>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污染物</w:t>
            </w:r>
          </w:p>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类型</w:t>
            </w:r>
          </w:p>
        </w:tc>
        <w:tc>
          <w:tcPr>
            <w:tcW w:w="750" w:type="pct"/>
            <w:shd w:val="clear" w:color="auto" w:fill="auto"/>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防渗技术要求</w:t>
            </w:r>
          </w:p>
        </w:tc>
        <w:tc>
          <w:tcPr>
            <w:tcW w:w="1336" w:type="pct"/>
            <w:shd w:val="clear" w:color="auto" w:fill="auto"/>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本项目构筑物</w:t>
            </w:r>
          </w:p>
        </w:tc>
        <w:tc>
          <w:tcPr>
            <w:tcW w:w="1084" w:type="pct"/>
            <w:shd w:val="clear" w:color="auto" w:fill="auto"/>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820" w:hRule="atLeast"/>
          <w:jc w:val="center"/>
        </w:trPr>
        <w:tc>
          <w:tcPr>
            <w:tcW w:w="271" w:type="pct"/>
            <w:vMerge w:val="restar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重点防渗区</w:t>
            </w:r>
          </w:p>
        </w:tc>
        <w:tc>
          <w:tcPr>
            <w:tcW w:w="495"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shd w:val="pct10" w:color="auto" w:fill="FFFFFF"/>
              </w:rPr>
            </w:pPr>
            <w:r>
              <w:rPr>
                <w:rFonts w:hint="default" w:ascii="Times New Roman" w:hAnsi="Times New Roman" w:eastAsia="宋体" w:cs="Times New Roman"/>
                <w:color w:val="auto"/>
                <w:kern w:val="0"/>
                <w:szCs w:val="21"/>
                <w:highlight w:val="none"/>
                <w:shd w:val="pct10" w:color="auto" w:fill="FFFFFF"/>
              </w:rPr>
              <w:t>弱</w:t>
            </w:r>
          </w:p>
        </w:tc>
        <w:tc>
          <w:tcPr>
            <w:tcW w:w="474"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shd w:val="pct10" w:color="auto" w:fill="FFFFFF"/>
              </w:rPr>
              <w:t>难</w:t>
            </w:r>
          </w:p>
        </w:tc>
        <w:tc>
          <w:tcPr>
            <w:tcW w:w="590" w:type="pct"/>
            <w:vMerge w:val="restar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重金属、</w:t>
            </w:r>
          </w:p>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持久性</w:t>
            </w:r>
          </w:p>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有机污染物</w:t>
            </w:r>
          </w:p>
        </w:tc>
        <w:tc>
          <w:tcPr>
            <w:tcW w:w="750" w:type="pct"/>
            <w:vMerge w:val="restar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危废暂存间</w:t>
            </w:r>
            <w:r>
              <w:rPr>
                <w:rFonts w:hint="eastAsia" w:ascii="Times New Roman" w:hAnsi="Times New Roman" w:eastAsia="宋体" w:cs="Times New Roman"/>
                <w:color w:val="auto"/>
                <w:kern w:val="0"/>
                <w:szCs w:val="21"/>
                <w:highlight w:val="none"/>
                <w:lang w:eastAsia="zh-CN"/>
              </w:rPr>
              <w:t>：</w:t>
            </w:r>
            <w:r>
              <w:rPr>
                <w:rFonts w:hint="default" w:ascii="Times New Roman" w:hAnsi="Times New Roman" w:eastAsia="宋体" w:cs="Times New Roman"/>
                <w:color w:val="auto"/>
                <w:kern w:val="0"/>
                <w:szCs w:val="21"/>
                <w:highlight w:val="none"/>
              </w:rPr>
              <w:t>K≤1×10</w:t>
            </w:r>
            <w:r>
              <w:rPr>
                <w:rFonts w:hint="default" w:ascii="Times New Roman" w:hAnsi="Times New Roman" w:eastAsia="宋体" w:cs="Times New Roman"/>
                <w:color w:val="auto"/>
                <w:kern w:val="0"/>
                <w:szCs w:val="21"/>
                <w:highlight w:val="none"/>
                <w:vertAlign w:val="superscript"/>
              </w:rPr>
              <w:t>-7</w:t>
            </w:r>
            <w:r>
              <w:rPr>
                <w:rFonts w:hint="default" w:ascii="Times New Roman" w:hAnsi="Times New Roman" w:eastAsia="宋体" w:cs="Times New Roman"/>
                <w:color w:val="auto"/>
                <w:kern w:val="0"/>
                <w:szCs w:val="21"/>
                <w:highlight w:val="none"/>
              </w:rPr>
              <w:t>cm/s</w:t>
            </w:r>
          </w:p>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eastAsia="zh-CN"/>
              </w:rPr>
              <w:t>其他：</w:t>
            </w:r>
            <w:r>
              <w:rPr>
                <w:rFonts w:hint="default" w:ascii="Times New Roman" w:hAnsi="Times New Roman" w:eastAsia="宋体" w:cs="Times New Roman"/>
                <w:color w:val="auto"/>
                <w:kern w:val="0"/>
                <w:szCs w:val="21"/>
                <w:highlight w:val="none"/>
              </w:rPr>
              <w:t>等效</w:t>
            </w:r>
            <w:r>
              <w:rPr>
                <w:rFonts w:hint="eastAsia" w:ascii="Times New Roman" w:hAnsi="Times New Roman" w:eastAsia="宋体" w:cs="Times New Roman"/>
                <w:color w:val="auto"/>
                <w:kern w:val="0"/>
                <w:szCs w:val="21"/>
                <w:highlight w:val="none"/>
              </w:rPr>
              <w:t>黏</w:t>
            </w:r>
            <w:r>
              <w:rPr>
                <w:rFonts w:hint="default" w:ascii="Times New Roman" w:hAnsi="Times New Roman" w:eastAsia="宋体" w:cs="Times New Roman"/>
                <w:color w:val="auto"/>
                <w:kern w:val="0"/>
                <w:szCs w:val="21"/>
                <w:highlight w:val="none"/>
              </w:rPr>
              <w:t>土</w:t>
            </w:r>
          </w:p>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防渗层</w:t>
            </w:r>
          </w:p>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Mb≥6.0m，K≤1×10</w:t>
            </w:r>
            <w:r>
              <w:rPr>
                <w:rFonts w:hint="default" w:ascii="Times New Roman" w:hAnsi="Times New Roman" w:eastAsia="宋体" w:cs="Times New Roman"/>
                <w:color w:val="auto"/>
                <w:kern w:val="0"/>
                <w:szCs w:val="21"/>
                <w:highlight w:val="none"/>
                <w:vertAlign w:val="superscript"/>
              </w:rPr>
              <w:t>-7</w:t>
            </w:r>
            <w:r>
              <w:rPr>
                <w:rFonts w:hint="default" w:ascii="Times New Roman" w:hAnsi="Times New Roman" w:eastAsia="宋体" w:cs="Times New Roman"/>
                <w:color w:val="auto"/>
                <w:kern w:val="0"/>
                <w:szCs w:val="21"/>
                <w:highlight w:val="none"/>
              </w:rPr>
              <w:t>cm/s</w:t>
            </w:r>
          </w:p>
        </w:tc>
        <w:tc>
          <w:tcPr>
            <w:tcW w:w="1336"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干粪棚、机修车间、</w:t>
            </w:r>
            <w:r>
              <w:rPr>
                <w:rFonts w:hint="default" w:ascii="Times New Roman" w:hAnsi="Times New Roman" w:eastAsia="宋体" w:cs="Times New Roman"/>
                <w:color w:val="auto"/>
                <w:kern w:val="0"/>
                <w:szCs w:val="21"/>
                <w:highlight w:val="none"/>
              </w:rPr>
              <w:t>污水处理站、生活废水处理设施、集污池、尾水储存池、</w:t>
            </w:r>
            <w:r>
              <w:rPr>
                <w:rFonts w:hint="eastAsia" w:ascii="Times New Roman" w:hAnsi="Times New Roman" w:eastAsia="宋体" w:cs="Times New Roman"/>
                <w:color w:val="auto"/>
                <w:kern w:val="0"/>
                <w:szCs w:val="21"/>
                <w:highlight w:val="none"/>
              </w:rPr>
              <w:t>事故应急池、危废暂存间</w:t>
            </w:r>
          </w:p>
        </w:tc>
        <w:tc>
          <w:tcPr>
            <w:tcW w:w="1084"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危废暂存间按照</w:t>
            </w:r>
            <w:r>
              <w:rPr>
                <w:rFonts w:hint="default" w:ascii="Times New Roman" w:hAnsi="Times New Roman" w:eastAsia="宋体" w:cs="Times New Roman"/>
                <w:color w:val="auto"/>
                <w:kern w:val="0"/>
                <w:szCs w:val="21"/>
                <w:highlight w:val="none"/>
              </w:rPr>
              <w:t>《危险废物贮存污染控制标准》（GB18597）</w:t>
            </w:r>
            <w:r>
              <w:rPr>
                <w:rFonts w:hint="eastAsia" w:ascii="Times New Roman" w:hAnsi="Times New Roman" w:eastAsia="宋体" w:cs="Times New Roman"/>
                <w:color w:val="auto"/>
                <w:kern w:val="0"/>
                <w:szCs w:val="21"/>
                <w:highlight w:val="none"/>
              </w:rPr>
              <w:t>，</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其余重点防渗区根据《环境影响评价技术导则-地下水环境》（</w:t>
            </w:r>
            <w:r>
              <w:rPr>
                <w:rFonts w:hint="default" w:ascii="Times New Roman" w:hAnsi="Times New Roman" w:eastAsia="宋体" w:cs="Times New Roman"/>
                <w:color w:val="auto"/>
                <w:kern w:val="0"/>
                <w:szCs w:val="21"/>
                <w:highlight w:val="none"/>
              </w:rPr>
              <w:t>HJ610-2016</w:t>
            </w:r>
            <w:r>
              <w:rPr>
                <w:rFonts w:hint="eastAsia" w:ascii="Times New Roman" w:hAnsi="Times New Roman" w:eastAsia="宋体" w:cs="Times New Roman"/>
                <w:color w:val="auto"/>
                <w:kern w:val="0"/>
                <w:szCs w:val="21"/>
                <w:highlight w:val="none"/>
              </w:rPr>
              <w:t>）并借鉴同类型项目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4" w:hRule="atLeast"/>
          <w:jc w:val="center"/>
        </w:trPr>
        <w:tc>
          <w:tcPr>
            <w:tcW w:w="271"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495"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中-强</w:t>
            </w:r>
          </w:p>
        </w:tc>
        <w:tc>
          <w:tcPr>
            <w:tcW w:w="474"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难</w:t>
            </w:r>
          </w:p>
        </w:tc>
        <w:tc>
          <w:tcPr>
            <w:tcW w:w="590"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750"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1336"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w:t>
            </w:r>
          </w:p>
        </w:tc>
        <w:tc>
          <w:tcPr>
            <w:tcW w:w="1084" w:type="pct"/>
            <w:vMerge w:val="continue"/>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71" w:hRule="atLeast"/>
          <w:jc w:val="center"/>
        </w:trPr>
        <w:tc>
          <w:tcPr>
            <w:tcW w:w="271"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495"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弱</w:t>
            </w:r>
          </w:p>
        </w:tc>
        <w:tc>
          <w:tcPr>
            <w:tcW w:w="474"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易</w:t>
            </w:r>
          </w:p>
        </w:tc>
        <w:tc>
          <w:tcPr>
            <w:tcW w:w="590"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750"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133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w:t>
            </w:r>
          </w:p>
        </w:tc>
        <w:tc>
          <w:tcPr>
            <w:tcW w:w="1084" w:type="pct"/>
            <w:vMerge w:val="continue"/>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271" w:type="pct"/>
            <w:vMerge w:val="restar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一般防渗区</w:t>
            </w:r>
          </w:p>
        </w:tc>
        <w:tc>
          <w:tcPr>
            <w:tcW w:w="495"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shd w:val="pct10" w:color="auto" w:fill="FFFFFF"/>
              </w:rPr>
              <w:t>弱</w:t>
            </w:r>
          </w:p>
        </w:tc>
        <w:tc>
          <w:tcPr>
            <w:tcW w:w="474"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shd w:val="pct10" w:color="auto" w:fill="FFFFFF"/>
              </w:rPr>
              <w:t>易-难</w:t>
            </w:r>
          </w:p>
        </w:tc>
        <w:tc>
          <w:tcPr>
            <w:tcW w:w="590" w:type="pct"/>
            <w:vMerge w:val="restar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shd w:val="pct10" w:color="auto" w:fill="FFFFFF"/>
              </w:rPr>
            </w:pPr>
            <w:r>
              <w:rPr>
                <w:rFonts w:hint="default" w:ascii="Times New Roman" w:hAnsi="Times New Roman" w:eastAsia="宋体" w:cs="Times New Roman"/>
                <w:color w:val="auto"/>
                <w:kern w:val="0"/>
                <w:szCs w:val="21"/>
                <w:highlight w:val="none"/>
              </w:rPr>
              <w:t>其它类型</w:t>
            </w:r>
          </w:p>
        </w:tc>
        <w:tc>
          <w:tcPr>
            <w:tcW w:w="750" w:type="pct"/>
            <w:vMerge w:val="restar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等效</w:t>
            </w:r>
            <w:r>
              <w:rPr>
                <w:rFonts w:hint="eastAsia" w:ascii="Times New Roman" w:hAnsi="Times New Roman" w:eastAsia="宋体" w:cs="Times New Roman"/>
                <w:color w:val="auto"/>
                <w:kern w:val="0"/>
                <w:szCs w:val="21"/>
                <w:highlight w:val="none"/>
              </w:rPr>
              <w:t>黏</w:t>
            </w:r>
            <w:r>
              <w:rPr>
                <w:rFonts w:hint="default" w:ascii="Times New Roman" w:hAnsi="Times New Roman" w:eastAsia="宋体" w:cs="Times New Roman"/>
                <w:color w:val="auto"/>
                <w:kern w:val="0"/>
                <w:szCs w:val="21"/>
                <w:highlight w:val="none"/>
              </w:rPr>
              <w:t>土防渗</w:t>
            </w:r>
          </w:p>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层Mb≥1.5m，K≤1×10</w:t>
            </w:r>
            <w:r>
              <w:rPr>
                <w:rFonts w:hint="default" w:ascii="Times New Roman" w:hAnsi="Times New Roman" w:eastAsia="宋体" w:cs="Times New Roman"/>
                <w:color w:val="auto"/>
                <w:kern w:val="0"/>
                <w:szCs w:val="21"/>
                <w:highlight w:val="none"/>
                <w:vertAlign w:val="superscript"/>
              </w:rPr>
              <w:t>-7</w:t>
            </w:r>
            <w:r>
              <w:rPr>
                <w:rFonts w:hint="default" w:ascii="Times New Roman" w:hAnsi="Times New Roman" w:eastAsia="宋体" w:cs="Times New Roman"/>
                <w:color w:val="auto"/>
                <w:kern w:val="0"/>
                <w:szCs w:val="21"/>
                <w:highlight w:val="none"/>
              </w:rPr>
              <w:t>cm/s</w:t>
            </w:r>
          </w:p>
        </w:tc>
        <w:tc>
          <w:tcPr>
            <w:tcW w:w="1336" w:type="pct"/>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育肥舍、隔离舍、烘干房、兽药室、</w:t>
            </w:r>
            <w:r>
              <w:rPr>
                <w:rFonts w:hint="default" w:ascii="Times New Roman" w:hAnsi="Times New Roman" w:eastAsia="宋体" w:cs="Times New Roman"/>
                <w:color w:val="auto"/>
                <w:kern w:val="0"/>
                <w:szCs w:val="21"/>
                <w:highlight w:val="none"/>
              </w:rPr>
              <w:t>供配电系统、</w:t>
            </w:r>
            <w:r>
              <w:rPr>
                <w:rFonts w:hint="eastAsia" w:ascii="Times New Roman" w:hAnsi="Times New Roman" w:eastAsia="宋体" w:cs="Times New Roman"/>
                <w:color w:val="auto"/>
                <w:kern w:val="0"/>
                <w:szCs w:val="21"/>
                <w:highlight w:val="none"/>
              </w:rPr>
              <w:t>饲料库（露天青贮窖、干草库、TMR饲喂中心系统、精料库）、废气处理设施</w:t>
            </w:r>
          </w:p>
        </w:tc>
        <w:tc>
          <w:tcPr>
            <w:tcW w:w="1084"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8" w:hRule="atLeast"/>
          <w:jc w:val="center"/>
        </w:trPr>
        <w:tc>
          <w:tcPr>
            <w:tcW w:w="271"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495"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中-强</w:t>
            </w:r>
          </w:p>
        </w:tc>
        <w:tc>
          <w:tcPr>
            <w:tcW w:w="474"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难</w:t>
            </w:r>
          </w:p>
        </w:tc>
        <w:tc>
          <w:tcPr>
            <w:tcW w:w="590"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750"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1336"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1084"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271"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495"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中</w:t>
            </w:r>
          </w:p>
        </w:tc>
        <w:tc>
          <w:tcPr>
            <w:tcW w:w="474"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易</w:t>
            </w:r>
          </w:p>
        </w:tc>
        <w:tc>
          <w:tcPr>
            <w:tcW w:w="590" w:type="pct"/>
            <w:vMerge w:val="restar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重金属、</w:t>
            </w:r>
          </w:p>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持久性</w:t>
            </w:r>
          </w:p>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有机污染物</w:t>
            </w:r>
          </w:p>
        </w:tc>
        <w:tc>
          <w:tcPr>
            <w:tcW w:w="750"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1336"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1084"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71"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495"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强</w:t>
            </w:r>
          </w:p>
        </w:tc>
        <w:tc>
          <w:tcPr>
            <w:tcW w:w="474" w:type="pct"/>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易</w:t>
            </w:r>
          </w:p>
        </w:tc>
        <w:tc>
          <w:tcPr>
            <w:tcW w:w="590"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750"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1336"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c>
          <w:tcPr>
            <w:tcW w:w="1084" w:type="pct"/>
            <w:vMerge w:val="continue"/>
            <w:vAlign w:val="center"/>
          </w:tcPr>
          <w:p>
            <w:pPr>
              <w:keepNext w:val="0"/>
              <w:keepLines w:val="0"/>
              <w:suppressLineNumbers w:val="0"/>
              <w:adjustRightInd w:val="0"/>
              <w:snapToGrid w:val="0"/>
              <w:spacing w:before="0" w:beforeAutospacing="0" w:after="0" w:afterAutospacing="0"/>
              <w:ind w:left="-84" w:leftChars="-40" w:right="-84" w:rightChars="-40"/>
              <w:jc w:val="center"/>
              <w:rPr>
                <w:rFonts w:hint="default" w:ascii="Times New Roman" w:hAnsi="Times New Roman" w:eastAsia="宋体" w:cs="Times New Roman"/>
                <w:color w:val="auto"/>
                <w:kern w:val="0"/>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71"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简单防渗区</w:t>
            </w:r>
          </w:p>
        </w:tc>
        <w:tc>
          <w:tcPr>
            <w:tcW w:w="495"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中-强</w:t>
            </w:r>
          </w:p>
        </w:tc>
        <w:tc>
          <w:tcPr>
            <w:tcW w:w="474"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易</w:t>
            </w:r>
          </w:p>
        </w:tc>
        <w:tc>
          <w:tcPr>
            <w:tcW w:w="59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其它类型</w:t>
            </w:r>
          </w:p>
        </w:tc>
        <w:tc>
          <w:tcPr>
            <w:tcW w:w="75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一般地面</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硬化</w:t>
            </w:r>
          </w:p>
        </w:tc>
        <w:tc>
          <w:tcPr>
            <w:tcW w:w="133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办公生活设施、</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高位蓄水池</w:t>
            </w:r>
          </w:p>
        </w:tc>
        <w:tc>
          <w:tcPr>
            <w:tcW w:w="1084"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无持续性地下水污染源及下渗所需水力条件，一般情况下不会造成地下水污染</w:t>
            </w:r>
          </w:p>
        </w:tc>
      </w:tr>
    </w:tbl>
    <w:p>
      <w:pPr>
        <w:spacing w:line="360" w:lineRule="auto"/>
        <w:ind w:firstLine="480" w:firstLineChars="200"/>
        <w:rPr>
          <w:rFonts w:ascii="Times New Roman" w:hAnsi="Times New Roman" w:eastAsia="宋体" w:cs="Times New Roman"/>
          <w:bCs/>
          <w:color w:val="auto"/>
          <w:sz w:val="24"/>
          <w:szCs w:val="24"/>
          <w:highlight w:val="none"/>
        </w:rPr>
      </w:pPr>
      <w:r>
        <w:rPr>
          <w:rFonts w:ascii="Times New Roman" w:hAnsi="Times New Roman" w:eastAsia="宋体" w:cs="Times New Roman"/>
          <w:bCs/>
          <w:color w:val="auto"/>
          <w:sz w:val="24"/>
          <w:szCs w:val="24"/>
          <w:highlight w:val="none"/>
        </w:rPr>
        <w:t>项目构筑物中</w:t>
      </w:r>
      <w:r>
        <w:rPr>
          <w:rFonts w:hint="eastAsia" w:ascii="Times New Roman" w:hAnsi="Times New Roman" w:eastAsia="宋体" w:cs="Times New Roman"/>
          <w:bCs/>
          <w:color w:val="auto"/>
          <w:sz w:val="24"/>
          <w:szCs w:val="24"/>
          <w:highlight w:val="none"/>
        </w:rPr>
        <w:t>，</w:t>
      </w:r>
      <w:r>
        <w:rPr>
          <w:rFonts w:hint="eastAsia" w:ascii="Times New Roman" w:hAnsi="Times New Roman" w:eastAsia="宋体" w:cs="Times New Roman"/>
          <w:bCs/>
          <w:color w:val="auto"/>
          <w:sz w:val="24"/>
          <w:szCs w:val="24"/>
          <w:highlight w:val="none"/>
          <w:lang w:eastAsia="zh-CN"/>
        </w:rPr>
        <w:t>危废暂存间、</w:t>
      </w:r>
      <w:r>
        <w:rPr>
          <w:rFonts w:hint="eastAsia" w:ascii="Times New Roman" w:hAnsi="Times New Roman" w:eastAsia="宋体" w:cs="Times New Roman"/>
          <w:bCs/>
          <w:color w:val="auto"/>
          <w:sz w:val="24"/>
          <w:szCs w:val="24"/>
          <w:highlight w:val="none"/>
        </w:rPr>
        <w:t>干粪棚、机修车间、</w:t>
      </w:r>
      <w:r>
        <w:rPr>
          <w:rFonts w:ascii="Times New Roman" w:hAnsi="Times New Roman" w:eastAsia="宋体" w:cs="Times New Roman"/>
          <w:bCs/>
          <w:color w:val="auto"/>
          <w:sz w:val="24"/>
          <w:szCs w:val="24"/>
          <w:highlight w:val="none"/>
        </w:rPr>
        <w:t>废水处理设施</w:t>
      </w:r>
      <w:r>
        <w:rPr>
          <w:rFonts w:hint="eastAsia" w:ascii="Times New Roman" w:hAnsi="Times New Roman" w:eastAsia="宋体" w:cs="Times New Roman"/>
          <w:bCs/>
          <w:color w:val="auto"/>
          <w:sz w:val="24"/>
          <w:szCs w:val="24"/>
          <w:highlight w:val="none"/>
          <w:lang w:eastAsia="zh-CN"/>
        </w:rPr>
        <w:t>（含</w:t>
      </w:r>
      <w:r>
        <w:rPr>
          <w:rFonts w:ascii="Times New Roman" w:hAnsi="Times New Roman" w:eastAsia="宋体" w:cs="Times New Roman"/>
          <w:bCs/>
          <w:color w:val="auto"/>
          <w:sz w:val="24"/>
          <w:szCs w:val="24"/>
          <w:highlight w:val="none"/>
        </w:rPr>
        <w:t>集污池</w:t>
      </w:r>
      <w:r>
        <w:rPr>
          <w:rFonts w:hint="eastAsia" w:ascii="Times New Roman" w:hAnsi="Times New Roman" w:eastAsia="宋体" w:cs="Times New Roman"/>
          <w:bCs/>
          <w:color w:val="auto"/>
          <w:sz w:val="24"/>
          <w:szCs w:val="24"/>
          <w:highlight w:val="none"/>
          <w:lang w:eastAsia="zh-CN"/>
        </w:rPr>
        <w:t>）</w:t>
      </w:r>
      <w:r>
        <w:rPr>
          <w:rFonts w:ascii="Times New Roman" w:hAnsi="Times New Roman" w:eastAsia="宋体" w:cs="Times New Roman"/>
          <w:bCs/>
          <w:color w:val="auto"/>
          <w:sz w:val="24"/>
          <w:szCs w:val="24"/>
          <w:highlight w:val="none"/>
        </w:rPr>
        <w:t>、尾水储存池、</w:t>
      </w:r>
      <w:r>
        <w:rPr>
          <w:rFonts w:hint="eastAsia" w:ascii="Times New Roman" w:hAnsi="Times New Roman" w:eastAsia="宋体" w:cs="Times New Roman"/>
          <w:bCs/>
          <w:color w:val="auto"/>
          <w:sz w:val="24"/>
          <w:szCs w:val="24"/>
          <w:highlight w:val="none"/>
        </w:rPr>
        <w:t>事故应急池</w:t>
      </w:r>
      <w:r>
        <w:rPr>
          <w:rFonts w:hint="eastAsia" w:ascii="Times New Roman" w:hAnsi="Times New Roman" w:eastAsia="宋体" w:cs="Times New Roman"/>
          <w:bCs/>
          <w:color w:val="auto"/>
          <w:sz w:val="24"/>
          <w:szCs w:val="24"/>
          <w:highlight w:val="none"/>
          <w:lang w:eastAsia="zh-CN"/>
        </w:rPr>
        <w:t>、隔油池、</w:t>
      </w:r>
      <w:r>
        <w:rPr>
          <w:rFonts w:hint="eastAsia" w:ascii="Times New Roman" w:hAnsi="Times New Roman" w:eastAsia="宋体" w:cs="Times New Roman"/>
          <w:color w:val="auto"/>
          <w:sz w:val="24"/>
          <w:szCs w:val="24"/>
          <w:highlight w:val="none"/>
        </w:rPr>
        <w:t>粪污管道及周边粪水收集沟</w:t>
      </w:r>
      <w:r>
        <w:rPr>
          <w:rFonts w:hint="eastAsia" w:ascii="Times New Roman" w:hAnsi="Times New Roman" w:eastAsia="宋体" w:cs="Times New Roman"/>
          <w:bCs/>
          <w:color w:val="auto"/>
          <w:sz w:val="24"/>
          <w:szCs w:val="24"/>
          <w:highlight w:val="none"/>
        </w:rPr>
        <w:t>采取重点防渗措施。</w:t>
      </w:r>
    </w:p>
    <w:p>
      <w:pPr>
        <w:spacing w:line="360" w:lineRule="auto"/>
        <w:ind w:firstLine="480" w:firstLineChars="200"/>
        <w:rPr>
          <w:rFonts w:ascii="Times New Roman" w:hAnsi="Times New Roman" w:eastAsia="宋体" w:cs="Times New Roman"/>
          <w:bCs/>
          <w:color w:val="auto"/>
          <w:sz w:val="24"/>
          <w:szCs w:val="24"/>
          <w:highlight w:val="none"/>
        </w:rPr>
      </w:pPr>
      <w:r>
        <w:rPr>
          <w:rFonts w:hint="eastAsia" w:ascii="Times New Roman" w:hAnsi="Times New Roman" w:eastAsia="宋体" w:cs="Times New Roman"/>
          <w:bCs/>
          <w:color w:val="auto"/>
          <w:sz w:val="24"/>
          <w:szCs w:val="24"/>
          <w:highlight w:val="none"/>
        </w:rPr>
        <w:t>牛舍、青贮窖、饲料库、兽医室</w:t>
      </w:r>
      <w:r>
        <w:rPr>
          <w:rFonts w:hint="eastAsia" w:ascii="Times New Roman" w:hAnsi="Times New Roman" w:eastAsia="宋体" w:cs="Times New Roman"/>
          <w:bCs/>
          <w:color w:val="auto"/>
          <w:sz w:val="24"/>
          <w:szCs w:val="24"/>
          <w:highlight w:val="none"/>
          <w:lang w:eastAsia="zh-CN"/>
        </w:rPr>
        <w:t>、预处理池</w:t>
      </w:r>
      <w:r>
        <w:rPr>
          <w:rFonts w:hint="eastAsia" w:ascii="Times New Roman" w:hAnsi="Times New Roman" w:eastAsia="宋体" w:cs="Times New Roman"/>
          <w:bCs/>
          <w:color w:val="auto"/>
          <w:sz w:val="24"/>
          <w:szCs w:val="24"/>
          <w:highlight w:val="none"/>
        </w:rPr>
        <w:t>采取一般防渗措施。</w:t>
      </w:r>
    </w:p>
    <w:p>
      <w:pPr>
        <w:spacing w:line="360" w:lineRule="auto"/>
        <w:ind w:firstLine="480" w:firstLineChars="200"/>
        <w:rPr>
          <w:rFonts w:ascii="Times New Roman" w:hAnsi="Times New Roman" w:eastAsia="宋体" w:cs="Times New Roman"/>
          <w:bCs/>
          <w:color w:val="auto"/>
          <w:sz w:val="24"/>
          <w:szCs w:val="24"/>
          <w:highlight w:val="none"/>
        </w:rPr>
      </w:pPr>
      <w:r>
        <w:rPr>
          <w:rFonts w:hint="eastAsia" w:ascii="Times New Roman" w:hAnsi="Times New Roman" w:eastAsia="宋体" w:cs="Times New Roman"/>
          <w:bCs/>
          <w:color w:val="auto"/>
          <w:sz w:val="24"/>
          <w:szCs w:val="24"/>
          <w:highlight w:val="none"/>
        </w:rPr>
        <w:t>办公生活设施、高位蓄水池采取简单防渗措施。</w:t>
      </w:r>
    </w:p>
    <w:p>
      <w:pPr>
        <w:spacing w:line="360" w:lineRule="auto"/>
        <w:ind w:firstLine="482" w:firstLineChars="200"/>
        <w:textAlignment w:val="center"/>
        <w:rPr>
          <w:rFonts w:ascii="Times New Roman" w:hAnsi="Times New Roman" w:eastAsia="宋体" w:cs="Times New Roman"/>
          <w:bCs/>
          <w:color w:val="auto"/>
          <w:sz w:val="24"/>
          <w:szCs w:val="24"/>
          <w:highlight w:val="none"/>
        </w:rPr>
      </w:pPr>
      <w:r>
        <w:rPr>
          <w:rFonts w:ascii="Times New Roman" w:hAnsi="Times New Roman" w:eastAsia="宋体" w:cs="Times New Roman"/>
          <w:b/>
          <w:bCs/>
          <w:color w:val="auto"/>
          <w:sz w:val="24"/>
          <w:szCs w:val="24"/>
          <w:highlight w:val="none"/>
        </w:rPr>
        <w:t>重点防渗区：</w:t>
      </w:r>
      <w:r>
        <w:rPr>
          <w:rFonts w:hint="eastAsia" w:ascii="Times New Roman" w:hAnsi="Times New Roman" w:eastAsia="宋体" w:cs="Times New Roman"/>
          <w:bCs/>
          <w:color w:val="auto"/>
          <w:sz w:val="24"/>
          <w:szCs w:val="24"/>
          <w:highlight w:val="none"/>
        </w:rPr>
        <w:t>危废暂存间的防渗措施应依据《危险废物贮存污染控制标准》（GB18597）进行设置；</w:t>
      </w:r>
    </w:p>
    <w:p>
      <w:pPr>
        <w:spacing w:line="360" w:lineRule="auto"/>
        <w:ind w:firstLine="480" w:firstLineChars="200"/>
        <w:textAlignment w:val="center"/>
        <w:rPr>
          <w:rFonts w:ascii="Times New Roman" w:hAnsi="Times New Roman" w:cs="Times New Roman"/>
          <w:bCs/>
          <w:color w:val="auto"/>
          <w:sz w:val="24"/>
          <w:szCs w:val="24"/>
          <w:highlight w:val="none"/>
        </w:rPr>
      </w:pPr>
      <w:r>
        <w:rPr>
          <w:rFonts w:ascii="Times New Roman" w:cs="Times New Roman" w:hAnsiTheme="minorEastAsia"/>
          <w:bCs/>
          <w:color w:val="auto"/>
          <w:sz w:val="24"/>
          <w:szCs w:val="24"/>
          <w:highlight w:val="none"/>
        </w:rPr>
        <w:t>建议采用刚性</w:t>
      </w:r>
      <w:r>
        <w:rPr>
          <w:rFonts w:ascii="Times New Roman" w:hAnsi="Times New Roman" w:cs="Times New Roman"/>
          <w:bCs/>
          <w:color w:val="auto"/>
          <w:sz w:val="24"/>
          <w:szCs w:val="24"/>
          <w:highlight w:val="none"/>
        </w:rPr>
        <w:t>+</w:t>
      </w:r>
      <w:r>
        <w:rPr>
          <w:rFonts w:ascii="Times New Roman" w:cs="Times New Roman" w:hAnsiTheme="minorEastAsia"/>
          <w:bCs/>
          <w:color w:val="auto"/>
          <w:sz w:val="24"/>
          <w:szCs w:val="24"/>
          <w:highlight w:val="none"/>
        </w:rPr>
        <w:t>柔性防渗</w:t>
      </w:r>
      <w:r>
        <w:rPr>
          <w:rFonts w:ascii="Times New Roman" w:hAnsi="Times New Roman" w:cs="Times New Roman"/>
          <w:bCs/>
          <w:color w:val="auto"/>
          <w:sz w:val="24"/>
          <w:szCs w:val="24"/>
          <w:highlight w:val="none"/>
        </w:rPr>
        <w:t>+</w:t>
      </w:r>
      <w:r>
        <w:rPr>
          <w:rFonts w:ascii="Times New Roman" w:cs="Times New Roman" w:hAnsiTheme="minorEastAsia"/>
          <w:bCs/>
          <w:color w:val="auto"/>
          <w:sz w:val="24"/>
          <w:szCs w:val="24"/>
          <w:highlight w:val="none"/>
        </w:rPr>
        <w:t>防腐措施，即采用</w:t>
      </w:r>
      <w:r>
        <w:rPr>
          <w:rFonts w:ascii="Times New Roman" w:hAnsi="Times New Roman" w:cs="Times New Roman"/>
          <w:bCs/>
          <w:color w:val="auto"/>
          <w:sz w:val="24"/>
          <w:szCs w:val="24"/>
          <w:highlight w:val="none"/>
        </w:rPr>
        <w:t>P8</w:t>
      </w:r>
      <w:r>
        <w:rPr>
          <w:rFonts w:ascii="Times New Roman" w:cs="Times New Roman" w:hAnsiTheme="minorEastAsia"/>
          <w:bCs/>
          <w:color w:val="auto"/>
          <w:sz w:val="24"/>
          <w:szCs w:val="24"/>
          <w:highlight w:val="none"/>
        </w:rPr>
        <w:t>等级混凝土</w:t>
      </w:r>
      <w:r>
        <w:rPr>
          <w:rFonts w:ascii="Times New Roman" w:hAnsi="Times New Roman" w:cs="Times New Roman"/>
          <w:bCs/>
          <w:color w:val="auto"/>
          <w:sz w:val="24"/>
          <w:szCs w:val="24"/>
          <w:highlight w:val="none"/>
        </w:rPr>
        <w:t>+2mmHDPE</w:t>
      </w:r>
      <w:r>
        <w:rPr>
          <w:rFonts w:ascii="Times New Roman" w:cs="Times New Roman" w:hAnsiTheme="minorEastAsia"/>
          <w:bCs/>
          <w:color w:val="auto"/>
          <w:sz w:val="24"/>
          <w:szCs w:val="24"/>
          <w:highlight w:val="none"/>
        </w:rPr>
        <w:t>膜防渗结构，渗透系数</w:t>
      </w:r>
      <w:r>
        <w:rPr>
          <w:rFonts w:ascii="Times New Roman" w:hAnsi="Times New Roman" w:cs="Times New Roman"/>
          <w:bCs/>
          <w:color w:val="auto"/>
          <w:sz w:val="24"/>
          <w:szCs w:val="24"/>
          <w:highlight w:val="none"/>
        </w:rPr>
        <w:t>K≤1×10</w:t>
      </w:r>
      <w:r>
        <w:rPr>
          <w:rFonts w:ascii="Times New Roman" w:hAnsi="Times New Roman" w:cs="Times New Roman"/>
          <w:bCs/>
          <w:color w:val="auto"/>
          <w:sz w:val="24"/>
          <w:szCs w:val="24"/>
          <w:highlight w:val="none"/>
          <w:vertAlign w:val="superscript"/>
        </w:rPr>
        <w:t>-10</w:t>
      </w:r>
      <w:r>
        <w:rPr>
          <w:rFonts w:ascii="Times New Roman" w:hAnsi="Times New Roman" w:cs="Times New Roman"/>
          <w:bCs/>
          <w:color w:val="auto"/>
          <w:sz w:val="24"/>
          <w:szCs w:val="24"/>
          <w:highlight w:val="none"/>
        </w:rPr>
        <w:t>cm/s</w:t>
      </w:r>
      <w:r>
        <w:rPr>
          <w:rFonts w:ascii="Times New Roman" w:cs="Times New Roman" w:hAnsiTheme="minorEastAsia"/>
          <w:bCs/>
          <w:color w:val="auto"/>
          <w:sz w:val="24"/>
          <w:szCs w:val="24"/>
          <w:highlight w:val="none"/>
        </w:rPr>
        <w:t>。</w:t>
      </w:r>
    </w:p>
    <w:p>
      <w:pPr>
        <w:spacing w:line="360" w:lineRule="auto"/>
        <w:ind w:firstLine="480" w:firstLineChars="200"/>
        <w:textAlignment w:val="center"/>
        <w:rPr>
          <w:rFonts w:ascii="Times New Roman" w:hAnsi="Times New Roman" w:eastAsia="宋体" w:cs="Times New Roman"/>
          <w:bCs/>
          <w:color w:val="auto"/>
          <w:sz w:val="24"/>
          <w:szCs w:val="24"/>
          <w:highlight w:val="none"/>
        </w:rPr>
      </w:pPr>
      <w:r>
        <w:rPr>
          <w:rFonts w:ascii="Times New Roman" w:hAnsi="Times New Roman" w:eastAsia="宋体" w:cs="Times New Roman"/>
          <w:bCs/>
          <w:color w:val="auto"/>
          <w:sz w:val="24"/>
          <w:szCs w:val="24"/>
          <w:highlight w:val="none"/>
        </w:rPr>
        <w:t>建议具体防渗结构由上至下依次为：环氧树脂防腐层、水泥基渗透结晶型防渗涂层（≥0.8mm）、抗渗混凝土面层（厚度300mm，抗渗等级为P8）、基层+垫层、600g/m</w:t>
      </w:r>
      <w:r>
        <w:rPr>
          <w:rFonts w:ascii="Times New Roman" w:hAnsi="Times New Roman" w:eastAsia="宋体" w:cs="Times New Roman"/>
          <w:bCs/>
          <w:color w:val="auto"/>
          <w:sz w:val="24"/>
          <w:szCs w:val="24"/>
          <w:highlight w:val="none"/>
          <w:vertAlign w:val="superscript"/>
        </w:rPr>
        <w:t>2</w:t>
      </w:r>
      <w:r>
        <w:rPr>
          <w:rFonts w:ascii="Times New Roman" w:hAnsi="Times New Roman" w:eastAsia="宋体" w:cs="Times New Roman"/>
          <w:bCs/>
          <w:color w:val="auto"/>
          <w:sz w:val="24"/>
          <w:szCs w:val="24"/>
          <w:highlight w:val="none"/>
        </w:rPr>
        <w:t>长丝无纺土工布、2mm厚HDPE防渗膜、600g/m</w:t>
      </w:r>
      <w:r>
        <w:rPr>
          <w:rFonts w:ascii="Times New Roman" w:hAnsi="Times New Roman" w:eastAsia="宋体" w:cs="Times New Roman"/>
          <w:bCs/>
          <w:color w:val="auto"/>
          <w:sz w:val="24"/>
          <w:szCs w:val="24"/>
          <w:highlight w:val="none"/>
          <w:vertAlign w:val="superscript"/>
        </w:rPr>
        <w:t>2</w:t>
      </w:r>
      <w:r>
        <w:rPr>
          <w:rFonts w:ascii="Times New Roman" w:hAnsi="Times New Roman" w:eastAsia="宋体" w:cs="Times New Roman"/>
          <w:bCs/>
          <w:color w:val="auto"/>
          <w:sz w:val="24"/>
          <w:szCs w:val="24"/>
          <w:highlight w:val="none"/>
        </w:rPr>
        <w:t>长丝无纺土工布、细砂保护层、原土压</w:t>
      </w:r>
      <w:r>
        <w:rPr>
          <w:rFonts w:hint="eastAsia" w:ascii="Times New Roman" w:hAnsi="Times New Roman" w:eastAsia="宋体" w:cs="Times New Roman"/>
          <w:bCs/>
          <w:color w:val="auto"/>
          <w:sz w:val="24"/>
          <w:szCs w:val="24"/>
          <w:highlight w:val="none"/>
        </w:rPr>
        <w:t>（夯）</w:t>
      </w:r>
      <w:r>
        <w:rPr>
          <w:rFonts w:ascii="Times New Roman" w:hAnsi="Times New Roman" w:eastAsia="宋体" w:cs="Times New Roman"/>
          <w:bCs/>
          <w:color w:val="auto"/>
          <w:sz w:val="24"/>
          <w:szCs w:val="24"/>
          <w:highlight w:val="none"/>
        </w:rPr>
        <w:t>实。</w:t>
      </w:r>
    </w:p>
    <w:p>
      <w:pPr>
        <w:spacing w:line="360" w:lineRule="auto"/>
        <w:ind w:firstLine="480" w:firstLineChars="200"/>
        <w:jc w:val="center"/>
        <w:textAlignment w:val="center"/>
        <w:rPr>
          <w:rFonts w:ascii="Times New Roman" w:hAnsi="Times New Roman" w:eastAsia="宋体" w:cs="Times New Roman"/>
          <w:bCs/>
          <w:color w:val="auto"/>
          <w:sz w:val="24"/>
          <w:szCs w:val="24"/>
          <w:highlight w:val="none"/>
        </w:rPr>
      </w:pPr>
      <w:r>
        <w:rPr>
          <w:rFonts w:ascii="Times New Roman" w:hAnsi="Times New Roman" w:eastAsia="宋体" w:cs="Times New Roman"/>
          <w:color w:val="auto"/>
          <w:kern w:val="0"/>
          <w:sz w:val="24"/>
          <w:szCs w:val="24"/>
          <w:highlight w:val="none"/>
        </w:rPr>
        <w:drawing>
          <wp:inline distT="0" distB="0" distL="0" distR="0">
            <wp:extent cx="2651760" cy="2514600"/>
            <wp:effectExtent l="0" t="0" r="0" b="0"/>
            <wp:docPr id="14353"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3" name="图片 330"/>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2661046" cy="2522995"/>
                    </a:xfrm>
                    <a:prstGeom prst="rect">
                      <a:avLst/>
                    </a:prstGeom>
                    <a:noFill/>
                    <a:ln>
                      <a:noFill/>
                    </a:ln>
                  </pic:spPr>
                </pic:pic>
              </a:graphicData>
            </a:graphic>
          </wp:inline>
        </w:drawing>
      </w:r>
    </w:p>
    <w:p>
      <w:pPr>
        <w:jc w:val="center"/>
        <w:rPr>
          <w:rFonts w:ascii="Times New Roman" w:hAnsi="Times New Roman" w:eastAsia="宋体" w:cs="Times New Roman"/>
          <w:b/>
          <w:color w:val="auto"/>
          <w:kern w:val="0"/>
          <w:szCs w:val="21"/>
          <w:highlight w:val="none"/>
        </w:rPr>
      </w:pPr>
      <w:r>
        <w:rPr>
          <w:rFonts w:ascii="Times New Roman" w:hAnsi="Times New Roman" w:eastAsia="宋体" w:cs="Times New Roman"/>
          <w:b/>
          <w:color w:val="auto"/>
          <w:kern w:val="0"/>
          <w:szCs w:val="21"/>
          <w:highlight w:val="none"/>
        </w:rPr>
        <w:t>图</w:t>
      </w:r>
      <w:r>
        <w:rPr>
          <w:rFonts w:hint="eastAsia" w:ascii="Times New Roman" w:hAnsi="Times New Roman" w:eastAsia="宋体" w:cs="Times New Roman"/>
          <w:b/>
          <w:color w:val="auto"/>
          <w:kern w:val="0"/>
          <w:szCs w:val="21"/>
          <w:highlight w:val="none"/>
          <w:lang w:val="en-US" w:eastAsia="zh-CN"/>
        </w:rPr>
        <w:t>5.2</w:t>
      </w:r>
      <w:r>
        <w:rPr>
          <w:rFonts w:ascii="Times New Roman" w:hAnsi="Times New Roman" w:eastAsia="宋体" w:cs="Times New Roman"/>
          <w:b/>
          <w:color w:val="auto"/>
          <w:kern w:val="0"/>
          <w:szCs w:val="21"/>
          <w:highlight w:val="none"/>
        </w:rPr>
        <w:t>-</w:t>
      </w:r>
      <w:r>
        <w:rPr>
          <w:rFonts w:hint="eastAsia" w:ascii="Times New Roman" w:hAnsi="Times New Roman" w:eastAsia="宋体" w:cs="Times New Roman"/>
          <w:b/>
          <w:color w:val="auto"/>
          <w:kern w:val="0"/>
          <w:szCs w:val="21"/>
          <w:highlight w:val="none"/>
        </w:rPr>
        <w:t>4</w:t>
      </w:r>
      <w:r>
        <w:rPr>
          <w:rFonts w:ascii="Times New Roman" w:hAnsi="Times New Roman" w:eastAsia="宋体" w:cs="Times New Roman"/>
          <w:b/>
          <w:color w:val="auto"/>
          <w:kern w:val="0"/>
          <w:szCs w:val="21"/>
          <w:highlight w:val="none"/>
        </w:rPr>
        <w:t xml:space="preserve">  重点防渗区刚性+柔性防渗+防腐结构示意图</w:t>
      </w:r>
    </w:p>
    <w:p>
      <w:pPr>
        <w:widowControl/>
        <w:autoSpaceDE w:val="0"/>
        <w:autoSpaceDN w:val="0"/>
        <w:spacing w:line="360" w:lineRule="auto"/>
        <w:ind w:firstLine="480" w:firstLineChars="200"/>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bCs/>
          <w:color w:val="auto"/>
          <w:sz w:val="24"/>
          <w:szCs w:val="24"/>
          <w:highlight w:val="none"/>
        </w:rPr>
        <w:t>干粪棚、机修车间、</w:t>
      </w:r>
      <w:r>
        <w:rPr>
          <w:rFonts w:ascii="Times New Roman" w:hAnsi="Times New Roman" w:eastAsia="宋体" w:cs="Times New Roman"/>
          <w:bCs/>
          <w:color w:val="auto"/>
          <w:sz w:val="24"/>
          <w:szCs w:val="24"/>
          <w:highlight w:val="none"/>
        </w:rPr>
        <w:t>废水处理设施</w:t>
      </w:r>
      <w:r>
        <w:rPr>
          <w:rFonts w:hint="eastAsia" w:ascii="Times New Roman" w:hAnsi="Times New Roman" w:eastAsia="宋体" w:cs="Times New Roman"/>
          <w:bCs/>
          <w:color w:val="auto"/>
          <w:sz w:val="24"/>
          <w:szCs w:val="24"/>
          <w:highlight w:val="none"/>
          <w:lang w:eastAsia="zh-CN"/>
        </w:rPr>
        <w:t>（含</w:t>
      </w:r>
      <w:r>
        <w:rPr>
          <w:rFonts w:ascii="Times New Roman" w:hAnsi="Times New Roman" w:eastAsia="宋体" w:cs="Times New Roman"/>
          <w:bCs/>
          <w:color w:val="auto"/>
          <w:sz w:val="24"/>
          <w:szCs w:val="24"/>
          <w:highlight w:val="none"/>
        </w:rPr>
        <w:t>集污池</w:t>
      </w:r>
      <w:r>
        <w:rPr>
          <w:rFonts w:hint="eastAsia" w:ascii="Times New Roman" w:hAnsi="Times New Roman" w:eastAsia="宋体" w:cs="Times New Roman"/>
          <w:bCs/>
          <w:color w:val="auto"/>
          <w:sz w:val="24"/>
          <w:szCs w:val="24"/>
          <w:highlight w:val="none"/>
          <w:lang w:eastAsia="zh-CN"/>
        </w:rPr>
        <w:t>）</w:t>
      </w:r>
      <w:r>
        <w:rPr>
          <w:rFonts w:ascii="Times New Roman" w:hAnsi="Times New Roman" w:eastAsia="宋体" w:cs="Times New Roman"/>
          <w:bCs/>
          <w:color w:val="auto"/>
          <w:sz w:val="24"/>
          <w:szCs w:val="24"/>
          <w:highlight w:val="none"/>
        </w:rPr>
        <w:t>、尾水储存池、</w:t>
      </w:r>
      <w:r>
        <w:rPr>
          <w:rFonts w:hint="eastAsia" w:ascii="Times New Roman" w:hAnsi="Times New Roman" w:eastAsia="宋体" w:cs="Times New Roman"/>
          <w:bCs/>
          <w:color w:val="auto"/>
          <w:sz w:val="24"/>
          <w:szCs w:val="24"/>
          <w:highlight w:val="none"/>
        </w:rPr>
        <w:t>事故应急池</w:t>
      </w:r>
      <w:r>
        <w:rPr>
          <w:rFonts w:hint="eastAsia" w:ascii="Times New Roman" w:hAnsi="Times New Roman" w:eastAsia="宋体" w:cs="Times New Roman"/>
          <w:bCs/>
          <w:color w:val="auto"/>
          <w:sz w:val="24"/>
          <w:szCs w:val="24"/>
          <w:highlight w:val="none"/>
          <w:lang w:eastAsia="zh-CN"/>
        </w:rPr>
        <w:t>、隔油池</w:t>
      </w:r>
      <w:r>
        <w:rPr>
          <w:rFonts w:hint="eastAsia" w:ascii="Times New Roman" w:hAnsi="Times New Roman" w:eastAsia="宋体" w:cs="Times New Roman"/>
          <w:color w:val="auto"/>
          <w:sz w:val="24"/>
          <w:szCs w:val="24"/>
          <w:highlight w:val="none"/>
        </w:rPr>
        <w:t>建议</w:t>
      </w:r>
      <w:r>
        <w:rPr>
          <w:rFonts w:ascii="Times New Roman" w:hAnsi="Times New Roman" w:eastAsia="宋体" w:cs="Times New Roman"/>
          <w:color w:val="auto"/>
          <w:kern w:val="0"/>
          <w:sz w:val="24"/>
          <w:szCs w:val="24"/>
          <w:highlight w:val="none"/>
        </w:rPr>
        <w:t>采</w:t>
      </w:r>
      <w:r>
        <w:rPr>
          <w:rFonts w:hint="eastAsia" w:ascii="Times New Roman" w:hAnsi="Times New Roman" w:eastAsia="宋体" w:cs="Times New Roman"/>
          <w:color w:val="auto"/>
          <w:kern w:val="0"/>
          <w:sz w:val="24"/>
          <w:szCs w:val="24"/>
          <w:highlight w:val="none"/>
        </w:rPr>
        <w:t>取</w:t>
      </w:r>
      <w:r>
        <w:rPr>
          <w:rFonts w:ascii="Times New Roman" w:hAnsi="Times New Roman" w:eastAsia="宋体" w:cs="Times New Roman"/>
          <w:color w:val="auto"/>
          <w:kern w:val="0"/>
          <w:sz w:val="24"/>
          <w:szCs w:val="24"/>
          <w:highlight w:val="none"/>
        </w:rPr>
        <w:t>的具体防渗结构如下：水泥基渗透结晶型防渗涂层（≥0.8mm）、抗渗混凝土面层（厚度300mm，抗渗等级为P8）、基层+垫层、原土压（夯）实。</w:t>
      </w:r>
      <w:r>
        <w:rPr>
          <w:rFonts w:hint="eastAsia" w:ascii="Times New Roman" w:hAnsi="Times New Roman" w:eastAsia="宋体" w:cs="Times New Roman"/>
          <w:color w:val="auto"/>
          <w:kern w:val="0"/>
          <w:sz w:val="24"/>
          <w:szCs w:val="24"/>
          <w:highlight w:val="none"/>
        </w:rPr>
        <w:t>经分析，</w:t>
      </w:r>
      <w:r>
        <w:rPr>
          <w:rFonts w:ascii="Times New Roman" w:hAnsi="Times New Roman" w:eastAsia="宋体" w:cs="Times New Roman"/>
          <w:color w:val="auto"/>
          <w:kern w:val="0"/>
          <w:sz w:val="24"/>
          <w:szCs w:val="24"/>
          <w:highlight w:val="none"/>
        </w:rPr>
        <w:t>防渗性能</w:t>
      </w:r>
      <w:r>
        <w:rPr>
          <w:rFonts w:hint="eastAsia" w:ascii="Times New Roman" w:hAnsi="Times New Roman" w:eastAsia="宋体" w:cs="Times New Roman"/>
          <w:color w:val="auto"/>
          <w:kern w:val="0"/>
          <w:sz w:val="24"/>
          <w:szCs w:val="24"/>
          <w:highlight w:val="none"/>
        </w:rPr>
        <w:t>可</w:t>
      </w:r>
      <w:r>
        <w:rPr>
          <w:rFonts w:ascii="Times New Roman" w:hAnsi="Times New Roman" w:eastAsia="宋体" w:cs="Times New Roman"/>
          <w:color w:val="auto"/>
          <w:kern w:val="0"/>
          <w:sz w:val="24"/>
          <w:szCs w:val="24"/>
          <w:highlight w:val="none"/>
        </w:rPr>
        <w:t>与厚度Mb≥6.0m，渗透系数K≤1×10</w:t>
      </w:r>
      <w:r>
        <w:rPr>
          <w:rFonts w:ascii="Times New Roman" w:hAnsi="Times New Roman" w:eastAsia="宋体" w:cs="Times New Roman"/>
          <w:color w:val="auto"/>
          <w:kern w:val="0"/>
          <w:sz w:val="24"/>
          <w:szCs w:val="24"/>
          <w:highlight w:val="none"/>
          <w:vertAlign w:val="superscript"/>
        </w:rPr>
        <w:t>-7</w:t>
      </w:r>
      <w:r>
        <w:rPr>
          <w:rFonts w:ascii="Times New Roman" w:hAnsi="Times New Roman" w:eastAsia="宋体" w:cs="Times New Roman"/>
          <w:color w:val="auto"/>
          <w:kern w:val="0"/>
          <w:sz w:val="24"/>
          <w:szCs w:val="24"/>
          <w:highlight w:val="none"/>
        </w:rPr>
        <w:t>cm/s黏土防渗层等效。</w:t>
      </w:r>
    </w:p>
    <w:p>
      <w:pPr>
        <w:widowControl/>
        <w:autoSpaceDE w:val="0"/>
        <w:autoSpaceDN w:val="0"/>
        <w:spacing w:line="360" w:lineRule="auto"/>
        <w:ind w:firstLine="480" w:firstLineChars="200"/>
        <w:rPr>
          <w:rFonts w:hint="eastAsia" w:ascii="Times New Roman" w:hAnsi="Times New Roman" w:eastAsia="宋体" w:cs="Times New Roman"/>
          <w:bCs/>
          <w:color w:val="auto"/>
          <w:sz w:val="24"/>
          <w:szCs w:val="24"/>
          <w:highlight w:val="none"/>
        </w:rPr>
      </w:pPr>
      <w:r>
        <w:rPr>
          <w:rFonts w:hint="eastAsia" w:ascii="Times New Roman" w:hAnsi="Times New Roman" w:eastAsia="宋体" w:cs="Times New Roman"/>
          <w:bCs/>
          <w:color w:val="auto"/>
          <w:sz w:val="24"/>
          <w:szCs w:val="24"/>
          <w:highlight w:val="none"/>
        </w:rPr>
        <w:t>厂区粪污输送全部采用管道输送，管道材料应视输送介质的不同选择合适材质并做表面的防腐、防锈蚀处理，减轻管道腐蚀造成的渗漏，并进行定期检查，防止跑冒漏滴的现象发生。</w:t>
      </w:r>
    </w:p>
    <w:p>
      <w:pPr>
        <w:pStyle w:val="114"/>
        <w:rPr>
          <w:color w:val="auto"/>
          <w:highlight w:val="none"/>
        </w:rPr>
      </w:pPr>
    </w:p>
    <w:p>
      <w:pPr>
        <w:widowControl/>
        <w:autoSpaceDE w:val="0"/>
        <w:autoSpaceDN w:val="0"/>
        <w:spacing w:line="360" w:lineRule="auto"/>
        <w:jc w:val="center"/>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drawing>
          <wp:inline distT="0" distB="0" distL="0" distR="0">
            <wp:extent cx="3238500" cy="2260600"/>
            <wp:effectExtent l="0" t="0" r="0" b="0"/>
            <wp:docPr id="18" name="图片 240" descr="说明: C:\Users\luopeng0808\Desktop\防渗\重点防渗区（池体）.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40" descr="说明: C:\Users\luopeng0808\Desktop\防渗\重点防渗区（池体）.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3238500" cy="2260600"/>
                    </a:xfrm>
                    <a:prstGeom prst="rect">
                      <a:avLst/>
                    </a:prstGeom>
                    <a:noFill/>
                    <a:ln>
                      <a:noFill/>
                    </a:ln>
                  </pic:spPr>
                </pic:pic>
              </a:graphicData>
            </a:graphic>
          </wp:inline>
        </w:drawing>
      </w:r>
    </w:p>
    <w:p>
      <w:pPr>
        <w:jc w:val="center"/>
        <w:rPr>
          <w:rFonts w:ascii="Times New Roman" w:hAnsi="Times New Roman" w:eastAsia="宋体" w:cs="Times New Roman"/>
          <w:b/>
          <w:color w:val="auto"/>
          <w:kern w:val="0"/>
          <w:szCs w:val="21"/>
          <w:highlight w:val="none"/>
        </w:rPr>
      </w:pPr>
      <w:r>
        <w:rPr>
          <w:rFonts w:ascii="Times New Roman" w:hAnsi="Times New Roman" w:eastAsia="宋体" w:cs="Times New Roman"/>
          <w:b/>
          <w:color w:val="auto"/>
          <w:kern w:val="0"/>
          <w:szCs w:val="21"/>
          <w:highlight w:val="none"/>
        </w:rPr>
        <w:t>图</w:t>
      </w:r>
      <w:r>
        <w:rPr>
          <w:rFonts w:hint="eastAsia" w:ascii="Times New Roman" w:hAnsi="Times New Roman" w:eastAsia="宋体" w:cs="Times New Roman"/>
          <w:b/>
          <w:color w:val="auto"/>
          <w:kern w:val="0"/>
          <w:szCs w:val="21"/>
          <w:highlight w:val="none"/>
          <w:lang w:val="en-US" w:eastAsia="zh-CN"/>
        </w:rPr>
        <w:t>5.2</w:t>
      </w:r>
      <w:r>
        <w:rPr>
          <w:rFonts w:ascii="Times New Roman" w:hAnsi="Times New Roman" w:eastAsia="宋体" w:cs="Times New Roman"/>
          <w:b/>
          <w:color w:val="auto"/>
          <w:kern w:val="0"/>
          <w:szCs w:val="21"/>
          <w:highlight w:val="none"/>
        </w:rPr>
        <w:t>-</w:t>
      </w:r>
      <w:r>
        <w:rPr>
          <w:rFonts w:hint="eastAsia" w:ascii="Times New Roman" w:hAnsi="Times New Roman" w:eastAsia="宋体" w:cs="Times New Roman"/>
          <w:b/>
          <w:color w:val="auto"/>
          <w:kern w:val="0"/>
          <w:szCs w:val="21"/>
          <w:highlight w:val="none"/>
        </w:rPr>
        <w:t>5</w:t>
      </w:r>
      <w:r>
        <w:rPr>
          <w:rFonts w:ascii="Times New Roman" w:hAnsi="Times New Roman" w:eastAsia="宋体" w:cs="Times New Roman"/>
          <w:b/>
          <w:color w:val="auto"/>
          <w:kern w:val="0"/>
          <w:szCs w:val="21"/>
          <w:highlight w:val="none"/>
        </w:rPr>
        <w:t xml:space="preserve">  池体构筑物重点防渗示意图</w:t>
      </w:r>
    </w:p>
    <w:p>
      <w:pPr>
        <w:spacing w:line="360" w:lineRule="auto"/>
        <w:jc w:val="center"/>
        <w:textAlignment w:val="center"/>
        <w:rPr>
          <w:rFonts w:ascii="Times New Roman" w:hAnsi="Times New Roman" w:eastAsia="宋体" w:cs="Times New Roman"/>
          <w:color w:val="auto"/>
          <w:sz w:val="24"/>
          <w:szCs w:val="24"/>
          <w:highlight w:val="none"/>
        </w:rPr>
      </w:pPr>
      <w:r>
        <w:rPr>
          <w:rFonts w:ascii="Calibri" w:hAnsi="Calibri" w:eastAsia="宋体" w:cs="Times New Roman"/>
          <w:color w:val="auto"/>
          <w:highlight w:val="none"/>
        </w:rPr>
        <w:drawing>
          <wp:inline distT="0" distB="0" distL="0" distR="0">
            <wp:extent cx="3239770" cy="2345055"/>
            <wp:effectExtent l="19050" t="0" r="0" b="0"/>
            <wp:docPr id="238" name="图片 238" descr="说明: C:\Users\luopeng0808\Desktop\防渗\重点防渗区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8" descr="说明: C:\Users\luopeng0808\Desktop\防渗\重点防渗区2.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3240000" cy="2345653"/>
                    </a:xfrm>
                    <a:prstGeom prst="rect">
                      <a:avLst/>
                    </a:prstGeom>
                    <a:noFill/>
                    <a:ln>
                      <a:noFill/>
                    </a:ln>
                  </pic:spPr>
                </pic:pic>
              </a:graphicData>
            </a:graphic>
          </wp:inline>
        </w:drawing>
      </w:r>
    </w:p>
    <w:p>
      <w:pPr>
        <w:jc w:val="center"/>
        <w:rPr>
          <w:rFonts w:ascii="Times New Roman" w:hAnsi="Times New Roman" w:eastAsia="宋体" w:cs="Times New Roman"/>
          <w:b/>
          <w:color w:val="auto"/>
          <w:kern w:val="0"/>
          <w:szCs w:val="21"/>
          <w:highlight w:val="none"/>
        </w:rPr>
      </w:pPr>
      <w:r>
        <w:rPr>
          <w:rFonts w:ascii="Times New Roman" w:hAnsi="Times New Roman" w:eastAsia="宋体" w:cs="Times New Roman"/>
          <w:b/>
          <w:color w:val="auto"/>
          <w:kern w:val="0"/>
          <w:szCs w:val="21"/>
          <w:highlight w:val="none"/>
        </w:rPr>
        <w:t>图</w:t>
      </w:r>
      <w:r>
        <w:rPr>
          <w:rFonts w:hint="eastAsia" w:ascii="Times New Roman" w:hAnsi="Times New Roman" w:eastAsia="宋体" w:cs="Times New Roman"/>
          <w:b/>
          <w:color w:val="auto"/>
          <w:kern w:val="0"/>
          <w:szCs w:val="21"/>
          <w:highlight w:val="none"/>
          <w:lang w:val="en-US" w:eastAsia="zh-CN"/>
        </w:rPr>
        <w:t>5.2</w:t>
      </w:r>
      <w:r>
        <w:rPr>
          <w:rFonts w:ascii="Times New Roman" w:hAnsi="Times New Roman" w:eastAsia="宋体" w:cs="Times New Roman"/>
          <w:b/>
          <w:color w:val="auto"/>
          <w:kern w:val="0"/>
          <w:szCs w:val="21"/>
          <w:highlight w:val="none"/>
        </w:rPr>
        <w:t>-</w:t>
      </w:r>
      <w:r>
        <w:rPr>
          <w:rFonts w:hint="eastAsia" w:ascii="Times New Roman" w:hAnsi="Times New Roman" w:eastAsia="宋体" w:cs="Times New Roman"/>
          <w:b/>
          <w:color w:val="auto"/>
          <w:kern w:val="0"/>
          <w:szCs w:val="21"/>
          <w:highlight w:val="none"/>
        </w:rPr>
        <w:t>6</w:t>
      </w:r>
      <w:r>
        <w:rPr>
          <w:rFonts w:ascii="Times New Roman" w:hAnsi="Times New Roman" w:eastAsia="宋体" w:cs="Times New Roman"/>
          <w:b/>
          <w:color w:val="auto"/>
          <w:kern w:val="0"/>
          <w:szCs w:val="21"/>
          <w:highlight w:val="none"/>
        </w:rPr>
        <w:t xml:space="preserve">  </w:t>
      </w:r>
      <w:r>
        <w:rPr>
          <w:rFonts w:hint="eastAsia" w:ascii="Times New Roman" w:hAnsi="Times New Roman" w:eastAsia="宋体" w:cs="Times New Roman"/>
          <w:b/>
          <w:color w:val="auto"/>
          <w:kern w:val="0"/>
          <w:szCs w:val="21"/>
          <w:highlight w:val="none"/>
        </w:rPr>
        <w:t>地表构筑物重点防渗示意图</w:t>
      </w:r>
    </w:p>
    <w:p>
      <w:pPr>
        <w:spacing w:line="360" w:lineRule="auto"/>
        <w:ind w:firstLine="482" w:firstLineChars="200"/>
        <w:textAlignment w:val="center"/>
        <w:rPr>
          <w:rFonts w:ascii="Times New Roman" w:hAnsi="Times New Roman" w:eastAsia="宋体" w:cs="Times New Roman"/>
          <w:bCs/>
          <w:color w:val="auto"/>
          <w:sz w:val="24"/>
          <w:szCs w:val="24"/>
          <w:highlight w:val="none"/>
        </w:rPr>
      </w:pPr>
      <w:r>
        <w:rPr>
          <w:rFonts w:hint="eastAsia" w:ascii="Times New Roman" w:hAnsi="Times New Roman" w:eastAsia="宋体" w:cs="Times New Roman"/>
          <w:b/>
          <w:bCs/>
          <w:color w:val="auto"/>
          <w:sz w:val="24"/>
          <w:szCs w:val="24"/>
          <w:highlight w:val="none"/>
        </w:rPr>
        <w:t>一般</w:t>
      </w:r>
      <w:r>
        <w:rPr>
          <w:rFonts w:ascii="Times New Roman" w:hAnsi="Times New Roman" w:eastAsia="宋体" w:cs="Times New Roman"/>
          <w:b/>
          <w:bCs/>
          <w:color w:val="auto"/>
          <w:sz w:val="24"/>
          <w:szCs w:val="24"/>
          <w:highlight w:val="none"/>
        </w:rPr>
        <w:t>防渗区：</w:t>
      </w:r>
      <w:r>
        <w:rPr>
          <w:rFonts w:hint="eastAsia" w:ascii="Times New Roman" w:hAnsi="Times New Roman" w:eastAsia="宋体" w:cs="Times New Roman"/>
          <w:b w:val="0"/>
          <w:bCs w:val="0"/>
          <w:color w:val="auto"/>
          <w:sz w:val="24"/>
          <w:szCs w:val="24"/>
          <w:highlight w:val="none"/>
          <w:lang w:eastAsia="zh-CN"/>
        </w:rPr>
        <w:t>牛</w:t>
      </w:r>
      <w:r>
        <w:rPr>
          <w:rFonts w:hint="eastAsia" w:ascii="Times New Roman" w:hAnsi="Times New Roman" w:eastAsia="宋体" w:cs="Times New Roman"/>
          <w:b w:val="0"/>
          <w:bCs w:val="0"/>
          <w:color w:val="auto"/>
          <w:sz w:val="24"/>
          <w:szCs w:val="24"/>
          <w:highlight w:val="none"/>
        </w:rPr>
        <w:t>舍、青贮窖、饲料库、兽医室等建</w:t>
      </w:r>
      <w:r>
        <w:rPr>
          <w:rFonts w:hint="eastAsia" w:ascii="Times New Roman" w:hAnsi="Times New Roman" w:eastAsia="宋体" w:cs="Times New Roman"/>
          <w:bCs/>
          <w:color w:val="auto"/>
          <w:sz w:val="24"/>
          <w:szCs w:val="24"/>
          <w:highlight w:val="none"/>
        </w:rPr>
        <w:t>议采取的具体防渗结构如下：抗渗混凝土面层（厚度300mm，抗渗等级为P6）、基层+垫层、原土压（夯）实。经分析，其防渗性能可与厚度Mb</w:t>
      </w:r>
      <w:r>
        <w:rPr>
          <w:rFonts w:ascii="Times New Roman" w:hAnsi="Times New Roman" w:eastAsia="宋体" w:cs="Times New Roman"/>
          <w:bCs/>
          <w:color w:val="auto"/>
          <w:sz w:val="24"/>
          <w:szCs w:val="24"/>
          <w:highlight w:val="none"/>
        </w:rPr>
        <w:t>≥</w:t>
      </w:r>
      <w:r>
        <w:rPr>
          <w:rFonts w:hint="eastAsia" w:ascii="Times New Roman" w:hAnsi="Times New Roman" w:eastAsia="宋体" w:cs="Times New Roman"/>
          <w:bCs/>
          <w:color w:val="auto"/>
          <w:sz w:val="24"/>
          <w:szCs w:val="24"/>
          <w:highlight w:val="none"/>
        </w:rPr>
        <w:t>1.5m，渗透系数K</w:t>
      </w:r>
      <w:r>
        <w:rPr>
          <w:rFonts w:ascii="Times New Roman" w:hAnsi="Times New Roman" w:eastAsia="宋体" w:cs="Times New Roman"/>
          <w:bCs/>
          <w:color w:val="auto"/>
          <w:sz w:val="24"/>
          <w:szCs w:val="24"/>
          <w:highlight w:val="none"/>
        </w:rPr>
        <w:t>≤</w:t>
      </w:r>
      <w:r>
        <w:rPr>
          <w:rFonts w:hint="eastAsia" w:ascii="Times New Roman" w:hAnsi="Times New Roman" w:eastAsia="宋体" w:cs="Times New Roman"/>
          <w:bCs/>
          <w:color w:val="auto"/>
          <w:sz w:val="24"/>
          <w:szCs w:val="24"/>
          <w:highlight w:val="none"/>
        </w:rPr>
        <w:t>1×10</w:t>
      </w:r>
      <w:r>
        <w:rPr>
          <w:rFonts w:hint="eastAsia" w:ascii="Times New Roman" w:hAnsi="Times New Roman" w:eastAsia="宋体" w:cs="Times New Roman"/>
          <w:bCs/>
          <w:color w:val="auto"/>
          <w:sz w:val="24"/>
          <w:szCs w:val="24"/>
          <w:highlight w:val="none"/>
          <w:vertAlign w:val="superscript"/>
        </w:rPr>
        <w:t>-7</w:t>
      </w:r>
      <w:r>
        <w:rPr>
          <w:rFonts w:hint="eastAsia" w:ascii="Times New Roman" w:hAnsi="Times New Roman" w:eastAsia="宋体" w:cs="Times New Roman"/>
          <w:bCs/>
          <w:color w:val="auto"/>
          <w:sz w:val="24"/>
          <w:szCs w:val="24"/>
          <w:highlight w:val="none"/>
        </w:rPr>
        <w:t>cm/s的黏土防渗层等效。</w:t>
      </w:r>
    </w:p>
    <w:p>
      <w:pPr>
        <w:spacing w:line="360" w:lineRule="auto"/>
        <w:ind w:firstLine="420" w:firstLineChars="200"/>
        <w:jc w:val="center"/>
        <w:textAlignment w:val="center"/>
        <w:rPr>
          <w:rFonts w:ascii="Times New Roman" w:hAnsi="Times New Roman" w:eastAsia="宋体" w:cs="Times New Roman"/>
          <w:bCs/>
          <w:color w:val="auto"/>
          <w:sz w:val="24"/>
          <w:szCs w:val="24"/>
          <w:highlight w:val="none"/>
        </w:rPr>
      </w:pPr>
      <w:r>
        <w:rPr>
          <w:rFonts w:ascii="等线" w:hAnsi="等线" w:eastAsia="等线" w:cs="Times New Roman"/>
          <w:color w:val="auto"/>
          <w:kern w:val="0"/>
          <w:highlight w:val="none"/>
        </w:rPr>
        <w:drawing>
          <wp:inline distT="0" distB="0" distL="0" distR="0">
            <wp:extent cx="3600450" cy="2374900"/>
            <wp:effectExtent l="0" t="0" r="0" b="0"/>
            <wp:docPr id="19" name="图片 19" descr="说明: C:\Users\luopeng0808\Desktop\防渗\一般防渗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说明: C:\Users\luopeng0808\Desktop\防渗\一般防渗区.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3600450" cy="2374900"/>
                    </a:xfrm>
                    <a:prstGeom prst="rect">
                      <a:avLst/>
                    </a:prstGeom>
                    <a:noFill/>
                    <a:ln>
                      <a:noFill/>
                    </a:ln>
                  </pic:spPr>
                </pic:pic>
              </a:graphicData>
            </a:graphic>
          </wp:inline>
        </w:drawing>
      </w:r>
    </w:p>
    <w:p>
      <w:pPr>
        <w:jc w:val="center"/>
        <w:rPr>
          <w:rFonts w:ascii="Times New Roman" w:hAnsi="Times New Roman" w:eastAsia="宋体" w:cs="Times New Roman"/>
          <w:b/>
          <w:color w:val="auto"/>
          <w:kern w:val="0"/>
          <w:szCs w:val="21"/>
          <w:highlight w:val="none"/>
        </w:rPr>
      </w:pPr>
      <w:r>
        <w:rPr>
          <w:rFonts w:ascii="Times New Roman" w:hAnsi="Times New Roman" w:eastAsia="宋体" w:cs="Times New Roman"/>
          <w:b/>
          <w:color w:val="auto"/>
          <w:kern w:val="0"/>
          <w:szCs w:val="21"/>
          <w:highlight w:val="none"/>
        </w:rPr>
        <w:t>图</w:t>
      </w:r>
      <w:r>
        <w:rPr>
          <w:rFonts w:hint="eastAsia" w:ascii="Times New Roman" w:hAnsi="Times New Roman" w:eastAsia="宋体" w:cs="Times New Roman"/>
          <w:b/>
          <w:color w:val="auto"/>
          <w:kern w:val="0"/>
          <w:szCs w:val="21"/>
          <w:highlight w:val="none"/>
          <w:lang w:val="en-US" w:eastAsia="zh-CN"/>
        </w:rPr>
        <w:t>5.2</w:t>
      </w:r>
      <w:r>
        <w:rPr>
          <w:rFonts w:ascii="Times New Roman" w:hAnsi="Times New Roman" w:eastAsia="宋体" w:cs="Times New Roman"/>
          <w:b/>
          <w:color w:val="auto"/>
          <w:kern w:val="0"/>
          <w:szCs w:val="21"/>
          <w:highlight w:val="none"/>
        </w:rPr>
        <w:t>-</w:t>
      </w:r>
      <w:r>
        <w:rPr>
          <w:rFonts w:hint="eastAsia" w:ascii="Times New Roman" w:hAnsi="Times New Roman" w:eastAsia="宋体" w:cs="Times New Roman"/>
          <w:b/>
          <w:color w:val="auto"/>
          <w:kern w:val="0"/>
          <w:szCs w:val="21"/>
          <w:highlight w:val="none"/>
        </w:rPr>
        <w:t>7</w:t>
      </w:r>
      <w:r>
        <w:rPr>
          <w:rFonts w:ascii="Times New Roman" w:hAnsi="Times New Roman" w:eastAsia="宋体" w:cs="Times New Roman"/>
          <w:b/>
          <w:color w:val="auto"/>
          <w:kern w:val="0"/>
          <w:szCs w:val="21"/>
          <w:highlight w:val="none"/>
        </w:rPr>
        <w:t xml:space="preserve">  </w:t>
      </w:r>
      <w:r>
        <w:rPr>
          <w:rFonts w:hint="eastAsia" w:ascii="Times New Roman" w:hAnsi="Times New Roman" w:eastAsia="宋体" w:cs="Times New Roman"/>
          <w:b/>
          <w:color w:val="auto"/>
          <w:kern w:val="0"/>
          <w:szCs w:val="21"/>
          <w:highlight w:val="none"/>
        </w:rPr>
        <w:t>一般防渗区防渗结构示意图</w:t>
      </w:r>
    </w:p>
    <w:p>
      <w:pPr>
        <w:spacing w:line="360" w:lineRule="auto"/>
        <w:ind w:firstLine="482" w:firstLineChars="200"/>
        <w:textAlignment w:val="center"/>
        <w:rPr>
          <w:rFonts w:ascii="Times New Roman" w:hAnsi="Times New Roman" w:eastAsia="宋体" w:cs="Times New Roman"/>
          <w:color w:val="auto"/>
          <w:sz w:val="24"/>
          <w:szCs w:val="24"/>
          <w:highlight w:val="none"/>
        </w:rPr>
      </w:pPr>
      <w:r>
        <w:rPr>
          <w:rFonts w:hint="eastAsia" w:ascii="Times New Roman" w:hAnsi="Times New Roman" w:eastAsia="宋体" w:cs="Times New Roman"/>
          <w:b/>
          <w:bCs/>
          <w:color w:val="auto"/>
          <w:sz w:val="24"/>
          <w:szCs w:val="24"/>
          <w:highlight w:val="none"/>
        </w:rPr>
        <w:t>简单防渗区：</w:t>
      </w:r>
      <w:r>
        <w:rPr>
          <w:rFonts w:ascii="Times New Roman" w:hAnsi="Times New Roman" w:eastAsia="宋体" w:cs="Times New Roman"/>
          <w:color w:val="auto"/>
          <w:sz w:val="24"/>
          <w:szCs w:val="24"/>
          <w:highlight w:val="none"/>
        </w:rPr>
        <w:t>办公区、食堂地面</w:t>
      </w:r>
      <w:r>
        <w:rPr>
          <w:rFonts w:hint="eastAsia" w:ascii="Times New Roman" w:hAnsi="Times New Roman" w:eastAsia="宋体" w:cs="Times New Roman"/>
          <w:color w:val="auto"/>
          <w:sz w:val="24"/>
          <w:szCs w:val="24"/>
          <w:highlight w:val="none"/>
          <w:lang w:eastAsia="zh-CN"/>
        </w:rPr>
        <w:t>、门卫室</w:t>
      </w:r>
      <w:r>
        <w:rPr>
          <w:rFonts w:ascii="Times New Roman" w:hAnsi="Times New Roman" w:eastAsia="宋体" w:cs="Times New Roman"/>
          <w:color w:val="auto"/>
          <w:sz w:val="24"/>
          <w:szCs w:val="24"/>
          <w:highlight w:val="none"/>
        </w:rPr>
        <w:t>以及站内道路</w:t>
      </w:r>
      <w:r>
        <w:rPr>
          <w:rFonts w:hint="eastAsia" w:ascii="Times New Roman" w:hAnsi="Times New Roman" w:eastAsia="宋体" w:cs="Times New Roman"/>
          <w:color w:val="auto"/>
          <w:sz w:val="24"/>
          <w:szCs w:val="24"/>
          <w:highlight w:val="none"/>
        </w:rPr>
        <w:t>等采取简单防渗措施，一般地面硬化即可。</w:t>
      </w:r>
    </w:p>
    <w:p>
      <w:pPr>
        <w:widowControl/>
        <w:autoSpaceDE w:val="0"/>
        <w:autoSpaceDN w:val="0"/>
        <w:spacing w:line="360" w:lineRule="auto"/>
        <w:ind w:firstLine="482" w:firstLineChars="200"/>
        <w:rPr>
          <w:rFonts w:ascii="Times New Roman" w:hAnsi="Times New Roman" w:eastAsia="宋体" w:cs="Times New Roman"/>
          <w:b/>
          <w:bCs/>
          <w:color w:val="auto"/>
          <w:kern w:val="0"/>
          <w:sz w:val="24"/>
          <w:szCs w:val="24"/>
          <w:highlight w:val="none"/>
        </w:rPr>
      </w:pPr>
      <w:r>
        <w:rPr>
          <w:rFonts w:hint="eastAsia" w:ascii="Times New Roman" w:hAnsi="Times New Roman" w:eastAsia="宋体" w:cs="Times New Roman"/>
          <w:b/>
          <w:bCs/>
          <w:color w:val="auto"/>
          <w:kern w:val="0"/>
          <w:sz w:val="24"/>
          <w:szCs w:val="24"/>
          <w:highlight w:val="none"/>
        </w:rPr>
        <w:t>具体防渗结构应由专业设计单位设计确定，但不应低于环评提出的防渗级别和要求。</w:t>
      </w:r>
    </w:p>
    <w:p>
      <w:pPr>
        <w:adjustRightInd w:val="0"/>
        <w:spacing w:line="360" w:lineRule="auto"/>
        <w:ind w:firstLine="505"/>
        <w:textAlignment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经以上防护措施后，可有效防止污染物渗漏污染地下水。</w:t>
      </w:r>
    </w:p>
    <w:p>
      <w:pPr>
        <w:pStyle w:val="9"/>
        <w:rPr>
          <w:rFonts w:hint="eastAsia" w:cs="Times New Roman"/>
          <w:color w:val="auto"/>
          <w:highlight w:val="none"/>
          <w:lang w:eastAsia="zh-CN"/>
        </w:rPr>
      </w:pPr>
      <w:r>
        <w:rPr>
          <w:rFonts w:hint="eastAsia" w:cs="Times New Roman"/>
          <w:color w:val="auto"/>
          <w:highlight w:val="none"/>
          <w:lang w:eastAsia="zh-CN"/>
        </w:rPr>
        <w:t>地下水跟踪监测</w:t>
      </w:r>
    </w:p>
    <w:p>
      <w:pPr>
        <w:widowControl/>
        <w:autoSpaceDE w:val="0"/>
        <w:autoSpaceDN w:val="0"/>
        <w:adjustRightInd w:val="0"/>
        <w:snapToGrid w:val="0"/>
        <w:spacing w:line="360" w:lineRule="auto"/>
        <w:ind w:firstLine="480" w:firstLineChars="200"/>
        <w:rPr>
          <w:rFonts w:ascii="Times New Roman" w:hAnsi="Times New Roman" w:eastAsia="宋体" w:cs="Times New Roman"/>
          <w:bCs/>
          <w:color w:val="auto"/>
          <w:kern w:val="0"/>
          <w:sz w:val="24"/>
          <w:szCs w:val="24"/>
          <w:highlight w:val="none"/>
        </w:rPr>
      </w:pPr>
      <w:r>
        <w:rPr>
          <w:rFonts w:ascii="Times New Roman" w:hAnsi="Times New Roman" w:eastAsia="宋体" w:cs="Times New Roman"/>
          <w:bCs/>
          <w:color w:val="auto"/>
          <w:kern w:val="0"/>
          <w:sz w:val="24"/>
          <w:szCs w:val="24"/>
          <w:highlight w:val="none"/>
        </w:rPr>
        <w:t>针对本项目特征，</w:t>
      </w:r>
      <w:r>
        <w:rPr>
          <w:rFonts w:hint="eastAsia" w:ascii="Times New Roman" w:hAnsi="Times New Roman" w:eastAsia="宋体" w:cs="Times New Roman"/>
          <w:bCs/>
          <w:color w:val="auto"/>
          <w:kern w:val="0"/>
          <w:sz w:val="24"/>
          <w:szCs w:val="24"/>
          <w:highlight w:val="none"/>
          <w:lang w:eastAsia="zh-CN"/>
        </w:rPr>
        <w:t>同时</w:t>
      </w:r>
      <w:r>
        <w:rPr>
          <w:rFonts w:hint="eastAsia" w:ascii="Times New Roman" w:hAnsi="Times New Roman" w:eastAsia="宋体" w:cs="Times New Roman"/>
          <w:color w:val="auto"/>
          <w:sz w:val="24"/>
          <w:szCs w:val="24"/>
          <w:highlight w:val="none"/>
        </w:rPr>
        <w:t>根据《排污单位自行监测技术指南 总则》(HJ 819-2017)，结合《排污许可证申请与核发技术规范畜禽养殖行业》（HJ 1029—2019），</w:t>
      </w:r>
      <w:r>
        <w:rPr>
          <w:rFonts w:ascii="Times New Roman" w:hAnsi="Times New Roman" w:eastAsia="宋体" w:cs="Times New Roman"/>
          <w:bCs/>
          <w:color w:val="auto"/>
          <w:kern w:val="0"/>
          <w:sz w:val="24"/>
          <w:szCs w:val="24"/>
          <w:highlight w:val="none"/>
        </w:rPr>
        <w:t>在其运行期应建立地下水污染监控体系并按有关规范进行地下水监测，具体计划见下表</w:t>
      </w:r>
      <w:r>
        <w:rPr>
          <w:rFonts w:hint="eastAsia" w:ascii="Times New Roman" w:hAnsi="Times New Roman" w:eastAsia="宋体" w:cs="Times New Roman"/>
          <w:bCs/>
          <w:color w:val="auto"/>
          <w:kern w:val="0"/>
          <w:sz w:val="24"/>
          <w:szCs w:val="24"/>
          <w:highlight w:val="none"/>
        </w:rPr>
        <w:t>：</w:t>
      </w:r>
    </w:p>
    <w:p>
      <w:pPr>
        <w:widowControl w:val="0"/>
        <w:numPr>
          <w:ilvl w:val="0"/>
          <w:numId w:val="34"/>
        </w:numPr>
        <w:spacing w:after="0" w:afterLines="0" w:line="360" w:lineRule="auto"/>
        <w:ind w:left="0" w:leftChars="0" w:firstLine="0" w:firstLineChars="0"/>
        <w:jc w:val="center"/>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 xml:space="preserve"> 地下水污染监控布点</w:t>
      </w:r>
    </w:p>
    <w:tbl>
      <w:tblPr>
        <w:tblStyle w:val="9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348"/>
        <w:gridCol w:w="383"/>
        <w:gridCol w:w="707"/>
        <w:gridCol w:w="989"/>
        <w:gridCol w:w="2337"/>
        <w:gridCol w:w="781"/>
        <w:gridCol w:w="627"/>
        <w:gridCol w:w="899"/>
        <w:gridCol w:w="648"/>
        <w:gridCol w:w="6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jc w:val="center"/>
        </w:trPr>
        <w:tc>
          <w:tcPr>
            <w:tcW w:w="210" w:type="pct"/>
            <w:vMerge w:val="restar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阶段</w:t>
            </w:r>
          </w:p>
        </w:tc>
        <w:tc>
          <w:tcPr>
            <w:tcW w:w="655" w:type="pct"/>
            <w:gridSpan w:val="2"/>
            <w:vMerge w:val="restar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监测功能</w:t>
            </w:r>
          </w:p>
        </w:tc>
        <w:tc>
          <w:tcPr>
            <w:tcW w:w="593" w:type="pct"/>
            <w:vMerge w:val="restar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监测点位</w:t>
            </w:r>
          </w:p>
        </w:tc>
        <w:tc>
          <w:tcPr>
            <w:tcW w:w="1399" w:type="pct"/>
            <w:vMerge w:val="restar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监测井结构要求</w:t>
            </w:r>
          </w:p>
        </w:tc>
        <w:tc>
          <w:tcPr>
            <w:tcW w:w="845" w:type="pct"/>
            <w:gridSpan w:val="2"/>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基本因子</w:t>
            </w:r>
          </w:p>
        </w:tc>
        <w:tc>
          <w:tcPr>
            <w:tcW w:w="911" w:type="pct"/>
            <w:gridSpan w:val="2"/>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特征因子</w:t>
            </w:r>
          </w:p>
        </w:tc>
        <w:tc>
          <w:tcPr>
            <w:tcW w:w="386" w:type="pct"/>
            <w:vMerge w:val="restar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jc w:val="center"/>
        </w:trPr>
        <w:tc>
          <w:tcPr>
            <w:tcW w:w="210"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color w:val="auto"/>
                <w:szCs w:val="21"/>
                <w:highlight w:val="none"/>
              </w:rPr>
            </w:pPr>
          </w:p>
        </w:tc>
        <w:tc>
          <w:tcPr>
            <w:tcW w:w="655" w:type="pct"/>
            <w:gridSpan w:val="2"/>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color w:val="auto"/>
                <w:szCs w:val="21"/>
                <w:highlight w:val="none"/>
              </w:rPr>
            </w:pPr>
          </w:p>
        </w:tc>
        <w:tc>
          <w:tcPr>
            <w:tcW w:w="593"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color w:val="auto"/>
                <w:szCs w:val="21"/>
                <w:highlight w:val="none"/>
              </w:rPr>
            </w:pPr>
          </w:p>
        </w:tc>
        <w:tc>
          <w:tcPr>
            <w:tcW w:w="1399"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color w:val="auto"/>
                <w:szCs w:val="21"/>
                <w:highlight w:val="none"/>
              </w:rPr>
            </w:pPr>
          </w:p>
        </w:tc>
        <w:tc>
          <w:tcPr>
            <w:tcW w:w="469" w:type="pc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监测</w:t>
            </w:r>
          </w:p>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项目</w:t>
            </w:r>
          </w:p>
        </w:tc>
        <w:tc>
          <w:tcPr>
            <w:tcW w:w="377" w:type="pc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监测</w:t>
            </w:r>
          </w:p>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频率</w:t>
            </w:r>
          </w:p>
        </w:tc>
        <w:tc>
          <w:tcPr>
            <w:tcW w:w="522" w:type="pc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监测</w:t>
            </w:r>
          </w:p>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项目</w:t>
            </w:r>
          </w:p>
        </w:tc>
        <w:tc>
          <w:tcPr>
            <w:tcW w:w="389" w:type="pc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监测</w:t>
            </w:r>
          </w:p>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频率</w:t>
            </w:r>
          </w:p>
        </w:tc>
        <w:tc>
          <w:tcPr>
            <w:tcW w:w="386" w:type="pct"/>
            <w:vMerge w:val="continue"/>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jc w:val="center"/>
        </w:trPr>
        <w:tc>
          <w:tcPr>
            <w:tcW w:w="210" w:type="pct"/>
            <w:vMerge w:val="restar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运营期</w:t>
            </w:r>
          </w:p>
        </w:tc>
        <w:tc>
          <w:tcPr>
            <w:tcW w:w="230" w:type="pc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JC1</w:t>
            </w:r>
          </w:p>
        </w:tc>
        <w:tc>
          <w:tcPr>
            <w:tcW w:w="425" w:type="pc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color w:val="auto"/>
                <w:szCs w:val="21"/>
                <w:highlight w:val="none"/>
              </w:rPr>
              <w:t>背景值监测井</w:t>
            </w:r>
          </w:p>
        </w:tc>
        <w:tc>
          <w:tcPr>
            <w:tcW w:w="593" w:type="pc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厂区上游</w:t>
            </w:r>
          </w:p>
        </w:tc>
        <w:tc>
          <w:tcPr>
            <w:tcW w:w="1399" w:type="pct"/>
            <w:vMerge w:val="restart"/>
            <w:vAlign w:val="center"/>
          </w:tcPr>
          <w:p>
            <w:pPr>
              <w:keepNext w:val="0"/>
              <w:keepLines w:val="0"/>
              <w:suppressLineNumbers w:val="0"/>
              <w:adjustRightInd w:val="0"/>
              <w:snapToGrid w:val="0"/>
              <w:spacing w:before="0" w:beforeAutospacing="0" w:after="0" w:afterLines="10" w:afterAutospacing="0"/>
              <w:ind w:left="-21" w:leftChars="-10" w:right="-21" w:rightChars="-1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新建监测井要求采用孔径不小于100mm；终孔</w:t>
            </w:r>
            <w:r>
              <w:rPr>
                <w:rFonts w:hint="eastAsia" w:ascii="Times New Roman" w:hAnsi="Times New Roman" w:eastAsia="宋体" w:cs="Times New Roman"/>
                <w:bCs/>
                <w:color w:val="auto"/>
                <w:szCs w:val="21"/>
                <w:highlight w:val="none"/>
              </w:rPr>
              <w:t>揭露含水层5m终孔</w:t>
            </w:r>
            <w:r>
              <w:rPr>
                <w:rFonts w:hint="default" w:ascii="Times New Roman" w:hAnsi="Times New Roman" w:eastAsia="宋体" w:cs="Times New Roman"/>
                <w:bCs/>
                <w:color w:val="auto"/>
                <w:szCs w:val="21"/>
                <w:highlight w:val="none"/>
              </w:rPr>
              <w:t>；采用PVC管护壁填砾成井；0～2m为实管，无需设置滤孔，2m至孔底布置滤孔，滤孔孔径1cm，间隔为10cm，管壁上布置</w:t>
            </w:r>
          </w:p>
          <w:p>
            <w:pPr>
              <w:keepNext w:val="0"/>
              <w:keepLines w:val="0"/>
              <w:suppressLineNumbers w:val="0"/>
              <w:adjustRightInd w:val="0"/>
              <w:snapToGrid w:val="0"/>
              <w:spacing w:before="0" w:beforeAutospacing="0" w:after="0" w:afterLines="10" w:afterAutospacing="0"/>
              <w:ind w:left="-21" w:leftChars="-10" w:right="-21" w:rightChars="-1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6列</w:t>
            </w:r>
          </w:p>
        </w:tc>
        <w:tc>
          <w:tcPr>
            <w:tcW w:w="469" w:type="pct"/>
            <w:vMerge w:val="restart"/>
            <w:vAlign w:val="center"/>
          </w:tcPr>
          <w:p>
            <w:pPr>
              <w:keepNext w:val="0"/>
              <w:keepLines w:val="0"/>
              <w:suppressLineNumbers w:val="0"/>
              <w:adjustRightInd w:val="0"/>
              <w:snapToGrid w:val="0"/>
              <w:spacing w:before="0" w:beforeAutospacing="0" w:after="0" w:afterLines="10" w:afterAutospacing="0"/>
              <w:ind w:left="-21" w:leftChars="-10" w:right="-21" w:rightChars="-1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水位pH、SO</w:t>
            </w:r>
            <w:r>
              <w:rPr>
                <w:rFonts w:hint="default" w:ascii="Times New Roman" w:hAnsi="Times New Roman" w:eastAsia="宋体" w:cs="Times New Roman"/>
                <w:bCs/>
                <w:color w:val="auto"/>
                <w:szCs w:val="21"/>
                <w:highlight w:val="none"/>
                <w:vertAlign w:val="subscript"/>
              </w:rPr>
              <w:t>4</w:t>
            </w:r>
            <w:r>
              <w:rPr>
                <w:rFonts w:hint="default" w:ascii="Times New Roman" w:hAnsi="Times New Roman" w:eastAsia="宋体" w:cs="Times New Roman"/>
                <w:bCs/>
                <w:color w:val="auto"/>
                <w:szCs w:val="21"/>
                <w:highlight w:val="none"/>
                <w:vertAlign w:val="superscript"/>
              </w:rPr>
              <w:t>2-</w:t>
            </w:r>
            <w:r>
              <w:rPr>
                <w:rFonts w:hint="default" w:ascii="Times New Roman" w:hAnsi="Times New Roman" w:eastAsia="宋体" w:cs="Times New Roman"/>
                <w:bCs/>
                <w:color w:val="auto"/>
                <w:szCs w:val="21"/>
                <w:highlight w:val="none"/>
              </w:rPr>
              <w:t>、HCO</w:t>
            </w:r>
            <w:r>
              <w:rPr>
                <w:rFonts w:hint="default" w:ascii="Times New Roman" w:hAnsi="Times New Roman" w:eastAsia="宋体" w:cs="Times New Roman"/>
                <w:bCs/>
                <w:color w:val="auto"/>
                <w:szCs w:val="21"/>
                <w:highlight w:val="none"/>
                <w:vertAlign w:val="subscript"/>
              </w:rPr>
              <w:t>3</w:t>
            </w:r>
            <w:r>
              <w:rPr>
                <w:rFonts w:hint="default" w:ascii="Times New Roman" w:hAnsi="Times New Roman" w:eastAsia="宋体" w:cs="Times New Roman"/>
                <w:bCs/>
                <w:color w:val="auto"/>
                <w:szCs w:val="21"/>
                <w:highlight w:val="none"/>
                <w:vertAlign w:val="superscript"/>
              </w:rPr>
              <w:t>-</w:t>
            </w:r>
            <w:r>
              <w:rPr>
                <w:rFonts w:hint="default" w:ascii="Times New Roman" w:hAnsi="Times New Roman" w:eastAsia="宋体" w:cs="Times New Roman"/>
                <w:bCs/>
                <w:color w:val="auto"/>
                <w:szCs w:val="21"/>
                <w:highlight w:val="none"/>
              </w:rPr>
              <w:t>、</w:t>
            </w:r>
          </w:p>
          <w:p>
            <w:pPr>
              <w:keepNext w:val="0"/>
              <w:keepLines w:val="0"/>
              <w:suppressLineNumbers w:val="0"/>
              <w:adjustRightInd w:val="0"/>
              <w:snapToGrid w:val="0"/>
              <w:spacing w:before="0" w:beforeAutospacing="0" w:after="0" w:afterLines="10" w:afterAutospacing="0"/>
              <w:ind w:left="-21" w:leftChars="-10" w:right="-21" w:rightChars="-1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CO</w:t>
            </w:r>
            <w:r>
              <w:rPr>
                <w:rFonts w:hint="default" w:ascii="Times New Roman" w:hAnsi="Times New Roman" w:eastAsia="宋体" w:cs="Times New Roman"/>
                <w:bCs/>
                <w:color w:val="auto"/>
                <w:szCs w:val="21"/>
                <w:highlight w:val="none"/>
                <w:vertAlign w:val="subscript"/>
              </w:rPr>
              <w:t>3</w:t>
            </w:r>
            <w:r>
              <w:rPr>
                <w:rFonts w:hint="default" w:ascii="Times New Roman" w:hAnsi="Times New Roman" w:eastAsia="宋体" w:cs="Times New Roman"/>
                <w:bCs/>
                <w:color w:val="auto"/>
                <w:szCs w:val="21"/>
                <w:highlight w:val="none"/>
                <w:vertAlign w:val="superscript"/>
              </w:rPr>
              <w:t>2-</w:t>
            </w:r>
            <w:r>
              <w:rPr>
                <w:rFonts w:hint="default" w:ascii="Times New Roman" w:hAnsi="Times New Roman" w:eastAsia="宋体" w:cs="Times New Roman"/>
                <w:bCs/>
                <w:color w:val="auto"/>
                <w:szCs w:val="21"/>
                <w:highlight w:val="none"/>
              </w:rPr>
              <w:t>、</w:t>
            </w:r>
          </w:p>
          <w:p>
            <w:pPr>
              <w:keepNext w:val="0"/>
              <w:keepLines w:val="0"/>
              <w:suppressLineNumbers w:val="0"/>
              <w:adjustRightInd w:val="0"/>
              <w:snapToGrid w:val="0"/>
              <w:spacing w:before="0" w:beforeAutospacing="0" w:after="0" w:afterLines="10" w:afterAutospacing="0"/>
              <w:ind w:left="-21" w:leftChars="-10" w:right="-21" w:rightChars="-1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Cl</w:t>
            </w:r>
            <w:r>
              <w:rPr>
                <w:rFonts w:hint="default" w:ascii="Times New Roman" w:hAnsi="Times New Roman" w:eastAsia="宋体" w:cs="Times New Roman"/>
                <w:bCs/>
                <w:color w:val="auto"/>
                <w:szCs w:val="21"/>
                <w:highlight w:val="none"/>
                <w:vertAlign w:val="superscript"/>
              </w:rPr>
              <w:t>-</w:t>
            </w:r>
            <w:r>
              <w:rPr>
                <w:rFonts w:hint="default" w:ascii="Times New Roman" w:hAnsi="Times New Roman" w:eastAsia="宋体" w:cs="Times New Roman"/>
                <w:bCs/>
                <w:color w:val="auto"/>
                <w:szCs w:val="21"/>
                <w:highlight w:val="none"/>
              </w:rPr>
              <w:t>、Na</w:t>
            </w:r>
            <w:r>
              <w:rPr>
                <w:rFonts w:hint="default" w:ascii="Times New Roman" w:hAnsi="Times New Roman" w:eastAsia="宋体" w:cs="Times New Roman"/>
                <w:bCs/>
                <w:color w:val="auto"/>
                <w:szCs w:val="21"/>
                <w:highlight w:val="none"/>
                <w:vertAlign w:val="superscript"/>
              </w:rPr>
              <w:t>+</w:t>
            </w:r>
            <w:r>
              <w:rPr>
                <w:rFonts w:hint="default" w:ascii="Times New Roman" w:hAnsi="Times New Roman" w:eastAsia="宋体" w:cs="Times New Roman"/>
                <w:bCs/>
                <w:color w:val="auto"/>
                <w:szCs w:val="21"/>
                <w:highlight w:val="none"/>
              </w:rPr>
              <w:t>、K</w:t>
            </w:r>
            <w:r>
              <w:rPr>
                <w:rFonts w:hint="default" w:ascii="Times New Roman" w:hAnsi="Times New Roman" w:eastAsia="宋体" w:cs="Times New Roman"/>
                <w:bCs/>
                <w:color w:val="auto"/>
                <w:szCs w:val="21"/>
                <w:highlight w:val="none"/>
                <w:vertAlign w:val="superscript"/>
              </w:rPr>
              <w:t>+</w:t>
            </w:r>
            <w:r>
              <w:rPr>
                <w:rFonts w:hint="default" w:ascii="Times New Roman" w:hAnsi="Times New Roman" w:eastAsia="宋体" w:cs="Times New Roman"/>
                <w:bCs/>
                <w:color w:val="auto"/>
                <w:szCs w:val="21"/>
                <w:highlight w:val="none"/>
              </w:rPr>
              <w:t>、Ca</w:t>
            </w:r>
            <w:r>
              <w:rPr>
                <w:rFonts w:hint="default" w:ascii="Times New Roman" w:hAnsi="Times New Roman" w:eastAsia="宋体" w:cs="Times New Roman"/>
                <w:bCs/>
                <w:color w:val="auto"/>
                <w:szCs w:val="21"/>
                <w:highlight w:val="none"/>
                <w:vertAlign w:val="superscript"/>
              </w:rPr>
              <w:t>2+</w:t>
            </w:r>
            <w:r>
              <w:rPr>
                <w:rFonts w:hint="default" w:ascii="Times New Roman" w:hAnsi="Times New Roman" w:eastAsia="宋体" w:cs="Times New Roman"/>
                <w:bCs/>
                <w:color w:val="auto"/>
                <w:szCs w:val="21"/>
                <w:highlight w:val="none"/>
              </w:rPr>
              <w:t>、</w:t>
            </w:r>
          </w:p>
          <w:p>
            <w:pPr>
              <w:keepNext w:val="0"/>
              <w:keepLines w:val="0"/>
              <w:suppressLineNumbers w:val="0"/>
              <w:adjustRightInd w:val="0"/>
              <w:snapToGrid w:val="0"/>
              <w:spacing w:before="0" w:beforeAutospacing="0" w:after="0" w:afterLines="10" w:afterAutospacing="0"/>
              <w:ind w:left="-21" w:leftChars="-10" w:right="-21" w:rightChars="-1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Mg</w:t>
            </w:r>
            <w:r>
              <w:rPr>
                <w:rFonts w:hint="default" w:ascii="Times New Roman" w:hAnsi="Times New Roman" w:eastAsia="宋体" w:cs="Times New Roman"/>
                <w:bCs/>
                <w:color w:val="auto"/>
                <w:szCs w:val="21"/>
                <w:highlight w:val="none"/>
                <w:vertAlign w:val="superscript"/>
              </w:rPr>
              <w:t>2+</w:t>
            </w:r>
            <w:r>
              <w:rPr>
                <w:rFonts w:hint="default" w:ascii="Times New Roman" w:hAnsi="Times New Roman" w:eastAsia="宋体" w:cs="Times New Roman"/>
                <w:bCs/>
                <w:color w:val="auto"/>
                <w:szCs w:val="21"/>
                <w:highlight w:val="none"/>
              </w:rPr>
              <w:t>、</w:t>
            </w:r>
            <w:r>
              <w:rPr>
                <w:rFonts w:hint="default" w:ascii="Times New Roman" w:hAnsi="Times New Roman" w:eastAsia="宋体" w:cs="Times New Roman"/>
                <w:color w:val="auto"/>
                <w:szCs w:val="21"/>
                <w:highlight w:val="none"/>
              </w:rPr>
              <w:t>TDS</w:t>
            </w:r>
            <w:r>
              <w:rPr>
                <w:rFonts w:hint="eastAsia"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rPr>
              <w:t>总硬度</w:t>
            </w:r>
          </w:p>
        </w:tc>
        <w:tc>
          <w:tcPr>
            <w:tcW w:w="377" w:type="pct"/>
            <w:vMerge w:val="restar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每</w:t>
            </w:r>
          </w:p>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年</w:t>
            </w:r>
          </w:p>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w:t>
            </w:r>
          </w:p>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次</w:t>
            </w:r>
          </w:p>
        </w:tc>
        <w:tc>
          <w:tcPr>
            <w:tcW w:w="522" w:type="pct"/>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COD</w:t>
            </w:r>
            <w:r>
              <w:rPr>
                <w:rFonts w:hint="default" w:ascii="Times New Roman" w:hAnsi="Times New Roman" w:cs="Times New Roman"/>
                <w:color w:val="auto"/>
                <w:szCs w:val="21"/>
                <w:highlight w:val="none"/>
                <w:vertAlign w:val="subscript"/>
              </w:rPr>
              <w:t>Mn</w:t>
            </w:r>
            <w:r>
              <w:rPr>
                <w:rFonts w:hint="default" w:ascii="Times New Roman" w:hAnsi="Times New Roman" w:cs="Times New Roman"/>
                <w:bCs/>
                <w:color w:val="auto"/>
                <w:szCs w:val="21"/>
                <w:highlight w:val="none"/>
              </w:rPr>
              <w:t>、</w:t>
            </w:r>
            <w:r>
              <w:rPr>
                <w:rFonts w:hint="default" w:ascii="Times New Roman" w:hAnsi="Times New Roman" w:eastAsia="宋体" w:cs="Times New Roman"/>
                <w:bCs/>
                <w:color w:val="auto"/>
                <w:szCs w:val="21"/>
                <w:highlight w:val="none"/>
              </w:rPr>
              <w:t>NH</w:t>
            </w:r>
            <w:r>
              <w:rPr>
                <w:rFonts w:hint="default" w:ascii="Times New Roman" w:hAnsi="Times New Roman" w:eastAsia="宋体" w:cs="Times New Roman"/>
                <w:bCs/>
                <w:color w:val="auto"/>
                <w:szCs w:val="21"/>
                <w:highlight w:val="none"/>
                <w:vertAlign w:val="subscript"/>
              </w:rPr>
              <w:t>3</w:t>
            </w:r>
            <w:r>
              <w:rPr>
                <w:rFonts w:hint="default" w:ascii="Times New Roman" w:hAnsi="Times New Roman" w:eastAsia="宋体" w:cs="Times New Roman"/>
                <w:bCs/>
                <w:color w:val="auto"/>
                <w:szCs w:val="21"/>
                <w:highlight w:val="none"/>
              </w:rPr>
              <w:t>-N</w:t>
            </w:r>
          </w:p>
        </w:tc>
        <w:tc>
          <w:tcPr>
            <w:tcW w:w="389" w:type="pct"/>
            <w:vMerge w:val="restar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每</w:t>
            </w:r>
          </w:p>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年</w:t>
            </w:r>
          </w:p>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w:t>
            </w:r>
          </w:p>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次</w:t>
            </w:r>
          </w:p>
        </w:tc>
        <w:tc>
          <w:tcPr>
            <w:tcW w:w="386" w:type="pct"/>
            <w:vMerge w:val="restar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663" w:hRule="atLeast"/>
          <w:jc w:val="center"/>
        </w:trPr>
        <w:tc>
          <w:tcPr>
            <w:tcW w:w="210"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c>
          <w:tcPr>
            <w:tcW w:w="230" w:type="pc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JC2</w:t>
            </w:r>
          </w:p>
        </w:tc>
        <w:tc>
          <w:tcPr>
            <w:tcW w:w="425"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污染</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监测井</w:t>
            </w:r>
          </w:p>
        </w:tc>
        <w:tc>
          <w:tcPr>
            <w:tcW w:w="593" w:type="pc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厂区内</w:t>
            </w:r>
          </w:p>
        </w:tc>
        <w:tc>
          <w:tcPr>
            <w:tcW w:w="1399"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c>
          <w:tcPr>
            <w:tcW w:w="469"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c>
          <w:tcPr>
            <w:tcW w:w="377"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c>
          <w:tcPr>
            <w:tcW w:w="522"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Cs w:val="21"/>
                <w:highlight w:val="none"/>
              </w:rPr>
            </w:pPr>
          </w:p>
        </w:tc>
        <w:tc>
          <w:tcPr>
            <w:tcW w:w="389"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c>
          <w:tcPr>
            <w:tcW w:w="386" w:type="pct"/>
            <w:vMerge w:val="continue"/>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jc w:val="center"/>
        </w:trPr>
        <w:tc>
          <w:tcPr>
            <w:tcW w:w="210"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c>
          <w:tcPr>
            <w:tcW w:w="230" w:type="pc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JC3</w:t>
            </w:r>
          </w:p>
        </w:tc>
        <w:tc>
          <w:tcPr>
            <w:tcW w:w="425"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扩散</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监测井</w:t>
            </w:r>
          </w:p>
        </w:tc>
        <w:tc>
          <w:tcPr>
            <w:tcW w:w="593" w:type="pct"/>
            <w:vAlign w:val="center"/>
          </w:tcPr>
          <w:p>
            <w:pPr>
              <w:keepNext w:val="0"/>
              <w:keepLines w:val="0"/>
              <w:suppressLineNumbers w:val="0"/>
              <w:adjustRightInd w:val="0"/>
              <w:snapToGrid w:val="0"/>
              <w:spacing w:before="0" w:beforeAutospacing="0" w:after="0" w:afterLines="1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厂区下游</w:t>
            </w:r>
          </w:p>
        </w:tc>
        <w:tc>
          <w:tcPr>
            <w:tcW w:w="1399"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c>
          <w:tcPr>
            <w:tcW w:w="469"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c>
          <w:tcPr>
            <w:tcW w:w="377"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c>
          <w:tcPr>
            <w:tcW w:w="522"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Cs w:val="21"/>
                <w:highlight w:val="none"/>
              </w:rPr>
            </w:pPr>
          </w:p>
        </w:tc>
        <w:tc>
          <w:tcPr>
            <w:tcW w:w="389" w:type="pct"/>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c>
          <w:tcPr>
            <w:tcW w:w="386" w:type="pct"/>
            <w:vMerge w:val="continue"/>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Cs/>
                <w:color w:val="auto"/>
                <w:szCs w:val="21"/>
                <w:highlight w:val="none"/>
              </w:rPr>
            </w:pPr>
          </w:p>
        </w:tc>
      </w:tr>
    </w:tbl>
    <w:p>
      <w:pPr>
        <w:pStyle w:val="9"/>
        <w:rPr>
          <w:rFonts w:hint="eastAsia" w:cs="Times New Roman"/>
          <w:color w:val="auto"/>
          <w:highlight w:val="none"/>
          <w:lang w:eastAsia="zh-CN"/>
        </w:rPr>
      </w:pPr>
      <w:r>
        <w:rPr>
          <w:rFonts w:hint="eastAsia" w:cs="Times New Roman"/>
          <w:color w:val="auto"/>
          <w:highlight w:val="none"/>
          <w:lang w:eastAsia="zh-CN"/>
        </w:rPr>
        <w:t>评价结论</w:t>
      </w:r>
    </w:p>
    <w:p>
      <w:pPr>
        <w:spacing w:line="360" w:lineRule="auto"/>
        <w:ind w:firstLine="480" w:firstLineChars="200"/>
        <w:textAlignment w:val="center"/>
        <w:rPr>
          <w:rFonts w:ascii="Times New Roman" w:hAnsi="Times New Roman" w:eastAsia="宋体" w:cs="Times New Roman"/>
          <w:bCs/>
          <w:color w:val="auto"/>
          <w:sz w:val="24"/>
          <w:highlight w:val="none"/>
        </w:rPr>
      </w:pPr>
      <w:r>
        <w:rPr>
          <w:rFonts w:ascii="Times New Roman" w:hAnsi="Times New Roman" w:eastAsia="宋体" w:cs="Times New Roman"/>
          <w:bCs/>
          <w:color w:val="auto"/>
          <w:sz w:val="24"/>
          <w:highlight w:val="none"/>
        </w:rPr>
        <w:t>分析认为，项目在实施过程中对废水产、排点采取严格的防渗措施，污水管道、水池等构筑物定期巡检，可杜绝地下水污染隐患，项目建设区域对地下水的影响不明显。建设单位需进行严格的防渗处理，落实以上地下水环保措施。严格落实以上措施后，项目营运期不会对区域地下水环境造成明显的不良影响。</w:t>
      </w:r>
    </w:p>
    <w:p>
      <w:pPr>
        <w:spacing w:line="360" w:lineRule="auto"/>
        <w:ind w:firstLine="482" w:firstLineChars="200"/>
        <w:textAlignment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项目在认真落实本</w:t>
      </w:r>
      <w:r>
        <w:rPr>
          <w:rFonts w:hint="eastAsia" w:ascii="Times New Roman" w:hAnsi="Times New Roman" w:eastAsia="宋体" w:cs="Times New Roman"/>
          <w:b/>
          <w:color w:val="auto"/>
          <w:sz w:val="24"/>
          <w:highlight w:val="none"/>
        </w:rPr>
        <w:t>次评价</w:t>
      </w:r>
      <w:r>
        <w:rPr>
          <w:rFonts w:ascii="Times New Roman" w:hAnsi="Times New Roman" w:eastAsia="宋体" w:cs="Times New Roman"/>
          <w:b/>
          <w:color w:val="auto"/>
          <w:sz w:val="24"/>
          <w:highlight w:val="none"/>
        </w:rPr>
        <w:t>提出的各项地下水污染防治措施的基础上，项目建设对当地地下水环境影响可以接受，从地下水环境保护角度而言，项目建设可行。</w:t>
      </w:r>
    </w:p>
    <w:p>
      <w:pPr>
        <w:pStyle w:val="8"/>
        <w:spacing w:before="0" w:after="0" w:line="360" w:lineRule="auto"/>
        <w:ind w:left="0" w:firstLine="0"/>
        <w:rPr>
          <w:rFonts w:cs="Times New Roman"/>
          <w:b/>
          <w:bCs/>
          <w:color w:val="auto"/>
          <w:highlight w:val="none"/>
        </w:rPr>
      </w:pPr>
      <w:bookmarkStart w:id="249" w:name="_Toc27524"/>
      <w:r>
        <w:rPr>
          <w:rFonts w:cs="Times New Roman"/>
          <w:b/>
          <w:bCs/>
          <w:color w:val="auto"/>
          <w:highlight w:val="none"/>
        </w:rPr>
        <w:t>声环境影响分析</w:t>
      </w:r>
      <w:bookmarkEnd w:id="249"/>
    </w:p>
    <w:p>
      <w:pPr>
        <w:pStyle w:val="9"/>
        <w:rPr>
          <w:rFonts w:cs="Times New Roman"/>
          <w:color w:val="auto"/>
          <w:highlight w:val="none"/>
        </w:rPr>
      </w:pPr>
      <w:r>
        <w:rPr>
          <w:rFonts w:hint="eastAsia" w:cs="Times New Roman"/>
          <w:color w:val="auto"/>
          <w:highlight w:val="none"/>
          <w:lang w:eastAsia="zh-CN"/>
        </w:rPr>
        <w:t>评价等级</w:t>
      </w:r>
    </w:p>
    <w:p>
      <w:pPr>
        <w:spacing w:line="360" w:lineRule="auto"/>
        <w:ind w:firstLine="480"/>
        <w:rPr>
          <w:rFonts w:hint="default"/>
          <w:color w:val="auto"/>
          <w:highlight w:val="none"/>
        </w:rPr>
      </w:pPr>
      <w:r>
        <w:rPr>
          <w:rFonts w:hint="eastAsia" w:ascii="Times New Roman" w:hAnsi="Times New Roman" w:cs="Times New Roman"/>
          <w:color w:val="auto"/>
          <w:sz w:val="24"/>
          <w:szCs w:val="24"/>
          <w:highlight w:val="none"/>
        </w:rPr>
        <w:t>本项目所处的声环境功能区为《声环境质量标准》（GB3096-2008）规定的2类区，根据《环境影响评价技术导则 声环境》(HJ 2.4-20</w:t>
      </w:r>
      <w:r>
        <w:rPr>
          <w:rFonts w:hint="eastAsia" w:ascii="Times New Roman" w:hAnsi="Times New Roman" w:cs="Times New Roman"/>
          <w:color w:val="auto"/>
          <w:sz w:val="24"/>
          <w:szCs w:val="24"/>
          <w:highlight w:val="none"/>
          <w:lang w:val="en-US" w:eastAsia="zh-CN"/>
        </w:rPr>
        <w:t>21</w:t>
      </w:r>
      <w:r>
        <w:rPr>
          <w:rFonts w:hint="eastAsia" w:ascii="Times New Roman" w:hAnsi="Times New Roman" w:cs="Times New Roman"/>
          <w:color w:val="auto"/>
          <w:sz w:val="24"/>
          <w:szCs w:val="24"/>
          <w:highlight w:val="none"/>
        </w:rPr>
        <w:t>)判级原则，项目声环境评价工作等级为二级。</w:t>
      </w:r>
    </w:p>
    <w:p>
      <w:pPr>
        <w:pStyle w:val="9"/>
        <w:rPr>
          <w:color w:val="auto"/>
          <w:highlight w:val="none"/>
        </w:rPr>
      </w:pPr>
      <w:r>
        <w:rPr>
          <w:rFonts w:hint="eastAsia" w:cs="Times New Roman"/>
          <w:color w:val="auto"/>
          <w:highlight w:val="none"/>
        </w:rPr>
        <w:t>噪声源</w:t>
      </w:r>
      <w:r>
        <w:rPr>
          <w:rFonts w:hint="eastAsia" w:cs="Times New Roman"/>
          <w:color w:val="auto"/>
          <w:highlight w:val="none"/>
          <w:lang w:eastAsia="zh-CN"/>
        </w:rPr>
        <w:t>强</w:t>
      </w:r>
    </w:p>
    <w:p>
      <w:pPr>
        <w:spacing w:line="360" w:lineRule="auto"/>
        <w:ind w:firstLine="480"/>
        <w:rPr>
          <w:rFonts w:hint="default" w:ascii="Times New Roman" w:hAnsi="Times New Roman" w:cs="Times New Roman"/>
          <w:color w:val="auto"/>
          <w:sz w:val="24"/>
          <w:szCs w:val="24"/>
          <w:highlight w:val="none"/>
        </w:rPr>
        <w:sectPr>
          <w:headerReference r:id="rId11" w:type="default"/>
          <w:footerReference r:id="rId12" w:type="default"/>
          <w:pgSz w:w="11906" w:h="16838"/>
          <w:pgMar w:top="1440" w:right="1800" w:bottom="1440" w:left="1800" w:header="992"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cs="Times New Roman"/>
          <w:color w:val="auto"/>
          <w:sz w:val="24"/>
          <w:szCs w:val="24"/>
          <w:highlight w:val="none"/>
        </w:rPr>
        <w:t>本项目噪声源来自</w:t>
      </w:r>
      <w:r>
        <w:rPr>
          <w:rFonts w:hint="eastAsia" w:ascii="Times New Roman" w:hAnsi="Times New Roman" w:cs="Times New Roman"/>
          <w:color w:val="auto"/>
          <w:sz w:val="24"/>
          <w:szCs w:val="24"/>
          <w:highlight w:val="none"/>
          <w:lang w:eastAsia="zh-CN"/>
        </w:rPr>
        <w:t>养殖场</w:t>
      </w:r>
      <w:r>
        <w:rPr>
          <w:rFonts w:hint="default" w:ascii="Times New Roman" w:hAnsi="Times New Roman" w:cs="Times New Roman"/>
          <w:color w:val="auto"/>
          <w:sz w:val="24"/>
          <w:szCs w:val="24"/>
          <w:highlight w:val="none"/>
        </w:rPr>
        <w:t>内各</w:t>
      </w:r>
      <w:r>
        <w:rPr>
          <w:rFonts w:hint="eastAsia" w:ascii="Times New Roman" w:hAnsi="Times New Roman" w:cs="Times New Roman"/>
          <w:color w:val="auto"/>
          <w:sz w:val="24"/>
          <w:szCs w:val="24"/>
          <w:highlight w:val="none"/>
          <w:lang w:eastAsia="zh-CN"/>
        </w:rPr>
        <w:t>中设备、牛叫声</w:t>
      </w:r>
      <w:r>
        <w:rPr>
          <w:rFonts w:hint="default" w:ascii="Times New Roman" w:hAnsi="Times New Roman" w:cs="Times New Roman"/>
          <w:color w:val="auto"/>
          <w:sz w:val="24"/>
          <w:szCs w:val="24"/>
          <w:highlight w:val="none"/>
        </w:rPr>
        <w:t>等，噪声源在1m处声源强度在</w:t>
      </w:r>
      <w:r>
        <w:rPr>
          <w:rFonts w:hint="eastAsia" w:ascii="Times New Roman" w:hAnsi="Times New Roman" w:cs="Times New Roman"/>
          <w:color w:val="auto"/>
          <w:sz w:val="24"/>
          <w:szCs w:val="24"/>
          <w:highlight w:val="none"/>
          <w:lang w:val="en-US" w:eastAsia="zh-CN"/>
        </w:rPr>
        <w:t>70</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90</w:t>
      </w:r>
      <w:r>
        <w:rPr>
          <w:rFonts w:hint="default" w:ascii="Times New Roman" w:hAnsi="Times New Roman" w:cs="Times New Roman"/>
          <w:color w:val="auto"/>
          <w:sz w:val="24"/>
          <w:szCs w:val="24"/>
          <w:highlight w:val="none"/>
        </w:rPr>
        <w:t>dB(A)之间。设计尽量选用低噪声设备，并采用减震、隔声、消声和吸声等措施后消减量可达20～30dB(A)以上。项目噪声</w:t>
      </w:r>
      <w:r>
        <w:rPr>
          <w:rFonts w:hint="eastAsia" w:ascii="Times New Roman" w:hAnsi="Times New Roman" w:cs="Times New Roman"/>
          <w:color w:val="auto"/>
          <w:sz w:val="24"/>
          <w:szCs w:val="24"/>
          <w:highlight w:val="none"/>
          <w:lang w:val="en-US" w:eastAsia="zh-CN"/>
        </w:rPr>
        <w:t>源强</w:t>
      </w:r>
      <w:r>
        <w:rPr>
          <w:rFonts w:hint="default" w:ascii="Times New Roman" w:hAnsi="Times New Roman" w:cs="Times New Roman"/>
          <w:color w:val="auto"/>
          <w:sz w:val="24"/>
          <w:szCs w:val="24"/>
          <w:highlight w:val="none"/>
        </w:rPr>
        <w:t>参数详见下表。</w:t>
      </w:r>
    </w:p>
    <w:p>
      <w:pPr>
        <w:widowControl w:val="0"/>
        <w:numPr>
          <w:ilvl w:val="0"/>
          <w:numId w:val="34"/>
        </w:numPr>
        <w:spacing w:after="0" w:afterLines="0" w:line="360" w:lineRule="auto"/>
        <w:ind w:left="0" w:leftChars="0" w:firstLine="0" w:firstLineChars="0"/>
        <w:jc w:val="center"/>
        <w:rPr>
          <w:rFonts w:hint="default"/>
          <w:b/>
          <w:color w:val="auto"/>
          <w:highlight w:val="none"/>
          <w:lang w:val="en-US" w:eastAsia="zh-CN"/>
        </w:rPr>
      </w:pPr>
      <w:r>
        <w:rPr>
          <w:rFonts w:hint="eastAsia"/>
          <w:b/>
          <w:color w:val="auto"/>
          <w:highlight w:val="none"/>
          <w:lang w:val="en-US" w:eastAsia="zh-CN"/>
        </w:rPr>
        <w:t>本项目</w:t>
      </w:r>
      <w:r>
        <w:rPr>
          <w:rFonts w:hint="default"/>
          <w:b/>
          <w:color w:val="auto"/>
          <w:highlight w:val="none"/>
          <w:lang w:val="en-US" w:eastAsia="zh-CN"/>
        </w:rPr>
        <w:t>噪声</w:t>
      </w:r>
      <w:r>
        <w:rPr>
          <w:rFonts w:hint="eastAsia"/>
          <w:b/>
          <w:color w:val="auto"/>
          <w:highlight w:val="none"/>
          <w:lang w:val="en-US" w:eastAsia="zh-CN"/>
        </w:rPr>
        <w:t>源强调查清单（室内声源）</w:t>
      </w:r>
    </w:p>
    <w:tbl>
      <w:tblPr>
        <w:tblStyle w:val="91"/>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87"/>
        <w:gridCol w:w="795"/>
        <w:gridCol w:w="1339"/>
        <w:gridCol w:w="1093"/>
        <w:gridCol w:w="976"/>
        <w:gridCol w:w="1770"/>
        <w:gridCol w:w="810"/>
        <w:gridCol w:w="780"/>
        <w:gridCol w:w="706"/>
        <w:gridCol w:w="868"/>
        <w:gridCol w:w="1021"/>
        <w:gridCol w:w="749"/>
        <w:gridCol w:w="1049"/>
        <w:gridCol w:w="914"/>
        <w:gridCol w:w="8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02"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序号</w:t>
            </w:r>
          </w:p>
        </w:tc>
        <w:tc>
          <w:tcPr>
            <w:tcW w:w="283"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建筑物名称</w:t>
            </w:r>
          </w:p>
        </w:tc>
        <w:tc>
          <w:tcPr>
            <w:tcW w:w="47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r>
              <w:rPr>
                <w:rFonts w:hint="default" w:ascii="Times New Roman" w:hAnsi="Times New Roman" w:eastAsia="宋体" w:cs="Times New Roman"/>
                <w:b/>
                <w:color w:val="auto"/>
                <w:sz w:val="18"/>
                <w:szCs w:val="18"/>
                <w:highlight w:val="none"/>
              </w:rPr>
              <w:t>声源名称</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型号</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r>
              <w:rPr>
                <w:rFonts w:hint="default" w:ascii="Times New Roman" w:hAnsi="Times New Roman" w:eastAsia="宋体" w:cs="Times New Roman"/>
                <w:b/>
                <w:bCs/>
                <w:color w:val="auto"/>
                <w:sz w:val="18"/>
                <w:szCs w:val="18"/>
                <w:highlight w:val="none"/>
                <w:lang w:val="en-US" w:eastAsia="zh-CN"/>
              </w:rPr>
              <w:t>声压级/</w:t>
            </w:r>
            <w:r>
              <w:rPr>
                <w:rFonts w:hint="default" w:ascii="Times New Roman" w:hAnsi="Times New Roman" w:eastAsia="宋体" w:cs="Times New Roman"/>
                <w:b/>
                <w:bCs/>
                <w:color w:val="auto"/>
                <w:sz w:val="18"/>
                <w:szCs w:val="18"/>
                <w:highlight w:val="none"/>
              </w:rPr>
              <w:t>dB(</w:t>
            </w:r>
            <w:r>
              <w:rPr>
                <w:rFonts w:hint="default" w:ascii="Times New Roman" w:hAnsi="Times New Roman" w:eastAsia="宋体" w:cs="Times New Roman"/>
                <w:b/>
                <w:bCs/>
                <w:color w:val="auto"/>
                <w:sz w:val="18"/>
                <w:szCs w:val="18"/>
                <w:highlight w:val="none"/>
                <w:lang w:val="en-US" w:eastAsia="zh-CN"/>
              </w:rPr>
              <w:t>A</w:t>
            </w:r>
            <w:r>
              <w:rPr>
                <w:rFonts w:hint="default" w:ascii="Times New Roman" w:hAnsi="Times New Roman" w:eastAsia="宋体" w:cs="Times New Roman"/>
                <w:b/>
                <w:bCs/>
                <w:color w:val="auto"/>
                <w:sz w:val="18"/>
                <w:szCs w:val="18"/>
                <w:highlight w:val="none"/>
              </w:rPr>
              <w:t>)</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声源控制措施</w:t>
            </w:r>
          </w:p>
        </w:tc>
        <w:tc>
          <w:tcPr>
            <w:tcW w:w="819" w:type="pct"/>
            <w:gridSpan w:val="3"/>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空间相对位置</w:t>
            </w:r>
          </w:p>
        </w:tc>
        <w:tc>
          <w:tcPr>
            <w:tcW w:w="309"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距室内边界距离/m</w:t>
            </w:r>
          </w:p>
        </w:tc>
        <w:tc>
          <w:tcPr>
            <w:tcW w:w="364"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rPr>
            </w:pPr>
            <w:r>
              <w:rPr>
                <w:rFonts w:hint="default" w:ascii="Times New Roman" w:hAnsi="Times New Roman" w:eastAsia="宋体" w:cs="Times New Roman"/>
                <w:b/>
                <w:color w:val="auto"/>
                <w:sz w:val="18"/>
                <w:szCs w:val="18"/>
                <w:highlight w:val="none"/>
                <w:lang w:val="en-US" w:eastAsia="zh-CN"/>
              </w:rPr>
              <w:t>室内边界声级</w:t>
            </w:r>
            <w:r>
              <w:rPr>
                <w:rFonts w:hint="default" w:ascii="Times New Roman" w:hAnsi="Times New Roman" w:eastAsia="宋体" w:cs="Times New Roman"/>
                <w:b/>
                <w:bCs/>
                <w:color w:val="auto"/>
                <w:sz w:val="18"/>
                <w:szCs w:val="18"/>
                <w:highlight w:val="none"/>
                <w:lang w:val="en-US" w:eastAsia="zh-CN"/>
              </w:rPr>
              <w:t>/</w:t>
            </w:r>
            <w:r>
              <w:rPr>
                <w:rFonts w:hint="default" w:ascii="Times New Roman" w:hAnsi="Times New Roman" w:eastAsia="宋体" w:cs="Times New Roman"/>
                <w:b/>
                <w:bCs/>
                <w:color w:val="auto"/>
                <w:sz w:val="18"/>
                <w:szCs w:val="18"/>
                <w:highlight w:val="none"/>
              </w:rPr>
              <w:t>dB(</w:t>
            </w:r>
            <w:r>
              <w:rPr>
                <w:rFonts w:hint="default" w:ascii="Times New Roman" w:hAnsi="Times New Roman" w:eastAsia="宋体" w:cs="Times New Roman"/>
                <w:b/>
                <w:bCs/>
                <w:color w:val="auto"/>
                <w:sz w:val="18"/>
                <w:szCs w:val="18"/>
                <w:highlight w:val="none"/>
                <w:lang w:val="en-US" w:eastAsia="zh-CN"/>
              </w:rPr>
              <w:t>A</w:t>
            </w:r>
            <w:r>
              <w:rPr>
                <w:rFonts w:hint="default" w:ascii="Times New Roman" w:hAnsi="Times New Roman" w:eastAsia="宋体" w:cs="Times New Roman"/>
                <w:b/>
                <w:bCs/>
                <w:color w:val="auto"/>
                <w:sz w:val="18"/>
                <w:szCs w:val="18"/>
                <w:highlight w:val="none"/>
              </w:rPr>
              <w:t>)</w:t>
            </w:r>
          </w:p>
        </w:tc>
        <w:tc>
          <w:tcPr>
            <w:tcW w:w="267" w:type="pct"/>
            <w:vMerge w:val="restart"/>
            <w:tcBorders>
              <w:tl2br w:val="nil"/>
              <w:tr2bl w:val="nil"/>
            </w:tcBorders>
            <w:noWrap w:val="0"/>
            <w:tcMar>
              <w:left w:w="28" w:type="dxa"/>
              <w:right w:w="28" w:type="dxa"/>
            </w:tcMar>
            <w:vAlign w:val="center"/>
          </w:tcPr>
          <w:p>
            <w:pPr>
              <w:keepNext w:val="0"/>
              <w:keepLines w:val="0"/>
              <w:widowControl/>
              <w:suppressLineNumbers w:val="0"/>
              <w:autoSpaceDE/>
              <w:autoSpaceDN/>
              <w:adjustRightIn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运行时段</w:t>
            </w:r>
          </w:p>
        </w:tc>
        <w:tc>
          <w:tcPr>
            <w:tcW w:w="374" w:type="pct"/>
            <w:vMerge w:val="restart"/>
            <w:tcBorders>
              <w:tl2br w:val="nil"/>
              <w:tr2bl w:val="nil"/>
            </w:tcBorders>
            <w:noWrap w:val="0"/>
            <w:tcMar>
              <w:left w:w="28" w:type="dxa"/>
              <w:right w:w="28" w:type="dxa"/>
            </w:tcMar>
            <w:vAlign w:val="center"/>
          </w:tcPr>
          <w:p>
            <w:pPr>
              <w:keepNext w:val="0"/>
              <w:keepLines w:val="0"/>
              <w:widowControl/>
              <w:suppressLineNumbers w:val="0"/>
              <w:autoSpaceDE/>
              <w:autoSpaceDN/>
              <w:adjustRightIn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建筑物插入损失/</w:t>
            </w:r>
            <w:r>
              <w:rPr>
                <w:rFonts w:hint="default" w:ascii="Times New Roman" w:hAnsi="Times New Roman" w:eastAsia="宋体" w:cs="Times New Roman"/>
                <w:b/>
                <w:bCs/>
                <w:color w:val="auto"/>
                <w:sz w:val="18"/>
                <w:szCs w:val="18"/>
                <w:highlight w:val="none"/>
              </w:rPr>
              <w:t>dB(</w:t>
            </w:r>
            <w:r>
              <w:rPr>
                <w:rFonts w:hint="default" w:ascii="Times New Roman" w:hAnsi="Times New Roman" w:eastAsia="宋体" w:cs="Times New Roman"/>
                <w:b/>
                <w:bCs/>
                <w:color w:val="auto"/>
                <w:sz w:val="18"/>
                <w:szCs w:val="18"/>
                <w:highlight w:val="none"/>
                <w:lang w:val="en-US" w:eastAsia="zh-CN"/>
              </w:rPr>
              <w:t>A</w:t>
            </w:r>
            <w:r>
              <w:rPr>
                <w:rFonts w:hint="default" w:ascii="Times New Roman" w:hAnsi="Times New Roman" w:eastAsia="宋体" w:cs="Times New Roman"/>
                <w:b/>
                <w:bCs/>
                <w:color w:val="auto"/>
                <w:sz w:val="18"/>
                <w:szCs w:val="18"/>
                <w:highlight w:val="none"/>
              </w:rPr>
              <w:t>)</w:t>
            </w:r>
          </w:p>
        </w:tc>
        <w:tc>
          <w:tcPr>
            <w:tcW w:w="628" w:type="pct"/>
            <w:gridSpan w:val="2"/>
            <w:tcBorders>
              <w:tl2br w:val="nil"/>
              <w:tr2bl w:val="nil"/>
            </w:tcBorders>
            <w:noWrap w:val="0"/>
            <w:tcMar>
              <w:left w:w="28" w:type="dxa"/>
              <w:right w:w="28" w:type="dxa"/>
            </w:tcMar>
            <w:vAlign w:val="center"/>
          </w:tcPr>
          <w:p>
            <w:pPr>
              <w:keepNext w:val="0"/>
              <w:keepLines w:val="0"/>
              <w:widowControl/>
              <w:suppressLineNumbers w:val="0"/>
              <w:autoSpaceDE/>
              <w:autoSpaceDN/>
              <w:adjustRightIn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建筑物外噪声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p>
        </w:tc>
        <w:tc>
          <w:tcPr>
            <w:tcW w:w="4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p>
        </w:tc>
        <w:tc>
          <w:tcPr>
            <w:tcW w:w="289"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X</w:t>
            </w:r>
          </w:p>
        </w:tc>
        <w:tc>
          <w:tcPr>
            <w:tcW w:w="278"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Y</w:t>
            </w:r>
          </w:p>
        </w:tc>
        <w:tc>
          <w:tcPr>
            <w:tcW w:w="25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Z</w:t>
            </w:r>
          </w:p>
        </w:tc>
        <w:tc>
          <w:tcPr>
            <w:tcW w:w="30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p>
        </w:tc>
        <w:tc>
          <w:tcPr>
            <w:tcW w:w="364" w:type="pct"/>
            <w:vMerge w:val="continue"/>
            <w:tcBorders>
              <w:tl2br w:val="nil"/>
              <w:tr2bl w:val="nil"/>
            </w:tcBorders>
            <w:noWrap w:val="0"/>
            <w:tcMar>
              <w:left w:w="28" w:type="dxa"/>
              <w:right w:w="28" w:type="dxa"/>
            </w:tcMar>
            <w:vAlign w:val="center"/>
          </w:tcPr>
          <w:p>
            <w:pPr>
              <w:keepNext w:val="0"/>
              <w:keepLines w:val="0"/>
              <w:widowControl/>
              <w:suppressLineNumbers w:val="0"/>
              <w:autoSpaceDE/>
              <w:autoSpaceDN/>
              <w:adjustRightIn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18"/>
                <w:szCs w:val="18"/>
                <w:highlight w:val="none"/>
                <w:lang w:eastAsia="en-US"/>
              </w:rPr>
            </w:pPr>
          </w:p>
        </w:tc>
        <w:tc>
          <w:tcPr>
            <w:tcW w:w="267" w:type="pct"/>
            <w:vMerge w:val="continue"/>
            <w:tcBorders>
              <w:tl2br w:val="nil"/>
              <w:tr2bl w:val="nil"/>
            </w:tcBorders>
            <w:noWrap w:val="0"/>
            <w:tcMar>
              <w:left w:w="28" w:type="dxa"/>
              <w:right w:w="28" w:type="dxa"/>
            </w:tcMar>
            <w:vAlign w:val="center"/>
          </w:tcPr>
          <w:p>
            <w:pPr>
              <w:keepNext w:val="0"/>
              <w:keepLines w:val="0"/>
              <w:widowControl/>
              <w:suppressLineNumbers w:val="0"/>
              <w:autoSpaceDE/>
              <w:autoSpaceDN/>
              <w:adjustRightIn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18"/>
                <w:szCs w:val="18"/>
                <w:highlight w:val="none"/>
                <w:lang w:eastAsia="en-US"/>
              </w:rPr>
            </w:pPr>
          </w:p>
        </w:tc>
        <w:tc>
          <w:tcPr>
            <w:tcW w:w="374" w:type="pct"/>
            <w:vMerge w:val="continue"/>
            <w:tcBorders>
              <w:tl2br w:val="nil"/>
              <w:tr2bl w:val="nil"/>
            </w:tcBorders>
            <w:noWrap w:val="0"/>
            <w:tcMar>
              <w:left w:w="28" w:type="dxa"/>
              <w:right w:w="28" w:type="dxa"/>
            </w:tcMar>
            <w:vAlign w:val="center"/>
          </w:tcPr>
          <w:p>
            <w:pPr>
              <w:keepNext w:val="0"/>
              <w:keepLines w:val="0"/>
              <w:widowControl/>
              <w:suppressLineNumbers w:val="0"/>
              <w:autoSpaceDE/>
              <w:autoSpaceDN/>
              <w:adjustRightIn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18"/>
                <w:szCs w:val="18"/>
                <w:highlight w:val="none"/>
                <w:lang w:eastAsia="zh-CN"/>
              </w:rPr>
            </w:pPr>
          </w:p>
        </w:tc>
        <w:tc>
          <w:tcPr>
            <w:tcW w:w="326" w:type="pct"/>
            <w:tcBorders>
              <w:tl2br w:val="nil"/>
              <w:tr2bl w:val="nil"/>
            </w:tcBorders>
            <w:noWrap w:val="0"/>
            <w:tcMar>
              <w:left w:w="28" w:type="dxa"/>
              <w:right w:w="28" w:type="dxa"/>
            </w:tcMar>
            <w:vAlign w:val="center"/>
          </w:tcPr>
          <w:p>
            <w:pPr>
              <w:keepNext w:val="0"/>
              <w:keepLines w:val="0"/>
              <w:widowControl/>
              <w:suppressLineNumbers w:val="0"/>
              <w:autoSpaceDE/>
              <w:autoSpaceDN/>
              <w:adjustRightIn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18"/>
                <w:szCs w:val="18"/>
                <w:highlight w:val="none"/>
                <w:lang w:eastAsia="zh-CN"/>
              </w:rPr>
            </w:pPr>
            <w:r>
              <w:rPr>
                <w:rFonts w:hint="default" w:ascii="Times New Roman" w:hAnsi="Times New Roman" w:eastAsia="宋体" w:cs="Times New Roman"/>
                <w:b/>
                <w:bCs/>
                <w:color w:val="auto"/>
                <w:sz w:val="18"/>
                <w:szCs w:val="18"/>
                <w:highlight w:val="none"/>
                <w:lang w:val="en-US" w:eastAsia="zh-CN"/>
              </w:rPr>
              <w:t>声压级/</w:t>
            </w:r>
            <w:r>
              <w:rPr>
                <w:rFonts w:hint="default" w:ascii="Times New Roman" w:hAnsi="Times New Roman" w:eastAsia="宋体" w:cs="Times New Roman"/>
                <w:b/>
                <w:bCs/>
                <w:color w:val="auto"/>
                <w:sz w:val="18"/>
                <w:szCs w:val="18"/>
                <w:highlight w:val="none"/>
              </w:rPr>
              <w:t>dB(</w:t>
            </w:r>
            <w:r>
              <w:rPr>
                <w:rFonts w:hint="default" w:ascii="Times New Roman" w:hAnsi="Times New Roman" w:eastAsia="宋体" w:cs="Times New Roman"/>
                <w:b/>
                <w:bCs/>
                <w:color w:val="auto"/>
                <w:sz w:val="18"/>
                <w:szCs w:val="18"/>
                <w:highlight w:val="none"/>
                <w:lang w:val="en-US" w:eastAsia="zh-CN"/>
              </w:rPr>
              <w:t>A</w:t>
            </w:r>
            <w:r>
              <w:rPr>
                <w:rFonts w:hint="default" w:ascii="Times New Roman" w:hAnsi="Times New Roman" w:eastAsia="宋体" w:cs="Times New Roman"/>
                <w:b/>
                <w:bCs/>
                <w:color w:val="auto"/>
                <w:sz w:val="18"/>
                <w:szCs w:val="18"/>
                <w:highlight w:val="none"/>
              </w:rPr>
              <w:t>)</w:t>
            </w:r>
          </w:p>
        </w:tc>
        <w:tc>
          <w:tcPr>
            <w:tcW w:w="302" w:type="pct"/>
            <w:tcBorders>
              <w:tl2br w:val="nil"/>
              <w:tr2bl w:val="nil"/>
            </w:tcBorders>
            <w:noWrap w:val="0"/>
            <w:tcMar>
              <w:left w:w="28" w:type="dxa"/>
              <w:right w:w="28" w:type="dxa"/>
            </w:tcMar>
            <w:vAlign w:val="center"/>
          </w:tcPr>
          <w:p>
            <w:pPr>
              <w:keepNext w:val="0"/>
              <w:keepLines w:val="0"/>
              <w:widowControl/>
              <w:suppressLineNumbers w:val="0"/>
              <w:autoSpaceDE/>
              <w:autoSpaceDN/>
              <w:adjustRightIn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建筑物外距离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2"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w:t>
            </w:r>
          </w:p>
        </w:tc>
        <w:tc>
          <w:tcPr>
            <w:tcW w:w="283"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牛舍1</w:t>
            </w:r>
          </w:p>
        </w:tc>
        <w:tc>
          <w:tcPr>
            <w:tcW w:w="47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eastAsia"/>
                <w:color w:val="auto"/>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794.14</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996.99</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10.86</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56.17</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30.17</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eastAsia"/>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93.73</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56.10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30.10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eastAsia"/>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8.11</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56.22</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30.22</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eastAsia"/>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40.91</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56.10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30.10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牛舍</w:t>
            </w:r>
            <w:r>
              <w:rPr>
                <w:rFonts w:hint="eastAsia" w:ascii="Times New Roman" w:hAnsi="Times New Roman" w:cs="Times New Roman"/>
                <w:color w:val="auto"/>
                <w:sz w:val="18"/>
                <w:szCs w:val="18"/>
                <w:highlight w:val="none"/>
                <w:lang w:val="en-US" w:eastAsia="zh-CN"/>
              </w:rPr>
              <w:t>2</w:t>
            </w:r>
          </w:p>
        </w:tc>
        <w:tc>
          <w:tcPr>
            <w:tcW w:w="478"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hAnsi="Times New Roman" w:cs="Times New Roman"/>
                <w:color w:val="auto"/>
                <w:kern w:val="2"/>
                <w:sz w:val="18"/>
                <w:szCs w:val="18"/>
                <w:highlight w:val="none"/>
                <w:lang w:val="en-US" w:eastAsia="zh-CN" w:bidi="ar-SA"/>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color w:val="auto"/>
                <w:highlight w:val="none"/>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794.95</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921.31</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7.80</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57.08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31.08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eastAsia"/>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59.14</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56.97</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30.97</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eastAsia"/>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13.15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57.00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31.00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eastAsia"/>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2.79</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57.78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31.78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牛舍</w:t>
            </w:r>
            <w:r>
              <w:rPr>
                <w:rFonts w:hint="eastAsia" w:ascii="Times New Roman" w:hAnsi="Times New Roman" w:cs="Times New Roman"/>
                <w:color w:val="auto"/>
                <w:sz w:val="18"/>
                <w:szCs w:val="18"/>
                <w:highlight w:val="none"/>
                <w:lang w:val="en-US" w:eastAsia="zh-CN"/>
              </w:rPr>
              <w:t>3</w:t>
            </w:r>
          </w:p>
        </w:tc>
        <w:tc>
          <w:tcPr>
            <w:tcW w:w="478"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958.56</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961.18</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1.41</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57.08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31.08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166.95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50.42</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24.42</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71.71</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50.43</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24.43</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128.48</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50.42</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24.42</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Calibri" w:hAnsi="Calibri" w:eastAsia="宋体" w:cs="Times New Roman"/>
                <w:color w:val="auto"/>
                <w:kern w:val="2"/>
                <w:sz w:val="24"/>
                <w:szCs w:val="24"/>
                <w:highlight w:val="none"/>
                <w:lang w:val="en-US" w:eastAsia="zh-CN" w:bidi="ar-SA"/>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917.86</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848.86</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5.83</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51.26</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25.26</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64.94</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50.43</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24.43</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21.95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50.49</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24.49</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7.10</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51.00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25.00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牛舍4</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839.06</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778.81</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46.97</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54.20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28.20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13.97</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54.26</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28.26</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40.91</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54.21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28.21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30.56</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54.21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28.21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83"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牛舍</w:t>
            </w:r>
            <w:r>
              <w:rPr>
                <w:rFonts w:hint="eastAsia" w:ascii="Times New Roman" w:hAnsi="Times New Roman" w:cs="Times New Roman"/>
                <w:color w:val="auto"/>
                <w:sz w:val="18"/>
                <w:szCs w:val="18"/>
                <w:highlight w:val="none"/>
                <w:lang w:val="en-US" w:eastAsia="zh-CN"/>
              </w:rPr>
              <w:t>5</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999.26</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775.6</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21.27</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52.45</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26.45</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23.70</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52.44</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26.44</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80.70</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52.41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26.41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0.85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61.06</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35.06</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牛舍6</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eastAsia" w:ascii="Times New Roman" w:hAnsi="Times New Roman" w:cs="Times New Roman"/>
                <w:color w:val="auto"/>
                <w:kern w:val="2"/>
                <w:sz w:val="18"/>
                <w:szCs w:val="18"/>
                <w:highlight w:val="none"/>
                <w:lang w:val="en-US" w:eastAsia="zh-CN" w:bidi="ar-SA"/>
              </w:rPr>
            </w:pPr>
            <w:r>
              <w:rPr>
                <w:rFonts w:hint="eastAsia" w:hAnsi="Times New Roman" w:cs="Times New Roman"/>
                <w:color w:val="auto"/>
                <w:kern w:val="2"/>
                <w:sz w:val="18"/>
                <w:szCs w:val="18"/>
                <w:highlight w:val="none"/>
                <w:lang w:val="en-US" w:eastAsia="zh-CN" w:bidi="ar-SA"/>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755.36</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669.1</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25.92</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53.03</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27.03</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1.29</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58.31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32.31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43.72</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53.01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27.01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55.61</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53.01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27.01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kern w:val="2"/>
                <w:sz w:val="18"/>
                <w:szCs w:val="18"/>
                <w:highlight w:val="none"/>
                <w:lang w:val="en-US" w:eastAsia="zh-CN" w:bidi="ar-SA"/>
              </w:rPr>
              <w:t>牛舍7</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775.72</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623.86</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11.00</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59.60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33.60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24.06</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59.58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33.58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6.65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59.66</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33.66</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34.43</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59.58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33.58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牛舍8</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701.08</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548.08</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33.90</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55.98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29.98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33.96</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55.98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29.98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20.77</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55.99</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29.99</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25.20</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55.99</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29.99</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83"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牛舍9</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606.07</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624.99</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69.16</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46.06</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20.06</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40.83</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46.09</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20.09</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82.48</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46.05</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20.05</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132.85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46.04</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20.04</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Calibri" w:hAnsi="Calibri" w:eastAsia="宋体" w:cs="Times New Roman"/>
                <w:color w:val="auto"/>
                <w:kern w:val="2"/>
                <w:sz w:val="24"/>
                <w:szCs w:val="24"/>
                <w:highlight w:val="none"/>
                <w:lang w:val="en-US" w:eastAsia="zh-CN" w:bidi="ar-SA"/>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514.46</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756.19</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22.54</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46.20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20.20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106.85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46.04</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20.04</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1.82</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54.48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28.48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100.14</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46.05</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20.05</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牛舍10</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kern w:val="2"/>
                <w:sz w:val="18"/>
                <w:szCs w:val="18"/>
                <w:highlight w:val="none"/>
                <w:lang w:val="en-US" w:eastAsia="zh-CN" w:bidi="ar-SA"/>
              </w:rPr>
            </w:pPr>
            <w:r>
              <w:rPr>
                <w:rFonts w:hint="eastAsia" w:hAnsi="Times New Roman" w:cs="Times New Roman"/>
                <w:color w:val="auto"/>
                <w:kern w:val="2"/>
                <w:sz w:val="18"/>
                <w:szCs w:val="18"/>
                <w:highlight w:val="none"/>
                <w:lang w:val="en-US" w:eastAsia="zh-CN" w:bidi="ar-SA"/>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404.75</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783.33</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7.66</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57.60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31.60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55.58</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57.50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31.50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10.59</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57.55</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31.55</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41.79</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57.50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31.50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83"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牛舍11</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eastAsia" w:ascii="Times New Roman" w:hAnsi="Times New Roman" w:cs="Times New Roman"/>
                <w:color w:val="auto"/>
                <w:sz w:val="18"/>
                <w:szCs w:val="18"/>
                <w:highlight w:val="none"/>
                <w:lang w:val="en-US" w:eastAsia="zh-CN"/>
              </w:rPr>
              <w:t>7</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434.16</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921.31</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60.26</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53.49</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27.49</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26.89</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53.50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27.50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63.51</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53.48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27.48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0.41</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66.95</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40.95</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2</w:t>
            </w:r>
          </w:p>
        </w:tc>
        <w:tc>
          <w:tcPr>
            <w:tcW w:w="283"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隔离舍</w:t>
            </w:r>
            <w:r>
              <w:rPr>
                <w:rFonts w:hint="eastAsia" w:ascii="Times New Roman" w:hAnsi="Times New Roman" w:cs="Times New Roman"/>
                <w:color w:val="auto"/>
                <w:sz w:val="18"/>
                <w:szCs w:val="18"/>
                <w:highlight w:val="none"/>
                <w:lang w:val="en-US" w:eastAsia="zh-CN"/>
              </w:rPr>
              <w:t>1</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716.91</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358.07</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30.85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52.23</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15</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26.23</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rPr>
                <w:rFonts w:hint="eastAsia" w:ascii="Times New Roman" w:hAnsi="Times New Roman"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64.17</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52.21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15</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26.21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rPr>
                <w:rFonts w:hint="eastAsia" w:ascii="Times New Roman" w:hAnsi="Times New Roman"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11.90</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52.35</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26.35</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pStyle w:val="1995"/>
              <w:keepNext w:val="0"/>
              <w:keepLines w:val="0"/>
              <w:suppressLineNumbers w:val="0"/>
              <w:spacing w:before="0" w:beforeAutospacing="0" w:after="0" w:afterAutospacing="0"/>
              <w:ind w:left="0" w:right="0"/>
              <w:rPr>
                <w:rFonts w:hint="eastAsia" w:ascii="Times New Roman" w:hAnsi="Times New Roman" w:cs="Times New Roman"/>
                <w:color w:val="auto"/>
                <w:kern w:val="2"/>
                <w:sz w:val="18"/>
                <w:szCs w:val="18"/>
                <w:highlight w:val="none"/>
                <w:lang w:val="en-US" w:eastAsia="zh-CN" w:bidi="ar-SA"/>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41.18</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52.22</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26.22</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隔离舍</w:t>
            </w:r>
            <w:r>
              <w:rPr>
                <w:rFonts w:hint="eastAsia" w:ascii="Times New Roman" w:hAnsi="Times New Roman" w:cs="Times New Roman"/>
                <w:color w:val="auto"/>
                <w:sz w:val="18"/>
                <w:szCs w:val="18"/>
                <w:highlight w:val="none"/>
                <w:lang w:val="en-US" w:eastAsia="zh-CN"/>
              </w:rPr>
              <w:t>2</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风机+水帘</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70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818.7</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398.79</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37.98</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58.07</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32.07</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8.32</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58.14</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32.14</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44.24</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58.07</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32.07</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 w:type="pct"/>
            <w:vMerge w:val="continue"/>
            <w:tcBorders>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10.76</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58.11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32.11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w:t>
            </w:r>
          </w:p>
        </w:tc>
        <w:tc>
          <w:tcPr>
            <w:tcW w:w="283"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设备间</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水泵</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90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732.83</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571.39</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23.05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82.93</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56.93</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7.62</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82.96</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56.96</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82.98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56.98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7.82</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82.96</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56.96</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02"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w:t>
            </w:r>
          </w:p>
        </w:tc>
        <w:tc>
          <w:tcPr>
            <w:tcW w:w="283"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工具房</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柴油发电机</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85</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851.54</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520.13</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21.69</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78.32</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52.32</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6.29</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78.35</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52.35</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4.03</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78.41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52.41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6.59</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78.35</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52.35</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5</w:t>
            </w:r>
          </w:p>
        </w:tc>
        <w:tc>
          <w:tcPr>
            <w:tcW w:w="283"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污水处理设施</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鼓风机</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90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选择低噪声设备、加装消声器、厂房隔声</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460.49</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496.39</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18.80</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81.98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55.98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12.00</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81.98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55.98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7.58</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82.01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56.01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8.85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82.00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56.00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102"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w:t>
            </w: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污泥泵</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90</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选择低噪声设备、</w:t>
            </w:r>
            <w:r>
              <w:rPr>
                <w:rFonts w:hint="default" w:ascii="Times New Roman" w:hAnsi="Times New Roman" w:eastAsia="宋体" w:cs="Times New Roman"/>
                <w:color w:val="auto"/>
                <w:sz w:val="18"/>
                <w:szCs w:val="18"/>
                <w:highlight w:val="none"/>
                <w:lang w:val="en-US" w:eastAsia="zh-CN"/>
              </w:rPr>
              <w:t>厂房隔声、底座减震</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459.87</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510.76</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5.15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82.05</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56.05</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7.46</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82.01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56.01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21.23</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81.97</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55.97</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13.38</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81.98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55.98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restart"/>
            <w:tcBorders>
              <w:top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7</w:t>
            </w:r>
          </w:p>
        </w:tc>
        <w:tc>
          <w:tcPr>
            <w:tcW w:w="283"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无害化处理车间</w:t>
            </w:r>
          </w:p>
        </w:tc>
        <w:tc>
          <w:tcPr>
            <w:tcW w:w="478" w:type="pct"/>
            <w:vMerge w:val="restart"/>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无害化处理机</w:t>
            </w:r>
          </w:p>
        </w:tc>
        <w:tc>
          <w:tcPr>
            <w:tcW w:w="390"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34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85</w:t>
            </w:r>
          </w:p>
        </w:tc>
        <w:tc>
          <w:tcPr>
            <w:tcW w:w="63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选择低噪声设备、</w:t>
            </w:r>
            <w:r>
              <w:rPr>
                <w:rFonts w:hint="default" w:ascii="Times New Roman" w:hAnsi="Times New Roman" w:eastAsia="宋体" w:cs="Times New Roman"/>
                <w:color w:val="auto"/>
                <w:sz w:val="18"/>
                <w:szCs w:val="18"/>
                <w:highlight w:val="none"/>
                <w:lang w:val="en-US" w:eastAsia="zh-CN"/>
              </w:rPr>
              <w:t>厂房隔声、底座减震</w:t>
            </w:r>
          </w:p>
        </w:tc>
        <w:tc>
          <w:tcPr>
            <w:tcW w:w="289"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389.28</w:t>
            </w:r>
          </w:p>
        </w:tc>
        <w:tc>
          <w:tcPr>
            <w:tcW w:w="278"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583.22</w:t>
            </w:r>
          </w:p>
        </w:tc>
        <w:tc>
          <w:tcPr>
            <w:tcW w:w="252" w:type="pct"/>
            <w:vMerge w:val="restar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7.72</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77.51</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51.51</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14.26</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77.48</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51.48</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9.46</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77.50</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51.50</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3"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478" w:type="pct"/>
            <w:vMerge w:val="continue"/>
            <w:tcBorders>
              <w:top w:val="single" w:color="000000" w:sz="8" w:space="0"/>
              <w:bottom w:val="single" w:color="000000" w:sz="8" w:space="0"/>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390"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4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p>
        </w:tc>
        <w:tc>
          <w:tcPr>
            <w:tcW w:w="63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89"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7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25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p>
        </w:tc>
        <w:tc>
          <w:tcPr>
            <w:tcW w:w="309"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12.55</w:t>
            </w:r>
          </w:p>
        </w:tc>
        <w:tc>
          <w:tcPr>
            <w:tcW w:w="364"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77.49</w:t>
            </w:r>
          </w:p>
        </w:tc>
        <w:tc>
          <w:tcPr>
            <w:tcW w:w="26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连续</w:t>
            </w:r>
          </w:p>
        </w:tc>
        <w:tc>
          <w:tcPr>
            <w:tcW w:w="374"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326" w:type="pct"/>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51.49</w:t>
            </w:r>
          </w:p>
        </w:tc>
        <w:tc>
          <w:tcPr>
            <w:tcW w:w="30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bl>
    <w:p>
      <w:pPr>
        <w:keepNext w:val="0"/>
        <w:keepLines w:val="0"/>
        <w:pageBreakBefore w:val="0"/>
        <w:widowControl w:val="0"/>
        <w:numPr>
          <w:ilvl w:val="0"/>
          <w:numId w:val="38"/>
        </w:numPr>
        <w:kinsoku/>
        <w:wordWrap/>
        <w:overflowPunct/>
        <w:topLinePunct w:val="0"/>
        <w:autoSpaceDE/>
        <w:autoSpaceDN/>
        <w:bidi w:val="0"/>
        <w:adjustRightInd w:val="0"/>
        <w:snapToGrid w:val="0"/>
        <w:spacing w:before="63" w:beforeLines="20" w:after="32" w:afterLines="10" w:line="240" w:lineRule="auto"/>
        <w:ind w:left="420"/>
        <w:jc w:val="center"/>
        <w:textAlignment w:val="auto"/>
        <w:rPr>
          <w:rFonts w:hint="default"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lang w:eastAsia="zh-CN"/>
        </w:rPr>
        <w:t>本</w:t>
      </w:r>
      <w:r>
        <w:rPr>
          <w:rFonts w:hint="eastAsia" w:ascii="Times New Roman" w:hAnsi="Times New Roman" w:eastAsia="宋体" w:cs="Times New Roman"/>
          <w:b/>
          <w:bCs/>
          <w:color w:val="auto"/>
          <w:sz w:val="21"/>
          <w:szCs w:val="21"/>
          <w:highlight w:val="none"/>
          <w:lang w:val="en-US" w:eastAsia="zh-CN"/>
        </w:rPr>
        <w:t>项目</w:t>
      </w:r>
      <w:r>
        <w:rPr>
          <w:rFonts w:hint="default" w:ascii="Times New Roman" w:hAnsi="Times New Roman" w:eastAsia="宋体" w:cs="Times New Roman"/>
          <w:b/>
          <w:bCs/>
          <w:color w:val="auto"/>
          <w:sz w:val="21"/>
          <w:szCs w:val="21"/>
          <w:highlight w:val="none"/>
        </w:rPr>
        <w:t>噪声</w:t>
      </w:r>
      <w:r>
        <w:rPr>
          <w:rFonts w:hint="eastAsia" w:ascii="Times New Roman" w:hAnsi="Times New Roman" w:eastAsia="宋体" w:cs="Times New Roman"/>
          <w:b/>
          <w:bCs/>
          <w:color w:val="auto"/>
          <w:sz w:val="21"/>
          <w:szCs w:val="21"/>
          <w:highlight w:val="none"/>
          <w:lang w:val="en-US" w:eastAsia="zh-CN"/>
        </w:rPr>
        <w:t>源强调查清单（室外声源）</w:t>
      </w:r>
    </w:p>
    <w:tbl>
      <w:tblPr>
        <w:tblStyle w:val="9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9"/>
        <w:gridCol w:w="1884"/>
        <w:gridCol w:w="1747"/>
        <w:gridCol w:w="1677"/>
        <w:gridCol w:w="3020"/>
        <w:gridCol w:w="1379"/>
        <w:gridCol w:w="1326"/>
        <w:gridCol w:w="1217"/>
        <w:gridCol w:w="12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71"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序号</w:t>
            </w:r>
          </w:p>
        </w:tc>
        <w:tc>
          <w:tcPr>
            <w:tcW w:w="672"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建筑物名称</w:t>
            </w:r>
          </w:p>
        </w:tc>
        <w:tc>
          <w:tcPr>
            <w:tcW w:w="623"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r>
              <w:rPr>
                <w:rFonts w:hint="default" w:ascii="Times New Roman" w:hAnsi="Times New Roman" w:eastAsia="宋体" w:cs="Times New Roman"/>
                <w:b/>
                <w:color w:val="auto"/>
                <w:sz w:val="18"/>
                <w:szCs w:val="18"/>
                <w:highlight w:val="none"/>
              </w:rPr>
              <w:t>声源名称</w:t>
            </w:r>
          </w:p>
        </w:tc>
        <w:tc>
          <w:tcPr>
            <w:tcW w:w="598"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rPr>
              <w:t>声压级/</w:t>
            </w:r>
            <w:r>
              <w:rPr>
                <w:rFonts w:hint="default" w:ascii="Times New Roman" w:hAnsi="Times New Roman" w:eastAsia="宋体" w:cs="Times New Roman"/>
                <w:b/>
                <w:bCs/>
                <w:color w:val="auto"/>
                <w:sz w:val="18"/>
                <w:szCs w:val="18"/>
                <w:highlight w:val="none"/>
              </w:rPr>
              <w:t>dB(</w:t>
            </w:r>
            <w:r>
              <w:rPr>
                <w:rFonts w:hint="default" w:ascii="Times New Roman" w:hAnsi="Times New Roman" w:eastAsia="宋体" w:cs="Times New Roman"/>
                <w:b/>
                <w:bCs/>
                <w:color w:val="auto"/>
                <w:sz w:val="18"/>
                <w:szCs w:val="18"/>
                <w:highlight w:val="none"/>
                <w:lang w:val="en-US" w:eastAsia="zh-CN"/>
              </w:rPr>
              <w:t>A</w:t>
            </w:r>
            <w:r>
              <w:rPr>
                <w:rFonts w:hint="default" w:ascii="Times New Roman" w:hAnsi="Times New Roman" w:eastAsia="宋体" w:cs="Times New Roman"/>
                <w:b/>
                <w:bCs/>
                <w:color w:val="auto"/>
                <w:sz w:val="18"/>
                <w:szCs w:val="18"/>
                <w:highlight w:val="none"/>
              </w:rPr>
              <w:t>)</w:t>
            </w:r>
          </w:p>
        </w:tc>
        <w:tc>
          <w:tcPr>
            <w:tcW w:w="1077" w:type="pct"/>
            <w:vMerge w:val="restar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
                <w:color w:val="auto"/>
                <w:sz w:val="18"/>
                <w:szCs w:val="18"/>
                <w:highlight w:val="none"/>
                <w:lang w:val="en-US" w:eastAsia="zh-CN"/>
              </w:rPr>
              <w:t>声源控制措施</w:t>
            </w:r>
          </w:p>
        </w:tc>
        <w:tc>
          <w:tcPr>
            <w:tcW w:w="1399" w:type="pct"/>
            <w:gridSpan w:val="3"/>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空间相对位置</w:t>
            </w:r>
          </w:p>
        </w:tc>
        <w:tc>
          <w:tcPr>
            <w:tcW w:w="456" w:type="pct"/>
            <w:vMerge w:val="restart"/>
            <w:tcBorders>
              <w:tl2br w:val="nil"/>
              <w:tr2bl w:val="nil"/>
            </w:tcBorders>
            <w:noWrap w:val="0"/>
            <w:tcMar>
              <w:left w:w="28" w:type="dxa"/>
              <w:right w:w="28" w:type="dxa"/>
            </w:tcMar>
            <w:vAlign w:val="center"/>
          </w:tcPr>
          <w:p>
            <w:pPr>
              <w:keepNext w:val="0"/>
              <w:keepLines w:val="0"/>
              <w:widowControl/>
              <w:suppressLineNumbers w:val="0"/>
              <w:autoSpaceDE/>
              <w:autoSpaceDN/>
              <w:adjustRightIn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运行时段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71"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p>
        </w:tc>
        <w:tc>
          <w:tcPr>
            <w:tcW w:w="672"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p>
        </w:tc>
        <w:tc>
          <w:tcPr>
            <w:tcW w:w="623"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p>
        </w:tc>
        <w:tc>
          <w:tcPr>
            <w:tcW w:w="598"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p>
        </w:tc>
        <w:tc>
          <w:tcPr>
            <w:tcW w:w="1077" w:type="pct"/>
            <w:vMerge w:val="continue"/>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rPr>
            </w:pPr>
          </w:p>
        </w:tc>
        <w:tc>
          <w:tcPr>
            <w:tcW w:w="49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X</w:t>
            </w:r>
          </w:p>
        </w:tc>
        <w:tc>
          <w:tcPr>
            <w:tcW w:w="473"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Y</w:t>
            </w:r>
          </w:p>
        </w:tc>
        <w:tc>
          <w:tcPr>
            <w:tcW w:w="433"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Z</w:t>
            </w:r>
          </w:p>
        </w:tc>
        <w:tc>
          <w:tcPr>
            <w:tcW w:w="456" w:type="pct"/>
            <w:vMerge w:val="continue"/>
            <w:tcBorders>
              <w:tl2br w:val="nil"/>
              <w:tr2bl w:val="nil"/>
            </w:tcBorders>
            <w:noWrap w:val="0"/>
            <w:tcMar>
              <w:left w:w="28" w:type="dxa"/>
              <w:right w:w="28" w:type="dxa"/>
            </w:tcMar>
            <w:vAlign w:val="center"/>
          </w:tcPr>
          <w:p>
            <w:pPr>
              <w:keepNext w:val="0"/>
              <w:keepLines w:val="0"/>
              <w:widowControl/>
              <w:suppressLineNumbers w:val="0"/>
              <w:autoSpaceDE/>
              <w:autoSpaceDN/>
              <w:adjustRightIn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18"/>
                <w:szCs w:val="18"/>
                <w:highlight w:val="none"/>
                <w:lang w:eastAsia="en-US"/>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1"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672"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办公区</w:t>
            </w:r>
          </w:p>
        </w:tc>
        <w:tc>
          <w:tcPr>
            <w:tcW w:w="623"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空调</w:t>
            </w:r>
          </w:p>
        </w:tc>
        <w:tc>
          <w:tcPr>
            <w:tcW w:w="598"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75</w:t>
            </w:r>
          </w:p>
        </w:tc>
        <w:tc>
          <w:tcPr>
            <w:tcW w:w="1077"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选择低噪声设备</w:t>
            </w:r>
          </w:p>
        </w:tc>
        <w:tc>
          <w:tcPr>
            <w:tcW w:w="1379" w:type="dxa"/>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870.28</w:t>
            </w:r>
          </w:p>
        </w:tc>
        <w:tc>
          <w:tcPr>
            <w:tcW w:w="1326" w:type="dxa"/>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533.87</w:t>
            </w:r>
          </w:p>
        </w:tc>
        <w:tc>
          <w:tcPr>
            <w:tcW w:w="1217" w:type="dxa"/>
            <w:tcBorders>
              <w:tl2br w:val="nil"/>
              <w:tr2bl w:val="nil"/>
            </w:tcBorders>
            <w:noWrap w:val="0"/>
            <w:tcMar>
              <w:left w:w="28" w:type="dxa"/>
              <w:right w:w="2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1</w:t>
            </w:r>
          </w:p>
        </w:tc>
        <w:tc>
          <w:tcPr>
            <w:tcW w:w="456" w:type="pct"/>
            <w:tcBorders>
              <w:tl2br w:val="nil"/>
              <w:tr2bl w:val="nil"/>
            </w:tcBorders>
            <w:noWrap w:val="0"/>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间断</w:t>
            </w:r>
          </w:p>
        </w:tc>
      </w:tr>
    </w:tbl>
    <w:p>
      <w:pPr>
        <w:pStyle w:val="114"/>
        <w:rPr>
          <w:rFonts w:hint="default"/>
          <w:color w:val="auto"/>
          <w:highlight w:val="none"/>
        </w:rPr>
      </w:pPr>
    </w:p>
    <w:p>
      <w:pPr>
        <w:pStyle w:val="114"/>
        <w:rPr>
          <w:rFonts w:hint="default"/>
          <w:color w:val="auto"/>
          <w:highlight w:val="none"/>
        </w:rPr>
      </w:pPr>
    </w:p>
    <w:p>
      <w:pPr>
        <w:pStyle w:val="114"/>
        <w:rPr>
          <w:rFonts w:hint="default"/>
          <w:color w:val="auto"/>
          <w:highlight w:val="none"/>
        </w:rPr>
        <w:sectPr>
          <w:pgSz w:w="16838" w:h="11906" w:orient="landscape"/>
          <w:pgMar w:top="1800" w:right="1440" w:bottom="1800" w:left="1440" w:header="992"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22" w:firstLineChars="200"/>
        <w:textAlignment w:val="auto"/>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4、声环境保护目标</w:t>
      </w:r>
    </w:p>
    <w:p>
      <w:pPr>
        <w:keepNext w:val="0"/>
        <w:keepLines w:val="0"/>
        <w:pageBreakBefore w:val="0"/>
        <w:widowControl w:val="0"/>
        <w:numPr>
          <w:ilvl w:val="0"/>
          <w:numId w:val="38"/>
        </w:numPr>
        <w:kinsoku/>
        <w:wordWrap/>
        <w:overflowPunct/>
        <w:topLinePunct w:val="0"/>
        <w:autoSpaceDE/>
        <w:autoSpaceDN/>
        <w:bidi w:val="0"/>
        <w:adjustRightInd w:val="0"/>
        <w:snapToGrid w:val="0"/>
        <w:spacing w:before="63" w:beforeLines="20" w:after="32" w:afterLines="10" w:line="240" w:lineRule="auto"/>
        <w:ind w:left="420"/>
        <w:jc w:val="center"/>
        <w:textAlignment w:val="auto"/>
        <w:rPr>
          <w:rFonts w:hint="default"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lang w:val="en-US" w:eastAsia="zh-CN"/>
        </w:rPr>
        <w:t xml:space="preserve">  工业企业声环境保护目标调查表</w:t>
      </w:r>
    </w:p>
    <w:tbl>
      <w:tblPr>
        <w:tblStyle w:val="91"/>
        <w:tblW w:w="4995"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432"/>
        <w:gridCol w:w="1279"/>
        <w:gridCol w:w="645"/>
        <w:gridCol w:w="742"/>
        <w:gridCol w:w="634"/>
        <w:gridCol w:w="1106"/>
        <w:gridCol w:w="848"/>
        <w:gridCol w:w="1290"/>
        <w:gridCol w:w="137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32" w:type="dxa"/>
            <w:vMerge w:val="restart"/>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序</w:t>
            </w:r>
            <w:r>
              <w:rPr>
                <w:rFonts w:hint="default" w:ascii="Times New Roman" w:hAnsi="Times New Roman" w:eastAsia="宋体" w:cs="Times New Roman"/>
                <w:color w:val="auto"/>
                <w:sz w:val="21"/>
                <w:szCs w:val="21"/>
                <w:highlight w:val="none"/>
                <w:lang w:val="en-US" w:eastAsia="zh-CN"/>
              </w:rPr>
              <w:t>号</w:t>
            </w:r>
          </w:p>
        </w:tc>
        <w:tc>
          <w:tcPr>
            <w:tcW w:w="1279" w:type="dxa"/>
            <w:vMerge w:val="restart"/>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133"/>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声环境保护目标名称</w:t>
            </w:r>
          </w:p>
        </w:tc>
        <w:tc>
          <w:tcPr>
            <w:tcW w:w="2021" w:type="dxa"/>
            <w:gridSpan w:val="3"/>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空间相对位置/m</w:t>
            </w:r>
          </w:p>
        </w:tc>
        <w:tc>
          <w:tcPr>
            <w:tcW w:w="1106" w:type="dxa"/>
            <w:vMerge w:val="restart"/>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11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距厂界最近距离/m</w:t>
            </w:r>
          </w:p>
        </w:tc>
        <w:tc>
          <w:tcPr>
            <w:tcW w:w="848" w:type="dxa"/>
            <w:vMerge w:val="restart"/>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方位</w:t>
            </w:r>
          </w:p>
        </w:tc>
        <w:tc>
          <w:tcPr>
            <w:tcW w:w="1290" w:type="dxa"/>
            <w:vMerge w:val="restart"/>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178"/>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执行标准/功能区</w:t>
            </w:r>
          </w:p>
        </w:tc>
        <w:tc>
          <w:tcPr>
            <w:tcW w:w="1378" w:type="dxa"/>
            <w:vMerge w:val="restart"/>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38"/>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声环境保护目标情况</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32" w:type="dxa"/>
            <w:vMerge w:val="continue"/>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rPr>
            </w:pPr>
          </w:p>
        </w:tc>
        <w:tc>
          <w:tcPr>
            <w:tcW w:w="1279" w:type="dxa"/>
            <w:vMerge w:val="continue"/>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rPr>
            </w:pPr>
          </w:p>
        </w:tc>
        <w:tc>
          <w:tcPr>
            <w:tcW w:w="645"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26" w:right="0" w:firstLine="0"/>
              <w:jc w:val="center"/>
              <w:textAlignment w:val="auto"/>
              <w:rPr>
                <w:rFonts w:hint="default" w:ascii="Times New Roman" w:hAnsi="Times New Roman" w:eastAsia="宋体" w:cs="Times New Roman"/>
                <w:i/>
                <w:color w:val="auto"/>
                <w:sz w:val="21"/>
                <w:szCs w:val="21"/>
                <w:highlight w:val="none"/>
              </w:rPr>
            </w:pPr>
            <w:r>
              <w:rPr>
                <w:rFonts w:hint="default" w:ascii="Times New Roman" w:hAnsi="Times New Roman" w:eastAsia="宋体" w:cs="Times New Roman"/>
                <w:i/>
                <w:color w:val="auto"/>
                <w:sz w:val="21"/>
                <w:szCs w:val="21"/>
                <w:highlight w:val="none"/>
              </w:rPr>
              <w:t>X</w:t>
            </w:r>
          </w:p>
        </w:tc>
        <w:tc>
          <w:tcPr>
            <w:tcW w:w="742"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23" w:right="0" w:firstLine="0"/>
              <w:jc w:val="center"/>
              <w:textAlignment w:val="auto"/>
              <w:rPr>
                <w:rFonts w:hint="default" w:ascii="Times New Roman" w:hAnsi="Times New Roman" w:eastAsia="宋体" w:cs="Times New Roman"/>
                <w:i/>
                <w:color w:val="auto"/>
                <w:sz w:val="21"/>
                <w:szCs w:val="21"/>
                <w:highlight w:val="none"/>
              </w:rPr>
            </w:pPr>
            <w:r>
              <w:rPr>
                <w:rFonts w:hint="default" w:ascii="Times New Roman" w:hAnsi="Times New Roman" w:eastAsia="宋体" w:cs="Times New Roman"/>
                <w:i/>
                <w:color w:val="auto"/>
                <w:sz w:val="21"/>
                <w:szCs w:val="21"/>
                <w:highlight w:val="none"/>
              </w:rPr>
              <w:t>Y</w:t>
            </w:r>
          </w:p>
        </w:tc>
        <w:tc>
          <w:tcPr>
            <w:tcW w:w="634"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8" w:right="0" w:firstLine="0"/>
              <w:jc w:val="center"/>
              <w:textAlignment w:val="auto"/>
              <w:rPr>
                <w:rFonts w:hint="default" w:ascii="Times New Roman" w:hAnsi="Times New Roman" w:eastAsia="宋体" w:cs="Times New Roman"/>
                <w:i/>
                <w:color w:val="auto"/>
                <w:sz w:val="21"/>
                <w:szCs w:val="21"/>
                <w:highlight w:val="none"/>
              </w:rPr>
            </w:pPr>
            <w:r>
              <w:rPr>
                <w:rFonts w:hint="default" w:ascii="Times New Roman" w:hAnsi="Times New Roman" w:eastAsia="宋体" w:cs="Times New Roman"/>
                <w:i/>
                <w:color w:val="auto"/>
                <w:sz w:val="21"/>
                <w:szCs w:val="21"/>
                <w:highlight w:val="none"/>
              </w:rPr>
              <w:t>Z</w:t>
            </w:r>
          </w:p>
        </w:tc>
        <w:tc>
          <w:tcPr>
            <w:tcW w:w="1106" w:type="dxa"/>
            <w:vMerge w:val="continue"/>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rPr>
            </w:pPr>
          </w:p>
        </w:tc>
        <w:tc>
          <w:tcPr>
            <w:tcW w:w="848" w:type="dxa"/>
            <w:vMerge w:val="continue"/>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rPr>
            </w:pPr>
          </w:p>
        </w:tc>
        <w:tc>
          <w:tcPr>
            <w:tcW w:w="1290" w:type="dxa"/>
            <w:vMerge w:val="continue"/>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rPr>
            </w:pPr>
          </w:p>
        </w:tc>
        <w:tc>
          <w:tcPr>
            <w:tcW w:w="1378" w:type="dxa"/>
            <w:vMerge w:val="continue"/>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432"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279" w:type="dxa"/>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color w:val="auto"/>
                <w:highlight w:val="none"/>
                <w:lang w:val="en-US" w:eastAsia="zh-CN"/>
              </w:rPr>
            </w:pPr>
            <w:r>
              <w:rPr>
                <w:rFonts w:hint="eastAsia"/>
                <w:color w:val="auto"/>
                <w:highlight w:val="none"/>
              </w:rPr>
              <w:t>黄宝梁居民1</w:t>
            </w:r>
            <w:r>
              <w:rPr>
                <w:rFonts w:hint="eastAsia"/>
                <w:color w:val="auto"/>
                <w:highlight w:val="none"/>
                <w:lang w:eastAsia="zh-CN"/>
              </w:rPr>
              <w:t>（已租赁）</w:t>
            </w:r>
          </w:p>
        </w:tc>
        <w:tc>
          <w:tcPr>
            <w:tcW w:w="645" w:type="dxa"/>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olor w:val="auto"/>
                <w:highlight w:val="none"/>
              </w:rPr>
              <w:t>933.22</w:t>
            </w:r>
          </w:p>
        </w:tc>
        <w:tc>
          <w:tcPr>
            <w:tcW w:w="742" w:type="dxa"/>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olor w:val="auto"/>
                <w:highlight w:val="none"/>
              </w:rPr>
              <w:t>661.07</w:t>
            </w:r>
          </w:p>
        </w:tc>
        <w:tc>
          <w:tcPr>
            <w:tcW w:w="634" w:type="dxa"/>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73</w:t>
            </w:r>
          </w:p>
        </w:tc>
        <w:tc>
          <w:tcPr>
            <w:tcW w:w="1106"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94</w:t>
            </w:r>
          </w:p>
        </w:tc>
        <w:tc>
          <w:tcPr>
            <w:tcW w:w="848"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东</w:t>
            </w:r>
            <w:r>
              <w:rPr>
                <w:rFonts w:hint="default" w:ascii="Times New Roman" w:hAnsi="Times New Roman" w:eastAsia="宋体" w:cs="Times New Roman"/>
                <w:color w:val="auto"/>
                <w:sz w:val="21"/>
                <w:szCs w:val="21"/>
                <w:highlight w:val="none"/>
                <w:lang w:val="en-US" w:eastAsia="zh-CN"/>
              </w:rPr>
              <w:t>南侧</w:t>
            </w:r>
          </w:p>
        </w:tc>
        <w:tc>
          <w:tcPr>
            <w:tcW w:w="1290" w:type="dxa"/>
            <w:vMerge w:val="restart"/>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《声环境质量标准》（GB3096-2008）2类</w:t>
            </w:r>
            <w:r>
              <w:rPr>
                <w:rFonts w:hint="default" w:ascii="Times New Roman" w:hAnsi="Times New Roman" w:eastAsia="宋体" w:cs="Times New Roman"/>
                <w:bCs/>
                <w:color w:val="auto"/>
                <w:sz w:val="21"/>
                <w:szCs w:val="21"/>
                <w:highlight w:val="none"/>
              </w:rPr>
              <w:t>标准</w:t>
            </w:r>
          </w:p>
        </w:tc>
        <w:tc>
          <w:tcPr>
            <w:tcW w:w="1378"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民房，2层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32"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1279" w:type="dxa"/>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color w:val="auto"/>
                <w:highlight w:val="none"/>
              </w:rPr>
            </w:pPr>
            <w:r>
              <w:rPr>
                <w:rFonts w:hint="eastAsia"/>
                <w:color w:val="auto"/>
                <w:highlight w:val="none"/>
              </w:rPr>
              <w:t>黄包梁居民2</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color w:val="auto"/>
                <w:highlight w:val="none"/>
                <w:lang w:val="en-US" w:eastAsia="zh-CN"/>
              </w:rPr>
            </w:pPr>
            <w:r>
              <w:rPr>
                <w:rFonts w:hint="default"/>
                <w:color w:val="auto"/>
                <w:highlight w:val="none"/>
                <w:lang w:val="en-US" w:eastAsia="zh-CN"/>
              </w:rPr>
              <w:t>（已租赁）</w:t>
            </w:r>
          </w:p>
        </w:tc>
        <w:tc>
          <w:tcPr>
            <w:tcW w:w="645" w:type="dxa"/>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olor w:val="auto"/>
                <w:highlight w:val="none"/>
              </w:rPr>
              <w:t>1,033.04</w:t>
            </w:r>
          </w:p>
        </w:tc>
        <w:tc>
          <w:tcPr>
            <w:tcW w:w="742" w:type="dxa"/>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olor w:val="auto"/>
                <w:highlight w:val="none"/>
              </w:rPr>
              <w:t>571.62</w:t>
            </w:r>
          </w:p>
        </w:tc>
        <w:tc>
          <w:tcPr>
            <w:tcW w:w="634"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8"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w:t>
            </w:r>
          </w:p>
        </w:tc>
        <w:tc>
          <w:tcPr>
            <w:tcW w:w="1106"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82</w:t>
            </w:r>
          </w:p>
        </w:tc>
        <w:tc>
          <w:tcPr>
            <w:tcW w:w="848"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东</w:t>
            </w:r>
            <w:r>
              <w:rPr>
                <w:rFonts w:hint="default" w:ascii="Times New Roman" w:hAnsi="Times New Roman" w:eastAsia="宋体" w:cs="Times New Roman"/>
                <w:color w:val="auto"/>
                <w:sz w:val="21"/>
                <w:szCs w:val="21"/>
                <w:highlight w:val="none"/>
                <w:lang w:val="en-US" w:eastAsia="zh-CN"/>
              </w:rPr>
              <w:t>南侧</w:t>
            </w:r>
          </w:p>
        </w:tc>
        <w:tc>
          <w:tcPr>
            <w:tcW w:w="1290" w:type="dxa"/>
            <w:vMerge w:val="continue"/>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rPr>
            </w:pPr>
          </w:p>
        </w:tc>
        <w:tc>
          <w:tcPr>
            <w:tcW w:w="1378"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民房，</w:t>
            </w:r>
            <w:r>
              <w:rPr>
                <w:rFonts w:hint="eastAsia" w:ascii="Times New Roman" w:hAnsi="Times New Roman"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32"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w:t>
            </w:r>
          </w:p>
        </w:tc>
        <w:tc>
          <w:tcPr>
            <w:tcW w:w="1279" w:type="dxa"/>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color w:val="auto"/>
                <w:highlight w:val="none"/>
              </w:rPr>
            </w:pPr>
            <w:r>
              <w:rPr>
                <w:rFonts w:hint="eastAsia"/>
                <w:color w:val="auto"/>
                <w:highlight w:val="none"/>
              </w:rPr>
              <w:t>黄包梁居民3</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color w:val="auto"/>
                <w:highlight w:val="none"/>
                <w:lang w:val="en-US" w:eastAsia="zh-CN"/>
              </w:rPr>
            </w:pPr>
            <w:r>
              <w:rPr>
                <w:rFonts w:hint="eastAsia"/>
                <w:color w:val="auto"/>
                <w:highlight w:val="none"/>
                <w:lang w:eastAsia="zh-CN"/>
              </w:rPr>
              <w:t>（已租赁）</w:t>
            </w:r>
          </w:p>
        </w:tc>
        <w:tc>
          <w:tcPr>
            <w:tcW w:w="645" w:type="dxa"/>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olor w:val="auto"/>
                <w:highlight w:val="none"/>
              </w:rPr>
              <w:t>887.85</w:t>
            </w:r>
          </w:p>
        </w:tc>
        <w:tc>
          <w:tcPr>
            <w:tcW w:w="742" w:type="dxa"/>
            <w:tcBorders>
              <w:tl2br w:val="nil"/>
              <w:tr2bl w:val="nil"/>
            </w:tcBorders>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olor w:val="auto"/>
                <w:highlight w:val="none"/>
              </w:rPr>
              <w:t>422.54</w:t>
            </w:r>
          </w:p>
        </w:tc>
        <w:tc>
          <w:tcPr>
            <w:tcW w:w="634"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8"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16</w:t>
            </w:r>
          </w:p>
        </w:tc>
        <w:tc>
          <w:tcPr>
            <w:tcW w:w="1106"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36</w:t>
            </w:r>
          </w:p>
        </w:tc>
        <w:tc>
          <w:tcPr>
            <w:tcW w:w="848"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东</w:t>
            </w:r>
            <w:r>
              <w:rPr>
                <w:rFonts w:hint="default" w:ascii="Times New Roman" w:hAnsi="Times New Roman" w:eastAsia="宋体" w:cs="Times New Roman"/>
                <w:color w:val="auto"/>
                <w:sz w:val="21"/>
                <w:szCs w:val="21"/>
                <w:highlight w:val="none"/>
                <w:lang w:val="en-US" w:eastAsia="zh-CN"/>
              </w:rPr>
              <w:t>南侧</w:t>
            </w:r>
          </w:p>
        </w:tc>
        <w:tc>
          <w:tcPr>
            <w:tcW w:w="1290" w:type="dxa"/>
            <w:vMerge w:val="continue"/>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rPr>
            </w:pPr>
          </w:p>
        </w:tc>
        <w:tc>
          <w:tcPr>
            <w:tcW w:w="1378" w:type="dxa"/>
            <w:tcBorders>
              <w:tl2br w:val="nil"/>
              <w:tr2bl w:val="nil"/>
            </w:tcBorders>
            <w:noWrap w:val="0"/>
            <w:tcMar>
              <w:top w:w="0" w:type="dxa"/>
              <w:left w:w="28" w:type="dxa"/>
              <w:bottom w:w="0" w:type="dxa"/>
              <w:right w:w="28" w:type="dxa"/>
            </w:tcMar>
            <w:vAlign w:val="center"/>
          </w:tcPr>
          <w:p>
            <w:pPr>
              <w:pStyle w:val="16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民房，</w:t>
            </w:r>
            <w:r>
              <w:rPr>
                <w:rFonts w:hint="eastAsia" w:ascii="Times New Roman" w:hAnsi="Times New Roman"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层</w:t>
            </w:r>
          </w:p>
        </w:tc>
      </w:tr>
    </w:tbl>
    <w:p>
      <w:pPr>
        <w:pStyle w:val="9"/>
        <w:rPr>
          <w:rFonts w:hint="eastAsia" w:cs="Times New Roman"/>
          <w:color w:val="auto"/>
          <w:highlight w:val="none"/>
          <w:lang w:eastAsia="zh-CN"/>
        </w:rPr>
      </w:pPr>
      <w:r>
        <w:rPr>
          <w:rFonts w:hint="eastAsia" w:cs="Times New Roman"/>
          <w:color w:val="auto"/>
          <w:highlight w:val="none"/>
          <w:lang w:eastAsia="zh-CN"/>
        </w:rPr>
        <w:t>预测范围及预测点确定</w:t>
      </w:r>
    </w:p>
    <w:p>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根据声环境二级评价的要求与本项目所处的地理环境特征，本次预测范围确定为场界外200米范围内，预测点确定为场界现状噪声监测点。</w:t>
      </w:r>
    </w:p>
    <w:p>
      <w:pPr>
        <w:pStyle w:val="9"/>
        <w:rPr>
          <w:rFonts w:cs="Times New Roman"/>
          <w:color w:val="auto"/>
          <w:highlight w:val="none"/>
        </w:rPr>
      </w:pPr>
      <w:r>
        <w:rPr>
          <w:rFonts w:cs="Times New Roman"/>
          <w:color w:val="auto"/>
          <w:highlight w:val="none"/>
        </w:rPr>
        <w:t>噪声预测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预测计算方法：利用噪声衰减模式计算出各个不同位置的噪声源强对不同监测点的贡献值，然后将每个监测点的噪声贡献值叠加即得到本工程噪声源对各监测点的噪声贡献值，最后与监测点的噪声本底监测值叠加，得到各监测点的预测值。</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考虑到对保护环境有利，采用噪声衰减模式和多源叠加模式。</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480"/>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（1）噪声衰减模式</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1200" w:firstLineChars="500"/>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L</w:t>
      </w:r>
      <w:r>
        <w:rPr>
          <w:rStyle w:val="427"/>
          <w:rFonts w:hint="default" w:ascii="Times New Roman" w:hAnsi="Times New Roman" w:eastAsia="宋体" w:cs="Times New Roman"/>
          <w:color w:val="auto"/>
          <w:highlight w:val="none"/>
          <w:vertAlign w:val="subscript"/>
        </w:rPr>
        <w:t>P</w:t>
      </w:r>
      <w:r>
        <w:rPr>
          <w:rStyle w:val="427"/>
          <w:rFonts w:hint="default" w:ascii="Times New Roman" w:hAnsi="Times New Roman" w:eastAsia="宋体" w:cs="Times New Roman"/>
          <w:color w:val="auto"/>
          <w:highlight w:val="none"/>
        </w:rPr>
        <w:t>＝L</w:t>
      </w:r>
      <w:r>
        <w:rPr>
          <w:rStyle w:val="427"/>
          <w:rFonts w:hint="default" w:ascii="Times New Roman" w:hAnsi="Times New Roman" w:eastAsia="宋体" w:cs="Times New Roman"/>
          <w:color w:val="auto"/>
          <w:highlight w:val="none"/>
          <w:vertAlign w:val="subscript"/>
        </w:rPr>
        <w:t>W</w:t>
      </w:r>
      <w:r>
        <w:rPr>
          <w:rStyle w:val="427"/>
          <w:rFonts w:hint="default" w:ascii="Times New Roman" w:hAnsi="Times New Roman" w:eastAsia="宋体" w:cs="Times New Roman"/>
          <w:color w:val="auto"/>
          <w:highlight w:val="none"/>
        </w:rPr>
        <w:t>－20lgr－K</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480"/>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式中：L</w:t>
      </w:r>
      <w:r>
        <w:rPr>
          <w:rStyle w:val="427"/>
          <w:rFonts w:hint="default" w:ascii="Times New Roman" w:hAnsi="Times New Roman" w:eastAsia="宋体" w:cs="Times New Roman"/>
          <w:color w:val="auto"/>
          <w:highlight w:val="none"/>
          <w:vertAlign w:val="subscript"/>
        </w:rPr>
        <w:t>P</w:t>
      </w:r>
      <w:r>
        <w:rPr>
          <w:rStyle w:val="427"/>
          <w:rFonts w:hint="default" w:ascii="Times New Roman" w:hAnsi="Times New Roman" w:eastAsia="宋体" w:cs="Times New Roman"/>
          <w:color w:val="auto"/>
          <w:highlight w:val="none"/>
        </w:rPr>
        <w:t>……距离声源 r 米处的声压级；</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1200" w:firstLineChars="500"/>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L</w:t>
      </w:r>
      <w:r>
        <w:rPr>
          <w:rStyle w:val="427"/>
          <w:rFonts w:hint="default" w:ascii="Times New Roman" w:hAnsi="Times New Roman" w:eastAsia="宋体" w:cs="Times New Roman"/>
          <w:color w:val="auto"/>
          <w:highlight w:val="none"/>
          <w:vertAlign w:val="subscript"/>
        </w:rPr>
        <w:t>W</w:t>
      </w:r>
      <w:r>
        <w:rPr>
          <w:rStyle w:val="427"/>
          <w:rFonts w:hint="default" w:ascii="Times New Roman" w:hAnsi="Times New Roman" w:eastAsia="宋体" w:cs="Times New Roman"/>
          <w:color w:val="auto"/>
          <w:highlight w:val="none"/>
        </w:rPr>
        <w:t>……声源声功率级；</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1260" w:firstLineChars="525"/>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r……距离声源中心的距离；</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1260" w:firstLineChars="525"/>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K……修正值。</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480"/>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对于同一声源可知r</w:t>
      </w:r>
      <w:r>
        <w:rPr>
          <w:rStyle w:val="427"/>
          <w:rFonts w:hint="default" w:ascii="Times New Roman" w:hAnsi="Times New Roman" w:eastAsia="宋体" w:cs="Times New Roman"/>
          <w:color w:val="auto"/>
          <w:highlight w:val="none"/>
          <w:vertAlign w:val="subscript"/>
        </w:rPr>
        <w:t>1</w:t>
      </w:r>
      <w:r>
        <w:rPr>
          <w:rStyle w:val="427"/>
          <w:rFonts w:hint="default" w:ascii="Times New Roman" w:hAnsi="Times New Roman" w:eastAsia="宋体" w:cs="Times New Roman"/>
          <w:color w:val="auto"/>
          <w:highlight w:val="none"/>
        </w:rPr>
        <w:t>和r</w:t>
      </w:r>
      <w:r>
        <w:rPr>
          <w:rStyle w:val="427"/>
          <w:rFonts w:hint="default" w:ascii="Times New Roman" w:hAnsi="Times New Roman" w:eastAsia="宋体" w:cs="Times New Roman"/>
          <w:color w:val="auto"/>
          <w:highlight w:val="none"/>
          <w:vertAlign w:val="subscript"/>
        </w:rPr>
        <w:t>2</w:t>
      </w:r>
      <w:r>
        <w:rPr>
          <w:rStyle w:val="427"/>
          <w:rFonts w:hint="default" w:ascii="Times New Roman" w:hAnsi="Times New Roman" w:eastAsia="宋体" w:cs="Times New Roman"/>
          <w:color w:val="auto"/>
          <w:highlight w:val="none"/>
        </w:rPr>
        <w:t>处声压级L</w:t>
      </w:r>
      <w:r>
        <w:rPr>
          <w:rStyle w:val="427"/>
          <w:rFonts w:hint="default" w:ascii="Times New Roman" w:hAnsi="Times New Roman" w:eastAsia="宋体" w:cs="Times New Roman"/>
          <w:color w:val="auto"/>
          <w:highlight w:val="none"/>
          <w:vertAlign w:val="subscript"/>
        </w:rPr>
        <w:t>1</w:t>
      </w:r>
      <w:r>
        <w:rPr>
          <w:rStyle w:val="427"/>
          <w:rFonts w:hint="default" w:ascii="Times New Roman" w:hAnsi="Times New Roman" w:eastAsia="宋体" w:cs="Times New Roman"/>
          <w:color w:val="auto"/>
          <w:highlight w:val="none"/>
        </w:rPr>
        <w:t>和L</w:t>
      </w:r>
      <w:r>
        <w:rPr>
          <w:rStyle w:val="427"/>
          <w:rFonts w:hint="default" w:ascii="Times New Roman" w:hAnsi="Times New Roman" w:eastAsia="宋体" w:cs="Times New Roman"/>
          <w:color w:val="auto"/>
          <w:highlight w:val="none"/>
          <w:vertAlign w:val="subscript"/>
        </w:rPr>
        <w:t>2</w:t>
      </w:r>
      <w:r>
        <w:rPr>
          <w:rStyle w:val="427"/>
          <w:rFonts w:hint="default" w:ascii="Times New Roman" w:hAnsi="Times New Roman" w:eastAsia="宋体" w:cs="Times New Roman"/>
          <w:color w:val="auto"/>
          <w:highlight w:val="none"/>
        </w:rPr>
        <w:t>间关系为：</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1440" w:firstLineChars="600"/>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L</w:t>
      </w:r>
      <w:r>
        <w:rPr>
          <w:rStyle w:val="427"/>
          <w:rFonts w:hint="default" w:ascii="Times New Roman" w:hAnsi="Times New Roman" w:eastAsia="宋体" w:cs="Times New Roman"/>
          <w:color w:val="auto"/>
          <w:highlight w:val="none"/>
          <w:vertAlign w:val="subscript"/>
        </w:rPr>
        <w:t>2</w:t>
      </w:r>
      <w:r>
        <w:rPr>
          <w:rStyle w:val="427"/>
          <w:rFonts w:hint="default" w:ascii="Times New Roman" w:hAnsi="Times New Roman" w:eastAsia="宋体" w:cs="Times New Roman"/>
          <w:color w:val="auto"/>
          <w:highlight w:val="none"/>
        </w:rPr>
        <w:t>＝L</w:t>
      </w:r>
      <w:r>
        <w:rPr>
          <w:rStyle w:val="427"/>
          <w:rFonts w:hint="default" w:ascii="Times New Roman" w:hAnsi="Times New Roman" w:eastAsia="宋体" w:cs="Times New Roman"/>
          <w:color w:val="auto"/>
          <w:highlight w:val="none"/>
          <w:vertAlign w:val="subscript"/>
        </w:rPr>
        <w:t>1</w:t>
      </w:r>
      <w:r>
        <w:rPr>
          <w:rStyle w:val="427"/>
          <w:rFonts w:hint="default" w:ascii="Times New Roman" w:hAnsi="Times New Roman" w:eastAsia="宋体" w:cs="Times New Roman"/>
          <w:color w:val="auto"/>
          <w:highlight w:val="none"/>
        </w:rPr>
        <w:t>－20lg(r</w:t>
      </w:r>
      <w:r>
        <w:rPr>
          <w:rStyle w:val="427"/>
          <w:rFonts w:hint="default" w:ascii="Times New Roman" w:hAnsi="Times New Roman" w:eastAsia="宋体" w:cs="Times New Roman"/>
          <w:color w:val="auto"/>
          <w:highlight w:val="none"/>
          <w:vertAlign w:val="subscript"/>
        </w:rPr>
        <w:t>2</w:t>
      </w:r>
      <w:r>
        <w:rPr>
          <w:rStyle w:val="427"/>
          <w:rFonts w:hint="default" w:ascii="Times New Roman" w:hAnsi="Times New Roman" w:eastAsia="宋体" w:cs="Times New Roman"/>
          <w:color w:val="auto"/>
          <w:highlight w:val="none"/>
        </w:rPr>
        <w:t>/r</w:t>
      </w:r>
      <w:r>
        <w:rPr>
          <w:rStyle w:val="427"/>
          <w:rFonts w:hint="default" w:ascii="Times New Roman" w:hAnsi="Times New Roman" w:eastAsia="宋体" w:cs="Times New Roman"/>
          <w:color w:val="auto"/>
          <w:highlight w:val="none"/>
          <w:vertAlign w:val="subscript"/>
        </w:rPr>
        <w:t>1</w:t>
      </w:r>
      <w:r>
        <w:rPr>
          <w:rStyle w:val="427"/>
          <w:rFonts w:hint="default" w:ascii="Times New Roman" w:hAnsi="Times New Roman" w:eastAsia="宋体" w:cs="Times New Roman"/>
          <w:color w:val="auto"/>
          <w:highlight w:val="none"/>
        </w:rPr>
        <w:t>)</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480"/>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（2）多源叠加模式</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480"/>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在预测过程中，根据实际情况把各具体复杂的噪声源简化为点声源进行计算，再将其计算结果与本底进行能量叠加，得到该处噪声预测值。</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480"/>
        <w:textAlignment w:val="auto"/>
        <w:rPr>
          <w:rStyle w:val="427"/>
          <w:rFonts w:hint="default" w:ascii="Times New Roman" w:hAnsi="Times New Roman" w:eastAsia="宋体" w:cs="Times New Roman"/>
          <w:color w:val="auto"/>
          <w:highlight w:val="none"/>
        </w:rPr>
      </w:pPr>
      <w:r>
        <w:rPr>
          <w:rStyle w:val="427"/>
          <w:rFonts w:hint="default" w:ascii="Times New Roman" w:hAnsi="Times New Roman" w:eastAsia="宋体" w:cs="Times New Roman"/>
          <w:color w:val="auto"/>
          <w:highlight w:val="none"/>
        </w:rPr>
        <w:t>对于任何一个预测点，其总噪声效应是多个叠加声级(即各声源分别在该点的贡献值L2和本底噪声值)的能量总和，其计算式如下：</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480"/>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rPr>
        <w:drawing>
          <wp:inline distT="0" distB="0" distL="114300" distR="114300">
            <wp:extent cx="1619250" cy="400685"/>
            <wp:effectExtent l="0" t="0" r="0" b="18415"/>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pic:cNvPicPr>
                  </pic:nvPicPr>
                  <pic:blipFill>
                    <a:blip r:embed="rId62"/>
                    <a:stretch>
                      <a:fillRect/>
                    </a:stretch>
                  </pic:blipFill>
                  <pic:spPr>
                    <a:xfrm>
                      <a:off x="0" y="0"/>
                      <a:ext cx="1619250" cy="400685"/>
                    </a:xfrm>
                    <a:prstGeom prst="rect">
                      <a:avLst/>
                    </a:prstGeom>
                    <a:noFill/>
                    <a:ln>
                      <a:noFill/>
                    </a:ln>
                  </pic:spPr>
                </pic:pic>
              </a:graphicData>
            </a:graphic>
          </wp:inline>
        </w:drawing>
      </w:r>
      <w:r>
        <w:rPr>
          <w:rFonts w:hint="default" w:ascii="Times New Roman" w:hAnsi="Times New Roman" w:eastAsia="宋体" w:cs="Times New Roman"/>
          <w:color w:val="auto"/>
          <w:highlight w:val="none"/>
        </w:rPr>
        <w:t></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48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式中：L——某点噪声总叠加值，dB(A)；</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1200" w:firstLineChars="50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Li——第 i 个声源的噪声值，dB(A)；</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480" w:firstLine="1200" w:firstLineChars="50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n——声源个数。</w:t>
      </w:r>
    </w:p>
    <w:p>
      <w:pPr>
        <w:pStyle w:val="9"/>
        <w:rPr>
          <w:rFonts w:cs="Times New Roman"/>
          <w:color w:val="auto"/>
          <w:highlight w:val="none"/>
        </w:rPr>
      </w:pPr>
      <w:r>
        <w:rPr>
          <w:rFonts w:cs="Times New Roman"/>
          <w:color w:val="auto"/>
          <w:highlight w:val="none"/>
        </w:rPr>
        <w:t>声环境影响预测</w:t>
      </w:r>
      <w:r>
        <w:rPr>
          <w:rFonts w:hint="eastAsia" w:cs="Times New Roman"/>
          <w:color w:val="auto"/>
          <w:highlight w:val="none"/>
          <w:lang w:eastAsia="zh-CN"/>
        </w:rPr>
        <w:t>与评价</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de-DE"/>
        </w:rPr>
      </w:pPr>
      <w:r>
        <w:rPr>
          <w:rFonts w:hint="eastAsia" w:ascii="Times New Roman" w:hAnsi="Times New Roman" w:eastAsia="宋体" w:cs="Times New Roman"/>
          <w:color w:val="auto"/>
          <w:sz w:val="24"/>
          <w:szCs w:val="24"/>
          <w:highlight w:val="none"/>
        </w:rPr>
        <w:t>本次评价采用环安噪声环境影响评价软件进行预测，该软件是根据《环境影响评价技术导则 声环境》</w:t>
      </w:r>
      <w:r>
        <w:rPr>
          <w:rFonts w:hint="eastAsia" w:ascii="Times New Roman" w:hAnsi="Times New Roman" w:eastAsia="宋体" w:cs="Times New Roman"/>
          <w:color w:val="auto"/>
          <w:sz w:val="24"/>
          <w:szCs w:val="24"/>
          <w:highlight w:val="none"/>
          <w:lang w:eastAsia="zh-CN"/>
        </w:rPr>
        <w:t>（HJ2.4-2021）</w:t>
      </w:r>
      <w:r>
        <w:rPr>
          <w:rFonts w:hint="eastAsia" w:ascii="Times New Roman" w:hAnsi="Times New Roman" w:eastAsia="宋体" w:cs="Times New Roman"/>
          <w:color w:val="auto"/>
          <w:sz w:val="24"/>
          <w:szCs w:val="24"/>
          <w:highlight w:val="none"/>
        </w:rPr>
        <w:t>构建，基于 GIS 的三维噪声影响评价系统。</w:t>
      </w:r>
      <w:r>
        <w:rPr>
          <w:rFonts w:hint="default" w:ascii="Times New Roman" w:hAnsi="Times New Roman" w:eastAsia="宋体" w:cs="Times New Roman"/>
          <w:color w:val="auto"/>
          <w:sz w:val="24"/>
          <w:szCs w:val="24"/>
          <w:highlight w:val="none"/>
          <w:lang w:val="de-DE"/>
        </w:rPr>
        <w:t>根据项目厂区布局图和主要噪声源距离估算，并采用上述点源距离衰减模式，求出该项目主要噪声源噪声对厂界的噪声贡献值。</w:t>
      </w:r>
      <w:r>
        <w:rPr>
          <w:rFonts w:hint="default" w:ascii="Times New Roman" w:hAnsi="Times New Roman" w:eastAsia="宋体" w:cs="Times New Roman"/>
          <w:color w:val="auto"/>
          <w:sz w:val="24"/>
          <w:szCs w:val="24"/>
          <w:highlight w:val="none"/>
          <w:lang w:val="de-DE" w:eastAsia="zh-CN"/>
        </w:rPr>
        <w:t>项目厂界</w:t>
      </w:r>
      <w:r>
        <w:rPr>
          <w:rFonts w:hint="default" w:ascii="Times New Roman" w:hAnsi="Times New Roman" w:eastAsia="宋体" w:cs="Times New Roman"/>
          <w:color w:val="auto"/>
          <w:sz w:val="24"/>
          <w:szCs w:val="24"/>
          <w:highlight w:val="none"/>
          <w:lang w:val="de-DE"/>
        </w:rPr>
        <w:t>各预测点的影响值详见下表。</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项目厂界</w:t>
      </w:r>
      <w:r>
        <w:rPr>
          <w:rFonts w:hint="default" w:ascii="Times New Roman" w:hAnsi="Times New Roman" w:eastAsia="宋体" w:cs="Times New Roman"/>
          <w:b/>
          <w:bCs w:val="0"/>
          <w:color w:val="auto"/>
          <w:highlight w:val="none"/>
          <w:lang w:val="en-US" w:eastAsia="zh-CN"/>
        </w:rPr>
        <w:t>各预测点的噪声影响值</w:t>
      </w:r>
    </w:p>
    <w:tbl>
      <w:tblPr>
        <w:tblStyle w:val="9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936"/>
        <w:gridCol w:w="1137"/>
        <w:gridCol w:w="975"/>
        <w:gridCol w:w="1013"/>
        <w:gridCol w:w="996"/>
        <w:gridCol w:w="979"/>
        <w:gridCol w:w="937"/>
        <w:gridCol w:w="850"/>
        <w:gridCol w:w="69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lang w:val="en-US" w:eastAsia="zh-CN"/>
              </w:rPr>
            </w:pPr>
            <w:r>
              <w:rPr>
                <w:rFonts w:hint="default" w:ascii="Times New Roman" w:hAnsi="Times New Roman" w:eastAsia="宋体" w:cs="Times New Roman"/>
                <w:b/>
                <w:bCs/>
                <w:i w:val="0"/>
                <w:iCs w:val="0"/>
                <w:color w:val="auto"/>
                <w:sz w:val="21"/>
                <w:szCs w:val="21"/>
                <w:highlight w:val="none"/>
                <w:u w:val="none"/>
                <w:lang w:val="en-US" w:eastAsia="zh-CN"/>
              </w:rPr>
              <w:t>点位</w:t>
            </w:r>
          </w:p>
        </w:tc>
        <w:tc>
          <w:tcPr>
            <w:tcW w:w="1239" w:type="pct"/>
            <w:gridSpan w:val="2"/>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lang w:eastAsia="zh-CN"/>
              </w:rPr>
            </w:pPr>
            <w:r>
              <w:rPr>
                <w:rFonts w:hint="default" w:ascii="Times New Roman" w:hAnsi="Times New Roman" w:eastAsia="宋体" w:cs="Times New Roman"/>
                <w:b/>
                <w:bCs/>
                <w:i w:val="0"/>
                <w:iCs w:val="0"/>
                <w:color w:val="auto"/>
                <w:sz w:val="21"/>
                <w:szCs w:val="21"/>
                <w:highlight w:val="none"/>
                <w:u w:val="none"/>
                <w:lang w:eastAsia="zh-CN"/>
              </w:rPr>
              <w:t>边界位置</w:t>
            </w:r>
          </w:p>
        </w:tc>
        <w:tc>
          <w:tcPr>
            <w:tcW w:w="594" w:type="pct"/>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离地高度(m)</w:t>
            </w:r>
          </w:p>
        </w:tc>
        <w:tc>
          <w:tcPr>
            <w:tcW w:w="1158" w:type="pct"/>
            <w:gridSpan w:val="2"/>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场界贡献值</w:t>
            </w:r>
          </w:p>
        </w:tc>
        <w:tc>
          <w:tcPr>
            <w:tcW w:w="1048" w:type="pct"/>
            <w:gridSpan w:val="2"/>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场界标准值</w:t>
            </w:r>
          </w:p>
        </w:tc>
        <w:tc>
          <w:tcPr>
            <w:tcW w:w="410" w:type="pct"/>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是否达标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i w:val="0"/>
                <w:iCs w:val="0"/>
                <w:color w:val="auto"/>
                <w:sz w:val="21"/>
                <w:szCs w:val="21"/>
                <w:highlight w:val="none"/>
                <w:u w:val="none"/>
              </w:rPr>
            </w:pPr>
          </w:p>
        </w:tc>
        <w:tc>
          <w:tcPr>
            <w:tcW w:w="1239" w:type="pct"/>
            <w:gridSpan w:val="2"/>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rPr>
            </w:pPr>
          </w:p>
        </w:tc>
        <w:tc>
          <w:tcPr>
            <w:tcW w:w="594"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p>
        </w:tc>
        <w:tc>
          <w:tcPr>
            <w:tcW w:w="584" w:type="pct"/>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昼间(dB)</w:t>
            </w:r>
          </w:p>
        </w:tc>
        <w:tc>
          <w:tcPr>
            <w:tcW w:w="574" w:type="pct"/>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夜间(dB)</w:t>
            </w:r>
          </w:p>
        </w:tc>
        <w:tc>
          <w:tcPr>
            <w:tcW w:w="549" w:type="pct"/>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昼间(dB)</w:t>
            </w:r>
          </w:p>
        </w:tc>
        <w:tc>
          <w:tcPr>
            <w:tcW w:w="498" w:type="pct"/>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夜间(dB)</w:t>
            </w:r>
          </w:p>
        </w:tc>
        <w:tc>
          <w:tcPr>
            <w:tcW w:w="410"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68"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i w:val="0"/>
                <w:iCs w:val="0"/>
                <w:color w:val="auto"/>
                <w:sz w:val="21"/>
                <w:szCs w:val="21"/>
                <w:highlight w:val="none"/>
                <w:u w:val="none"/>
              </w:rPr>
            </w:pPr>
          </w:p>
        </w:tc>
        <w:tc>
          <w:tcPr>
            <w:tcW w:w="667"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X(m)</w:t>
            </w:r>
          </w:p>
        </w:tc>
        <w:tc>
          <w:tcPr>
            <w:tcW w:w="572"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Y(m)</w:t>
            </w:r>
          </w:p>
        </w:tc>
        <w:tc>
          <w:tcPr>
            <w:tcW w:w="594"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p>
        </w:tc>
        <w:tc>
          <w:tcPr>
            <w:tcW w:w="584"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74"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8"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p>
        </w:tc>
        <w:tc>
          <w:tcPr>
            <w:tcW w:w="410"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厂界/边界/场界</w:t>
            </w: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313.62</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959.35</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33.92</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33.92</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316.49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968.93</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33.33</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33.33</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326.40</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976.88</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32.49</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32.49</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343.50</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985.67</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32.26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32.26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339.75</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976.51</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32.65</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32.65</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338.54</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963.73</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33.25</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33.25</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348.89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955.72</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34.34</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34.34</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376.69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964.21</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37.16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37.16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389.98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979.16</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36.96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36.96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423.82</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1,017.20</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30.89</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30.89</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430.82</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998.17</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32.14</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32.14</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515.28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1,023.74</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31.17</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31.17</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515.50</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1,020.24</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31.26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31.26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512.90</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1,000.41</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32.10</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32.10</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376.69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964.21</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37.16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37.16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389.98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979.16</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36.96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36.96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496.66</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926.55</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38.56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38.56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497.20</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916.57</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38.69</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38.69</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497.75</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906.58</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39.21</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39.21</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497.99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902.07</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39.43</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39.43</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507.13</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898.02</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36.67</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36.67</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556.23</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842.26</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32.66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32.66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564.77</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837.06</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33.80</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33.80</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572.38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832.42</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34.31</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34.31</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578.74</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824.71</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35.03</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35.03</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578.89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824.53</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35.05</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35.05</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584.55</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820.42</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35.79</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35.79</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591.07</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812.84</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35.97</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35.97</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596.05</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807.04</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36.24</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36.24</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651.35</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727.08</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40.12</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40.12</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656.71</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713.94</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40.44</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40.44</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663.56</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707.52</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41.61</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41.61</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673.53</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708.35</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35.77</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35.77</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675.88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708.55</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35.45</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35.45</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685.71</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710.36</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35.37</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35.37</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749.22</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707.62</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38.95</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38.95</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755.73</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709.73</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39.12</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39.12</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756.22</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714.78</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38.07</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38.07</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759.05</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724.01</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36.75</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36.75</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760.65</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728.69</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36.16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36.16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761.76</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730.78</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35.96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35.96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761.27</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734.23</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35.58</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35.58</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758.87</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738.06</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35.19</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35.19</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762.29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741.83</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35.12</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35.12</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764.79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742.94</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35.17</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35.17</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717.98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842.76</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33.16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33.16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715.12</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852.34</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33.19</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33.19</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723.50</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858.70</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34.00</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34.00</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724.09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862.94</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34.17</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34.17</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727.48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865.65</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34.59</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34.59</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732.74</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865.82</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35.24</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35.24</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736.81</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868.19</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35.89</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35.89</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746.78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867.37</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37.74</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37.74</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834.47</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988.70</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41.24</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41.24</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842.55</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982.81</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40.88</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40.88</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850.44</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977.05</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40.51</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40.51</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851.10</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973.87</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41.28</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41.28</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855.04</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970.70</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41.35</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41.35</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855.92</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966.54</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42.16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42.16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862.16</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961.83</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42.38</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42.38</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869.39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955.15</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41.71</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41.71</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875.58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947.29</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41.96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41.96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876.29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946.39</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42.73</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42.73</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877.38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943.32</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42.37</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42.37</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878.92</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936.09</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39.81</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39.81</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378.26</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815.41</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38.21</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38.21</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388.26</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815.41</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38.22</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38.22</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389.68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815.41</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38.20</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38.20</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409.38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811.97</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38.46</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38.46</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419.23</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810.25</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38.43</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38.43</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429.08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808.53</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38.32</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38.32</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324.88</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935.84</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34.63</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34.63</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314.96</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937.08</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35.04</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35.04</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305.03</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938.32</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35.79</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35.79</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295.11</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939.56</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36.44</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36.44</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285.19</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940.80</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36.25</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36.25</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49" w:type="pct"/>
            <w:vMerge w:val="continue"/>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i w:val="0"/>
                <w:iCs w:val="0"/>
                <w:color w:val="auto"/>
                <w:sz w:val="21"/>
                <w:szCs w:val="21"/>
                <w:highlight w:val="none"/>
                <w:u w:val="none"/>
              </w:rPr>
            </w:pPr>
          </w:p>
        </w:tc>
        <w:tc>
          <w:tcPr>
            <w:tcW w:w="667"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276.74</w:t>
            </w:r>
          </w:p>
        </w:tc>
        <w:tc>
          <w:tcPr>
            <w:tcW w:w="572"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948.89</w:t>
            </w:r>
          </w:p>
        </w:tc>
        <w:tc>
          <w:tcPr>
            <w:tcW w:w="594"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58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35.84</w:t>
            </w:r>
          </w:p>
        </w:tc>
        <w:tc>
          <w:tcPr>
            <w:tcW w:w="574"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35.84</w:t>
            </w:r>
          </w:p>
        </w:tc>
        <w:tc>
          <w:tcPr>
            <w:tcW w:w="54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sz w:val="21"/>
                <w:szCs w:val="21"/>
                <w:highlight w:val="none"/>
                <w:u w:val="none"/>
                <w:lang w:val="en-US" w:eastAsia="zh-CN"/>
              </w:rPr>
              <w:t>50</w:t>
            </w:r>
          </w:p>
        </w:tc>
        <w:tc>
          <w:tcPr>
            <w:tcW w:w="41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bl>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highlight w:val="none"/>
          <w:lang w:val="de-DE"/>
        </w:rPr>
      </w:pPr>
      <w:r>
        <w:rPr>
          <w:color w:val="auto"/>
          <w:highlight w:val="none"/>
        </w:rPr>
        <w:drawing>
          <wp:inline distT="0" distB="0" distL="114300" distR="114300">
            <wp:extent cx="5140325" cy="4410075"/>
            <wp:effectExtent l="0" t="0" r="3175" b="9525"/>
            <wp:docPr id="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
                    <pic:cNvPicPr>
                      <a:picLocks noChangeAspect="1"/>
                    </pic:cNvPicPr>
                  </pic:nvPicPr>
                  <pic:blipFill>
                    <a:blip r:embed="rId63"/>
                    <a:stretch>
                      <a:fillRect/>
                    </a:stretch>
                  </pic:blipFill>
                  <pic:spPr>
                    <a:xfrm>
                      <a:off x="0" y="0"/>
                      <a:ext cx="5140325" cy="4410075"/>
                    </a:xfrm>
                    <a:prstGeom prst="rect">
                      <a:avLst/>
                    </a:prstGeom>
                    <a:noFill/>
                    <a:ln>
                      <a:noFill/>
                    </a:ln>
                  </pic:spPr>
                </pic:pic>
              </a:graphicData>
            </a:graphic>
          </wp:inline>
        </w:drawing>
      </w:r>
    </w:p>
    <w:p>
      <w:pPr>
        <w:pStyle w:val="114"/>
        <w:numPr>
          <w:ilvl w:val="0"/>
          <w:numId w:val="0"/>
        </w:numPr>
        <w:tabs>
          <w:tab w:val="left" w:pos="0"/>
          <w:tab w:val="left" w:pos="1440"/>
          <w:tab w:val="left" w:pos="4368"/>
        </w:tabs>
        <w:ind w:leftChars="0"/>
        <w:jc w:val="center"/>
        <w:rPr>
          <w:rFonts w:hint="default" w:eastAsia="宋体"/>
          <w:b/>
          <w:bCs/>
          <w:color w:val="auto"/>
          <w:sz w:val="21"/>
          <w:szCs w:val="21"/>
          <w:highlight w:val="none"/>
          <w:lang w:val="en-US" w:eastAsia="zh-CN"/>
        </w:rPr>
      </w:pPr>
      <w:r>
        <w:rPr>
          <w:rFonts w:hint="eastAsia"/>
          <w:b/>
          <w:bCs/>
          <w:color w:val="auto"/>
          <w:sz w:val="21"/>
          <w:szCs w:val="21"/>
          <w:highlight w:val="none"/>
          <w:lang w:val="en-US" w:eastAsia="zh-CN"/>
        </w:rPr>
        <w:t>图5.2-7 噪声贡献值预测图（昼间及夜间）</w:t>
      </w:r>
    </w:p>
    <w:p>
      <w:pPr>
        <w:widowControl w:val="0"/>
        <w:numPr>
          <w:ilvl w:val="0"/>
          <w:numId w:val="34"/>
        </w:numPr>
        <w:spacing w:after="0" w:afterLines="0" w:line="360" w:lineRule="auto"/>
        <w:ind w:left="0" w:leftChars="0" w:firstLine="0" w:firstLineChars="0"/>
        <w:jc w:val="center"/>
        <w:rPr>
          <w:rFonts w:hint="default" w:ascii="Times New Roman" w:hAnsi="Times New Roman" w:eastAsia="宋体" w:cs="Times New Roman"/>
          <w:b/>
          <w:bCs w:val="0"/>
          <w:color w:val="auto"/>
          <w:highlight w:val="none"/>
          <w:lang w:val="en-US" w:eastAsia="zh-CN"/>
        </w:rPr>
      </w:pPr>
      <w:r>
        <w:rPr>
          <w:rFonts w:hint="default" w:ascii="Times New Roman" w:hAnsi="Times New Roman" w:eastAsia="宋体" w:cs="Times New Roman"/>
          <w:b/>
          <w:bCs w:val="0"/>
          <w:color w:val="auto"/>
          <w:highlight w:val="none"/>
          <w:lang w:val="en-US" w:eastAsia="zh-CN"/>
        </w:rPr>
        <w:t>各预测点的噪声影响值</w:t>
      </w:r>
      <w:r>
        <w:rPr>
          <w:rFonts w:hint="eastAsia" w:ascii="Times New Roman" w:hAnsi="Times New Roman" w:eastAsia="宋体" w:cs="Times New Roman"/>
          <w:b/>
          <w:bCs w:val="0"/>
          <w:color w:val="auto"/>
          <w:highlight w:val="none"/>
          <w:lang w:val="en-US" w:eastAsia="zh-CN"/>
        </w:rPr>
        <w:t>汇总</w:t>
      </w:r>
    </w:p>
    <w:tbl>
      <w:tblPr>
        <w:tblStyle w:val="91"/>
        <w:tblW w:w="4995"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18"/>
        <w:gridCol w:w="1199"/>
        <w:gridCol w:w="751"/>
        <w:gridCol w:w="817"/>
        <w:gridCol w:w="817"/>
        <w:gridCol w:w="817"/>
        <w:gridCol w:w="817"/>
        <w:gridCol w:w="817"/>
        <w:gridCol w:w="817"/>
        <w:gridCol w:w="82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预测点位</w:t>
            </w: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lang w:val="en-US" w:eastAsia="zh-CN"/>
              </w:rPr>
            </w:pPr>
            <w:r>
              <w:rPr>
                <w:rFonts w:hint="default" w:ascii="Times New Roman" w:hAnsi="Times New Roman" w:eastAsia="宋体" w:cs="Times New Roman"/>
                <w:b/>
                <w:bCs/>
                <w:i w:val="0"/>
                <w:iCs w:val="0"/>
                <w:color w:val="auto"/>
                <w:sz w:val="21"/>
                <w:szCs w:val="21"/>
                <w:highlight w:val="none"/>
                <w:u w:val="none"/>
                <w:lang w:val="en-US" w:eastAsia="zh-CN"/>
              </w:rPr>
              <w:t>项目</w:t>
            </w:r>
          </w:p>
        </w:tc>
        <w:tc>
          <w:tcPr>
            <w:tcW w:w="45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eastAsia="zh-CN"/>
              </w:rPr>
              <w:t>时间</w:t>
            </w:r>
          </w:p>
        </w:tc>
        <w:tc>
          <w:tcPr>
            <w:tcW w:w="984" w:type="pct"/>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lang w:eastAsia="zh-CN"/>
              </w:rPr>
            </w:pPr>
            <w:r>
              <w:rPr>
                <w:rFonts w:hint="default" w:ascii="Times New Roman" w:hAnsi="Times New Roman" w:eastAsia="宋体" w:cs="Times New Roman"/>
                <w:b/>
                <w:bCs/>
                <w:i w:val="0"/>
                <w:iCs w:val="0"/>
                <w:color w:val="auto"/>
                <w:sz w:val="21"/>
                <w:szCs w:val="21"/>
                <w:highlight w:val="none"/>
                <w:u w:val="none"/>
                <w:lang w:eastAsia="zh-CN"/>
              </w:rPr>
              <w:t>相对位置</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sz w:val="21"/>
                <w:szCs w:val="21"/>
                <w:highlight w:val="none"/>
                <w:u w:val="none"/>
                <w:lang w:eastAsia="zh-CN"/>
              </w:rPr>
              <w:t>（</w:t>
            </w:r>
            <w:r>
              <w:rPr>
                <w:rFonts w:hint="default" w:ascii="Times New Roman" w:hAnsi="Times New Roman" w:eastAsia="宋体" w:cs="Times New Roman"/>
                <w:b/>
                <w:bCs/>
                <w:i w:val="0"/>
                <w:iCs w:val="0"/>
                <w:color w:val="auto"/>
                <w:sz w:val="21"/>
                <w:szCs w:val="21"/>
                <w:highlight w:val="none"/>
                <w:u w:val="none"/>
                <w:lang w:val="en-US" w:eastAsia="zh-CN"/>
              </w:rPr>
              <w:t>m</w:t>
            </w:r>
            <w:r>
              <w:rPr>
                <w:rFonts w:hint="default" w:ascii="Times New Roman" w:hAnsi="Times New Roman" w:eastAsia="宋体" w:cs="Times New Roman"/>
                <w:b/>
                <w:bCs/>
                <w:i w:val="0"/>
                <w:iCs w:val="0"/>
                <w:color w:val="auto"/>
                <w:sz w:val="21"/>
                <w:szCs w:val="21"/>
                <w:highlight w:val="none"/>
                <w:u w:val="none"/>
                <w:lang w:eastAsia="zh-CN"/>
              </w:rPr>
              <w:t>）</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贡献值(dB)</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背景值(dB)</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预测值(dB)</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场界标准值</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是否达标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restar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项目厂界</w:t>
            </w: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贡献最大值</w:t>
            </w:r>
          </w:p>
        </w:tc>
        <w:tc>
          <w:tcPr>
            <w:tcW w:w="452"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昼间</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379.75</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566.41</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49.12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49.00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49.12</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贡献最小值</w:t>
            </w:r>
          </w:p>
        </w:tc>
        <w:tc>
          <w:tcPr>
            <w:tcW w:w="45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950.32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1,066.50</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29.41</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29.41</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背景最大值</w:t>
            </w:r>
          </w:p>
        </w:tc>
        <w:tc>
          <w:tcPr>
            <w:tcW w:w="45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513.49</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800.92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33.79</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33.79</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背景最小值</w:t>
            </w:r>
          </w:p>
        </w:tc>
        <w:tc>
          <w:tcPr>
            <w:tcW w:w="45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434.91</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621.62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45.94</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45.94</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叠加最大值</w:t>
            </w:r>
          </w:p>
        </w:tc>
        <w:tc>
          <w:tcPr>
            <w:tcW w:w="45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379.75</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566.41</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49.12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49.12</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叠加最小值</w:t>
            </w:r>
          </w:p>
        </w:tc>
        <w:tc>
          <w:tcPr>
            <w:tcW w:w="45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950.32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1,066.50</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29.41</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29.41</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贡献最大值</w:t>
            </w:r>
          </w:p>
        </w:tc>
        <w:tc>
          <w:tcPr>
            <w:tcW w:w="452"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夜间</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379.75</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566.41</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49.12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49.12</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贡献最小值</w:t>
            </w:r>
          </w:p>
        </w:tc>
        <w:tc>
          <w:tcPr>
            <w:tcW w:w="45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950.32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1,066.50</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29.41</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29.41</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背景最大值</w:t>
            </w:r>
          </w:p>
        </w:tc>
        <w:tc>
          <w:tcPr>
            <w:tcW w:w="45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513.49</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800.92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33.79</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33.79</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背景最小值</w:t>
            </w:r>
          </w:p>
        </w:tc>
        <w:tc>
          <w:tcPr>
            <w:tcW w:w="45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434.91</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621.62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45.94</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45.94</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叠加最大值</w:t>
            </w:r>
          </w:p>
        </w:tc>
        <w:tc>
          <w:tcPr>
            <w:tcW w:w="45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379.75</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566.41</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49.12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49.12</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叠加最小值</w:t>
            </w:r>
          </w:p>
        </w:tc>
        <w:tc>
          <w:tcPr>
            <w:tcW w:w="45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950.32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1,066.50</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29.41</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42.00</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29.41</w:t>
            </w:r>
          </w:p>
        </w:tc>
        <w:tc>
          <w:tcPr>
            <w:tcW w:w="4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49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restar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敏感点</w:t>
            </w:r>
          </w:p>
        </w:tc>
        <w:tc>
          <w:tcPr>
            <w:tcW w:w="722"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rPr>
              <w:t>黄宝梁居民1</w:t>
            </w:r>
          </w:p>
        </w:tc>
        <w:tc>
          <w:tcPr>
            <w:tcW w:w="452"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昼间</w:t>
            </w:r>
          </w:p>
        </w:tc>
        <w:tc>
          <w:tcPr>
            <w:tcW w:w="492" w:type="pct"/>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933.22</w:t>
            </w:r>
          </w:p>
        </w:tc>
        <w:tc>
          <w:tcPr>
            <w:tcW w:w="492" w:type="pct"/>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661.07</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37.74</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37.74</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52"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夜间</w:t>
            </w:r>
          </w:p>
        </w:tc>
        <w:tc>
          <w:tcPr>
            <w:tcW w:w="492"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37.75</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37.75</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498"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rPr>
              <w:t>黄包梁居民2</w:t>
            </w:r>
          </w:p>
        </w:tc>
        <w:tc>
          <w:tcPr>
            <w:tcW w:w="452"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昼间</w:t>
            </w:r>
          </w:p>
        </w:tc>
        <w:tc>
          <w:tcPr>
            <w:tcW w:w="492" w:type="pct"/>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1,033.04</w:t>
            </w:r>
          </w:p>
        </w:tc>
        <w:tc>
          <w:tcPr>
            <w:tcW w:w="492" w:type="pct"/>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571.62</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41.74</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41.74</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52"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夜间</w:t>
            </w:r>
          </w:p>
        </w:tc>
        <w:tc>
          <w:tcPr>
            <w:tcW w:w="492"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41.74</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41.74</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498"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rPr>
              <w:t>黄包梁居民3</w:t>
            </w:r>
          </w:p>
        </w:tc>
        <w:tc>
          <w:tcPr>
            <w:tcW w:w="452"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492" w:type="pct"/>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887.85</w:t>
            </w:r>
          </w:p>
        </w:tc>
        <w:tc>
          <w:tcPr>
            <w:tcW w:w="492" w:type="pct"/>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422.54</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40.50</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40.50</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2"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52"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夜间</w:t>
            </w:r>
          </w:p>
        </w:tc>
        <w:tc>
          <w:tcPr>
            <w:tcW w:w="492"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40.50</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c>
          <w:tcPr>
            <w:tcW w:w="81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40.50</w:t>
            </w:r>
          </w:p>
        </w:tc>
        <w:tc>
          <w:tcPr>
            <w:tcW w:w="49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498"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bl>
    <w:p>
      <w:pPr>
        <w:spacing w:line="360" w:lineRule="auto"/>
        <w:ind w:firstLine="422"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b/>
          <w:bCs w:val="0"/>
          <w:color w:val="auto"/>
          <w:highlight w:val="none"/>
          <w:lang w:val="en-US" w:eastAsia="zh-CN"/>
        </w:rPr>
        <w:t xml:space="preserve"> </w:t>
      </w:r>
      <w:r>
        <w:rPr>
          <w:rFonts w:hint="eastAsia" w:ascii="Times New Roman" w:hAnsi="Times New Roman" w:eastAsia="宋体" w:cs="Times New Roman"/>
          <w:color w:val="auto"/>
          <w:sz w:val="24"/>
          <w:szCs w:val="24"/>
          <w:highlight w:val="none"/>
        </w:rPr>
        <w:t>由上表可知，营运期厂界昼、夜间噪声贡献值均能满足《工业企业厂界环境噪声排放标准》（GB12348-2008）中的2类标准限值。</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根据预测结果可知，项目在采取上述隔声、消声、减振等降噪措施，再通过建筑隔声、距离衰减后，厂界噪声贡献值可满足《工业企业厂界环境噪声排放标准》（</w:t>
      </w:r>
      <w:r>
        <w:rPr>
          <w:rFonts w:ascii="Times New Roman" w:hAnsi="Times New Roman" w:eastAsia="宋体" w:cs="Times New Roman"/>
          <w:color w:val="auto"/>
          <w:sz w:val="24"/>
          <w:szCs w:val="24"/>
          <w:highlight w:val="none"/>
        </w:rPr>
        <w:t>GB12348-2008</w:t>
      </w:r>
      <w:r>
        <w:rPr>
          <w:rFonts w:hint="eastAsia" w:ascii="Times New Roman" w:hAnsi="Times New Roman" w:eastAsia="宋体" w:cs="Times New Roman"/>
          <w:color w:val="auto"/>
          <w:sz w:val="24"/>
          <w:szCs w:val="24"/>
          <w:highlight w:val="none"/>
        </w:rPr>
        <w:t>）中的</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类标准限值。项目厂区200m范围内敏感点的昼间、夜间噪声影响值均满足《声环境质量标准》（</w:t>
      </w:r>
      <w:r>
        <w:rPr>
          <w:rFonts w:ascii="Times New Roman" w:hAnsi="Times New Roman" w:eastAsia="宋体" w:cs="Times New Roman"/>
          <w:color w:val="auto"/>
          <w:sz w:val="24"/>
          <w:szCs w:val="24"/>
          <w:highlight w:val="none"/>
        </w:rPr>
        <w:t>GB3096-2008</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类标准要求，项目运营期间的噪声对</w:t>
      </w:r>
      <w:r>
        <w:rPr>
          <w:rFonts w:hint="eastAsia" w:ascii="Times New Roman" w:hAnsi="Times New Roman" w:eastAsia="宋体" w:cs="Times New Roman"/>
          <w:color w:val="auto"/>
          <w:sz w:val="24"/>
          <w:szCs w:val="24"/>
          <w:highlight w:val="none"/>
          <w:lang w:eastAsia="zh-CN"/>
        </w:rPr>
        <w:t>外环境</w:t>
      </w:r>
      <w:r>
        <w:rPr>
          <w:rFonts w:hint="eastAsia" w:ascii="Times New Roman" w:hAnsi="Times New Roman" w:eastAsia="宋体" w:cs="Times New Roman"/>
          <w:color w:val="auto"/>
          <w:sz w:val="24"/>
          <w:szCs w:val="24"/>
          <w:highlight w:val="none"/>
        </w:rPr>
        <w:t>的影响较小。</w:t>
      </w:r>
    </w:p>
    <w:p>
      <w:pPr>
        <w:spacing w:line="360" w:lineRule="auto"/>
        <w:ind w:firstLine="480" w:firstLineChars="200"/>
        <w:rPr>
          <w:color w:val="auto"/>
          <w:sz w:val="24"/>
          <w:szCs w:val="24"/>
          <w:highlight w:val="none"/>
        </w:rPr>
      </w:pPr>
      <w:r>
        <w:rPr>
          <w:rFonts w:hint="eastAsia" w:ascii="Times New Roman" w:hAnsi="Times New Roman" w:eastAsia="宋体" w:cs="Times New Roman"/>
          <w:color w:val="auto"/>
          <w:sz w:val="24"/>
          <w:szCs w:val="24"/>
          <w:highlight w:val="none"/>
        </w:rPr>
        <w:t>综上所述，本项目投产运营后厂界噪声排放满足《工业企业厂界环境噪声排放标准》（GB12348-2008）中2类标准限值，项目噪声达标排放；噪声满足《声环境质量标准》（GB3096-2008）2类标准的要求，</w:t>
      </w:r>
      <w:r>
        <w:rPr>
          <w:rFonts w:ascii="Times New Roman" w:hAnsi="Times New Roman" w:eastAsia="宋体" w:cs="Times New Roman"/>
          <w:color w:val="auto"/>
          <w:sz w:val="24"/>
          <w:szCs w:val="24"/>
          <w:highlight w:val="none"/>
        </w:rPr>
        <w:t>不会改变区域声学环境质量。</w:t>
      </w:r>
    </w:p>
    <w:p>
      <w:pPr>
        <w:pStyle w:val="8"/>
        <w:spacing w:before="0" w:after="0" w:line="360" w:lineRule="auto"/>
        <w:ind w:left="0" w:firstLine="0"/>
        <w:rPr>
          <w:rFonts w:cs="Times New Roman"/>
          <w:color w:val="auto"/>
          <w:highlight w:val="none"/>
        </w:rPr>
      </w:pPr>
      <w:bookmarkStart w:id="250" w:name="_Toc5662"/>
      <w:r>
        <w:rPr>
          <w:rFonts w:cs="Times New Roman"/>
          <w:color w:val="auto"/>
          <w:highlight w:val="none"/>
        </w:rPr>
        <w:t>固体废物对环境的影响分析</w:t>
      </w:r>
      <w:bookmarkEnd w:id="250"/>
    </w:p>
    <w:p>
      <w:pPr>
        <w:pStyle w:val="9"/>
        <w:rPr>
          <w:rFonts w:cs="Times New Roman"/>
          <w:color w:val="auto"/>
          <w:highlight w:val="none"/>
          <w:lang w:val="en-US" w:eastAsia="zh-CN"/>
        </w:rPr>
      </w:pPr>
      <w:r>
        <w:rPr>
          <w:rFonts w:cs="Times New Roman"/>
          <w:color w:val="auto"/>
          <w:highlight w:val="none"/>
          <w:lang w:val="en-US" w:eastAsia="zh-CN"/>
        </w:rPr>
        <w:t>固体废弃物类别及产生量</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根据工程分析可知，项目营运期产生的固体废物包括</w:t>
      </w:r>
      <w:r>
        <w:rPr>
          <w:rFonts w:hint="eastAsia" w:ascii="Times New Roman" w:hAnsi="Times New Roman" w:eastAsia="宋体" w:cs="Times New Roman"/>
          <w:color w:val="auto"/>
          <w:sz w:val="24"/>
          <w:szCs w:val="24"/>
          <w:highlight w:val="none"/>
          <w:lang w:val="zh-CN"/>
        </w:rPr>
        <w:t>职工生活垃圾、餐厨垃圾（含隔油池油脂）、预处理池污泥、牛粪、污水处理站产生的沼渣、病死牛及分娩废物、废脱硫剂、废包装材料、卫生防疫产生的畜禽医疗废物</w:t>
      </w:r>
      <w:r>
        <w:rPr>
          <w:rFonts w:hint="eastAsia" w:ascii="Times New Roman" w:hAnsi="Times New Roman" w:eastAsia="宋体" w:cs="Times New Roman"/>
          <w:color w:val="auto"/>
          <w:sz w:val="24"/>
          <w:szCs w:val="24"/>
          <w:highlight w:val="none"/>
        </w:rPr>
        <w:t>等。项目营运期固体废物产生情况及处置措施见表5.2-</w:t>
      </w:r>
      <w:r>
        <w:rPr>
          <w:rFonts w:hint="eastAsia" w:ascii="Times New Roman" w:hAnsi="Times New Roman" w:eastAsia="宋体" w:cs="Times New Roman"/>
          <w:color w:val="auto"/>
          <w:sz w:val="24"/>
          <w:szCs w:val="24"/>
          <w:highlight w:val="none"/>
          <w:lang w:val="en-US" w:eastAsia="zh-CN"/>
        </w:rPr>
        <w:t>32</w:t>
      </w:r>
      <w:r>
        <w:rPr>
          <w:rFonts w:hint="eastAsia" w:ascii="Times New Roman" w:hAnsi="Times New Roman" w:eastAsia="宋体" w:cs="Times New Roman"/>
          <w:color w:val="auto"/>
          <w:sz w:val="24"/>
          <w:szCs w:val="24"/>
          <w:highlight w:val="none"/>
        </w:rPr>
        <w:t>。</w:t>
      </w:r>
    </w:p>
    <w:p>
      <w:pPr>
        <w:widowControl w:val="0"/>
        <w:numPr>
          <w:ilvl w:val="0"/>
          <w:numId w:val="34"/>
        </w:numPr>
        <w:spacing w:after="0" w:afterLines="0" w:line="360" w:lineRule="auto"/>
        <w:ind w:left="0" w:leftChars="0" w:firstLine="0" w:firstLineChars="0"/>
        <w:jc w:val="center"/>
        <w:rPr>
          <w:rFonts w:ascii="Times New Roman" w:hAnsi="Times New Roman" w:eastAsia="宋体" w:cs="Times New Roman"/>
          <w:b/>
          <w:color w:val="auto"/>
          <w:kern w:val="2"/>
          <w:sz w:val="21"/>
          <w:szCs w:val="24"/>
          <w:highlight w:val="none"/>
          <w:lang w:val="en-US" w:eastAsia="zh-CN" w:bidi="ar-SA"/>
        </w:rPr>
      </w:pPr>
      <w:r>
        <w:rPr>
          <w:rFonts w:hint="default" w:ascii="Times New Roman" w:hAnsi="Times New Roman" w:eastAsia="宋体" w:cs="Times New Roman"/>
          <w:b/>
          <w:bCs w:val="0"/>
          <w:color w:val="auto"/>
          <w:highlight w:val="none"/>
          <w:lang w:val="en-US" w:eastAsia="zh-CN"/>
        </w:rPr>
        <w:t xml:space="preserve"> </w:t>
      </w:r>
      <w:r>
        <w:rPr>
          <w:rFonts w:ascii="Times New Roman" w:hAnsi="Times New Roman" w:eastAsia="宋体" w:cs="Times New Roman"/>
          <w:b/>
          <w:color w:val="auto"/>
          <w:kern w:val="2"/>
          <w:sz w:val="21"/>
          <w:szCs w:val="24"/>
          <w:highlight w:val="none"/>
          <w:lang w:val="en-US" w:eastAsia="zh-CN" w:bidi="ar-SA"/>
        </w:rPr>
        <w:t>项目固体废物产生情况及处置措施一览表</w:t>
      </w:r>
    </w:p>
    <w:tbl>
      <w:tblPr>
        <w:tblStyle w:val="91"/>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646"/>
        <w:gridCol w:w="1200"/>
        <w:gridCol w:w="1341"/>
        <w:gridCol w:w="1205"/>
        <w:gridCol w:w="1413"/>
        <w:gridCol w:w="271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序号</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固废名称</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产生量（t/a）</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来源</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固废类别</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处置方式</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牛</w:t>
            </w:r>
            <w:r>
              <w:rPr>
                <w:rFonts w:hint="default" w:ascii="Times New Roman" w:hAnsi="Times New Roman" w:eastAsia="宋体" w:cs="Times New Roman"/>
                <w:color w:val="auto"/>
                <w:kern w:val="2"/>
                <w:sz w:val="21"/>
                <w:szCs w:val="21"/>
                <w:highlight w:val="none"/>
                <w:lang w:val="en-US" w:eastAsia="zh-CN" w:bidi="ar-SA"/>
              </w:rPr>
              <w:t>粪</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26805.6</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牛</w:t>
            </w:r>
            <w:r>
              <w:rPr>
                <w:rFonts w:hint="default" w:ascii="Times New Roman" w:hAnsi="Times New Roman" w:eastAsia="宋体" w:cs="Times New Roman"/>
                <w:color w:val="auto"/>
                <w:kern w:val="2"/>
                <w:sz w:val="21"/>
                <w:szCs w:val="21"/>
                <w:highlight w:val="none"/>
                <w:lang w:val="en-US" w:eastAsia="zh-CN" w:bidi="ar-SA"/>
              </w:rPr>
              <w:t>舍</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运输至</w:t>
            </w:r>
            <w:r>
              <w:rPr>
                <w:rFonts w:hint="eastAsia" w:ascii="Times New Roman" w:hAnsi="Times New Roman" w:eastAsia="宋体" w:cs="Times New Roman"/>
                <w:color w:val="auto"/>
                <w:kern w:val="2"/>
                <w:sz w:val="21"/>
                <w:szCs w:val="21"/>
                <w:highlight w:val="none"/>
                <w:lang w:val="en-US" w:eastAsia="zh-CN" w:bidi="ar-SA"/>
              </w:rPr>
              <w:t>南江县万事康生物科技有限公司</w:t>
            </w:r>
            <w:r>
              <w:rPr>
                <w:rFonts w:hint="default" w:ascii="Times New Roman" w:hAnsi="Times New Roman" w:eastAsia="宋体" w:cs="Times New Roman"/>
                <w:color w:val="auto"/>
                <w:kern w:val="2"/>
                <w:sz w:val="21"/>
                <w:szCs w:val="21"/>
                <w:highlight w:val="none"/>
                <w:lang w:val="en-US" w:eastAsia="zh-CN" w:bidi="ar-SA"/>
              </w:rPr>
              <w:t>用作生产有机肥原料使用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格栅渣</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28.16</w:t>
            </w:r>
          </w:p>
        </w:tc>
        <w:tc>
          <w:tcPr>
            <w:tcW w:w="707" w:type="pct"/>
            <w:vMerge w:val="restar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污水处理站</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vMerge w:val="restar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运输至</w:t>
            </w:r>
            <w:r>
              <w:rPr>
                <w:rFonts w:hint="eastAsia" w:ascii="Times New Roman" w:hAnsi="Times New Roman" w:eastAsia="宋体" w:cs="Times New Roman"/>
                <w:color w:val="auto"/>
                <w:kern w:val="2"/>
                <w:sz w:val="21"/>
                <w:szCs w:val="21"/>
                <w:highlight w:val="none"/>
                <w:lang w:val="en-US" w:eastAsia="zh-CN" w:bidi="ar-SA"/>
              </w:rPr>
              <w:t>南江县万事康生物科技有限公司</w:t>
            </w:r>
            <w:r>
              <w:rPr>
                <w:rFonts w:hint="default" w:ascii="Times New Roman" w:hAnsi="Times New Roman" w:eastAsia="宋体" w:cs="Times New Roman"/>
                <w:color w:val="auto"/>
                <w:kern w:val="2"/>
                <w:sz w:val="21"/>
                <w:szCs w:val="21"/>
                <w:highlight w:val="none"/>
                <w:lang w:val="en-US" w:eastAsia="zh-CN" w:bidi="ar-SA"/>
              </w:rPr>
              <w:t>用作生产有机肥原料使用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固液分离机渣物</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21.42</w:t>
            </w:r>
          </w:p>
        </w:tc>
        <w:tc>
          <w:tcPr>
            <w:tcW w:w="707"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沼渣及污泥</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7.26</w:t>
            </w:r>
          </w:p>
        </w:tc>
        <w:tc>
          <w:tcPr>
            <w:tcW w:w="707"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vMerge w:val="continue"/>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7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病死牛</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3.75</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牛舍</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采用</w:t>
            </w:r>
            <w:r>
              <w:rPr>
                <w:rFonts w:hint="eastAsia" w:ascii="Times New Roman" w:hAnsi="Times New Roman" w:eastAsia="宋体" w:cs="Times New Roman"/>
                <w:color w:val="auto"/>
                <w:kern w:val="2"/>
                <w:sz w:val="21"/>
                <w:szCs w:val="21"/>
                <w:highlight w:val="none"/>
                <w:lang w:val="en-US" w:eastAsia="zh-CN" w:bidi="ar-SA"/>
              </w:rPr>
              <w:t>无害化降解处理机</w:t>
            </w:r>
            <w:r>
              <w:rPr>
                <w:rFonts w:hint="default" w:ascii="Times New Roman" w:hAnsi="Times New Roman" w:eastAsia="宋体" w:cs="Times New Roman"/>
                <w:color w:val="auto"/>
                <w:kern w:val="2"/>
                <w:sz w:val="21"/>
                <w:szCs w:val="21"/>
                <w:highlight w:val="none"/>
                <w:lang w:val="en-US" w:eastAsia="zh-CN" w:bidi="ar-SA"/>
              </w:rPr>
              <w:t>处理，处理后运输至</w:t>
            </w:r>
            <w:r>
              <w:rPr>
                <w:rFonts w:hint="eastAsia" w:ascii="Times New Roman" w:hAnsi="Times New Roman" w:eastAsia="宋体" w:cs="Times New Roman"/>
                <w:color w:val="auto"/>
                <w:kern w:val="2"/>
                <w:sz w:val="21"/>
                <w:szCs w:val="21"/>
                <w:highlight w:val="none"/>
                <w:lang w:val="en-US" w:eastAsia="zh-CN" w:bidi="ar-SA"/>
              </w:rPr>
              <w:t>南江县万事康生物科技有限公司</w:t>
            </w:r>
            <w:r>
              <w:rPr>
                <w:rFonts w:hint="default" w:ascii="Times New Roman" w:hAnsi="Times New Roman" w:eastAsia="宋体" w:cs="Times New Roman"/>
                <w:color w:val="auto"/>
                <w:kern w:val="2"/>
                <w:sz w:val="21"/>
                <w:szCs w:val="21"/>
                <w:highlight w:val="none"/>
                <w:lang w:val="en-US" w:eastAsia="zh-CN" w:bidi="ar-SA"/>
              </w:rPr>
              <w:t>用作生产有机肥原料使用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畜禽医疗废物</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牛舍</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危险废物HW01</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暂存于危险废物暂存间，交由危险废物处置单位进行处置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14.6</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生活区</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袋装收集后暂存于生活垃圾暂存间，及时运往垃圾中转站，由环卫部门统一清运处置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餐厨垃圾（含隔油池油脂）</w:t>
            </w:r>
          </w:p>
        </w:tc>
        <w:tc>
          <w:tcPr>
            <w:tcW w:w="787" w:type="pct"/>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2.92</w:t>
            </w:r>
          </w:p>
        </w:tc>
        <w:tc>
          <w:tcPr>
            <w:tcW w:w="707" w:type="pct"/>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食堂</w:t>
            </w:r>
          </w:p>
        </w:tc>
        <w:tc>
          <w:tcPr>
            <w:tcW w:w="829" w:type="pct"/>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收集后交由餐厨垃圾收运单位清运处置。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化粪池污泥</w:t>
            </w:r>
          </w:p>
        </w:tc>
        <w:tc>
          <w:tcPr>
            <w:tcW w:w="787" w:type="pct"/>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0.327</w:t>
            </w:r>
          </w:p>
        </w:tc>
        <w:tc>
          <w:tcPr>
            <w:tcW w:w="707" w:type="pct"/>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生活区</w:t>
            </w:r>
          </w:p>
        </w:tc>
        <w:tc>
          <w:tcPr>
            <w:tcW w:w="829" w:type="pct"/>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定期清掏，清掏后运输至南江县万事康生物科技有限公司用作生产有机肥原料使用。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废脱硫剂</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1.05</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沼气净化间</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集中收集后交由原厂家回收再生利用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379"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11</w:t>
            </w:r>
          </w:p>
        </w:tc>
        <w:tc>
          <w:tcPr>
            <w:tcW w:w="704" w:type="pct"/>
            <w:tcBorders>
              <w:top w:val="single" w:color="auto" w:sz="4" w:space="0"/>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废包装材料 </w:t>
            </w:r>
          </w:p>
        </w:tc>
        <w:tc>
          <w:tcPr>
            <w:tcW w:w="78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w:t>
            </w:r>
          </w:p>
        </w:tc>
        <w:tc>
          <w:tcPr>
            <w:tcW w:w="70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生产区</w:t>
            </w:r>
          </w:p>
        </w:tc>
        <w:tc>
          <w:tcPr>
            <w:tcW w:w="829"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一般固体废物</w:t>
            </w:r>
          </w:p>
        </w:tc>
        <w:tc>
          <w:tcPr>
            <w:tcW w:w="1592"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统一收集后送至废品回收站收购</w:t>
            </w:r>
          </w:p>
        </w:tc>
      </w:tr>
    </w:tbl>
    <w:p>
      <w:pPr>
        <w:pStyle w:val="9"/>
        <w:rPr>
          <w:rFonts w:cs="Times New Roman"/>
          <w:color w:val="auto"/>
          <w:highlight w:val="none"/>
          <w:lang w:val="en-US" w:eastAsia="zh-CN"/>
        </w:rPr>
      </w:pPr>
      <w:r>
        <w:rPr>
          <w:rFonts w:cs="Times New Roman"/>
          <w:color w:val="auto"/>
          <w:highlight w:val="none"/>
          <w:lang w:val="en-US" w:eastAsia="zh-CN"/>
        </w:rPr>
        <w:t>固体废物环境影响分析</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1、</w:t>
      </w:r>
      <w:r>
        <w:rPr>
          <w:rFonts w:hint="eastAsia" w:ascii="Times New Roman" w:hAnsi="Times New Roman" w:eastAsia="宋体" w:cs="Times New Roman"/>
          <w:b/>
          <w:color w:val="auto"/>
          <w:sz w:val="24"/>
          <w:szCs w:val="24"/>
          <w:highlight w:val="none"/>
          <w:lang w:eastAsia="zh-CN"/>
        </w:rPr>
        <w:t>牛</w:t>
      </w:r>
      <w:r>
        <w:rPr>
          <w:rFonts w:hint="eastAsia" w:ascii="Times New Roman" w:hAnsi="Times New Roman" w:eastAsia="宋体" w:cs="Times New Roman"/>
          <w:b/>
          <w:color w:val="auto"/>
          <w:sz w:val="24"/>
          <w:szCs w:val="24"/>
          <w:highlight w:val="none"/>
        </w:rPr>
        <w:t>粪影响分析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产生的各类固废中以畜禽粪便产生量最为显著，污染影响也最大，主要来源于干清粪工艺中的粪便。随着养殖业的发展，大量畜禽粪便直接排放已成为引起农业生态环境恶化的一个主要原因。因此，对畜禽粪便进行无害化处理，资源化利用，防止和消除畜禽养殖粪便的污染，对于保护生态环境，推动农业可持续发展和增强我国农产品市场竞争力具有十分重要的意义。畜禽粪便中含有丰富的氮、磷、钾，这些成分是农作物生长所必需的营养物质，在过去一直作为农业生产中宝贵的有机肥，施于农田有助于改良土壤结构，提高土壤的有机质含量，促进农作物增产。</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根据《畜禽养殖业污染防治技术规范》中的有关规定，</w:t>
      </w:r>
      <w:r>
        <w:rPr>
          <w:rFonts w:hint="default" w:ascii="Times New Roman" w:hAnsi="Times New Roman" w:eastAsia="宋体" w:cs="Times New Roman"/>
          <w:color w:val="auto"/>
          <w:sz w:val="24"/>
          <w:szCs w:val="24"/>
          <w:highlight w:val="none"/>
          <w:lang w:val="en-US" w:eastAsia="zh-CN"/>
        </w:rPr>
        <w:t>项目拟设置一处干粪棚，用于临时暂存干湿分离后的干粪。项目牛粪、牛尿依靠重力进入粪污收集池，最终经污水处理系统固液分离机进行干湿分离，经干湿分离后的干粪暂存于封闭的干粪棚，日产日清，</w:t>
      </w:r>
      <w:r>
        <w:rPr>
          <w:rFonts w:hint="eastAsia" w:ascii="Times New Roman" w:hAnsi="Times New Roman" w:eastAsia="宋体" w:cs="Times New Roman"/>
          <w:color w:val="auto"/>
          <w:sz w:val="24"/>
          <w:szCs w:val="24"/>
          <w:highlight w:val="none"/>
          <w:lang w:val="en-US" w:eastAsia="zh-CN"/>
        </w:rPr>
        <w:t>暂存</w:t>
      </w:r>
      <w:r>
        <w:rPr>
          <w:rFonts w:hint="default" w:ascii="Times New Roman" w:hAnsi="Times New Roman" w:eastAsia="宋体" w:cs="Times New Roman"/>
          <w:color w:val="auto"/>
          <w:sz w:val="24"/>
          <w:szCs w:val="24"/>
          <w:highlight w:val="none"/>
          <w:lang w:val="en-US" w:eastAsia="zh-CN"/>
        </w:rPr>
        <w:t>后运输至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hint="eastAsia" w:ascii="Times New Roman" w:hAnsi="Times New Roman" w:eastAsia="宋体" w:cs="Times New Roman"/>
          <w:color w:val="auto"/>
          <w:sz w:val="24"/>
          <w:szCs w:val="24"/>
          <w:highlight w:val="none"/>
        </w:rPr>
        <w:t>因此，该项目产生的</w:t>
      </w:r>
      <w:r>
        <w:rPr>
          <w:rFonts w:hint="eastAsia" w:ascii="Times New Roman" w:hAnsi="Times New Roman" w:eastAsia="宋体" w:cs="Times New Roman"/>
          <w:color w:val="auto"/>
          <w:sz w:val="24"/>
          <w:szCs w:val="24"/>
          <w:highlight w:val="none"/>
          <w:lang w:eastAsia="zh-CN"/>
        </w:rPr>
        <w:t>牛</w:t>
      </w:r>
      <w:r>
        <w:rPr>
          <w:rFonts w:hint="eastAsia" w:ascii="Times New Roman" w:hAnsi="Times New Roman" w:eastAsia="宋体" w:cs="Times New Roman"/>
          <w:color w:val="auto"/>
          <w:sz w:val="24"/>
          <w:szCs w:val="24"/>
          <w:highlight w:val="none"/>
        </w:rPr>
        <w:t>粪不会对周围环境产生影响。</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2、</w:t>
      </w:r>
      <w:r>
        <w:rPr>
          <w:rFonts w:ascii="Times New Roman" w:hAnsi="Times New Roman" w:eastAsia="宋体" w:cs="Times New Roman"/>
          <w:b/>
          <w:color w:val="auto"/>
          <w:sz w:val="24"/>
          <w:szCs w:val="24"/>
          <w:highlight w:val="none"/>
        </w:rPr>
        <w:t>污水处理设施污泥及沼渣影响分析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沼渣是有机物质发酵后剩余的固形物质，沼渣富含有机质、腐殖酸、微量营</w:t>
      </w:r>
    </w:p>
    <w:p>
      <w:pPr>
        <w:spacing w:line="360" w:lineRule="auto"/>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养元素、多种氨基酸、酶类和有益微生物等，能起到很好的改良土壤的作用。沼渣还含有氮、磷、钾等元素，能满足作物生长的需要。沼渣在综合利用过程中，具有速效、迟效两种功能，可作基肥和追肥。长期施用沼渣肥能使土壤疏松、肥力增加、通透良好、不板结。</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项目产生的污泥主要是生化处理过程产生的污泥，污泥中不含重金属。项目沼渣、污泥和</w:t>
      </w:r>
      <w:r>
        <w:rPr>
          <w:rFonts w:hint="eastAsia" w:ascii="Times New Roman" w:hAnsi="Times New Roman" w:eastAsia="宋体" w:cs="Times New Roman"/>
          <w:color w:val="auto"/>
          <w:sz w:val="24"/>
          <w:szCs w:val="24"/>
          <w:highlight w:val="none"/>
          <w:lang w:eastAsia="zh-CN"/>
        </w:rPr>
        <w:t>牛</w:t>
      </w:r>
      <w:r>
        <w:rPr>
          <w:rFonts w:hint="eastAsia" w:ascii="Times New Roman" w:hAnsi="Times New Roman" w:eastAsia="宋体" w:cs="Times New Roman"/>
          <w:color w:val="auto"/>
          <w:sz w:val="24"/>
          <w:szCs w:val="24"/>
          <w:highlight w:val="none"/>
        </w:rPr>
        <w:t>粪一起</w:t>
      </w:r>
      <w:r>
        <w:rPr>
          <w:rFonts w:hint="default" w:ascii="Times New Roman" w:hAnsi="Times New Roman" w:eastAsia="宋体" w:cs="Times New Roman"/>
          <w:color w:val="auto"/>
          <w:sz w:val="24"/>
          <w:szCs w:val="24"/>
          <w:highlight w:val="none"/>
          <w:lang w:val="en-US" w:eastAsia="zh-CN"/>
        </w:rPr>
        <w:t>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ascii="Times New Roman" w:hAnsi="Times New Roman" w:eastAsia="宋体" w:cs="Times New Roman"/>
          <w:color w:val="auto"/>
          <w:sz w:val="24"/>
          <w:szCs w:val="24"/>
          <w:highlight w:val="none"/>
          <w:lang w:val="zh-CN"/>
        </w:rPr>
        <w:t>。</w:t>
      </w:r>
      <w:r>
        <w:rPr>
          <w:rFonts w:hint="eastAsia" w:ascii="Times New Roman" w:hAnsi="Times New Roman" w:eastAsia="宋体" w:cs="Times New Roman"/>
          <w:color w:val="auto"/>
          <w:sz w:val="24"/>
          <w:szCs w:val="24"/>
          <w:highlight w:val="none"/>
        </w:rPr>
        <w:t>不会给周围环境带来不利影响。</w:t>
      </w:r>
    </w:p>
    <w:p>
      <w:pPr>
        <w:spacing w:line="360" w:lineRule="auto"/>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3、病死</w:t>
      </w:r>
      <w:r>
        <w:rPr>
          <w:rFonts w:hint="eastAsia" w:ascii="Times New Roman" w:hAnsi="Times New Roman" w:eastAsia="宋体" w:cs="Times New Roman"/>
          <w:b/>
          <w:color w:val="auto"/>
          <w:sz w:val="24"/>
          <w:szCs w:val="24"/>
          <w:highlight w:val="none"/>
          <w:lang w:eastAsia="zh-CN"/>
        </w:rPr>
        <w:t>牛</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采用</w:t>
      </w:r>
      <w:r>
        <w:rPr>
          <w:rFonts w:hint="eastAsia" w:ascii="Times New Roman" w:hAnsi="Times New Roman" w:eastAsia="宋体" w:cs="Times New Roman"/>
          <w:color w:val="auto"/>
          <w:sz w:val="24"/>
          <w:szCs w:val="24"/>
          <w:highlight w:val="none"/>
          <w:lang w:eastAsia="zh-CN"/>
        </w:rPr>
        <w:t>无害化降解处理机</w:t>
      </w:r>
      <w:r>
        <w:rPr>
          <w:rFonts w:ascii="Times New Roman" w:hAnsi="Times New Roman" w:eastAsia="宋体" w:cs="Times New Roman"/>
          <w:color w:val="auto"/>
          <w:sz w:val="24"/>
          <w:szCs w:val="24"/>
          <w:highlight w:val="none"/>
        </w:rPr>
        <w:t>处理，处理过程无废水产生，间歇运行。</w:t>
      </w:r>
      <w:r>
        <w:rPr>
          <w:rFonts w:hint="eastAsia" w:ascii="Times New Roman" w:hAnsi="Times New Roman" w:eastAsia="宋体" w:cs="Times New Roman"/>
          <w:color w:val="auto"/>
          <w:sz w:val="24"/>
          <w:szCs w:val="24"/>
          <w:highlight w:val="none"/>
        </w:rPr>
        <w:t>采用高温生物发酵技术原理</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利用设备产生的连续24h的高温(100PC)环境实现灭活病原体，利用芽孢杆菌分解的脂肪酶、蛋白质酶降解有机物的特性，实现动物尸体无害化降解处理。同时该设备综合分切、绞碎、发酵、杀菌、干燥等多个同步环节，把畜禽尸体等废弃物快速降解处理为有机肥原料。</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在采取以上措施后，病死</w:t>
      </w:r>
      <w:r>
        <w:rPr>
          <w:rFonts w:hint="eastAsia" w:ascii="Times New Roman" w:hAnsi="Times New Roman" w:eastAsia="宋体" w:cs="Times New Roman"/>
          <w:color w:val="auto"/>
          <w:sz w:val="24"/>
          <w:szCs w:val="24"/>
          <w:highlight w:val="none"/>
          <w:lang w:eastAsia="zh-CN"/>
        </w:rPr>
        <w:t>牛</w:t>
      </w:r>
      <w:r>
        <w:rPr>
          <w:rFonts w:hint="eastAsia" w:ascii="Times New Roman" w:hAnsi="Times New Roman" w:eastAsia="宋体" w:cs="Times New Roman"/>
          <w:color w:val="auto"/>
          <w:sz w:val="24"/>
          <w:szCs w:val="24"/>
          <w:highlight w:val="none"/>
        </w:rPr>
        <w:t>暂存及处理过程中，产生的固体废物无二次污染，对环境影响较小。</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4、畜禽医疗废物影响分析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在</w:t>
      </w:r>
      <w:r>
        <w:rPr>
          <w:rFonts w:hint="eastAsia" w:ascii="Times New Roman" w:hAnsi="Times New Roman" w:eastAsia="宋体" w:cs="Times New Roman"/>
          <w:color w:val="auto"/>
          <w:sz w:val="24"/>
          <w:szCs w:val="24"/>
          <w:highlight w:val="none"/>
        </w:rPr>
        <w:t>防疫、消毒过程中会产生废疫苗瓶、废消毒剂瓶</w:t>
      </w:r>
      <w:r>
        <w:rPr>
          <w:rFonts w:ascii="Times New Roman" w:hAnsi="Times New Roman" w:eastAsia="宋体" w:cs="Times New Roman"/>
          <w:color w:val="auto"/>
          <w:sz w:val="24"/>
          <w:szCs w:val="24"/>
          <w:highlight w:val="none"/>
          <w:lang w:val="zh-CN"/>
        </w:rPr>
        <w:t>、药品的包装及注射用针头等医疗废物，</w:t>
      </w:r>
      <w:r>
        <w:rPr>
          <w:rFonts w:hint="eastAsia" w:ascii="Times New Roman" w:hAnsi="Times New Roman" w:eastAsia="宋体" w:cs="Times New Roman"/>
          <w:color w:val="auto"/>
          <w:sz w:val="24"/>
          <w:szCs w:val="24"/>
          <w:highlight w:val="none"/>
        </w:rPr>
        <w:t>场区内应设置危险废物暂存间，临时贮存（以密封罐、桶单独贮存），定期交由</w:t>
      </w:r>
      <w:r>
        <w:rPr>
          <w:rFonts w:ascii="Times New Roman" w:hAnsi="Times New Roman" w:eastAsia="宋体" w:cs="Times New Roman"/>
          <w:color w:val="auto"/>
          <w:sz w:val="24"/>
          <w:szCs w:val="24"/>
          <w:highlight w:val="none"/>
        </w:rPr>
        <w:t>具有相应资质类别的危险废物处置单位处置</w:t>
      </w:r>
      <w:r>
        <w:rPr>
          <w:rFonts w:hint="eastAsia" w:ascii="Times New Roman" w:hAnsi="Times New Roman" w:eastAsia="宋体" w:cs="Times New Roman"/>
          <w:color w:val="auto"/>
          <w:sz w:val="24"/>
          <w:szCs w:val="24"/>
          <w:highlight w:val="none"/>
        </w:rPr>
        <w:t>，不会对环境产生不利影响。</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5、</w:t>
      </w:r>
      <w:r>
        <w:rPr>
          <w:rFonts w:hint="eastAsia" w:ascii="Times New Roman" w:hAnsi="Times New Roman" w:eastAsia="宋体" w:cs="Times New Roman"/>
          <w:b/>
          <w:color w:val="auto"/>
          <w:sz w:val="24"/>
          <w:szCs w:val="24"/>
          <w:highlight w:val="none"/>
        </w:rPr>
        <w:t>生活垃圾影响分析</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本项目产生的生活垃圾主要是厂区员工日常生活中抛弃的各类废物，如废塑料、废纸等，年产生量为</w:t>
      </w:r>
      <w:r>
        <w:rPr>
          <w:rFonts w:hint="eastAsia" w:ascii="Times New Roman" w:hAnsi="Times New Roman" w:eastAsia="宋体" w:cs="Times New Roman"/>
          <w:color w:val="auto"/>
          <w:sz w:val="24"/>
          <w:szCs w:val="24"/>
          <w:highlight w:val="none"/>
          <w:lang w:val="en-US" w:eastAsia="zh-CN"/>
        </w:rPr>
        <w:t>14.6</w:t>
      </w:r>
      <w:r>
        <w:rPr>
          <w:rFonts w:hint="eastAsia" w:ascii="Times New Roman" w:hAnsi="Times New Roman" w:eastAsia="宋体" w:cs="Times New Roman"/>
          <w:color w:val="auto"/>
          <w:sz w:val="24"/>
          <w:szCs w:val="24"/>
          <w:highlight w:val="none"/>
        </w:rPr>
        <w:t>t。生活垃圾在堆放过程中，废物中的易腐有机物在微生物的作用下会发生分解，产生带有恶臭气味的气体和含有可溶性有机质及无机质的渗滤水，对环境产生二次污染。</w:t>
      </w:r>
      <w:r>
        <w:rPr>
          <w:rFonts w:ascii="Times New Roman" w:hAnsi="Times New Roman" w:eastAsia="宋体" w:cs="Times New Roman"/>
          <w:color w:val="auto"/>
          <w:sz w:val="24"/>
          <w:szCs w:val="24"/>
          <w:highlight w:val="none"/>
        </w:rPr>
        <w:t>生活垃圾袋装收集后暂存于生活垃圾暂存间，并及时运往垃圾中转站，由环卫部门统一清运处置。</w:t>
      </w:r>
    </w:p>
    <w:p>
      <w:pPr>
        <w:spacing w:line="360" w:lineRule="auto"/>
        <w:ind w:firstLine="482" w:firstLineChars="200"/>
        <w:rPr>
          <w:rFonts w:hint="eastAsia" w:ascii="Times New Roman" w:hAnsi="Times New Roman" w:eastAsia="宋体" w:cs="Times New Roman"/>
          <w:b/>
          <w:bCs/>
          <w:color w:val="auto"/>
          <w:sz w:val="24"/>
          <w:szCs w:val="24"/>
          <w:highlight w:val="none"/>
          <w:lang w:eastAsia="zh-CN"/>
        </w:rPr>
      </w:pPr>
      <w:r>
        <w:rPr>
          <w:rFonts w:hint="eastAsia" w:ascii="Times New Roman" w:hAnsi="Times New Roman" w:eastAsia="宋体" w:cs="Times New Roman"/>
          <w:b/>
          <w:bCs/>
          <w:color w:val="auto"/>
          <w:sz w:val="24"/>
          <w:szCs w:val="24"/>
          <w:highlight w:val="none"/>
          <w:lang w:val="en-US" w:eastAsia="zh-CN"/>
        </w:rPr>
        <w:t>6、</w:t>
      </w:r>
      <w:r>
        <w:rPr>
          <w:rFonts w:hint="eastAsia" w:ascii="Times New Roman" w:hAnsi="Times New Roman" w:eastAsia="宋体" w:cs="Times New Roman"/>
          <w:b/>
          <w:bCs/>
          <w:color w:val="auto"/>
          <w:sz w:val="24"/>
          <w:szCs w:val="24"/>
          <w:highlight w:val="none"/>
        </w:rPr>
        <w:t>餐厨垃圾（含隔油池油脂）</w:t>
      </w:r>
      <w:r>
        <w:rPr>
          <w:rFonts w:hint="eastAsia" w:ascii="Times New Roman" w:hAnsi="Times New Roman" w:eastAsia="宋体" w:cs="Times New Roman"/>
          <w:b/>
          <w:bCs/>
          <w:color w:val="auto"/>
          <w:sz w:val="24"/>
          <w:szCs w:val="24"/>
          <w:highlight w:val="none"/>
          <w:lang w:eastAsia="zh-CN"/>
        </w:rPr>
        <w:t>影响分析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本项目餐厨垃圾产生量为</w:t>
      </w:r>
      <w:r>
        <w:rPr>
          <w:rFonts w:hint="eastAsia" w:ascii="Times New Roman" w:hAnsi="Times New Roman" w:eastAsia="宋体" w:cs="Times New Roman"/>
          <w:color w:val="auto"/>
          <w:sz w:val="24"/>
          <w:szCs w:val="24"/>
          <w:highlight w:val="none"/>
          <w:lang w:val="en-US" w:eastAsia="zh-CN"/>
        </w:rPr>
        <w:t>2.92t/a，</w:t>
      </w:r>
      <w:r>
        <w:rPr>
          <w:rFonts w:hint="eastAsia" w:ascii="Times New Roman" w:hAnsi="Times New Roman" w:eastAsia="宋体" w:cs="Times New Roman"/>
          <w:color w:val="auto"/>
          <w:sz w:val="24"/>
          <w:szCs w:val="24"/>
          <w:highlight w:val="none"/>
        </w:rPr>
        <w:t>食堂内设立密闭收集桶，餐厨垃圾（含隔油池油脂）与生活垃圾需单独收集，餐厨垃圾收集桶应设立明显警示装置，收集后交由餐厨垃圾收运单位清运处置。</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lang w:val="en-US" w:eastAsia="zh-CN"/>
        </w:rPr>
        <w:t>7</w:t>
      </w:r>
      <w:r>
        <w:rPr>
          <w:rFonts w:hint="eastAsia" w:ascii="Times New Roman" w:hAnsi="Times New Roman" w:eastAsia="宋体" w:cs="Times New Roman"/>
          <w:b/>
          <w:color w:val="auto"/>
          <w:sz w:val="24"/>
          <w:szCs w:val="24"/>
          <w:highlight w:val="none"/>
        </w:rPr>
        <w:t>、废脱硫剂影响分析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项目脱硫产生的废脱硫剂约</w:t>
      </w:r>
      <w:r>
        <w:rPr>
          <w:rFonts w:hint="eastAsia" w:ascii="Times New Roman" w:hAnsi="Times New Roman" w:eastAsia="宋体" w:cs="Times New Roman"/>
          <w:color w:val="auto"/>
          <w:sz w:val="24"/>
          <w:szCs w:val="24"/>
          <w:highlight w:val="none"/>
          <w:lang w:val="en-US" w:eastAsia="zh-CN"/>
        </w:rPr>
        <w:t>1.05</w:t>
      </w:r>
      <w:r>
        <w:rPr>
          <w:rFonts w:hint="eastAsia" w:ascii="Times New Roman" w:hAnsi="Times New Roman" w:eastAsia="宋体" w:cs="Times New Roman"/>
          <w:color w:val="auto"/>
          <w:sz w:val="24"/>
          <w:szCs w:val="24"/>
          <w:highlight w:val="none"/>
        </w:rPr>
        <w:t>t/a，全部由原厂家回收再生利用，不会对环境产生影响。</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lang w:val="en-US" w:eastAsia="zh-CN"/>
        </w:rPr>
        <w:t>8</w:t>
      </w:r>
      <w:r>
        <w:rPr>
          <w:rFonts w:hint="eastAsia" w:ascii="Times New Roman" w:hAnsi="Times New Roman" w:eastAsia="宋体" w:cs="Times New Roman"/>
          <w:b/>
          <w:color w:val="auto"/>
          <w:sz w:val="24"/>
          <w:szCs w:val="24"/>
          <w:highlight w:val="none"/>
        </w:rPr>
        <w:t>、废包装材料</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废饲料包装袋、包装箱等废包装材料收集后定期外售废品回收站，不会对环境产生影响。</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综上所述，项目拟采取的各项固体废弃物处置措施可行，从一定程度上体现了固体废物无害化和资源化利用的原则，只要在生产运营中将各项处理措施落到实处，可有效防止固体废物的逸散和对环境的二次污染，不会对周围环境造成明显不利影响。</w:t>
      </w:r>
    </w:p>
    <w:p>
      <w:pPr>
        <w:pStyle w:val="8"/>
        <w:spacing w:before="0" w:after="0" w:line="360" w:lineRule="auto"/>
        <w:ind w:left="0" w:firstLine="0"/>
        <w:rPr>
          <w:rFonts w:cs="Times New Roman"/>
          <w:color w:val="auto"/>
          <w:highlight w:val="none"/>
        </w:rPr>
      </w:pPr>
      <w:bookmarkStart w:id="251" w:name="_Toc3875"/>
      <w:r>
        <w:rPr>
          <w:rFonts w:cs="Times New Roman"/>
          <w:color w:val="auto"/>
          <w:highlight w:val="none"/>
        </w:rPr>
        <w:t>土壤环境影响分析</w:t>
      </w:r>
      <w:bookmarkEnd w:id="251"/>
    </w:p>
    <w:p>
      <w:pPr>
        <w:spacing w:line="360" w:lineRule="auto"/>
        <w:ind w:firstLine="480" w:firstLineChars="200"/>
        <w:rPr>
          <w:color w:val="auto"/>
          <w:highlight w:val="none"/>
        </w:rPr>
      </w:pPr>
      <w:r>
        <w:rPr>
          <w:rFonts w:ascii="Times New Roman" w:hAnsi="Times New Roman" w:cs="Times New Roman"/>
          <w:color w:val="auto"/>
          <w:sz w:val="24"/>
          <w:szCs w:val="24"/>
          <w:highlight w:val="none"/>
          <w:lang w:eastAsia="zh-CN"/>
        </w:rPr>
        <w:t>按照《环境影响评价技术导则土壤环境（试行）》（HJ964-2018）针对建设项目在建设期、运营期和服务期满后（可根据项目情况选择）对土壤环境理化特性可能造成的影响进行分析、预测和评估，提出预防或者减轻不良影响的措施和对策，为建设项目土壤环境保护提供科学依据，以使本项目建设对土壤环境的影响降到最低。</w:t>
      </w:r>
    </w:p>
    <w:p>
      <w:pPr>
        <w:pStyle w:val="9"/>
        <w:rPr>
          <w:rFonts w:cs="Times New Roman"/>
          <w:color w:val="auto"/>
          <w:highlight w:val="none"/>
          <w:lang w:val="en-US" w:eastAsia="zh-CN"/>
        </w:rPr>
      </w:pPr>
      <w:r>
        <w:rPr>
          <w:rFonts w:hint="eastAsia" w:cs="Times New Roman"/>
          <w:color w:val="auto"/>
          <w:highlight w:val="none"/>
          <w:lang w:val="en-US" w:eastAsia="zh-CN"/>
        </w:rPr>
        <w:t>土壤评价工作流程图</w:t>
      </w:r>
    </w:p>
    <w:p>
      <w:pPr>
        <w:spacing w:line="360" w:lineRule="auto"/>
        <w:ind w:firstLine="480" w:firstLineChars="200"/>
        <w:rPr>
          <w:rFonts w:ascii="Times New Roman" w:hAnsi="Times New Roman" w:cs="Times New Roman"/>
          <w:color w:val="auto"/>
          <w:sz w:val="24"/>
          <w:szCs w:val="24"/>
          <w:highlight w:val="none"/>
          <w:lang w:eastAsia="zh-CN"/>
        </w:rPr>
      </w:pPr>
      <w:r>
        <w:rPr>
          <w:rFonts w:ascii="Times New Roman" w:hAnsi="Times New Roman" w:cs="Times New Roman"/>
          <w:color w:val="auto"/>
          <w:sz w:val="24"/>
          <w:szCs w:val="24"/>
          <w:highlight w:val="none"/>
          <w:lang w:eastAsia="zh-CN"/>
        </w:rPr>
        <w:t>本评价程序采用中华人民共和国环境保护行业标准《环境影响评价技术导则土壤环境（试行）》（HJ944-2018）中的土壤环境评价流程框图，见下图。</w:t>
      </w:r>
    </w:p>
    <w:p>
      <w:pPr>
        <w:jc w:val="center"/>
        <w:rPr>
          <w:rFonts w:ascii="Times New Roman" w:hAnsi="Times New Roman" w:cs="Times New Roman"/>
          <w:color w:val="auto"/>
          <w:highlight w:val="none"/>
          <w:lang w:eastAsia="zh-CN"/>
        </w:rPr>
      </w:pPr>
      <w:r>
        <w:rPr>
          <w:rFonts w:ascii="Times New Roman" w:hAnsi="Times New Roman" w:cs="Times New Roman"/>
          <w:color w:val="auto"/>
          <w:highlight w:val="none"/>
          <w:lang w:eastAsia="zh-CN"/>
        </w:rPr>
        <w:drawing>
          <wp:inline distT="0" distB="0" distL="0" distR="0">
            <wp:extent cx="5270500" cy="5872480"/>
            <wp:effectExtent l="0" t="0" r="6350" b="13970"/>
            <wp:docPr id="89" name="图片 42"/>
            <wp:cNvGraphicFramePr/>
            <a:graphic xmlns:a="http://schemas.openxmlformats.org/drawingml/2006/main">
              <a:graphicData uri="http://schemas.openxmlformats.org/drawingml/2006/picture">
                <pic:pic xmlns:pic="http://schemas.openxmlformats.org/drawingml/2006/picture">
                  <pic:nvPicPr>
                    <pic:cNvPr id="89" name="图片 42"/>
                    <pic:cNvPicPr/>
                  </pic:nvPicPr>
                  <pic:blipFill>
                    <a:blip r:embed="rId64" cstate="print"/>
                    <a:stretch>
                      <a:fillRect/>
                    </a:stretch>
                  </pic:blipFill>
                  <pic:spPr>
                    <a:xfrm>
                      <a:off x="0" y="0"/>
                      <a:ext cx="5270577" cy="5872638"/>
                    </a:xfrm>
                    <a:prstGeom prst="rect">
                      <a:avLst/>
                    </a:prstGeom>
                  </pic:spPr>
                </pic:pic>
              </a:graphicData>
            </a:graphic>
          </wp:inline>
        </w:drawing>
      </w:r>
    </w:p>
    <w:p>
      <w:pPr>
        <w:pStyle w:val="78"/>
        <w:spacing w:before="0" w:line="360" w:lineRule="auto"/>
        <w:ind w:left="0"/>
        <w:jc w:val="center"/>
        <w:rPr>
          <w:rFonts w:ascii="Times New Roman" w:hAnsi="Times New Roman" w:cs="Times New Roman"/>
          <w:b/>
          <w:bCs/>
          <w:color w:val="auto"/>
          <w:sz w:val="21"/>
          <w:szCs w:val="21"/>
          <w:highlight w:val="none"/>
          <w:lang w:eastAsia="zh-CN"/>
        </w:rPr>
      </w:pPr>
      <w:r>
        <w:rPr>
          <w:rFonts w:ascii="Times New Roman" w:hAnsi="Times New Roman" w:cs="Times New Roman"/>
          <w:b/>
          <w:bCs/>
          <w:color w:val="auto"/>
          <w:sz w:val="21"/>
          <w:szCs w:val="21"/>
          <w:highlight w:val="none"/>
          <w:lang w:eastAsia="zh-CN"/>
        </w:rPr>
        <w:t>图5.2-5 土壤环境影响评价工作程序图</w:t>
      </w:r>
    </w:p>
    <w:p>
      <w:pPr>
        <w:pStyle w:val="9"/>
        <w:rPr>
          <w:rFonts w:hint="eastAsia" w:cs="Times New Roman"/>
          <w:color w:val="auto"/>
          <w:highlight w:val="none"/>
          <w:lang w:val="en-US" w:eastAsia="zh-CN"/>
        </w:rPr>
      </w:pPr>
      <w:r>
        <w:rPr>
          <w:rFonts w:hint="eastAsia" w:cs="Times New Roman"/>
          <w:color w:val="auto"/>
          <w:highlight w:val="none"/>
          <w:lang w:val="en-US" w:eastAsia="zh-CN"/>
        </w:rPr>
        <w:t>土壤环境影响识别及评价等级</w:t>
      </w:r>
    </w:p>
    <w:p>
      <w:pPr>
        <w:spacing w:line="360" w:lineRule="auto"/>
        <w:ind w:firstLine="482" w:firstLineChars="200"/>
        <w:rPr>
          <w:rFonts w:ascii="Times New Roman" w:hAnsi="Times New Roman" w:cs="Times New Roman"/>
          <w:color w:val="auto"/>
          <w:sz w:val="24"/>
          <w:szCs w:val="24"/>
          <w:highlight w:val="none"/>
          <w:lang w:eastAsia="zh-CN"/>
        </w:rPr>
      </w:pPr>
      <w:r>
        <w:rPr>
          <w:rFonts w:ascii="Times New Roman" w:hAnsi="Times New Roman" w:cs="Times New Roman"/>
          <w:b/>
          <w:bCs/>
          <w:color w:val="auto"/>
          <w:sz w:val="24"/>
          <w:szCs w:val="24"/>
          <w:highlight w:val="none"/>
          <w:lang w:eastAsia="zh-CN"/>
        </w:rPr>
        <w:t>（1）评价等级</w:t>
      </w:r>
    </w:p>
    <w:p>
      <w:pPr>
        <w:spacing w:line="360" w:lineRule="auto"/>
        <w:ind w:firstLine="480" w:firstLineChars="200"/>
        <w:rPr>
          <w:rFonts w:ascii="Times New Roman" w:hAnsi="Times New Roman" w:cs="Times New Roman"/>
          <w:color w:val="auto"/>
          <w:sz w:val="24"/>
          <w:szCs w:val="24"/>
          <w:highlight w:val="none"/>
          <w:lang w:eastAsia="zh-CN"/>
        </w:rPr>
      </w:pPr>
      <w:r>
        <w:rPr>
          <w:rFonts w:ascii="Times New Roman" w:hAnsi="Times New Roman" w:cs="Times New Roman"/>
          <w:color w:val="auto"/>
          <w:sz w:val="24"/>
          <w:szCs w:val="24"/>
          <w:highlight w:val="none"/>
          <w:lang w:eastAsia="zh-CN"/>
        </w:rPr>
        <w:t>根据行业特征、工业特点或规模大小等将建设项目类别分为I类、II类、III类、IV类，分类详见《环境影响评价技术导则—土壤环境》（HJ944-2018）附录A（以下简称附录A）。其中I类、II类及III类建设项目的土壤环境影响评价应执行导则要求，IV类建设项目可不开展土壤环境影响评价；自身为敏感目标的建设项目，可根据需要仅对土壤环境现状进行调查。</w:t>
      </w:r>
    </w:p>
    <w:p>
      <w:pPr>
        <w:spacing w:line="360" w:lineRule="auto"/>
        <w:ind w:firstLine="480" w:firstLineChars="200"/>
        <w:rPr>
          <w:rFonts w:ascii="Times New Roman" w:hAnsi="Times New Roman" w:cs="Times New Roman"/>
          <w:color w:val="auto"/>
          <w:sz w:val="24"/>
          <w:szCs w:val="24"/>
          <w:highlight w:val="none"/>
          <w:lang w:eastAsia="zh-CN"/>
        </w:rPr>
      </w:pPr>
      <w:r>
        <w:rPr>
          <w:rFonts w:hint="eastAsia" w:ascii="宋体" w:hAnsi="宋体" w:eastAsia="宋体" w:cs="宋体"/>
          <w:color w:val="auto"/>
          <w:sz w:val="24"/>
          <w:szCs w:val="24"/>
          <w:highlight w:val="none"/>
          <w:lang w:eastAsia="zh-CN"/>
        </w:rPr>
        <w:t>①</w:t>
      </w:r>
      <w:r>
        <w:rPr>
          <w:rFonts w:ascii="Times New Roman" w:hAnsi="Times New Roman" w:cs="Times New Roman"/>
          <w:color w:val="auto"/>
          <w:sz w:val="24"/>
          <w:szCs w:val="24"/>
          <w:highlight w:val="none"/>
          <w:lang w:eastAsia="zh-CN"/>
        </w:rPr>
        <w:t>项目类别</w:t>
      </w:r>
    </w:p>
    <w:p>
      <w:pPr>
        <w:spacing w:line="360" w:lineRule="auto"/>
        <w:ind w:firstLine="480" w:firstLineChars="200"/>
        <w:rPr>
          <w:rFonts w:ascii="Times New Roman" w:hAnsi="Times New Roman" w:cs="Times New Roman"/>
          <w:color w:val="auto"/>
          <w:sz w:val="24"/>
          <w:szCs w:val="24"/>
          <w:highlight w:val="none"/>
          <w:lang w:eastAsia="zh-CN"/>
        </w:rPr>
      </w:pPr>
      <w:r>
        <w:rPr>
          <w:rFonts w:ascii="Times New Roman" w:hAnsi="Times New Roman" w:cs="Times New Roman"/>
          <w:color w:val="auto"/>
          <w:sz w:val="24"/>
          <w:szCs w:val="24"/>
          <w:highlight w:val="none"/>
          <w:lang w:eastAsia="zh-CN"/>
        </w:rPr>
        <w:t>依据附录A，本项目属于“农林牧渔业”的年出栏生猪5000头（其他畜禽种类折合猪的养殖规模）及以上的畜禽养殖场或养殖小区，为III类项目，判别见下表。</w:t>
      </w:r>
    </w:p>
    <w:p>
      <w:pPr>
        <w:widowControl w:val="0"/>
        <w:numPr>
          <w:ilvl w:val="0"/>
          <w:numId w:val="34"/>
        </w:numPr>
        <w:spacing w:after="0" w:afterLines="0" w:line="360" w:lineRule="auto"/>
        <w:ind w:left="0" w:leftChars="0" w:firstLine="0" w:firstLineChars="0"/>
        <w:jc w:val="center"/>
        <w:rPr>
          <w:rFonts w:ascii="Times New Roman" w:hAnsi="Times New Roman" w:cs="Times New Roman"/>
          <w:b/>
          <w:bCs/>
          <w:color w:val="auto"/>
          <w:sz w:val="21"/>
          <w:szCs w:val="21"/>
          <w:highlight w:val="none"/>
          <w:lang w:eastAsia="zh-CN"/>
        </w:rPr>
      </w:pPr>
      <w:r>
        <w:rPr>
          <w:rFonts w:ascii="Times New Roman" w:hAnsi="Times New Roman" w:cs="Times New Roman"/>
          <w:b/>
          <w:bCs/>
          <w:color w:val="auto"/>
          <w:sz w:val="21"/>
          <w:szCs w:val="21"/>
          <w:highlight w:val="none"/>
          <w:lang w:eastAsia="zh-CN"/>
        </w:rPr>
        <w:t xml:space="preserve"> 附录A土壤环境影响评价项目类别</w:t>
      </w:r>
    </w:p>
    <w:tbl>
      <w:tblPr>
        <w:tblStyle w:val="91"/>
        <w:tblW w:w="5000"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306"/>
        <w:gridCol w:w="1163"/>
        <w:gridCol w:w="3204"/>
        <w:gridCol w:w="2084"/>
        <w:gridCol w:w="765"/>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766" w:type="pct"/>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项目类别</w:t>
            </w:r>
          </w:p>
          <w:p>
            <w:pPr>
              <w:pStyle w:val="63"/>
              <w:keepNext w:val="0"/>
              <w:keepLines w:val="0"/>
              <w:suppressLineNumbers w:val="0"/>
              <w:spacing w:before="0" w:beforeAutospacing="0" w:afterAutospacing="0"/>
              <w:ind w:left="0" w:right="0"/>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行业类别</w:t>
            </w:r>
          </w:p>
        </w:tc>
        <w:tc>
          <w:tcPr>
            <w:tcW w:w="682" w:type="pct"/>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I类</w:t>
            </w:r>
          </w:p>
        </w:tc>
        <w:tc>
          <w:tcPr>
            <w:tcW w:w="1879" w:type="pct"/>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II类</w:t>
            </w:r>
          </w:p>
        </w:tc>
        <w:tc>
          <w:tcPr>
            <w:tcW w:w="1222" w:type="pct"/>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III类</w:t>
            </w:r>
          </w:p>
        </w:tc>
        <w:tc>
          <w:tcPr>
            <w:tcW w:w="448" w:type="pct"/>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IV类</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766" w:type="pct"/>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val="0"/>
                <w:bCs w:val="0"/>
                <w:color w:val="auto"/>
                <w:sz w:val="21"/>
                <w:szCs w:val="21"/>
                <w:highlight w:val="none"/>
                <w:lang w:eastAsia="zh-CN"/>
              </w:rPr>
            </w:pPr>
            <w:r>
              <w:rPr>
                <w:rFonts w:hint="default" w:ascii="Times New Roman" w:hAnsi="Times New Roman" w:cs="Times New Roman"/>
                <w:b w:val="0"/>
                <w:bCs w:val="0"/>
                <w:color w:val="auto"/>
                <w:sz w:val="21"/>
                <w:szCs w:val="21"/>
                <w:highlight w:val="none"/>
                <w:lang w:eastAsia="zh-CN"/>
              </w:rPr>
              <w:t>农林牧渔业</w:t>
            </w:r>
          </w:p>
        </w:tc>
        <w:tc>
          <w:tcPr>
            <w:tcW w:w="682" w:type="pct"/>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val="0"/>
                <w:bCs w:val="0"/>
                <w:color w:val="auto"/>
                <w:sz w:val="21"/>
                <w:szCs w:val="21"/>
                <w:highlight w:val="none"/>
                <w:lang w:eastAsia="zh-CN"/>
              </w:rPr>
            </w:pPr>
            <w:r>
              <w:rPr>
                <w:rFonts w:hint="default" w:ascii="Times New Roman" w:hAnsi="Times New Roman" w:cs="Times New Roman"/>
                <w:b w:val="0"/>
                <w:bCs w:val="0"/>
                <w:color w:val="auto"/>
                <w:sz w:val="21"/>
                <w:szCs w:val="21"/>
                <w:highlight w:val="none"/>
                <w:lang w:eastAsia="zh-CN"/>
              </w:rPr>
              <w:t>灌溉面积大于50万亩的灌区工程</w:t>
            </w:r>
          </w:p>
        </w:tc>
        <w:tc>
          <w:tcPr>
            <w:tcW w:w="1879" w:type="pct"/>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val="0"/>
                <w:bCs w:val="0"/>
                <w:color w:val="auto"/>
                <w:sz w:val="21"/>
                <w:szCs w:val="21"/>
                <w:highlight w:val="none"/>
                <w:lang w:eastAsia="zh-CN"/>
              </w:rPr>
            </w:pPr>
            <w:r>
              <w:rPr>
                <w:rFonts w:hint="default" w:ascii="Times New Roman" w:hAnsi="Times New Roman" w:cs="Times New Roman"/>
                <w:b w:val="0"/>
                <w:bCs w:val="0"/>
                <w:color w:val="auto"/>
                <w:sz w:val="21"/>
                <w:szCs w:val="21"/>
                <w:highlight w:val="none"/>
                <w:lang w:eastAsia="zh-CN"/>
              </w:rPr>
              <w:t>新建5万亩至50万亩的、改造30万亩及以上的灌区工程；年出栏生猪10万头（其他畜禽种类折合猪的养殖规模）及以上的畜禽养殖场或养殖小区</w:t>
            </w:r>
          </w:p>
        </w:tc>
        <w:tc>
          <w:tcPr>
            <w:tcW w:w="1222" w:type="pct"/>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val="0"/>
                <w:bCs w:val="0"/>
                <w:color w:val="auto"/>
                <w:sz w:val="21"/>
                <w:szCs w:val="21"/>
                <w:highlight w:val="none"/>
                <w:lang w:eastAsia="zh-CN"/>
              </w:rPr>
            </w:pPr>
            <w:r>
              <w:rPr>
                <w:rFonts w:hint="default" w:ascii="Times New Roman" w:hAnsi="Times New Roman" w:cs="Times New Roman"/>
                <w:b w:val="0"/>
                <w:bCs w:val="0"/>
                <w:color w:val="auto"/>
                <w:sz w:val="21"/>
                <w:szCs w:val="21"/>
                <w:highlight w:val="none"/>
                <w:lang w:eastAsia="zh-CN"/>
              </w:rPr>
              <w:t>年出栏生猪5000头（其他畜禽种类折合猪的养殖规模）及以上的畜禽养殖场或养殖小区</w:t>
            </w:r>
          </w:p>
        </w:tc>
        <w:tc>
          <w:tcPr>
            <w:tcW w:w="448" w:type="pct"/>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val="0"/>
                <w:bCs w:val="0"/>
                <w:color w:val="auto"/>
                <w:sz w:val="21"/>
                <w:szCs w:val="21"/>
                <w:highlight w:val="none"/>
                <w:lang w:eastAsia="zh-CN"/>
              </w:rPr>
            </w:pPr>
            <w:r>
              <w:rPr>
                <w:rFonts w:hint="default" w:ascii="Times New Roman" w:hAnsi="Times New Roman" w:cs="Times New Roman"/>
                <w:b w:val="0"/>
                <w:bCs w:val="0"/>
                <w:color w:val="auto"/>
                <w:sz w:val="21"/>
                <w:szCs w:val="21"/>
                <w:highlight w:val="none"/>
                <w:lang w:eastAsia="zh-CN"/>
              </w:rPr>
              <w:t>其他</w:t>
            </w:r>
          </w:p>
        </w:tc>
      </w:tr>
    </w:tbl>
    <w:p>
      <w:pPr>
        <w:spacing w:line="360" w:lineRule="auto"/>
        <w:ind w:firstLine="480" w:firstLineChars="200"/>
        <w:rPr>
          <w:rFonts w:ascii="Times New Roman" w:hAnsi="Times New Roman" w:cs="Times New Roman"/>
          <w:color w:val="auto"/>
          <w:sz w:val="24"/>
          <w:szCs w:val="24"/>
          <w:highlight w:val="none"/>
          <w:lang w:eastAsia="zh-CN"/>
        </w:rPr>
      </w:pPr>
      <w:r>
        <w:rPr>
          <w:rFonts w:hint="eastAsia" w:ascii="宋体" w:hAnsi="宋体" w:eastAsia="宋体" w:cs="宋体"/>
          <w:color w:val="auto"/>
          <w:sz w:val="24"/>
          <w:szCs w:val="24"/>
          <w:highlight w:val="none"/>
          <w:lang w:eastAsia="zh-CN"/>
        </w:rPr>
        <w:t>②</w:t>
      </w:r>
      <w:r>
        <w:rPr>
          <w:rFonts w:ascii="Times New Roman" w:hAnsi="Times New Roman" w:cs="Times New Roman"/>
          <w:color w:val="auto"/>
          <w:sz w:val="24"/>
          <w:szCs w:val="24"/>
          <w:highlight w:val="none"/>
          <w:lang w:eastAsia="zh-CN"/>
        </w:rPr>
        <w:t>项目占地规模</w:t>
      </w:r>
    </w:p>
    <w:p>
      <w:pPr>
        <w:spacing w:line="360" w:lineRule="auto"/>
        <w:ind w:firstLine="480" w:firstLineChars="200"/>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本项目占地范围为</w:t>
      </w:r>
      <w:r>
        <w:rPr>
          <w:rFonts w:hint="default" w:ascii="Times New Roman" w:hAnsi="Times New Roman" w:cs="Times New Roman"/>
          <w:color w:val="auto"/>
          <w:sz w:val="24"/>
          <w:szCs w:val="24"/>
          <w:highlight w:val="none"/>
          <w:lang w:val="en-US" w:eastAsia="zh-CN"/>
        </w:rPr>
        <w:t>34.168</w:t>
      </w:r>
      <w:r>
        <w:rPr>
          <w:rFonts w:hint="default" w:ascii="Times New Roman" w:hAnsi="Times New Roman" w:cs="Times New Roman"/>
          <w:color w:val="auto"/>
          <w:sz w:val="24"/>
          <w:szCs w:val="24"/>
          <w:highlight w:val="none"/>
          <w:lang w:eastAsia="zh-CN"/>
        </w:rPr>
        <w:t>hm</w:t>
      </w:r>
      <w:r>
        <w:rPr>
          <w:rFonts w:hint="default" w:ascii="Times New Roman" w:hAnsi="Times New Roman" w:cs="Times New Roman"/>
          <w:color w:val="auto"/>
          <w:sz w:val="24"/>
          <w:szCs w:val="24"/>
          <w:highlight w:val="none"/>
          <w:vertAlign w:val="superscript"/>
          <w:lang w:eastAsia="zh-CN"/>
        </w:rPr>
        <w:t>2</w:t>
      </w:r>
      <w:r>
        <w:rPr>
          <w:rFonts w:hint="default"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34.168</w:t>
      </w:r>
      <w:r>
        <w:rPr>
          <w:rFonts w:hint="default" w:ascii="Times New Roman" w:hAnsi="Times New Roman" w:cs="Times New Roman"/>
          <w:color w:val="auto"/>
          <w:sz w:val="24"/>
          <w:szCs w:val="24"/>
          <w:highlight w:val="none"/>
          <w:lang w:eastAsia="zh-CN"/>
        </w:rPr>
        <w:t>hm</w:t>
      </w:r>
      <w:r>
        <w:rPr>
          <w:rFonts w:hint="default" w:ascii="Times New Roman" w:hAnsi="Times New Roman" w:cs="Times New Roman"/>
          <w:color w:val="auto"/>
          <w:sz w:val="24"/>
          <w:szCs w:val="24"/>
          <w:highlight w:val="none"/>
          <w:vertAlign w:val="superscript"/>
          <w:lang w:eastAsia="zh-CN"/>
        </w:rPr>
        <w:t>2</w:t>
      </w:r>
      <w:r>
        <w:rPr>
          <w:rFonts w:hint="default" w:ascii="Times New Roman" w:hAnsi="Times New Roman" w:cs="Times New Roman"/>
          <w:color w:val="auto"/>
          <w:sz w:val="24"/>
          <w:szCs w:val="24"/>
          <w:highlight w:val="none"/>
          <w:lang w:eastAsia="zh-CN"/>
        </w:rPr>
        <w:t>&lt;占地面积&lt;50hm</w:t>
      </w:r>
      <w:r>
        <w:rPr>
          <w:rFonts w:hint="default" w:ascii="Times New Roman" w:hAnsi="Times New Roman" w:cs="Times New Roman"/>
          <w:color w:val="auto"/>
          <w:sz w:val="24"/>
          <w:szCs w:val="24"/>
          <w:highlight w:val="none"/>
          <w:vertAlign w:val="superscript"/>
          <w:lang w:eastAsia="zh-CN"/>
        </w:rPr>
        <w:t>2</w:t>
      </w:r>
      <w:r>
        <w:rPr>
          <w:rFonts w:hint="default" w:ascii="Times New Roman" w:hAnsi="Times New Roman" w:cs="Times New Roman"/>
          <w:color w:val="auto"/>
          <w:sz w:val="24"/>
          <w:szCs w:val="24"/>
          <w:highlight w:val="none"/>
          <w:lang w:eastAsia="zh-CN"/>
        </w:rPr>
        <w:t>，占地规模属于中型。</w:t>
      </w:r>
    </w:p>
    <w:p>
      <w:pPr>
        <w:spacing w:line="360" w:lineRule="auto"/>
        <w:ind w:firstLine="480" w:firstLineChars="200"/>
        <w:rPr>
          <w:rFonts w:ascii="Times New Roman" w:hAnsi="Times New Roman" w:cs="Times New Roman"/>
          <w:color w:val="auto"/>
          <w:sz w:val="24"/>
          <w:szCs w:val="24"/>
          <w:highlight w:val="none"/>
          <w:lang w:eastAsia="zh-CN"/>
        </w:rPr>
      </w:pPr>
      <w:r>
        <w:rPr>
          <w:rFonts w:hint="eastAsia" w:ascii="宋体" w:hAnsi="宋体" w:eastAsia="宋体" w:cs="宋体"/>
          <w:color w:val="auto"/>
          <w:sz w:val="24"/>
          <w:szCs w:val="24"/>
          <w:highlight w:val="none"/>
          <w:lang w:eastAsia="zh-CN"/>
        </w:rPr>
        <w:t>③</w:t>
      </w:r>
      <w:r>
        <w:rPr>
          <w:rFonts w:ascii="Times New Roman" w:hAnsi="Times New Roman" w:cs="Times New Roman"/>
          <w:color w:val="auto"/>
          <w:sz w:val="24"/>
          <w:szCs w:val="24"/>
          <w:highlight w:val="none"/>
          <w:lang w:eastAsia="zh-CN"/>
        </w:rPr>
        <w:t>项目所在地周边土壤环境敏感程度建设项目所在地周边的土壤环境敏感程度可分为敏感、较敏感、不敏感，判定依据见下表：</w:t>
      </w:r>
    </w:p>
    <w:p>
      <w:pPr>
        <w:widowControl w:val="0"/>
        <w:numPr>
          <w:ilvl w:val="0"/>
          <w:numId w:val="34"/>
        </w:numPr>
        <w:spacing w:after="0" w:afterLines="0" w:line="360" w:lineRule="auto"/>
        <w:ind w:left="0" w:leftChars="0" w:firstLine="0" w:firstLineChars="0"/>
        <w:jc w:val="center"/>
        <w:rPr>
          <w:rFonts w:ascii="Times New Roman" w:hAnsi="Times New Roman" w:cs="Times New Roman"/>
          <w:b/>
          <w:bCs/>
          <w:color w:val="auto"/>
          <w:sz w:val="21"/>
          <w:szCs w:val="21"/>
          <w:highlight w:val="none"/>
          <w:lang w:eastAsia="zh-CN"/>
        </w:rPr>
      </w:pPr>
      <w:r>
        <w:rPr>
          <w:rFonts w:ascii="Times New Roman" w:hAnsi="Times New Roman" w:cs="Times New Roman"/>
          <w:b/>
          <w:bCs/>
          <w:color w:val="auto"/>
          <w:sz w:val="21"/>
          <w:szCs w:val="21"/>
          <w:highlight w:val="none"/>
          <w:lang w:eastAsia="zh-CN"/>
        </w:rPr>
        <w:t xml:space="preserve"> 污染影响型敏感程度分级表</w:t>
      </w:r>
    </w:p>
    <w:tbl>
      <w:tblPr>
        <w:tblStyle w:val="91"/>
        <w:tblW w:w="0" w:type="auto"/>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559"/>
        <w:gridCol w:w="4110"/>
        <w:gridCol w:w="285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48" w:hRule="atLeast"/>
        </w:trPr>
        <w:tc>
          <w:tcPr>
            <w:tcW w:w="1559" w:type="dxa"/>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val="0"/>
                <w:bCs w:val="0"/>
                <w:color w:val="auto"/>
                <w:sz w:val="21"/>
                <w:szCs w:val="21"/>
                <w:highlight w:val="none"/>
                <w:lang w:eastAsia="zh-CN"/>
              </w:rPr>
            </w:pPr>
            <w:r>
              <w:rPr>
                <w:rFonts w:hint="default" w:ascii="Times New Roman" w:hAnsi="Times New Roman" w:cs="Times New Roman"/>
                <w:b w:val="0"/>
                <w:bCs w:val="0"/>
                <w:color w:val="auto"/>
                <w:sz w:val="21"/>
                <w:szCs w:val="21"/>
                <w:highlight w:val="none"/>
                <w:lang w:eastAsia="zh-CN"/>
              </w:rPr>
              <w:t>敏感程度</w:t>
            </w:r>
          </w:p>
        </w:tc>
        <w:tc>
          <w:tcPr>
            <w:tcW w:w="4110" w:type="dxa"/>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val="0"/>
                <w:bCs w:val="0"/>
                <w:color w:val="auto"/>
                <w:sz w:val="21"/>
                <w:szCs w:val="21"/>
                <w:highlight w:val="none"/>
                <w:lang w:eastAsia="zh-CN"/>
              </w:rPr>
            </w:pPr>
            <w:r>
              <w:rPr>
                <w:rFonts w:hint="default" w:ascii="Times New Roman" w:hAnsi="Times New Roman" w:cs="Times New Roman"/>
                <w:b w:val="0"/>
                <w:bCs w:val="0"/>
                <w:color w:val="auto"/>
                <w:sz w:val="21"/>
                <w:szCs w:val="21"/>
                <w:highlight w:val="none"/>
                <w:lang w:eastAsia="zh-CN"/>
              </w:rPr>
              <w:t>判别依据</w:t>
            </w:r>
          </w:p>
        </w:tc>
        <w:tc>
          <w:tcPr>
            <w:tcW w:w="2853" w:type="dxa"/>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val="0"/>
                <w:bCs w:val="0"/>
                <w:color w:val="auto"/>
                <w:sz w:val="21"/>
                <w:szCs w:val="21"/>
                <w:highlight w:val="none"/>
                <w:lang w:eastAsia="zh-CN"/>
              </w:rPr>
            </w:pPr>
            <w:r>
              <w:rPr>
                <w:rFonts w:hint="default" w:ascii="Times New Roman" w:hAnsi="Times New Roman" w:cs="Times New Roman"/>
                <w:b w:val="0"/>
                <w:bCs w:val="0"/>
                <w:color w:val="auto"/>
                <w:sz w:val="21"/>
                <w:szCs w:val="21"/>
                <w:highlight w:val="none"/>
                <w:lang w:eastAsia="zh-CN"/>
              </w:rPr>
              <w:t>本项目</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1559" w:type="dxa"/>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敏感</w:t>
            </w:r>
          </w:p>
        </w:tc>
        <w:tc>
          <w:tcPr>
            <w:tcW w:w="4110" w:type="dxa"/>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建设项目周边存在</w:t>
            </w:r>
            <w:r>
              <w:rPr>
                <w:rFonts w:hint="default" w:ascii="Times New Roman" w:hAnsi="Times New Roman" w:eastAsia="宋体" w:cs="Times New Roman"/>
                <w:b/>
                <w:bCs/>
                <w:color w:val="auto"/>
                <w:sz w:val="21"/>
                <w:szCs w:val="21"/>
                <w:highlight w:val="none"/>
                <w:lang w:eastAsia="zh-CN"/>
              </w:rPr>
              <w:t>耕地</w:t>
            </w:r>
            <w:r>
              <w:rPr>
                <w:rFonts w:hint="default" w:ascii="Times New Roman" w:hAnsi="Times New Roman" w:eastAsia="宋体" w:cs="Times New Roman"/>
                <w:b w:val="0"/>
                <w:bCs w:val="0"/>
                <w:color w:val="auto"/>
                <w:sz w:val="21"/>
                <w:szCs w:val="21"/>
                <w:highlight w:val="none"/>
                <w:lang w:eastAsia="zh-CN"/>
              </w:rPr>
              <w:t>、园地、牧草地、饮用水水源地或</w:t>
            </w:r>
            <w:r>
              <w:rPr>
                <w:rFonts w:hint="default" w:ascii="Times New Roman" w:hAnsi="Times New Roman" w:eastAsia="宋体" w:cs="Times New Roman"/>
                <w:b/>
                <w:bCs/>
                <w:color w:val="auto"/>
                <w:sz w:val="21"/>
                <w:szCs w:val="21"/>
                <w:highlight w:val="none"/>
                <w:lang w:eastAsia="zh-CN"/>
              </w:rPr>
              <w:t>居民区</w:t>
            </w:r>
            <w:r>
              <w:rPr>
                <w:rFonts w:hint="default" w:ascii="Times New Roman" w:hAnsi="Times New Roman" w:eastAsia="宋体" w:cs="Times New Roman"/>
                <w:b w:val="0"/>
                <w:bCs w:val="0"/>
                <w:color w:val="auto"/>
                <w:sz w:val="21"/>
                <w:szCs w:val="21"/>
                <w:highlight w:val="none"/>
                <w:lang w:eastAsia="zh-CN"/>
              </w:rPr>
              <w:t>、学校、医院、疗养院、养老院等土壤环境敏感目标的</w:t>
            </w:r>
          </w:p>
        </w:tc>
        <w:tc>
          <w:tcPr>
            <w:tcW w:w="2853" w:type="dxa"/>
            <w:vMerge w:val="restart"/>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cs="Times New Roman"/>
                <w:b w:val="0"/>
                <w:bCs w:val="0"/>
                <w:color w:val="auto"/>
                <w:sz w:val="21"/>
                <w:szCs w:val="21"/>
                <w:highlight w:val="none"/>
                <w:lang w:eastAsia="zh-CN"/>
              </w:rPr>
            </w:pPr>
            <w:r>
              <w:rPr>
                <w:rFonts w:hint="default" w:ascii="Times New Roman" w:hAnsi="Times New Roman" w:cs="Times New Roman"/>
                <w:b w:val="0"/>
                <w:bCs w:val="0"/>
                <w:color w:val="auto"/>
                <w:sz w:val="21"/>
                <w:szCs w:val="21"/>
                <w:highlight w:val="none"/>
                <w:lang w:eastAsia="zh-CN"/>
              </w:rPr>
              <w:t>本项目位于巴州区</w:t>
            </w:r>
            <w:r>
              <w:rPr>
                <w:rFonts w:hint="eastAsia" w:ascii="Times New Roman" w:hAnsi="Times New Roman" w:cs="Times New Roman"/>
                <w:b w:val="0"/>
                <w:bCs w:val="0"/>
                <w:color w:val="auto"/>
                <w:sz w:val="21"/>
                <w:szCs w:val="21"/>
                <w:highlight w:val="none"/>
                <w:lang w:eastAsia="zh-CN"/>
              </w:rPr>
              <w:t>鼎山镇首市村</w:t>
            </w:r>
            <w:r>
              <w:rPr>
                <w:rFonts w:hint="default" w:ascii="Times New Roman" w:hAnsi="Times New Roman" w:cs="Times New Roman"/>
                <w:b w:val="0"/>
                <w:bCs w:val="0"/>
                <w:color w:val="auto"/>
                <w:sz w:val="21"/>
                <w:szCs w:val="21"/>
                <w:highlight w:val="none"/>
                <w:lang w:eastAsia="zh-CN"/>
              </w:rPr>
              <w:t>，根据现场调查，本项目</w:t>
            </w:r>
            <w:r>
              <w:rPr>
                <w:rFonts w:hint="eastAsia" w:ascii="Times New Roman" w:hAnsi="Times New Roman" w:cs="Times New Roman"/>
                <w:b w:val="0"/>
                <w:bCs w:val="0"/>
                <w:color w:val="auto"/>
                <w:sz w:val="21"/>
                <w:szCs w:val="21"/>
                <w:highlight w:val="none"/>
                <w:lang w:eastAsia="zh-CN"/>
              </w:rPr>
              <w:t>用地红线</w:t>
            </w:r>
            <w:r>
              <w:rPr>
                <w:rFonts w:hint="default" w:ascii="Times New Roman" w:hAnsi="Times New Roman" w:cs="Times New Roman"/>
                <w:b w:val="0"/>
                <w:bCs w:val="0"/>
                <w:color w:val="auto"/>
                <w:sz w:val="21"/>
                <w:szCs w:val="21"/>
                <w:highlight w:val="none"/>
                <w:lang w:eastAsia="zh-CN"/>
              </w:rPr>
              <w:t>周边存在耕地</w:t>
            </w:r>
            <w:r>
              <w:rPr>
                <w:rFonts w:hint="eastAsia" w:ascii="Times New Roman" w:hAnsi="Times New Roman" w:cs="Times New Roman"/>
                <w:b w:val="0"/>
                <w:bCs w:val="0"/>
                <w:color w:val="auto"/>
                <w:sz w:val="21"/>
                <w:szCs w:val="21"/>
                <w:highlight w:val="none"/>
                <w:lang w:eastAsia="zh-CN"/>
              </w:rPr>
              <w:t>、居民聚居点</w:t>
            </w:r>
            <w:r>
              <w:rPr>
                <w:rFonts w:hint="default" w:ascii="Times New Roman" w:hAnsi="Times New Roman" w:cs="Times New Roman"/>
                <w:b w:val="0"/>
                <w:bCs w:val="0"/>
                <w:color w:val="auto"/>
                <w:sz w:val="21"/>
                <w:szCs w:val="21"/>
                <w:highlight w:val="none"/>
                <w:lang w:eastAsia="zh-CN"/>
              </w:rPr>
              <w:t>，因此本项目所在区域土壤敏感程度为“敏感”</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1559" w:type="dxa"/>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较敏感</w:t>
            </w:r>
          </w:p>
        </w:tc>
        <w:tc>
          <w:tcPr>
            <w:tcW w:w="4110" w:type="dxa"/>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建设项目周边存在其他土壤环境敏感目标</w:t>
            </w:r>
          </w:p>
        </w:tc>
        <w:tc>
          <w:tcPr>
            <w:tcW w:w="2853" w:type="dxa"/>
            <w:vMerge w:val="continue"/>
            <w:tcBorders>
              <w:tl2br w:val="nil"/>
              <w:tr2bl w:val="nil"/>
            </w:tcBorders>
            <w:vAlign w:val="center"/>
          </w:tcPr>
          <w:p>
            <w:pPr>
              <w:pStyle w:val="63"/>
              <w:keepNext w:val="0"/>
              <w:keepLines w:val="0"/>
              <w:suppressLineNumbers w:val="0"/>
              <w:spacing w:before="0" w:beforeAutospacing="0" w:afterAutospacing="0"/>
              <w:ind w:left="0" w:right="0"/>
              <w:rPr>
                <w:rFonts w:hint="default" w:ascii="Times New Roman" w:hAnsi="Times New Roman" w:cs="Times New Roman"/>
                <w:color w:val="auto"/>
                <w:sz w:val="21"/>
                <w:szCs w:val="21"/>
                <w:highlight w:val="none"/>
                <w:lang w:eastAsia="zh-CN"/>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1559" w:type="dxa"/>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不敏感</w:t>
            </w:r>
          </w:p>
        </w:tc>
        <w:tc>
          <w:tcPr>
            <w:tcW w:w="4110" w:type="dxa"/>
            <w:tcBorders>
              <w:tl2br w:val="nil"/>
              <w:tr2bl w:val="nil"/>
            </w:tcBorders>
            <w:vAlign w:val="center"/>
          </w:tcPr>
          <w:p>
            <w:pPr>
              <w:pStyle w:val="63"/>
              <w:keepNext w:val="0"/>
              <w:keepLines w:val="0"/>
              <w:suppressLineNumbers w:val="0"/>
              <w:spacing w:before="0" w:beforeAutospacing="0" w:afterAutospacing="0"/>
              <w:ind w:left="0" w:right="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rPr>
              <w:t>其他情况</w:t>
            </w:r>
          </w:p>
        </w:tc>
        <w:tc>
          <w:tcPr>
            <w:tcW w:w="2853" w:type="dxa"/>
            <w:vMerge w:val="continue"/>
            <w:tcBorders>
              <w:tl2br w:val="nil"/>
              <w:tr2bl w:val="nil"/>
            </w:tcBorders>
            <w:vAlign w:val="center"/>
          </w:tcPr>
          <w:p>
            <w:pPr>
              <w:pStyle w:val="63"/>
              <w:keepNext w:val="0"/>
              <w:keepLines w:val="0"/>
              <w:suppressLineNumbers w:val="0"/>
              <w:spacing w:before="0" w:beforeAutospacing="0" w:afterAutospacing="0"/>
              <w:ind w:left="0" w:right="0"/>
              <w:rPr>
                <w:rFonts w:hint="default" w:ascii="Times New Roman" w:hAnsi="Times New Roman" w:cs="Times New Roman"/>
                <w:color w:val="auto"/>
                <w:sz w:val="21"/>
                <w:szCs w:val="21"/>
                <w:highlight w:val="none"/>
                <w:lang w:eastAsia="zh-CN"/>
              </w:rPr>
            </w:pPr>
          </w:p>
        </w:tc>
      </w:tr>
    </w:tbl>
    <w:p>
      <w:pPr>
        <w:spacing w:line="360" w:lineRule="auto"/>
        <w:ind w:firstLine="480" w:firstLineChars="200"/>
        <w:rPr>
          <w:rFonts w:ascii="Times New Roman" w:hAnsi="Times New Roman" w:cs="Times New Roman"/>
          <w:color w:val="auto"/>
          <w:sz w:val="24"/>
          <w:szCs w:val="24"/>
          <w:highlight w:val="none"/>
          <w:lang w:eastAsia="zh-CN"/>
        </w:rPr>
      </w:pPr>
      <w:r>
        <w:rPr>
          <w:rFonts w:ascii="Times New Roman" w:hAnsi="Times New Roman" w:cs="Times New Roman"/>
          <w:color w:val="auto"/>
          <w:sz w:val="24"/>
          <w:szCs w:val="24"/>
          <w:highlight w:val="none"/>
          <w:lang w:eastAsia="zh-CN"/>
        </w:rPr>
        <w:t>本项目所在区域土壤环境敏感程度为“敏感”。</w:t>
      </w:r>
    </w:p>
    <w:p>
      <w:pPr>
        <w:spacing w:line="360" w:lineRule="auto"/>
        <w:ind w:firstLine="480" w:firstLineChars="200"/>
        <w:rPr>
          <w:rFonts w:ascii="Times New Roman" w:hAnsi="Times New Roman" w:cs="Times New Roman"/>
          <w:color w:val="auto"/>
          <w:sz w:val="24"/>
          <w:szCs w:val="24"/>
          <w:highlight w:val="none"/>
          <w:lang w:eastAsia="zh-CN"/>
        </w:rPr>
      </w:pPr>
      <w:r>
        <w:rPr>
          <w:rFonts w:hint="eastAsia" w:ascii="宋体" w:hAnsi="宋体" w:eastAsia="宋体" w:cs="宋体"/>
          <w:color w:val="auto"/>
          <w:sz w:val="24"/>
          <w:szCs w:val="24"/>
          <w:highlight w:val="none"/>
          <w:lang w:eastAsia="zh-CN"/>
        </w:rPr>
        <w:t>④</w:t>
      </w:r>
      <w:r>
        <w:rPr>
          <w:rFonts w:ascii="Times New Roman" w:hAnsi="Times New Roman" w:cs="Times New Roman"/>
          <w:color w:val="auto"/>
          <w:sz w:val="24"/>
          <w:szCs w:val="24"/>
          <w:highlight w:val="none"/>
          <w:lang w:eastAsia="zh-CN"/>
        </w:rPr>
        <w:t>评价等级</w:t>
      </w:r>
    </w:p>
    <w:p>
      <w:pPr>
        <w:spacing w:line="360" w:lineRule="auto"/>
        <w:ind w:firstLine="480" w:firstLineChars="200"/>
        <w:rPr>
          <w:rFonts w:ascii="Times New Roman" w:hAnsi="Times New Roman" w:cs="Times New Roman"/>
          <w:color w:val="auto"/>
          <w:sz w:val="24"/>
          <w:szCs w:val="24"/>
          <w:highlight w:val="none"/>
          <w:lang w:eastAsia="zh-CN"/>
        </w:rPr>
      </w:pPr>
      <w:r>
        <w:rPr>
          <w:rFonts w:ascii="Times New Roman" w:hAnsi="Times New Roman" w:cs="Times New Roman"/>
          <w:color w:val="auto"/>
          <w:sz w:val="24"/>
          <w:szCs w:val="24"/>
          <w:highlight w:val="none"/>
          <w:lang w:eastAsia="zh-CN"/>
        </w:rPr>
        <w:t>根据上述识别结果，本项目为污染影响型建设项目，项目类别为III类项目，占地规模属</w:t>
      </w:r>
      <w:r>
        <w:rPr>
          <w:rFonts w:hint="eastAsia" w:ascii="Times New Roman" w:hAnsi="Times New Roman" w:cs="Times New Roman"/>
          <w:color w:val="auto"/>
          <w:sz w:val="24"/>
          <w:szCs w:val="24"/>
          <w:highlight w:val="none"/>
          <w:lang w:eastAsia="zh-CN"/>
        </w:rPr>
        <w:t>中</w:t>
      </w:r>
      <w:r>
        <w:rPr>
          <w:rFonts w:ascii="Times New Roman" w:hAnsi="Times New Roman" w:cs="Times New Roman"/>
          <w:color w:val="auto"/>
          <w:sz w:val="24"/>
          <w:szCs w:val="24"/>
          <w:highlight w:val="none"/>
          <w:lang w:eastAsia="zh-CN"/>
        </w:rPr>
        <w:t>型，土壤环境敏感程度皆为敏感，综合判定</w:t>
      </w:r>
      <w:r>
        <w:rPr>
          <w:rFonts w:hint="eastAsia" w:ascii="Times New Roman" w:hAnsi="Times New Roman" w:cs="Times New Roman"/>
          <w:color w:val="auto"/>
          <w:sz w:val="24"/>
          <w:szCs w:val="24"/>
          <w:highlight w:val="none"/>
          <w:lang w:eastAsia="zh-CN"/>
        </w:rPr>
        <w:t>本项目养殖场</w:t>
      </w:r>
      <w:r>
        <w:rPr>
          <w:rFonts w:ascii="Times New Roman" w:hAnsi="Times New Roman" w:cs="Times New Roman"/>
          <w:color w:val="auto"/>
          <w:sz w:val="24"/>
          <w:szCs w:val="24"/>
          <w:highlight w:val="none"/>
          <w:lang w:eastAsia="zh-CN"/>
        </w:rPr>
        <w:t>评价等级为“三级”。</w:t>
      </w:r>
    </w:p>
    <w:p>
      <w:pPr>
        <w:widowControl w:val="0"/>
        <w:numPr>
          <w:ilvl w:val="0"/>
          <w:numId w:val="34"/>
        </w:numPr>
        <w:spacing w:after="0" w:afterLines="0" w:line="360" w:lineRule="auto"/>
        <w:ind w:left="0" w:leftChars="0" w:firstLine="0" w:firstLineChars="0"/>
        <w:jc w:val="center"/>
        <w:rPr>
          <w:rFonts w:hint="eastAsia" w:ascii="Times New Roman" w:hAnsi="Times New Roman"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pict>
          <v:shape id="文本框 237" o:spid="_x0000_s2068" o:spt="202" type="#_x0000_t202" style="position:absolute;left:0pt;margin-left:50pt;margin-top:21.5pt;height:20pt;width:52.5pt;z-index:251667456;mso-width-relative:page;mso-height-relative:page;" filled="f" stroked="f" coordsize="21600,21600" o:gfxdata="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bD38&#10;2NEAAAAIAQAADwAAAAAAAAABACAAAAAiAAAAZHJzL2Rvd25yZXYueG1sUEsBAhQAFAAAAAgAh07i&#10;QLqnDNcpAgAAOgQAAA4AAAAAAAAAAQAgAAAAIAEAAGRycy9lMm9Eb2MueG1sUEsFBgAAAAAGAAYA&#10;WQEAALsFAAAAAA==&#10;">
            <v:path/>
            <v:fill on="f" focussize="0,0"/>
            <v:stroke on="f" miterlimit="8" joinstyle="miter"/>
            <v:imagedata o:title=""/>
            <o:lock v:ext="edit" aspectratio="f"/>
            <v:textbox>
              <w:txbxContent>
                <w:p>
                  <w:pPr>
                    <w:adjustRightInd w:val="0"/>
                    <w:snapToGrid w:val="0"/>
                    <w:rPr>
                      <w:sz w:val="18"/>
                      <w:szCs w:val="18"/>
                    </w:rPr>
                  </w:pPr>
                  <w:r>
                    <w:rPr>
                      <w:rFonts w:hint="eastAsia"/>
                      <w:sz w:val="18"/>
                      <w:szCs w:val="18"/>
                    </w:rPr>
                    <w:t>占地规模</w:t>
                  </w:r>
                </w:p>
              </w:txbxContent>
            </v:textbox>
          </v:shape>
        </w:pict>
      </w:r>
      <w:r>
        <w:rPr>
          <w:rFonts w:hint="eastAsia" w:ascii="Times New Roman" w:hAnsi="Times New Roman" w:cs="Times New Roman"/>
          <w:b/>
          <w:bCs/>
          <w:color w:val="auto"/>
          <w:sz w:val="21"/>
          <w:szCs w:val="21"/>
          <w:highlight w:val="none"/>
          <w:lang w:val="en-US" w:eastAsia="zh-CN"/>
        </w:rPr>
        <w:t>污染影响型评价工作等级划分表</w:t>
      </w:r>
    </w:p>
    <w:tbl>
      <w:tblPr>
        <w:tblStyle w:val="251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49"/>
        <w:gridCol w:w="626"/>
        <w:gridCol w:w="718"/>
        <w:gridCol w:w="724"/>
        <w:gridCol w:w="758"/>
        <w:gridCol w:w="758"/>
        <w:gridCol w:w="762"/>
        <w:gridCol w:w="740"/>
        <w:gridCol w:w="740"/>
        <w:gridCol w:w="7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4" w:type="pct"/>
            <w:vMerge w:val="restart"/>
            <w:noWrap w:val="0"/>
            <w:vAlign w:val="center"/>
          </w:tcPr>
          <w:p>
            <w:pPr>
              <w:keepNext w:val="0"/>
              <w:keepLines w:val="0"/>
              <w:suppressLineNumbers w:val="0"/>
              <w:spacing w:before="0" w:beforeAutospacing="0" w:after="0" w:afterAutospacing="0"/>
              <w:ind w:left="0" w:right="0"/>
              <w:jc w:val="center"/>
              <w:rPr>
                <w:rFonts w:hint="default"/>
                <w:bCs/>
                <w:color w:val="auto"/>
                <w:kern w:val="0"/>
                <w:szCs w:val="21"/>
                <w:highlight w:val="none"/>
              </w:rPr>
            </w:pPr>
            <w:r>
              <w:rPr>
                <w:rFonts w:hint="eastAsia" w:ascii="Times New Roman" w:hAnsi="Times New Roman" w:cs="Times New Roman"/>
                <w:b/>
                <w:bCs/>
                <w:color w:val="auto"/>
                <w:sz w:val="21"/>
                <w:szCs w:val="21"/>
                <w:highlight w:val="none"/>
                <w:lang w:val="en-US" w:eastAsia="zh-CN"/>
              </w:rPr>
              <w:pict>
                <v:shape id="文本框 236" o:spid="_x0000_s2067" o:spt="202" type="#_x0000_t202" style="position:absolute;left:0pt;margin-left:-9.9pt;margin-top:5.75pt;height:20pt;width:69.5pt;z-index:251668480;mso-width-relative:page;mso-height-relative:page;" filled="f" stroked="f" coordsize="21600,21600" o:gfxdata="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C7GNzfWAAAACQEAAA8AAAAAAAAAAQAgAAAAIgAAAGRycy9kb3ducmV2LnhtbFBLAQIUABQAAAAI&#10;AIdO4kDpm3qPKAIAADoEAAAOAAAAAAAAAAEAIAAAACUBAABkcnMvZTJvRG9jLnhtbFBLBQYAAAAA&#10;BgAGAFkBAAC/BQAAAAA=&#10;">
                  <v:path/>
                  <v:fill on="f" focussize="0,0"/>
                  <v:stroke on="f" miterlimit="8" joinstyle="miter"/>
                  <v:imagedata o:title=""/>
                  <o:lock v:ext="edit" aspectratio="f"/>
                  <v:textbox>
                    <w:txbxContent>
                      <w:p>
                        <w:pPr>
                          <w:adjustRightInd w:val="0"/>
                          <w:snapToGrid w:val="0"/>
                          <w:rPr>
                            <w:sz w:val="18"/>
                            <w:szCs w:val="18"/>
                          </w:rPr>
                        </w:pPr>
                        <w:r>
                          <w:rPr>
                            <w:rFonts w:hint="eastAsia"/>
                            <w:sz w:val="18"/>
                            <w:szCs w:val="18"/>
                          </w:rPr>
                          <w:t>评价工作等级</w:t>
                        </w:r>
                      </w:p>
                    </w:txbxContent>
                  </v:textbox>
                </v:shape>
              </w:pict>
            </w:r>
            <w:r>
              <w:rPr>
                <w:rFonts w:hint="default"/>
                <w:b/>
                <w:color w:val="auto"/>
                <w:kern w:val="0"/>
                <w:sz w:val="24"/>
                <w:szCs w:val="24"/>
                <w:highlight w:val="none"/>
              </w:rPr>
              <w:pict>
                <v:shape id="直接连接符 239" o:spid="_x0000_s2070" o:spt="32" type="#_x0000_t32" style="position:absolute;left:0pt;margin-left:27.5pt;margin-top:-0.7pt;height:44.35pt;width:66.35pt;z-index:251665408;mso-width-relative:page;mso-height-relative:page;" filled="f" stroked="t" coordsize="21600,21600">
                  <v:path arrowok="t"/>
                  <v:fill on="f" focussize="0,0"/>
                  <v:stroke color="#000000" joinstyle="round"/>
                  <v:imagedata o:title=""/>
                  <o:lock v:ext="edit" aspectratio="f"/>
                </v:shape>
              </w:pict>
            </w:r>
            <w:r>
              <w:rPr>
                <w:rFonts w:hint="eastAsia" w:ascii="Times New Roman" w:hAnsi="Times New Roman" w:cs="Times New Roman"/>
                <w:b/>
                <w:bCs/>
                <w:color w:val="auto"/>
                <w:sz w:val="21"/>
                <w:szCs w:val="21"/>
                <w:highlight w:val="none"/>
                <w:lang w:val="en-US" w:eastAsia="zh-CN"/>
              </w:rPr>
              <w:pict>
                <v:shape id="文本框 235" o:spid="_x0000_s2066" o:spt="202" type="#_x0000_t202" style="position:absolute;left:0pt;margin-left:-11.1pt;margin-top:29.55pt;height:20pt;width:52.5pt;z-index:251669504;mso-width-relative:page;mso-height-relative:page;" filled="f" stroked="f" coordsize="21600,21600" o:gfxdata="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Nk0jA1gAAAAkBAAAPAAAAAAAAAAEAIAAAACIAAABkcnMvZG93bnJldi54bWxQSwECFAAUAAAA&#10;CACHTuJAbZqd1ikCAAA6BAAADgAAAAAAAAABACAAAAAlAQAAZHJzL2Uyb0RvYy54bWxQSwUGAAAA&#10;AAYABgBZAQAAwAUAAAAA&#10;">
                  <v:path/>
                  <v:fill on="f" focussize="0,0"/>
                  <v:stroke on="f" miterlimit="8" joinstyle="miter"/>
                  <v:imagedata o:title=""/>
                  <o:lock v:ext="edit" aspectratio="f"/>
                  <v:textbox>
                    <w:txbxContent>
                      <w:p>
                        <w:pPr>
                          <w:adjustRightInd w:val="0"/>
                          <w:snapToGrid w:val="0"/>
                          <w:rPr>
                            <w:sz w:val="18"/>
                            <w:szCs w:val="18"/>
                          </w:rPr>
                        </w:pPr>
                        <w:r>
                          <w:rPr>
                            <w:rFonts w:hint="eastAsia"/>
                            <w:sz w:val="18"/>
                            <w:szCs w:val="18"/>
                          </w:rPr>
                          <w:t>敏感程度</w:t>
                        </w:r>
                      </w:p>
                    </w:txbxContent>
                  </v:textbox>
                </v:shape>
              </w:pict>
            </w:r>
            <w:r>
              <w:rPr>
                <w:rFonts w:hint="default"/>
                <w:bCs/>
                <w:color w:val="auto"/>
                <w:kern w:val="0"/>
                <w:szCs w:val="21"/>
                <w:highlight w:val="none"/>
              </w:rPr>
              <w:pict>
                <v:shape id="直接连接符 238" o:spid="_x0000_s2069" o:spt="32" type="#_x0000_t32" style="position:absolute;left:0pt;margin-left:-4.35pt;margin-top:14.6pt;height:31.3pt;width:96.5pt;z-index:251666432;mso-width-relative:page;mso-height-relative:page;" filled="f" stroked="t" coordsize="21600,21600">
                  <v:path arrowok="t"/>
                  <v:fill on="f" focussize="0,0"/>
                  <v:stroke color="#000000" joinstyle="round"/>
                  <v:imagedata o:title=""/>
                  <o:lock v:ext="edit" aspectratio="f"/>
                </v:shape>
              </w:pict>
            </w:r>
          </w:p>
        </w:tc>
        <w:tc>
          <w:tcPr>
            <w:tcW w:w="1213" w:type="pct"/>
            <w:gridSpan w:val="3"/>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I类</w:t>
            </w:r>
          </w:p>
        </w:tc>
        <w:tc>
          <w:tcPr>
            <w:tcW w:w="1337" w:type="pct"/>
            <w:gridSpan w:val="3"/>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II类</w:t>
            </w:r>
          </w:p>
        </w:tc>
        <w:tc>
          <w:tcPr>
            <w:tcW w:w="1304" w:type="pct"/>
            <w:gridSpan w:val="3"/>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III类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144" w:type="pct"/>
            <w:vMerge w:val="continue"/>
            <w:noWrap w:val="0"/>
            <w:vAlign w:val="center"/>
          </w:tcPr>
          <w:p>
            <w:pPr>
              <w:keepNext w:val="0"/>
              <w:keepLines w:val="0"/>
              <w:suppressLineNumbers w:val="0"/>
              <w:spacing w:before="0" w:beforeAutospacing="0" w:after="0" w:afterAutospacing="0"/>
              <w:ind w:left="0" w:right="0"/>
              <w:jc w:val="center"/>
              <w:rPr>
                <w:rFonts w:hint="default"/>
                <w:bCs/>
                <w:color w:val="auto"/>
                <w:kern w:val="0"/>
                <w:szCs w:val="21"/>
                <w:highlight w:val="none"/>
              </w:rPr>
            </w:pPr>
          </w:p>
        </w:tc>
        <w:tc>
          <w:tcPr>
            <w:tcW w:w="367"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大</w:t>
            </w:r>
          </w:p>
        </w:tc>
        <w:tc>
          <w:tcPr>
            <w:tcW w:w="421"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中</w:t>
            </w:r>
          </w:p>
        </w:tc>
        <w:tc>
          <w:tcPr>
            <w:tcW w:w="42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小</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大</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中</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小</w:t>
            </w:r>
          </w:p>
        </w:tc>
        <w:tc>
          <w:tcPr>
            <w:tcW w:w="43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大</w:t>
            </w:r>
          </w:p>
        </w:tc>
        <w:tc>
          <w:tcPr>
            <w:tcW w:w="43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中</w:t>
            </w:r>
          </w:p>
        </w:tc>
        <w:tc>
          <w:tcPr>
            <w:tcW w:w="43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敏感</w:t>
            </w:r>
          </w:p>
        </w:tc>
        <w:tc>
          <w:tcPr>
            <w:tcW w:w="367"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一级</w:t>
            </w:r>
          </w:p>
        </w:tc>
        <w:tc>
          <w:tcPr>
            <w:tcW w:w="421"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一级</w:t>
            </w:r>
          </w:p>
        </w:tc>
        <w:tc>
          <w:tcPr>
            <w:tcW w:w="42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一级</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二级</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二级</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shd w:val="clear" w:color="auto" w:fill="auto"/>
              </w:rPr>
              <w:t>二级</w:t>
            </w:r>
          </w:p>
        </w:tc>
        <w:tc>
          <w:tcPr>
            <w:tcW w:w="43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三级</w:t>
            </w:r>
          </w:p>
        </w:tc>
        <w:tc>
          <w:tcPr>
            <w:tcW w:w="43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shd w:val="clear" w:color="FFFFFF" w:fill="D9D9D9"/>
              </w:rPr>
              <w:t>三级</w:t>
            </w:r>
          </w:p>
        </w:tc>
        <w:tc>
          <w:tcPr>
            <w:tcW w:w="43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shd w:val="clear" w:color="auto" w:fill="auto"/>
              </w:rPr>
              <w:t>三级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较敏感</w:t>
            </w:r>
          </w:p>
        </w:tc>
        <w:tc>
          <w:tcPr>
            <w:tcW w:w="367"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一级</w:t>
            </w:r>
          </w:p>
        </w:tc>
        <w:tc>
          <w:tcPr>
            <w:tcW w:w="421"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一级</w:t>
            </w:r>
          </w:p>
        </w:tc>
        <w:tc>
          <w:tcPr>
            <w:tcW w:w="42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二级</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二级</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二级</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shd w:val="clear" w:color="auto" w:fill="auto"/>
              </w:rPr>
              <w:t>三级</w:t>
            </w:r>
          </w:p>
        </w:tc>
        <w:tc>
          <w:tcPr>
            <w:tcW w:w="43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三级</w:t>
            </w:r>
          </w:p>
        </w:tc>
        <w:tc>
          <w:tcPr>
            <w:tcW w:w="43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三级</w:t>
            </w:r>
          </w:p>
        </w:tc>
        <w:tc>
          <w:tcPr>
            <w:tcW w:w="43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不敏感</w:t>
            </w:r>
          </w:p>
        </w:tc>
        <w:tc>
          <w:tcPr>
            <w:tcW w:w="367"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一级</w:t>
            </w:r>
          </w:p>
        </w:tc>
        <w:tc>
          <w:tcPr>
            <w:tcW w:w="421"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二级</w:t>
            </w:r>
          </w:p>
        </w:tc>
        <w:tc>
          <w:tcPr>
            <w:tcW w:w="42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二级</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二级</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shd w:val="clear" w:color="auto" w:fill="auto"/>
              </w:rPr>
              <w:t>三级</w:t>
            </w:r>
          </w:p>
        </w:tc>
        <w:tc>
          <w:tcPr>
            <w:tcW w:w="44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三级</w:t>
            </w:r>
          </w:p>
        </w:tc>
        <w:tc>
          <w:tcPr>
            <w:tcW w:w="43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三级</w:t>
            </w:r>
          </w:p>
        </w:tc>
        <w:tc>
          <w:tcPr>
            <w:tcW w:w="434"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w:t>
            </w:r>
          </w:p>
        </w:tc>
        <w:tc>
          <w:tcPr>
            <w:tcW w:w="435" w:type="pct"/>
            <w:noWrap w:val="0"/>
            <w:vAlign w:val="center"/>
          </w:tcPr>
          <w:p>
            <w:pPr>
              <w:keepNext w:val="0"/>
              <w:keepLines w:val="0"/>
              <w:suppressLineNumbers w:val="0"/>
              <w:spacing w:before="0" w:beforeAutospacing="0" w:after="0" w:afterAutospacing="0"/>
              <w:ind w:left="0" w:right="0"/>
              <w:jc w:val="center"/>
              <w:rPr>
                <w:rFonts w:hint="default"/>
                <w:bCs/>
                <w:color w:val="auto"/>
                <w:kern w:val="0"/>
                <w:sz w:val="18"/>
                <w:szCs w:val="18"/>
                <w:highlight w:val="none"/>
              </w:rPr>
            </w:pPr>
            <w:r>
              <w:rPr>
                <w:rFonts w:hint="default"/>
                <w:bCs/>
                <w:color w:val="auto"/>
                <w:kern w:val="0"/>
                <w:sz w:val="18"/>
                <w:szCs w:val="18"/>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0"/>
            <w:noWrap w:val="0"/>
            <w:vAlign w:val="center"/>
          </w:tcPr>
          <w:p>
            <w:pPr>
              <w:keepNext w:val="0"/>
              <w:keepLines w:val="0"/>
              <w:suppressLineNumbers w:val="0"/>
              <w:spacing w:before="0" w:beforeAutospacing="0" w:after="0" w:afterAutospacing="0"/>
              <w:ind w:left="0" w:right="0"/>
              <w:rPr>
                <w:rFonts w:hint="default"/>
                <w:bCs/>
                <w:color w:val="auto"/>
                <w:kern w:val="0"/>
                <w:sz w:val="18"/>
                <w:szCs w:val="18"/>
                <w:highlight w:val="none"/>
              </w:rPr>
            </w:pPr>
            <w:r>
              <w:rPr>
                <w:rFonts w:hint="default"/>
                <w:bCs/>
                <w:color w:val="auto"/>
                <w:kern w:val="0"/>
                <w:sz w:val="18"/>
                <w:szCs w:val="18"/>
                <w:highlight w:val="none"/>
              </w:rPr>
              <w:t>注：“—”表示可不开展土壤环境影响评价工作</w:t>
            </w:r>
            <w:r>
              <w:rPr>
                <w:rFonts w:hint="eastAsia"/>
                <w:bCs/>
                <w:color w:val="auto"/>
                <w:kern w:val="0"/>
                <w:sz w:val="18"/>
                <w:szCs w:val="18"/>
                <w:highlight w:val="none"/>
              </w:rPr>
              <w:t>。</w:t>
            </w:r>
          </w:p>
        </w:tc>
      </w:tr>
    </w:tbl>
    <w:p>
      <w:pPr>
        <w:spacing w:line="360" w:lineRule="auto"/>
        <w:ind w:firstLine="482" w:firstLineChars="200"/>
        <w:rPr>
          <w:rFonts w:ascii="Times New Roman" w:hAnsi="Times New Roman" w:cs="Times New Roman"/>
          <w:color w:val="auto"/>
          <w:sz w:val="24"/>
          <w:szCs w:val="24"/>
          <w:highlight w:val="none"/>
          <w:lang w:eastAsia="zh-CN"/>
        </w:rPr>
      </w:pPr>
      <w:r>
        <w:rPr>
          <w:rFonts w:ascii="Times New Roman" w:hAnsi="Times New Roman" w:cs="Times New Roman"/>
          <w:b/>
          <w:bCs/>
          <w:color w:val="auto"/>
          <w:sz w:val="24"/>
          <w:szCs w:val="24"/>
          <w:highlight w:val="none"/>
          <w:lang w:eastAsia="zh-CN"/>
        </w:rPr>
        <w:t>（2）土壤环境影响识别</w:t>
      </w:r>
    </w:p>
    <w:p>
      <w:pPr>
        <w:spacing w:line="360" w:lineRule="auto"/>
        <w:ind w:firstLine="480" w:firstLineChars="200"/>
        <w:rPr>
          <w:rFonts w:ascii="Times New Roman" w:hAnsi="Times New Roman" w:cs="Times New Roman"/>
          <w:color w:val="auto"/>
          <w:sz w:val="24"/>
          <w:szCs w:val="24"/>
          <w:highlight w:val="none"/>
          <w:lang w:eastAsia="zh-CN"/>
        </w:rPr>
      </w:pPr>
      <w:r>
        <w:rPr>
          <w:rFonts w:ascii="Times New Roman" w:hAnsi="Times New Roman" w:cs="Times New Roman"/>
          <w:color w:val="auto"/>
          <w:sz w:val="24"/>
          <w:szCs w:val="24"/>
          <w:highlight w:val="none"/>
          <w:lang w:eastAsia="zh-CN"/>
        </w:rPr>
        <w:t>根据《环境影响评价技术导则土壤环境（试行）》（HJ944-2018）附录B，本项目土壤影响类型及影响途径见下表：</w:t>
      </w:r>
    </w:p>
    <w:p>
      <w:pPr>
        <w:widowControl w:val="0"/>
        <w:numPr>
          <w:ilvl w:val="0"/>
          <w:numId w:val="34"/>
        </w:numPr>
        <w:spacing w:after="0" w:afterLines="0" w:line="360" w:lineRule="auto"/>
        <w:ind w:left="0" w:leftChars="0" w:firstLine="0" w:firstLineChars="0"/>
        <w:jc w:val="center"/>
        <w:rPr>
          <w:rFonts w:hint="eastAsia" w:ascii="Times New Roman" w:hAnsi="Times New Roman"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建设项目土壤环境影响类型与影响途径表</w:t>
      </w:r>
    </w:p>
    <w:tbl>
      <w:tblPr>
        <w:tblStyle w:val="2514"/>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14"/>
        <w:gridCol w:w="898"/>
        <w:gridCol w:w="900"/>
        <w:gridCol w:w="900"/>
        <w:gridCol w:w="903"/>
        <w:gridCol w:w="900"/>
        <w:gridCol w:w="900"/>
        <w:gridCol w:w="900"/>
        <w:gridCol w:w="9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1"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不同时段</w:t>
            </w:r>
          </w:p>
        </w:tc>
        <w:tc>
          <w:tcPr>
            <w:tcW w:w="2113" w:type="pct"/>
            <w:gridSpan w:val="4"/>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污染影响型</w:t>
            </w:r>
          </w:p>
        </w:tc>
        <w:tc>
          <w:tcPr>
            <w:tcW w:w="2114" w:type="pct"/>
            <w:gridSpan w:val="4"/>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生态影响型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1"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p>
        </w:tc>
        <w:tc>
          <w:tcPr>
            <w:tcW w:w="52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大气</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沉降</w:t>
            </w:r>
          </w:p>
        </w:tc>
        <w:tc>
          <w:tcPr>
            <w:tcW w:w="52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地面</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漫流</w:t>
            </w:r>
          </w:p>
        </w:tc>
        <w:tc>
          <w:tcPr>
            <w:tcW w:w="52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垂直</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入渗</w:t>
            </w:r>
          </w:p>
        </w:tc>
        <w:tc>
          <w:tcPr>
            <w:tcW w:w="5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其他</w:t>
            </w:r>
          </w:p>
        </w:tc>
        <w:tc>
          <w:tcPr>
            <w:tcW w:w="52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盐化</w:t>
            </w:r>
          </w:p>
        </w:tc>
        <w:tc>
          <w:tcPr>
            <w:tcW w:w="52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碱化</w:t>
            </w:r>
          </w:p>
        </w:tc>
        <w:tc>
          <w:tcPr>
            <w:tcW w:w="52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酸化</w:t>
            </w:r>
          </w:p>
        </w:tc>
        <w:tc>
          <w:tcPr>
            <w:tcW w:w="52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其他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建设期</w:t>
            </w:r>
          </w:p>
        </w:tc>
        <w:tc>
          <w:tcPr>
            <w:tcW w:w="52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szCs w:val="22"/>
                <w:highlight w:val="none"/>
              </w:rPr>
              <w:t>√</w:t>
            </w:r>
          </w:p>
        </w:tc>
        <w:tc>
          <w:tcPr>
            <w:tcW w:w="530"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运营期</w:t>
            </w:r>
          </w:p>
        </w:tc>
        <w:tc>
          <w:tcPr>
            <w:tcW w:w="527"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2"/>
                <w:highlight w:val="none"/>
                <w:lang w:eastAsia="zh-CN"/>
              </w:rPr>
            </w:pPr>
            <w:r>
              <w:rPr>
                <w:rFonts w:hint="default" w:ascii="Times New Roman" w:hAnsi="Times New Roman" w:eastAsia="宋体" w:cs="Times New Roman"/>
                <w:color w:val="auto"/>
                <w:szCs w:val="22"/>
                <w:highlight w:val="none"/>
              </w:rPr>
              <w:t>—</w:t>
            </w:r>
          </w:p>
        </w:tc>
        <w:tc>
          <w:tcPr>
            <w:tcW w:w="52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30"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服务期满后</w:t>
            </w:r>
          </w:p>
        </w:tc>
        <w:tc>
          <w:tcPr>
            <w:tcW w:w="52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30"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528" w:type="pct"/>
            <w:noWrap w:val="0"/>
            <w:vAlign w:val="top"/>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9"/>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注：在可能产生的土壤环境影响类型处打“√”，列表未盖的可自行设计。</w:t>
            </w:r>
          </w:p>
        </w:tc>
      </w:tr>
    </w:tbl>
    <w:p>
      <w:pPr>
        <w:widowControl w:val="0"/>
        <w:numPr>
          <w:ilvl w:val="0"/>
          <w:numId w:val="34"/>
        </w:numPr>
        <w:spacing w:after="0" w:afterLines="0" w:line="360" w:lineRule="auto"/>
        <w:ind w:left="0" w:leftChars="0" w:firstLine="0" w:firstLineChars="0"/>
        <w:jc w:val="center"/>
        <w:rPr>
          <w:rFonts w:hint="eastAsia" w:ascii="Times New Roman" w:hAnsi="Times New Roman"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污染影响型建设项目土壤环境影响源及影响因子识别表</w:t>
      </w:r>
    </w:p>
    <w:tbl>
      <w:tblPr>
        <w:tblStyle w:val="9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5"/>
        <w:gridCol w:w="1125"/>
        <w:gridCol w:w="1560"/>
        <w:gridCol w:w="1635"/>
        <w:gridCol w:w="1516"/>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848" w:type="pct"/>
            <w:tcBorders>
              <w:top w:val="single" w:color="auto" w:sz="12"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污染源</w:t>
            </w:r>
          </w:p>
        </w:tc>
        <w:tc>
          <w:tcPr>
            <w:tcW w:w="660" w:type="pct"/>
            <w:tcBorders>
              <w:top w:val="single" w:color="auto" w:sz="12"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工艺流程/节点</w:t>
            </w:r>
          </w:p>
        </w:tc>
        <w:tc>
          <w:tcPr>
            <w:tcW w:w="915" w:type="pct"/>
            <w:tcBorders>
              <w:top w:val="single" w:color="auto" w:sz="12"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污染途径</w:t>
            </w:r>
          </w:p>
        </w:tc>
        <w:tc>
          <w:tcPr>
            <w:tcW w:w="959" w:type="pct"/>
            <w:tcBorders>
              <w:top w:val="single" w:color="auto" w:sz="12"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全部污染物指标</w:t>
            </w:r>
          </w:p>
        </w:tc>
        <w:tc>
          <w:tcPr>
            <w:tcW w:w="889" w:type="pct"/>
            <w:tcBorders>
              <w:top w:val="single" w:color="auto" w:sz="12"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特征因子</w:t>
            </w:r>
          </w:p>
        </w:tc>
        <w:tc>
          <w:tcPr>
            <w:tcW w:w="726" w:type="pct"/>
            <w:tcBorders>
              <w:top w:val="single" w:color="auto" w:sz="12" w:space="0"/>
              <w:left w:val="single" w:color="auto" w:sz="6" w:space="0"/>
              <w:bottom w:val="single" w:color="auto" w:sz="6"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848" w:type="pct"/>
            <w:tcBorders>
              <w:top w:val="single" w:color="auto" w:sz="6" w:space="0"/>
              <w:left w:val="nil"/>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cs="Times New Roman"/>
                <w:bCs/>
                <w:color w:val="auto"/>
                <w:kern w:val="2"/>
                <w:sz w:val="21"/>
                <w:szCs w:val="21"/>
                <w:highlight w:val="none"/>
                <w:lang w:eastAsia="zh-CN"/>
              </w:rPr>
              <w:t>集水池</w:t>
            </w:r>
          </w:p>
        </w:tc>
        <w:tc>
          <w:tcPr>
            <w:tcW w:w="660"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cs="Times New Roman"/>
                <w:bCs/>
                <w:color w:val="auto"/>
                <w:kern w:val="2"/>
                <w:sz w:val="21"/>
                <w:szCs w:val="21"/>
                <w:highlight w:val="none"/>
              </w:rPr>
              <w:t>收集污水</w:t>
            </w:r>
          </w:p>
        </w:tc>
        <w:tc>
          <w:tcPr>
            <w:tcW w:w="915"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cs="Times New Roman"/>
                <w:bCs/>
                <w:color w:val="auto"/>
                <w:kern w:val="2"/>
                <w:sz w:val="21"/>
                <w:szCs w:val="21"/>
                <w:highlight w:val="none"/>
              </w:rPr>
              <w:t>地面径流、垂直入渗</w:t>
            </w:r>
          </w:p>
        </w:tc>
        <w:tc>
          <w:tcPr>
            <w:tcW w:w="959"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cs="Times New Roman"/>
                <w:bCs/>
                <w:color w:val="auto"/>
                <w:kern w:val="2"/>
                <w:sz w:val="21"/>
                <w:szCs w:val="21"/>
                <w:highlight w:val="none"/>
              </w:rPr>
              <w:t>COD、BOD</w:t>
            </w:r>
            <w:r>
              <w:rPr>
                <w:rFonts w:hint="default" w:ascii="Times New Roman" w:hAnsi="Times New Roman" w:cs="Times New Roman"/>
                <w:bCs/>
                <w:color w:val="auto"/>
                <w:kern w:val="2"/>
                <w:sz w:val="21"/>
                <w:szCs w:val="21"/>
                <w:highlight w:val="none"/>
                <w:vertAlign w:val="subscript"/>
              </w:rPr>
              <w:t>5</w:t>
            </w:r>
            <w:r>
              <w:rPr>
                <w:rFonts w:hint="default" w:ascii="Times New Roman" w:hAnsi="Times New Roman" w:cs="Times New Roman"/>
                <w:bCs/>
                <w:color w:val="auto"/>
                <w:kern w:val="2"/>
                <w:sz w:val="21"/>
                <w:szCs w:val="21"/>
                <w:highlight w:val="none"/>
              </w:rPr>
              <w:t>、NH</w:t>
            </w:r>
            <w:r>
              <w:rPr>
                <w:rFonts w:hint="default" w:ascii="Times New Roman" w:hAnsi="Times New Roman" w:cs="Times New Roman"/>
                <w:bCs/>
                <w:color w:val="auto"/>
                <w:kern w:val="2"/>
                <w:sz w:val="21"/>
                <w:szCs w:val="21"/>
                <w:highlight w:val="none"/>
                <w:vertAlign w:val="subscript"/>
              </w:rPr>
              <w:t>3</w:t>
            </w:r>
            <w:r>
              <w:rPr>
                <w:rFonts w:hint="default" w:ascii="Times New Roman" w:hAnsi="Times New Roman" w:cs="Times New Roman"/>
                <w:bCs/>
                <w:color w:val="auto"/>
                <w:kern w:val="2"/>
                <w:sz w:val="21"/>
                <w:szCs w:val="21"/>
                <w:highlight w:val="none"/>
              </w:rPr>
              <w:t>-N、TP</w:t>
            </w:r>
          </w:p>
        </w:tc>
        <w:tc>
          <w:tcPr>
            <w:tcW w:w="889"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cs="Times New Roman"/>
                <w:bCs/>
                <w:color w:val="auto"/>
                <w:kern w:val="2"/>
                <w:sz w:val="21"/>
                <w:szCs w:val="21"/>
                <w:highlight w:val="none"/>
              </w:rPr>
              <w:t>COD、NH</w:t>
            </w:r>
            <w:r>
              <w:rPr>
                <w:rFonts w:hint="default" w:ascii="Times New Roman" w:hAnsi="Times New Roman" w:cs="Times New Roman"/>
                <w:bCs/>
                <w:color w:val="auto"/>
                <w:kern w:val="2"/>
                <w:sz w:val="21"/>
                <w:szCs w:val="21"/>
                <w:highlight w:val="none"/>
                <w:vertAlign w:val="subscript"/>
              </w:rPr>
              <w:t>3</w:t>
            </w:r>
            <w:r>
              <w:rPr>
                <w:rFonts w:hint="default" w:ascii="Times New Roman" w:hAnsi="Times New Roman" w:cs="Times New Roman"/>
                <w:bCs/>
                <w:color w:val="auto"/>
                <w:kern w:val="2"/>
                <w:sz w:val="21"/>
                <w:szCs w:val="21"/>
                <w:highlight w:val="none"/>
              </w:rPr>
              <w:t>-N、TP</w:t>
            </w:r>
          </w:p>
        </w:tc>
        <w:tc>
          <w:tcPr>
            <w:tcW w:w="726" w:type="pct"/>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lang w:eastAsia="zh-CN"/>
              </w:rPr>
              <w:t>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848" w:type="pct"/>
            <w:tcBorders>
              <w:top w:val="single" w:color="auto" w:sz="6" w:space="0"/>
              <w:left w:val="nil"/>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eastAsia="zh-CN"/>
              </w:rPr>
              <w:t>污水处理站及配套污水管线、废水暂存池、应急池</w:t>
            </w:r>
          </w:p>
        </w:tc>
        <w:tc>
          <w:tcPr>
            <w:tcW w:w="660"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cs="Times New Roman"/>
                <w:bCs/>
                <w:color w:val="auto"/>
                <w:kern w:val="2"/>
                <w:sz w:val="21"/>
                <w:szCs w:val="21"/>
                <w:highlight w:val="none"/>
              </w:rPr>
              <w:t>处理污水</w:t>
            </w:r>
          </w:p>
        </w:tc>
        <w:tc>
          <w:tcPr>
            <w:tcW w:w="915"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cs="Times New Roman"/>
                <w:bCs/>
                <w:color w:val="auto"/>
                <w:kern w:val="2"/>
                <w:sz w:val="21"/>
                <w:szCs w:val="21"/>
                <w:highlight w:val="none"/>
              </w:rPr>
              <w:t>地面径流、垂直入渗</w:t>
            </w:r>
          </w:p>
        </w:tc>
        <w:tc>
          <w:tcPr>
            <w:tcW w:w="959"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cs="Times New Roman"/>
                <w:bCs/>
                <w:color w:val="auto"/>
                <w:kern w:val="2"/>
                <w:sz w:val="21"/>
                <w:szCs w:val="21"/>
                <w:highlight w:val="none"/>
              </w:rPr>
              <w:t>COD、BOD</w:t>
            </w:r>
            <w:r>
              <w:rPr>
                <w:rFonts w:hint="default" w:ascii="Times New Roman" w:hAnsi="Times New Roman" w:cs="Times New Roman"/>
                <w:bCs/>
                <w:color w:val="auto"/>
                <w:kern w:val="2"/>
                <w:sz w:val="21"/>
                <w:szCs w:val="21"/>
                <w:highlight w:val="none"/>
                <w:vertAlign w:val="subscript"/>
              </w:rPr>
              <w:t>5</w:t>
            </w:r>
            <w:r>
              <w:rPr>
                <w:rFonts w:hint="default" w:ascii="Times New Roman" w:hAnsi="Times New Roman" w:cs="Times New Roman"/>
                <w:bCs/>
                <w:color w:val="auto"/>
                <w:kern w:val="2"/>
                <w:sz w:val="21"/>
                <w:szCs w:val="21"/>
                <w:highlight w:val="none"/>
              </w:rPr>
              <w:t>、NH</w:t>
            </w:r>
            <w:r>
              <w:rPr>
                <w:rFonts w:hint="default" w:ascii="Times New Roman" w:hAnsi="Times New Roman" w:cs="Times New Roman"/>
                <w:bCs/>
                <w:color w:val="auto"/>
                <w:kern w:val="2"/>
                <w:sz w:val="21"/>
                <w:szCs w:val="21"/>
                <w:highlight w:val="none"/>
                <w:vertAlign w:val="subscript"/>
              </w:rPr>
              <w:t>3</w:t>
            </w:r>
            <w:r>
              <w:rPr>
                <w:rFonts w:hint="default" w:ascii="Times New Roman" w:hAnsi="Times New Roman" w:cs="Times New Roman"/>
                <w:bCs/>
                <w:color w:val="auto"/>
                <w:kern w:val="2"/>
                <w:sz w:val="21"/>
                <w:szCs w:val="21"/>
                <w:highlight w:val="none"/>
              </w:rPr>
              <w:t>-N、TP</w:t>
            </w:r>
          </w:p>
        </w:tc>
        <w:tc>
          <w:tcPr>
            <w:tcW w:w="889"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cs="Times New Roman"/>
                <w:bCs/>
                <w:color w:val="auto"/>
                <w:kern w:val="2"/>
                <w:sz w:val="21"/>
                <w:szCs w:val="21"/>
                <w:highlight w:val="none"/>
              </w:rPr>
              <w:t>COD、NH</w:t>
            </w:r>
            <w:r>
              <w:rPr>
                <w:rFonts w:hint="default" w:ascii="Times New Roman" w:hAnsi="Times New Roman" w:cs="Times New Roman"/>
                <w:bCs/>
                <w:color w:val="auto"/>
                <w:kern w:val="2"/>
                <w:sz w:val="21"/>
                <w:szCs w:val="21"/>
                <w:highlight w:val="none"/>
                <w:vertAlign w:val="subscript"/>
              </w:rPr>
              <w:t>3</w:t>
            </w:r>
            <w:r>
              <w:rPr>
                <w:rFonts w:hint="default" w:ascii="Times New Roman" w:hAnsi="Times New Roman" w:cs="Times New Roman"/>
                <w:bCs/>
                <w:color w:val="auto"/>
                <w:kern w:val="2"/>
                <w:sz w:val="21"/>
                <w:szCs w:val="21"/>
                <w:highlight w:val="none"/>
              </w:rPr>
              <w:t>-N、TP</w:t>
            </w:r>
          </w:p>
        </w:tc>
        <w:tc>
          <w:tcPr>
            <w:tcW w:w="726" w:type="pct"/>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eastAsiaTheme="minorEastAsia"/>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eastAsia="zh-CN"/>
              </w:rPr>
              <w:t>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848" w:type="pct"/>
            <w:tcBorders>
              <w:top w:val="single" w:color="auto" w:sz="6" w:space="0"/>
              <w:left w:val="nil"/>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eastAsia="zh-CN"/>
              </w:rPr>
              <w:t>柴油发电机房</w:t>
            </w:r>
          </w:p>
        </w:tc>
        <w:tc>
          <w:tcPr>
            <w:tcW w:w="660"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cs="Times New Roman" w:eastAsiaTheme="minorEastAsia"/>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eastAsia="zh-CN"/>
              </w:rPr>
              <w:t>柴油桶</w:t>
            </w:r>
          </w:p>
        </w:tc>
        <w:tc>
          <w:tcPr>
            <w:tcW w:w="915"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cs="Times New Roman"/>
                <w:bCs/>
                <w:color w:val="auto"/>
                <w:kern w:val="2"/>
                <w:sz w:val="21"/>
                <w:szCs w:val="21"/>
                <w:highlight w:val="none"/>
              </w:rPr>
              <w:t>垂直入渗</w:t>
            </w:r>
          </w:p>
        </w:tc>
        <w:tc>
          <w:tcPr>
            <w:tcW w:w="959"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cs="Times New Roman" w:eastAsiaTheme="minorEastAsia"/>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eastAsia="zh-CN"/>
              </w:rPr>
              <w:t>石油类</w:t>
            </w:r>
          </w:p>
        </w:tc>
        <w:tc>
          <w:tcPr>
            <w:tcW w:w="889" w:type="pc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cs="Times New Roman" w:eastAsiaTheme="minorEastAsia"/>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eastAsia="zh-CN"/>
              </w:rPr>
              <w:t>石油类</w:t>
            </w:r>
          </w:p>
        </w:tc>
        <w:tc>
          <w:tcPr>
            <w:tcW w:w="726" w:type="pct"/>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cs="Times New Roman" w:eastAsiaTheme="minorEastAsia"/>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eastAsia="zh-CN"/>
              </w:rPr>
              <w:t>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848" w:type="pct"/>
            <w:tcBorders>
              <w:top w:val="single" w:color="auto" w:sz="6" w:space="0"/>
              <w:left w:val="nil"/>
              <w:bottom w:val="single" w:color="auto" w:sz="12"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eastAsia="zh-CN"/>
              </w:rPr>
              <w:t>危废暂存间、干粪棚</w:t>
            </w:r>
          </w:p>
        </w:tc>
        <w:tc>
          <w:tcPr>
            <w:tcW w:w="660" w:type="pct"/>
            <w:tcBorders>
              <w:top w:val="single" w:color="auto" w:sz="6" w:space="0"/>
              <w:left w:val="single" w:color="auto" w:sz="6" w:space="0"/>
              <w:bottom w:val="single" w:color="auto" w:sz="12"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cs="Times New Roman" w:eastAsiaTheme="minorEastAsia"/>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eastAsia="zh-CN"/>
              </w:rPr>
              <w:t>固废暂存</w:t>
            </w:r>
          </w:p>
        </w:tc>
        <w:tc>
          <w:tcPr>
            <w:tcW w:w="915" w:type="pct"/>
            <w:tcBorders>
              <w:top w:val="single" w:color="auto" w:sz="6" w:space="0"/>
              <w:left w:val="single" w:color="auto" w:sz="6" w:space="0"/>
              <w:bottom w:val="single" w:color="auto" w:sz="12"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cs="Times New Roman"/>
                <w:bCs/>
                <w:color w:val="auto"/>
                <w:kern w:val="2"/>
                <w:sz w:val="21"/>
                <w:szCs w:val="21"/>
                <w:highlight w:val="none"/>
              </w:rPr>
              <w:t>垂直入渗</w:t>
            </w:r>
          </w:p>
        </w:tc>
        <w:tc>
          <w:tcPr>
            <w:tcW w:w="959" w:type="pct"/>
            <w:tcBorders>
              <w:top w:val="single" w:color="auto" w:sz="6" w:space="0"/>
              <w:left w:val="single" w:color="auto" w:sz="6" w:space="0"/>
              <w:bottom w:val="single" w:color="auto" w:sz="12"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cs="Times New Roman" w:eastAsiaTheme="minorEastAsia"/>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w:t>
            </w:r>
          </w:p>
        </w:tc>
        <w:tc>
          <w:tcPr>
            <w:tcW w:w="889" w:type="pct"/>
            <w:tcBorders>
              <w:top w:val="single" w:color="auto" w:sz="6" w:space="0"/>
              <w:left w:val="single" w:color="auto" w:sz="6" w:space="0"/>
              <w:bottom w:val="single" w:color="auto" w:sz="12"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cs="Times New Roman" w:eastAsiaTheme="minorEastAsia"/>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w:t>
            </w:r>
          </w:p>
        </w:tc>
        <w:tc>
          <w:tcPr>
            <w:tcW w:w="726" w:type="pct"/>
            <w:tcBorders>
              <w:top w:val="single" w:color="auto" w:sz="6" w:space="0"/>
              <w:left w:val="single" w:color="auto" w:sz="6" w:space="0"/>
              <w:bottom w:val="single" w:color="auto" w:sz="12" w:space="0"/>
              <w:right w:val="nil"/>
            </w:tcBorders>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cs="Times New Roman" w:eastAsiaTheme="minorEastAsia"/>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eastAsia="zh-CN"/>
              </w:rPr>
              <w:t>事故</w:t>
            </w:r>
          </w:p>
        </w:tc>
      </w:tr>
    </w:tbl>
    <w:p>
      <w:pPr>
        <w:spacing w:line="360" w:lineRule="auto"/>
        <w:ind w:firstLine="482" w:firstLineChars="200"/>
        <w:rPr>
          <w:rFonts w:ascii="Times New Roman" w:hAnsi="Times New Roman" w:cs="Times New Roman"/>
          <w:b/>
          <w:bCs/>
          <w:color w:val="auto"/>
          <w:sz w:val="24"/>
          <w:szCs w:val="24"/>
          <w:highlight w:val="none"/>
        </w:rPr>
      </w:pPr>
      <w:r>
        <w:rPr>
          <w:rFonts w:ascii="Times New Roman" w:hAnsi="Times New Roman" w:cs="Times New Roman"/>
          <w:b/>
          <w:bCs/>
          <w:color w:val="auto"/>
          <w:sz w:val="24"/>
          <w:szCs w:val="24"/>
          <w:highlight w:val="none"/>
        </w:rPr>
        <w:t>（3）调查评价范围</w:t>
      </w:r>
    </w:p>
    <w:p>
      <w:pPr>
        <w:spacing w:line="360" w:lineRule="auto"/>
        <w:ind w:firstLine="480" w:firstLineChars="200"/>
        <w:rPr>
          <w:rFonts w:ascii="Times New Roman" w:hAnsi="Times New Roman" w:cs="Times New Roman"/>
          <w:color w:val="auto"/>
          <w:sz w:val="24"/>
          <w:szCs w:val="24"/>
          <w:highlight w:val="none"/>
          <w:lang w:eastAsia="zh-CN"/>
        </w:rPr>
      </w:pPr>
      <w:r>
        <w:rPr>
          <w:rFonts w:ascii="Times New Roman" w:hAnsi="Times New Roman" w:cs="Times New Roman"/>
          <w:color w:val="auto"/>
          <w:sz w:val="24"/>
          <w:szCs w:val="24"/>
          <w:highlight w:val="none"/>
          <w:lang w:eastAsia="zh-CN"/>
        </w:rPr>
        <w:t>根据《环境影响评价技术导则土壤环境（试行）》（HJ944-2018），本项目的现状调查范围为项目占地范围内及占地范围外50m。</w:t>
      </w:r>
    </w:p>
    <w:p>
      <w:pPr>
        <w:widowControl w:val="0"/>
        <w:numPr>
          <w:ilvl w:val="0"/>
          <w:numId w:val="34"/>
        </w:numPr>
        <w:spacing w:after="0" w:afterLines="0" w:line="360" w:lineRule="auto"/>
        <w:ind w:left="0" w:leftChars="0" w:firstLine="0" w:firstLineChars="0"/>
        <w:jc w:val="center"/>
        <w:rPr>
          <w:rFonts w:ascii="Times New Roman" w:hAnsi="Times New Roman" w:cs="Times New Roman"/>
          <w:b/>
          <w:bCs/>
          <w:color w:val="auto"/>
          <w:sz w:val="21"/>
          <w:szCs w:val="21"/>
          <w:highlight w:val="none"/>
          <w:lang w:eastAsia="zh-CN"/>
        </w:rPr>
      </w:pPr>
      <w:r>
        <w:rPr>
          <w:rFonts w:hint="eastAsia" w:ascii="Times New Roman" w:hAnsi="Times New Roman" w:cs="Times New Roman"/>
          <w:b/>
          <w:bCs/>
          <w:color w:val="auto"/>
          <w:sz w:val="21"/>
          <w:szCs w:val="21"/>
          <w:highlight w:val="none"/>
          <w:lang w:val="en-US" w:eastAsia="zh-CN"/>
        </w:rPr>
        <w:t xml:space="preserve"> </w:t>
      </w:r>
      <w:r>
        <w:rPr>
          <w:rFonts w:ascii="Times New Roman" w:hAnsi="Times New Roman" w:cs="Times New Roman"/>
          <w:b/>
          <w:bCs/>
          <w:color w:val="auto"/>
          <w:sz w:val="21"/>
          <w:szCs w:val="21"/>
          <w:highlight w:val="none"/>
          <w:lang w:eastAsia="zh-CN"/>
        </w:rPr>
        <w:t>现状调查范围</w:t>
      </w:r>
    </w:p>
    <w:tbl>
      <w:tblPr>
        <w:tblStyle w:val="25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Merge w:val="restar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评价工作等级</w:t>
            </w:r>
          </w:p>
        </w:tc>
        <w:tc>
          <w:tcPr>
            <w:tcW w:w="1250" w:type="pct"/>
            <w:vMerge w:val="restar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影响类型</w:t>
            </w:r>
          </w:p>
        </w:tc>
        <w:tc>
          <w:tcPr>
            <w:tcW w:w="2500" w:type="pct"/>
            <w:gridSpan w:val="2"/>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调查范围</w:t>
            </w:r>
            <w:r>
              <w:rPr>
                <w:rFonts w:hint="eastAsia"/>
                <w:color w:val="auto"/>
                <w:szCs w:val="22"/>
                <w:highlight w:val="none"/>
                <w:vertAlign w:val="superscript"/>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Merge w:val="continue"/>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p>
        </w:tc>
        <w:tc>
          <w:tcPr>
            <w:tcW w:w="1250" w:type="pct"/>
            <w:vMerge w:val="continue"/>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p>
        </w:tc>
        <w:tc>
          <w:tcPr>
            <w:tcW w:w="1250" w:type="pc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占地</w:t>
            </w:r>
            <w:r>
              <w:rPr>
                <w:rFonts w:hint="eastAsia"/>
                <w:color w:val="auto"/>
                <w:szCs w:val="22"/>
                <w:highlight w:val="none"/>
                <w:vertAlign w:val="superscript"/>
              </w:rPr>
              <w:t>b</w:t>
            </w:r>
            <w:r>
              <w:rPr>
                <w:rFonts w:hint="default"/>
                <w:color w:val="auto"/>
                <w:szCs w:val="22"/>
                <w:highlight w:val="none"/>
              </w:rPr>
              <w:t>范围内</w:t>
            </w:r>
          </w:p>
        </w:tc>
        <w:tc>
          <w:tcPr>
            <w:tcW w:w="1250" w:type="pc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占地范围外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Merge w:val="restar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一级</w:t>
            </w:r>
          </w:p>
        </w:tc>
        <w:tc>
          <w:tcPr>
            <w:tcW w:w="1250" w:type="pc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生态影响型</w:t>
            </w:r>
          </w:p>
        </w:tc>
        <w:tc>
          <w:tcPr>
            <w:tcW w:w="1250" w:type="pct"/>
            <w:vMerge w:val="restar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全部</w:t>
            </w:r>
          </w:p>
        </w:tc>
        <w:tc>
          <w:tcPr>
            <w:tcW w:w="1250" w:type="pc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5km范围内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Merge w:val="continue"/>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p>
        </w:tc>
        <w:tc>
          <w:tcPr>
            <w:tcW w:w="1250" w:type="pc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污染影响型</w:t>
            </w:r>
          </w:p>
        </w:tc>
        <w:tc>
          <w:tcPr>
            <w:tcW w:w="1250" w:type="pct"/>
            <w:vMerge w:val="continue"/>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p>
        </w:tc>
        <w:tc>
          <w:tcPr>
            <w:tcW w:w="1250" w:type="pc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1km范围内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Merge w:val="restar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二级</w:t>
            </w:r>
          </w:p>
        </w:tc>
        <w:tc>
          <w:tcPr>
            <w:tcW w:w="1250" w:type="pc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生态影响型</w:t>
            </w:r>
          </w:p>
        </w:tc>
        <w:tc>
          <w:tcPr>
            <w:tcW w:w="1250" w:type="pct"/>
            <w:vMerge w:val="continue"/>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p>
        </w:tc>
        <w:tc>
          <w:tcPr>
            <w:tcW w:w="1250" w:type="pct"/>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2km范围内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Merge w:val="continue"/>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p>
        </w:tc>
        <w:tc>
          <w:tcPr>
            <w:tcW w:w="1250" w:type="pc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污染影响型</w:t>
            </w:r>
          </w:p>
        </w:tc>
        <w:tc>
          <w:tcPr>
            <w:tcW w:w="1250" w:type="pct"/>
            <w:vMerge w:val="continue"/>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p>
        </w:tc>
        <w:tc>
          <w:tcPr>
            <w:tcW w:w="1250" w:type="pct"/>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shd w:val="clear" w:color="auto" w:fill="auto"/>
              </w:rPr>
              <w:t>0.</w:t>
            </w:r>
            <w:r>
              <w:rPr>
                <w:rFonts w:hint="default" w:ascii="Times New Roman" w:hAnsi="Times New Roman" w:eastAsia="宋体" w:cs="Times New Roman"/>
                <w:color w:val="auto"/>
                <w:szCs w:val="22"/>
                <w:highlight w:val="none"/>
                <w:shd w:val="clear" w:color="auto" w:fill="auto"/>
              </w:rPr>
              <w:t>2km范围内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Merge w:val="restar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三级</w:t>
            </w:r>
          </w:p>
        </w:tc>
        <w:tc>
          <w:tcPr>
            <w:tcW w:w="1250" w:type="pc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生态影响型</w:t>
            </w:r>
          </w:p>
        </w:tc>
        <w:tc>
          <w:tcPr>
            <w:tcW w:w="1250" w:type="pct"/>
            <w:vMerge w:val="continue"/>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p>
        </w:tc>
        <w:tc>
          <w:tcPr>
            <w:tcW w:w="1250" w:type="pct"/>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1km范围内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Merge w:val="continue"/>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p>
        </w:tc>
        <w:tc>
          <w:tcPr>
            <w:tcW w:w="1250" w:type="pc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rPr>
              <w:t>污染影响型</w:t>
            </w:r>
          </w:p>
        </w:tc>
        <w:tc>
          <w:tcPr>
            <w:tcW w:w="1250" w:type="pct"/>
            <w:vMerge w:val="continue"/>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p>
        </w:tc>
        <w:tc>
          <w:tcPr>
            <w:tcW w:w="1250" w:type="pct"/>
            <w:noWrap w:val="0"/>
            <w:vAlign w:val="center"/>
          </w:tcPr>
          <w:p>
            <w:pPr>
              <w:keepNext w:val="0"/>
              <w:keepLines w:val="0"/>
              <w:suppressLineNumbers w:val="0"/>
              <w:spacing w:before="0" w:beforeAutospacing="0" w:after="0" w:afterAutospacing="0"/>
              <w:ind w:left="0" w:right="0"/>
              <w:jc w:val="center"/>
              <w:rPr>
                <w:rFonts w:hint="default"/>
                <w:color w:val="auto"/>
                <w:szCs w:val="22"/>
                <w:highlight w:val="none"/>
              </w:rPr>
            </w:pPr>
            <w:r>
              <w:rPr>
                <w:rFonts w:hint="default"/>
                <w:color w:val="auto"/>
                <w:szCs w:val="22"/>
                <w:highlight w:val="none"/>
                <w:shd w:val="clear" w:color="FFFFFF" w:fill="D9D9D9"/>
              </w:rPr>
              <w:t>0.05km范围内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noWrap w:val="0"/>
            <w:vAlign w:val="center"/>
          </w:tcPr>
          <w:p>
            <w:pPr>
              <w:keepNext w:val="0"/>
              <w:keepLines w:val="0"/>
              <w:suppressLineNumbers w:val="0"/>
              <w:spacing w:before="0" w:beforeAutospacing="0" w:after="0" w:afterAutospacing="0"/>
              <w:ind w:left="0" w:right="0"/>
              <w:rPr>
                <w:rFonts w:hint="default"/>
                <w:color w:val="auto"/>
                <w:szCs w:val="22"/>
                <w:highlight w:val="none"/>
              </w:rPr>
            </w:pPr>
            <w:r>
              <w:rPr>
                <w:rFonts w:hint="default"/>
                <w:color w:val="auto"/>
                <w:szCs w:val="22"/>
                <w:highlight w:val="none"/>
              </w:rPr>
              <w:t>a涉及大气沉降途径影响的，可根据主导风向下风向的最大落地浓度点适当调整</w:t>
            </w:r>
            <w:r>
              <w:rPr>
                <w:rFonts w:hint="eastAsia"/>
                <w:color w:val="auto"/>
                <w:szCs w:val="22"/>
                <w:highlight w:val="none"/>
              </w:rPr>
              <w:t>。</w:t>
            </w:r>
          </w:p>
          <w:p>
            <w:pPr>
              <w:keepNext w:val="0"/>
              <w:keepLines w:val="0"/>
              <w:suppressLineNumbers w:val="0"/>
              <w:spacing w:before="0" w:beforeAutospacing="0" w:after="0" w:afterAutospacing="0"/>
              <w:ind w:left="0" w:right="0"/>
              <w:rPr>
                <w:rFonts w:hint="default"/>
                <w:color w:val="auto"/>
                <w:szCs w:val="22"/>
                <w:highlight w:val="none"/>
              </w:rPr>
            </w:pPr>
            <w:r>
              <w:rPr>
                <w:rFonts w:hint="default"/>
                <w:color w:val="auto"/>
                <w:szCs w:val="22"/>
                <w:highlight w:val="none"/>
              </w:rPr>
              <w:t>b矿山类项目指开采区与各场地的占地；改、扩建类的指现有工程与拟建工程的占地</w:t>
            </w:r>
            <w:r>
              <w:rPr>
                <w:rFonts w:hint="eastAsia"/>
                <w:color w:val="auto"/>
                <w:szCs w:val="22"/>
                <w:highlight w:val="none"/>
              </w:rPr>
              <w:t>。</w:t>
            </w:r>
          </w:p>
        </w:tc>
      </w:tr>
    </w:tbl>
    <w:p>
      <w:pPr>
        <w:spacing w:line="360" w:lineRule="auto"/>
        <w:ind w:firstLine="482" w:firstLineChars="200"/>
        <w:rPr>
          <w:rFonts w:ascii="Times New Roman" w:hAnsi="Times New Roman" w:cs="Times New Roman"/>
          <w:color w:val="auto"/>
          <w:sz w:val="24"/>
          <w:szCs w:val="24"/>
          <w:highlight w:val="none"/>
          <w:lang w:eastAsia="zh-CN"/>
        </w:rPr>
      </w:pPr>
      <w:r>
        <w:rPr>
          <w:rFonts w:ascii="Times New Roman" w:hAnsi="Times New Roman" w:cs="Times New Roman"/>
          <w:b/>
          <w:bCs/>
          <w:color w:val="auto"/>
          <w:sz w:val="24"/>
          <w:szCs w:val="24"/>
          <w:highlight w:val="none"/>
          <w:lang w:eastAsia="zh-CN"/>
        </w:rPr>
        <w:t>（4）土壤环境质量现状</w:t>
      </w:r>
    </w:p>
    <w:p>
      <w:pPr>
        <w:spacing w:line="360" w:lineRule="auto"/>
        <w:ind w:firstLine="480" w:firstLineChars="200"/>
        <w:rPr>
          <w:rFonts w:ascii="Times New Roman" w:hAnsi="Times New Roman" w:cs="Times New Roman"/>
          <w:color w:val="auto"/>
          <w:sz w:val="24"/>
          <w:szCs w:val="24"/>
          <w:highlight w:val="none"/>
          <w:lang w:eastAsia="zh-CN"/>
        </w:rPr>
      </w:pPr>
      <w:r>
        <w:rPr>
          <w:rFonts w:ascii="Times New Roman" w:hAnsi="Times New Roman" w:cs="Times New Roman"/>
          <w:color w:val="auto"/>
          <w:sz w:val="24"/>
          <w:szCs w:val="24"/>
          <w:highlight w:val="none"/>
          <w:lang w:eastAsia="zh-CN"/>
        </w:rPr>
        <w:t>根据本报告环境现状调查与评价章节可知，项目厂区范围内土壤采样点各监测因子均满足《土壤环境质量农用地土壤污染风险管控标准（试行）》（GB15618-2018）表1土壤污染风险筛选值。本项目土壤环境质量状况良好。</w:t>
      </w:r>
    </w:p>
    <w:p>
      <w:pPr>
        <w:pStyle w:val="9"/>
        <w:rPr>
          <w:rFonts w:hint="eastAsia" w:cs="Times New Roman"/>
          <w:color w:val="auto"/>
          <w:highlight w:val="none"/>
          <w:lang w:val="en-US" w:eastAsia="zh-CN"/>
        </w:rPr>
      </w:pPr>
      <w:r>
        <w:rPr>
          <w:rFonts w:hint="eastAsia" w:cs="Times New Roman"/>
          <w:color w:val="auto"/>
          <w:highlight w:val="none"/>
          <w:lang w:val="en-US" w:eastAsia="zh-CN"/>
        </w:rPr>
        <w:t>项目对区域土壤的影响分析</w:t>
      </w:r>
    </w:p>
    <w:p>
      <w:pPr>
        <w:widowControl w:val="0"/>
        <w:spacing w:line="460" w:lineRule="exact"/>
        <w:ind w:firstLine="480" w:firstLineChars="200"/>
        <w:jc w:val="both"/>
        <w:rPr>
          <w:rFonts w:hint="eastAsia" w:ascii="Times New Roman" w:hAnsi="Times New Roman" w:eastAsia="宋体" w:cs="Times New Roman"/>
          <w:color w:val="auto"/>
          <w:kern w:val="2"/>
          <w:sz w:val="24"/>
          <w:szCs w:val="20"/>
          <w:highlight w:val="none"/>
          <w:lang w:val="en-US" w:eastAsia="zh-CN" w:bidi="ar-SA"/>
        </w:rPr>
      </w:pPr>
      <w:r>
        <w:rPr>
          <w:rFonts w:hint="eastAsia" w:ascii="Times New Roman" w:hAnsi="Times New Roman" w:eastAsia="宋体" w:cs="Times New Roman"/>
          <w:color w:val="auto"/>
          <w:kern w:val="2"/>
          <w:sz w:val="24"/>
          <w:szCs w:val="20"/>
          <w:highlight w:val="none"/>
          <w:lang w:val="en-US" w:eastAsia="zh-CN" w:bidi="ar-SA"/>
        </w:rPr>
        <w:t>1、地面漫流</w:t>
      </w:r>
    </w:p>
    <w:p>
      <w:pPr>
        <w:widowControl w:val="0"/>
        <w:spacing w:line="460" w:lineRule="exact"/>
        <w:ind w:firstLine="480" w:firstLineChars="200"/>
        <w:jc w:val="both"/>
        <w:rPr>
          <w:rFonts w:hint="eastAsia" w:ascii="Times New Roman" w:hAnsi="Times New Roman" w:eastAsia="宋体" w:cs="Times New Roman"/>
          <w:color w:val="auto"/>
          <w:kern w:val="2"/>
          <w:sz w:val="24"/>
          <w:szCs w:val="20"/>
          <w:highlight w:val="none"/>
          <w:lang w:val="en-US" w:eastAsia="zh-CN" w:bidi="ar-SA"/>
        </w:rPr>
      </w:pPr>
      <w:r>
        <w:rPr>
          <w:rFonts w:hint="eastAsia" w:ascii="Times New Roman" w:hAnsi="Times New Roman" w:eastAsia="宋体" w:cs="Times New Roman"/>
          <w:color w:val="auto"/>
          <w:kern w:val="2"/>
          <w:sz w:val="24"/>
          <w:szCs w:val="20"/>
          <w:highlight w:val="none"/>
          <w:lang w:val="en-US" w:eastAsia="zh-CN" w:bidi="ar-SA"/>
        </w:rPr>
        <w:t>对于地上设施，废水在事故状态和降雨情况下可能发生地面漫流，进一步污染土壤。项目营运期产生的废水经污水管道进入配套污水处理系统处理后用于周围农田灌溉，不外排。本次评价建议建设单位从两个方面采取措施，一是设置必要处理设施：如设置应急池，事故状况下将废水进行收集，最大限度地消除或减轻环境污染；二是从全面加强管理着手，避免或减少事故状态发生的可能性，达到控制污染的目的。同时，本项目从安全角度考虑，对厂区内废水产生、收集、排放管道及池体、柴油发电机房、危废暂存间均进行严格的防渗处理，并对废水池体设置防雨设施，全面防控事故废水和可能受污染的雨水发生地面漫流，进入土壤。在全面落实以上措施的情况下，废水发生地面漫流的概率较小，不会对区域土壤环境产生较大影响。</w:t>
      </w:r>
    </w:p>
    <w:p>
      <w:pPr>
        <w:widowControl w:val="0"/>
        <w:spacing w:line="460" w:lineRule="exact"/>
        <w:ind w:firstLine="480" w:firstLineChars="200"/>
        <w:jc w:val="both"/>
        <w:rPr>
          <w:rFonts w:hint="eastAsia" w:ascii="Times New Roman" w:hAnsi="Times New Roman" w:eastAsia="宋体" w:cs="Times New Roman"/>
          <w:color w:val="auto"/>
          <w:kern w:val="2"/>
          <w:sz w:val="24"/>
          <w:szCs w:val="20"/>
          <w:highlight w:val="none"/>
          <w:lang w:val="en-US" w:eastAsia="zh-CN" w:bidi="ar-SA"/>
        </w:rPr>
      </w:pPr>
      <w:r>
        <w:rPr>
          <w:rFonts w:hint="eastAsia" w:ascii="Times New Roman" w:hAnsi="Times New Roman" w:eastAsia="宋体" w:cs="Times New Roman"/>
          <w:color w:val="auto"/>
          <w:kern w:val="2"/>
          <w:sz w:val="24"/>
          <w:szCs w:val="20"/>
          <w:highlight w:val="none"/>
          <w:lang w:val="en-US" w:eastAsia="zh-CN" w:bidi="ar-SA"/>
        </w:rPr>
        <w:t>2、垂直入渗</w:t>
      </w:r>
    </w:p>
    <w:p>
      <w:pPr>
        <w:widowControl w:val="0"/>
        <w:spacing w:line="460" w:lineRule="exact"/>
        <w:ind w:firstLine="480" w:firstLineChars="200"/>
        <w:jc w:val="both"/>
        <w:rPr>
          <w:rFonts w:hint="eastAsia" w:ascii="Times New Roman" w:hAnsi="Times New Roman" w:eastAsia="宋体" w:cs="Times New Roman"/>
          <w:color w:val="auto"/>
          <w:kern w:val="2"/>
          <w:sz w:val="24"/>
          <w:szCs w:val="20"/>
          <w:highlight w:val="none"/>
          <w:lang w:val="en-US" w:eastAsia="zh-CN" w:bidi="ar-SA"/>
        </w:rPr>
      </w:pPr>
      <w:r>
        <w:rPr>
          <w:rFonts w:hint="eastAsia" w:ascii="Times New Roman" w:hAnsi="Times New Roman" w:eastAsia="宋体" w:cs="Times New Roman"/>
          <w:color w:val="auto"/>
          <w:kern w:val="2"/>
          <w:sz w:val="24"/>
          <w:szCs w:val="20"/>
          <w:highlight w:val="none"/>
          <w:lang w:val="en-US" w:eastAsia="zh-CN" w:bidi="ar-SA"/>
        </w:rPr>
        <w:t>对于厂区地下或半地下工程构筑物，在事故状态下，会造成废水泄漏，通过垂直入渗途径污染土壤。根据本项目所在区域场地特性和项目特征，依据《环境影响评价技术导则 地下水环境》（HJ610-2016）防渗分区原则，制定分区防渗。在全面落实源头控制、分区防渗等措施的情况下，同时加强日常生产安全、环保管理的基础上，废水发生垂直入渗的概率较小，不会对区域土壤环境产生较大影响。</w:t>
      </w:r>
    </w:p>
    <w:p>
      <w:pPr>
        <w:pStyle w:val="9"/>
        <w:rPr>
          <w:rFonts w:hint="eastAsia" w:cs="Times New Roman"/>
          <w:color w:val="auto"/>
          <w:highlight w:val="none"/>
          <w:lang w:val="en-US" w:eastAsia="zh-CN"/>
        </w:rPr>
      </w:pPr>
      <w:r>
        <w:rPr>
          <w:rFonts w:hint="eastAsia" w:cs="Times New Roman"/>
          <w:color w:val="auto"/>
          <w:highlight w:val="none"/>
          <w:lang w:val="en-US" w:eastAsia="zh-CN"/>
        </w:rPr>
        <w:t>土壤污染控制措施</w:t>
      </w:r>
    </w:p>
    <w:p>
      <w:pPr>
        <w:widowControl w:val="0"/>
        <w:spacing w:line="460" w:lineRule="exact"/>
        <w:ind w:firstLine="482" w:firstLineChars="200"/>
        <w:jc w:val="both"/>
        <w:rPr>
          <w:rFonts w:hint="default" w:ascii="Times New Roman" w:hAnsi="Times New Roman" w:eastAsia="宋体" w:cs="Times New Roman"/>
          <w:b/>
          <w:bCs/>
          <w:color w:val="auto"/>
          <w:kern w:val="2"/>
          <w:sz w:val="24"/>
          <w:szCs w:val="20"/>
          <w:highlight w:val="none"/>
          <w:lang w:val="en-US" w:eastAsia="zh-CN" w:bidi="ar-SA"/>
        </w:rPr>
      </w:pPr>
      <w:r>
        <w:rPr>
          <w:rFonts w:hint="default" w:ascii="Times New Roman" w:hAnsi="Times New Roman" w:eastAsia="宋体" w:cs="Times New Roman"/>
          <w:b/>
          <w:bCs/>
          <w:color w:val="auto"/>
          <w:kern w:val="2"/>
          <w:sz w:val="24"/>
          <w:szCs w:val="20"/>
          <w:highlight w:val="none"/>
          <w:lang w:val="en-US" w:eastAsia="zh-CN" w:bidi="ar-SA"/>
        </w:rPr>
        <w:t>1、源头控制</w:t>
      </w:r>
    </w:p>
    <w:p>
      <w:pPr>
        <w:widowControl w:val="0"/>
        <w:spacing w:line="460" w:lineRule="exact"/>
        <w:ind w:firstLine="480" w:firstLineChars="200"/>
        <w:jc w:val="both"/>
        <w:rPr>
          <w:rFonts w:hint="default" w:ascii="Times New Roman" w:hAnsi="Times New Roman" w:eastAsia="宋体" w:cs="Times New Roman"/>
          <w:color w:val="auto"/>
          <w:kern w:val="2"/>
          <w:sz w:val="24"/>
          <w:szCs w:val="20"/>
          <w:highlight w:val="none"/>
          <w:lang w:val="en-US" w:eastAsia="zh-CN" w:bidi="ar-SA"/>
        </w:rPr>
      </w:pPr>
      <w:r>
        <w:rPr>
          <w:rFonts w:hint="default" w:ascii="Times New Roman" w:hAnsi="Times New Roman" w:eastAsia="宋体" w:cs="Times New Roman"/>
          <w:color w:val="auto"/>
          <w:kern w:val="2"/>
          <w:sz w:val="24"/>
          <w:szCs w:val="20"/>
          <w:highlight w:val="none"/>
          <w:lang w:val="en-US" w:eastAsia="zh-CN" w:bidi="ar-SA"/>
        </w:rPr>
        <w:t>从原料和产品储存、装卸、运输、生产过程、污染处理装置等全过程控制各种有毒有害物质、废水泄漏（含跑、冒、滴、漏），同时对有害物质可能泄漏到地面的区域采取防渗措施，阻止其进入土壤中，即从源头到末端全方位采取控制措施，防止项目的建设对土壤造成污染。</w:t>
      </w:r>
    </w:p>
    <w:p>
      <w:pPr>
        <w:widowControl w:val="0"/>
        <w:spacing w:line="460" w:lineRule="exact"/>
        <w:ind w:firstLine="480" w:firstLineChars="200"/>
        <w:jc w:val="both"/>
        <w:rPr>
          <w:rFonts w:hint="default" w:ascii="Times New Roman" w:hAnsi="Times New Roman" w:eastAsia="宋体" w:cs="Times New Roman"/>
          <w:color w:val="auto"/>
          <w:kern w:val="2"/>
          <w:sz w:val="24"/>
          <w:szCs w:val="20"/>
          <w:highlight w:val="none"/>
          <w:lang w:val="en-US" w:eastAsia="zh-CN" w:bidi="ar-SA"/>
        </w:rPr>
      </w:pPr>
      <w:r>
        <w:rPr>
          <w:rFonts w:hint="default" w:ascii="Times New Roman" w:hAnsi="Times New Roman" w:eastAsia="宋体" w:cs="Times New Roman"/>
          <w:color w:val="auto"/>
          <w:kern w:val="2"/>
          <w:sz w:val="24"/>
          <w:szCs w:val="20"/>
          <w:highlight w:val="none"/>
          <w:lang w:val="en-US" w:eastAsia="zh-CN" w:bidi="ar-SA"/>
        </w:rPr>
        <w:t>从生产过程入手，在工艺、管道、设备、给排水等方面尽可能地采取泄漏控制措施，从源头最大限度降低污染物泄漏的可能性和泄漏量，使项目区域污染物对土壤的影响降至最低，一旦出现泄漏等即可由区域内的各种配套措施进行收集、处置，同时经过防渗处理的地面有效阻止污染物下渗。</w:t>
      </w:r>
    </w:p>
    <w:p>
      <w:pPr>
        <w:widowControl w:val="0"/>
        <w:spacing w:line="460" w:lineRule="exact"/>
        <w:ind w:firstLine="482" w:firstLineChars="200"/>
        <w:jc w:val="both"/>
        <w:rPr>
          <w:rFonts w:hint="default" w:ascii="Times New Roman" w:hAnsi="Times New Roman" w:eastAsia="宋体" w:cs="Times New Roman"/>
          <w:b/>
          <w:bCs/>
          <w:color w:val="auto"/>
          <w:kern w:val="2"/>
          <w:sz w:val="24"/>
          <w:szCs w:val="20"/>
          <w:highlight w:val="none"/>
          <w:lang w:val="en-US" w:eastAsia="zh-CN" w:bidi="ar-SA"/>
        </w:rPr>
      </w:pPr>
      <w:r>
        <w:rPr>
          <w:rFonts w:hint="default" w:ascii="Times New Roman" w:hAnsi="Times New Roman" w:eastAsia="宋体" w:cs="Times New Roman"/>
          <w:b/>
          <w:bCs/>
          <w:color w:val="auto"/>
          <w:kern w:val="2"/>
          <w:sz w:val="24"/>
          <w:szCs w:val="20"/>
          <w:highlight w:val="none"/>
          <w:lang w:val="en-US" w:eastAsia="zh-CN" w:bidi="ar-SA"/>
        </w:rPr>
        <w:t>2、过程控制</w:t>
      </w:r>
    </w:p>
    <w:p>
      <w:pPr>
        <w:widowControl w:val="0"/>
        <w:spacing w:line="460" w:lineRule="exact"/>
        <w:ind w:firstLine="480" w:firstLineChars="200"/>
        <w:jc w:val="both"/>
        <w:rPr>
          <w:rFonts w:hint="default" w:ascii="Times New Roman" w:hAnsi="Times New Roman" w:eastAsia="宋体" w:cs="Times New Roman"/>
          <w:color w:val="auto"/>
          <w:kern w:val="2"/>
          <w:sz w:val="24"/>
          <w:szCs w:val="20"/>
          <w:highlight w:val="none"/>
          <w:lang w:val="en-US" w:eastAsia="zh-CN" w:bidi="ar-SA"/>
        </w:rPr>
      </w:pPr>
      <w:r>
        <w:rPr>
          <w:rFonts w:hint="default" w:ascii="Times New Roman" w:hAnsi="Times New Roman" w:eastAsia="宋体" w:cs="Times New Roman"/>
          <w:color w:val="auto"/>
          <w:kern w:val="2"/>
          <w:sz w:val="24"/>
          <w:szCs w:val="20"/>
          <w:highlight w:val="none"/>
          <w:lang w:val="en-US" w:eastAsia="zh-CN" w:bidi="ar-SA"/>
        </w:rPr>
        <w:t>（1）地面漫流污染途径治理措施及效果</w:t>
      </w:r>
    </w:p>
    <w:p>
      <w:pPr>
        <w:widowControl w:val="0"/>
        <w:spacing w:line="460" w:lineRule="exact"/>
        <w:ind w:firstLine="480" w:firstLineChars="200"/>
        <w:jc w:val="both"/>
        <w:rPr>
          <w:rFonts w:hint="default" w:ascii="Times New Roman" w:hAnsi="Times New Roman" w:eastAsia="宋体" w:cs="Times New Roman"/>
          <w:color w:val="auto"/>
          <w:kern w:val="2"/>
          <w:sz w:val="24"/>
          <w:szCs w:val="20"/>
          <w:highlight w:val="none"/>
          <w:lang w:val="en-US" w:eastAsia="zh-CN" w:bidi="ar-SA"/>
        </w:rPr>
      </w:pPr>
      <w:r>
        <w:rPr>
          <w:rFonts w:hint="default" w:ascii="Times New Roman" w:hAnsi="Times New Roman" w:eastAsia="宋体" w:cs="Times New Roman"/>
          <w:color w:val="auto"/>
          <w:kern w:val="2"/>
          <w:sz w:val="24"/>
          <w:szCs w:val="20"/>
          <w:highlight w:val="none"/>
          <w:lang w:val="en-US" w:eastAsia="zh-CN" w:bidi="ar-SA"/>
        </w:rPr>
        <w:t>对运行过程中污染处理装置等全过程控制废水（含跑、冒、滴、漏），同时对废水可能泄漏到地面的区域采取防渗措施，阻止其进入土壤中，即从源头到末端全方位采取控制措施，全面防控事故废水发生地面漫流。</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①</w:t>
      </w:r>
      <w:r>
        <w:rPr>
          <w:rFonts w:ascii="Times New Roman" w:hAnsi="Times New Roman" w:eastAsia="宋体" w:cs="Times New Roman"/>
          <w:color w:val="auto"/>
          <w:sz w:val="24"/>
          <w:szCs w:val="24"/>
          <w:highlight w:val="none"/>
        </w:rPr>
        <w:t>重点</w:t>
      </w:r>
      <w:r>
        <w:rPr>
          <w:rFonts w:hint="eastAsia" w:ascii="Times New Roman" w:hAnsi="Times New Roman" w:eastAsia="宋体" w:cs="Times New Roman"/>
          <w:color w:val="auto"/>
          <w:sz w:val="24"/>
          <w:szCs w:val="24"/>
          <w:highlight w:val="none"/>
        </w:rPr>
        <w:t>防渗</w:t>
      </w:r>
      <w:r>
        <w:rPr>
          <w:rFonts w:ascii="Times New Roman" w:hAnsi="Times New Roman" w:eastAsia="宋体" w:cs="Times New Roman"/>
          <w:color w:val="auto"/>
          <w:sz w:val="24"/>
          <w:szCs w:val="24"/>
          <w:highlight w:val="none"/>
        </w:rPr>
        <w:t>区防渗措施：</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厂区粪污输送全部采用管道输送，管道材料应视输送介质的不同选择合适材质并做表面的防腐、防锈蚀处理，减轻管道腐蚀造成的渗漏，并进行定期检查，防止跑冒漏滴的现象发生。</w:t>
      </w:r>
      <w:r>
        <w:rPr>
          <w:rFonts w:hint="eastAsia" w:ascii="Times New Roman" w:hAnsi="Times New Roman" w:eastAsia="宋体" w:cs="Times New Roman"/>
          <w:color w:val="auto"/>
          <w:sz w:val="24"/>
          <w:szCs w:val="24"/>
          <w:highlight w:val="none"/>
          <w:lang w:eastAsia="zh-CN"/>
        </w:rPr>
        <w:t>隔油池、</w:t>
      </w:r>
      <w:r>
        <w:rPr>
          <w:rFonts w:ascii="Times New Roman" w:hAnsi="Times New Roman" w:eastAsia="宋体" w:cs="Times New Roman"/>
          <w:color w:val="auto"/>
          <w:sz w:val="24"/>
          <w:szCs w:val="24"/>
          <w:highlight w:val="none"/>
        </w:rPr>
        <w:t>污水处理设施池体、地面采用钢筋混凝土加防渗剂的防渗地坪+人工材料（HDPE）防渗层，确保等效黏土防渗层Mb≥6.0m，K≤1×10</w:t>
      </w:r>
      <w:r>
        <w:rPr>
          <w:rFonts w:ascii="Times New Roman" w:hAnsi="Times New Roman" w:eastAsia="宋体" w:cs="Times New Roman"/>
          <w:color w:val="auto"/>
          <w:sz w:val="24"/>
          <w:szCs w:val="24"/>
          <w:highlight w:val="none"/>
          <w:vertAlign w:val="superscript"/>
        </w:rPr>
        <w:t>-7</w:t>
      </w:r>
      <w:r>
        <w:rPr>
          <w:rFonts w:ascii="Times New Roman" w:hAnsi="Times New Roman" w:eastAsia="宋体" w:cs="Times New Roman"/>
          <w:color w:val="auto"/>
          <w:sz w:val="24"/>
          <w:szCs w:val="24"/>
          <w:highlight w:val="none"/>
        </w:rPr>
        <w:t>cm/s。</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bCs/>
          <w:color w:val="auto"/>
          <w:sz w:val="24"/>
          <w:szCs w:val="24"/>
          <w:highlight w:val="none"/>
        </w:rPr>
        <w:t>干粪棚、机修车间、</w:t>
      </w:r>
      <w:r>
        <w:rPr>
          <w:rFonts w:ascii="Times New Roman" w:hAnsi="Times New Roman" w:eastAsia="宋体" w:cs="Times New Roman"/>
          <w:bCs/>
          <w:color w:val="auto"/>
          <w:sz w:val="24"/>
          <w:szCs w:val="24"/>
          <w:highlight w:val="none"/>
        </w:rPr>
        <w:t>污水处理站、生活废水处理设施</w:t>
      </w:r>
      <w:r>
        <w:rPr>
          <w:rFonts w:hint="eastAsia" w:ascii="Times New Roman" w:hAnsi="Times New Roman" w:eastAsia="宋体" w:cs="Times New Roman"/>
          <w:bCs/>
          <w:color w:val="auto"/>
          <w:sz w:val="24"/>
          <w:szCs w:val="24"/>
          <w:highlight w:val="none"/>
          <w:lang w:eastAsia="zh-CN"/>
        </w:rPr>
        <w:t>（含</w:t>
      </w:r>
      <w:r>
        <w:rPr>
          <w:rFonts w:ascii="Times New Roman" w:hAnsi="Times New Roman" w:eastAsia="宋体" w:cs="Times New Roman"/>
          <w:bCs/>
          <w:color w:val="auto"/>
          <w:sz w:val="24"/>
          <w:szCs w:val="24"/>
          <w:highlight w:val="none"/>
        </w:rPr>
        <w:t>集污池</w:t>
      </w:r>
      <w:r>
        <w:rPr>
          <w:rFonts w:hint="eastAsia" w:ascii="Times New Roman" w:hAnsi="Times New Roman" w:eastAsia="宋体" w:cs="Times New Roman"/>
          <w:bCs/>
          <w:color w:val="auto"/>
          <w:sz w:val="24"/>
          <w:szCs w:val="24"/>
          <w:highlight w:val="none"/>
          <w:lang w:eastAsia="zh-CN"/>
        </w:rPr>
        <w:t>）</w:t>
      </w:r>
      <w:r>
        <w:rPr>
          <w:rFonts w:ascii="Times New Roman" w:hAnsi="Times New Roman" w:eastAsia="宋体" w:cs="Times New Roman"/>
          <w:bCs/>
          <w:color w:val="auto"/>
          <w:sz w:val="24"/>
          <w:szCs w:val="24"/>
          <w:highlight w:val="none"/>
        </w:rPr>
        <w:t>、尾水储存池、</w:t>
      </w:r>
      <w:r>
        <w:rPr>
          <w:rFonts w:hint="eastAsia" w:ascii="Times New Roman" w:hAnsi="Times New Roman" w:eastAsia="宋体" w:cs="Times New Roman"/>
          <w:bCs/>
          <w:color w:val="auto"/>
          <w:sz w:val="24"/>
          <w:szCs w:val="24"/>
          <w:highlight w:val="none"/>
        </w:rPr>
        <w:t>事故应急池</w:t>
      </w:r>
      <w:r>
        <w:rPr>
          <w:rFonts w:ascii="Times New Roman" w:hAnsi="Times New Roman" w:eastAsia="宋体" w:cs="Times New Roman"/>
          <w:color w:val="auto"/>
          <w:sz w:val="24"/>
          <w:szCs w:val="24"/>
          <w:highlight w:val="none"/>
        </w:rPr>
        <w:t>用钢筋混凝土加防渗剂的防渗地坪+人工材料（HDPE）防渗层，确保等效黏土防渗层Mb≥6.0m，K≤1×10</w:t>
      </w:r>
      <w:r>
        <w:rPr>
          <w:rFonts w:ascii="Times New Roman" w:hAnsi="Times New Roman" w:eastAsia="宋体" w:cs="Times New Roman"/>
          <w:color w:val="auto"/>
          <w:sz w:val="24"/>
          <w:szCs w:val="24"/>
          <w:highlight w:val="none"/>
          <w:vertAlign w:val="superscript"/>
        </w:rPr>
        <w:t>-7</w:t>
      </w:r>
      <w:r>
        <w:rPr>
          <w:rFonts w:ascii="Times New Roman" w:hAnsi="Times New Roman" w:eastAsia="宋体" w:cs="Times New Roman"/>
          <w:color w:val="auto"/>
          <w:sz w:val="24"/>
          <w:szCs w:val="24"/>
          <w:highlight w:val="none"/>
        </w:rPr>
        <w:t>cm/s。</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危险废物暂存间</w:t>
      </w:r>
      <w:r>
        <w:rPr>
          <w:rFonts w:ascii="Times New Roman" w:hAnsi="Times New Roman" w:eastAsia="宋体" w:cs="Times New Roman"/>
          <w:color w:val="auto"/>
          <w:sz w:val="24"/>
          <w:szCs w:val="24"/>
          <w:highlight w:val="none"/>
        </w:rPr>
        <w:t>混凝土地面加铺防渗剂和人工材料（HDPE）防渗层，确保K≤1×10</w:t>
      </w:r>
      <w:r>
        <w:rPr>
          <w:rFonts w:ascii="Times New Roman" w:hAnsi="Times New Roman" w:eastAsia="宋体" w:cs="Times New Roman"/>
          <w:color w:val="auto"/>
          <w:sz w:val="24"/>
          <w:szCs w:val="24"/>
          <w:highlight w:val="none"/>
          <w:vertAlign w:val="superscript"/>
        </w:rPr>
        <w:t>-10</w:t>
      </w:r>
      <w:r>
        <w:rPr>
          <w:rFonts w:ascii="Times New Roman" w:hAnsi="Times New Roman" w:eastAsia="宋体" w:cs="Times New Roman"/>
          <w:color w:val="auto"/>
          <w:sz w:val="24"/>
          <w:szCs w:val="24"/>
          <w:highlight w:val="none"/>
        </w:rPr>
        <w:t>cm/s。</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②</w:t>
      </w:r>
      <w:r>
        <w:rPr>
          <w:rFonts w:ascii="Times New Roman" w:hAnsi="Times New Roman" w:eastAsia="宋体" w:cs="Times New Roman"/>
          <w:color w:val="auto"/>
          <w:sz w:val="24"/>
          <w:szCs w:val="24"/>
          <w:highlight w:val="none"/>
        </w:rPr>
        <w:t>一般</w:t>
      </w:r>
      <w:r>
        <w:rPr>
          <w:rFonts w:hint="eastAsia" w:ascii="Times New Roman" w:hAnsi="Times New Roman" w:eastAsia="宋体" w:cs="Times New Roman"/>
          <w:color w:val="auto"/>
          <w:sz w:val="24"/>
          <w:szCs w:val="24"/>
          <w:highlight w:val="none"/>
        </w:rPr>
        <w:t>防渗</w:t>
      </w:r>
      <w:r>
        <w:rPr>
          <w:rFonts w:ascii="Times New Roman" w:hAnsi="Times New Roman" w:eastAsia="宋体" w:cs="Times New Roman"/>
          <w:color w:val="auto"/>
          <w:sz w:val="24"/>
          <w:szCs w:val="24"/>
          <w:highlight w:val="none"/>
        </w:rPr>
        <w:t>区防渗措施：</w:t>
      </w:r>
    </w:p>
    <w:p>
      <w:pPr>
        <w:spacing w:line="440" w:lineRule="exact"/>
        <w:ind w:firstLine="480" w:firstLineChars="200"/>
        <w:rPr>
          <w:rStyle w:val="2506"/>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一般防渗区域主要为牛舍</w:t>
      </w:r>
      <w:r>
        <w:rPr>
          <w:rFonts w:hint="eastAsia" w:ascii="Times New Roman" w:hAnsi="Times New Roman" w:eastAsia="宋体" w:cs="Times New Roman"/>
          <w:color w:val="auto"/>
          <w:sz w:val="24"/>
          <w:szCs w:val="24"/>
          <w:highlight w:val="none"/>
          <w:lang w:eastAsia="zh-CN"/>
        </w:rPr>
        <w:t>、青贮窖、生活垃圾暂存间及饲料</w:t>
      </w:r>
      <w:r>
        <w:rPr>
          <w:rFonts w:hint="eastAsia" w:ascii="Times New Roman" w:hAnsi="Times New Roman" w:eastAsia="宋体" w:cs="Times New Roman"/>
          <w:color w:val="auto"/>
          <w:sz w:val="24"/>
          <w:szCs w:val="24"/>
          <w:highlight w:val="none"/>
          <w:lang w:val="en-US" w:eastAsia="zh-CN"/>
        </w:rPr>
        <w:t>库、兽医室、预处理池</w:t>
      </w:r>
      <w:r>
        <w:rPr>
          <w:rFonts w:hint="eastAsia" w:ascii="Times New Roman" w:hAnsi="Times New Roman" w:eastAsia="宋体" w:cs="Times New Roman"/>
          <w:color w:val="auto"/>
          <w:sz w:val="24"/>
          <w:szCs w:val="24"/>
          <w:highlight w:val="none"/>
          <w:lang w:eastAsia="zh-CN"/>
        </w:rPr>
        <w:t>采用</w:t>
      </w:r>
      <w:r>
        <w:rPr>
          <w:rFonts w:ascii="Times New Roman" w:hAnsi="Times New Roman" w:eastAsia="宋体" w:cs="Times New Roman"/>
          <w:color w:val="auto"/>
          <w:sz w:val="24"/>
          <w:szCs w:val="24"/>
          <w:highlight w:val="none"/>
        </w:rPr>
        <w:t>一般防渗区地面采取粘土铺底，再在上层铺10~15cm的水泥进行硬化，</w:t>
      </w:r>
      <w:r>
        <w:rPr>
          <w:rStyle w:val="2506"/>
          <w:rFonts w:hint="default" w:ascii="Times New Roman" w:hAnsi="Times New Roman" w:cs="Times New Roman"/>
          <w:color w:val="auto"/>
          <w:highlight w:val="none"/>
        </w:rPr>
        <w:t>确保等效黏土防渗层Mb≥1.5m，</w:t>
      </w:r>
      <w:r>
        <w:rPr>
          <w:rFonts w:ascii="Times New Roman" w:hAnsi="Times New Roman" w:eastAsia="宋体" w:cs="Times New Roman"/>
          <w:color w:val="auto"/>
          <w:sz w:val="24"/>
          <w:szCs w:val="24"/>
          <w:highlight w:val="none"/>
        </w:rPr>
        <w:t>渗透系数</w:t>
      </w:r>
      <w:r>
        <w:rPr>
          <w:rStyle w:val="2506"/>
          <w:rFonts w:hint="default" w:ascii="Times New Roman" w:hAnsi="Times New Roman" w:cs="Times New Roman"/>
          <w:color w:val="auto"/>
          <w:highlight w:val="none"/>
        </w:rPr>
        <w:t>K≤10</w:t>
      </w:r>
      <w:r>
        <w:rPr>
          <w:rStyle w:val="2506"/>
          <w:rFonts w:hint="default" w:ascii="Times New Roman" w:hAnsi="Times New Roman" w:cs="Times New Roman"/>
          <w:color w:val="auto"/>
          <w:highlight w:val="none"/>
          <w:vertAlign w:val="superscript"/>
        </w:rPr>
        <w:t>-7</w:t>
      </w:r>
      <w:r>
        <w:rPr>
          <w:rStyle w:val="2506"/>
          <w:rFonts w:hint="default" w:ascii="Times New Roman" w:hAnsi="Times New Roman" w:cs="Times New Roman"/>
          <w:color w:val="auto"/>
          <w:highlight w:val="none"/>
        </w:rPr>
        <w:t>cm/s。</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③</w:t>
      </w:r>
      <w:r>
        <w:rPr>
          <w:rFonts w:ascii="Times New Roman" w:hAnsi="Times New Roman" w:eastAsia="宋体" w:cs="Times New Roman"/>
          <w:color w:val="auto"/>
          <w:sz w:val="24"/>
          <w:szCs w:val="24"/>
          <w:highlight w:val="none"/>
        </w:rPr>
        <w:t>简单防渗区</w:t>
      </w:r>
      <w:r>
        <w:rPr>
          <w:rFonts w:hint="eastAsia" w:ascii="Times New Roman" w:hAnsi="Times New Roman" w:eastAsia="宋体" w:cs="Times New Roman"/>
          <w:color w:val="auto"/>
          <w:sz w:val="24"/>
          <w:szCs w:val="24"/>
          <w:highlight w:val="none"/>
        </w:rPr>
        <w:t>防渗</w:t>
      </w:r>
      <w:r>
        <w:rPr>
          <w:rFonts w:ascii="Times New Roman" w:hAnsi="Times New Roman" w:eastAsia="宋体" w:cs="Times New Roman"/>
          <w:color w:val="auto"/>
          <w:sz w:val="24"/>
          <w:szCs w:val="24"/>
          <w:highlight w:val="none"/>
        </w:rPr>
        <w:t>措施：</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简单防渗区域主要为办公区、食堂地面、门卫室以及站内道路等，参照《环境影响评价技术导则 地下水环境》（HJ610-2016），简单防渗可采用一般地面硬化。评价要求管理房、场内道路等采用混凝土进行一般地面硬化。</w:t>
      </w:r>
    </w:p>
    <w:p>
      <w:pPr>
        <w:widowControl w:val="0"/>
        <w:spacing w:line="460" w:lineRule="exact"/>
        <w:ind w:firstLine="480" w:firstLineChars="200"/>
        <w:jc w:val="both"/>
        <w:rPr>
          <w:rFonts w:hint="default" w:ascii="Times New Roman" w:hAnsi="Times New Roman" w:eastAsia="宋体" w:cs="Times New Roman"/>
          <w:color w:val="auto"/>
          <w:kern w:val="2"/>
          <w:sz w:val="24"/>
          <w:szCs w:val="20"/>
          <w:highlight w:val="none"/>
          <w:lang w:val="en-US" w:eastAsia="zh-CN" w:bidi="ar-SA"/>
        </w:rPr>
      </w:pPr>
      <w:r>
        <w:rPr>
          <w:rFonts w:hint="default" w:ascii="Times New Roman" w:hAnsi="Times New Roman" w:eastAsia="宋体" w:cs="Times New Roman"/>
          <w:color w:val="auto"/>
          <w:kern w:val="2"/>
          <w:sz w:val="24"/>
          <w:szCs w:val="20"/>
          <w:highlight w:val="none"/>
          <w:lang w:val="en-US" w:eastAsia="zh-CN" w:bidi="ar-SA"/>
        </w:rPr>
        <w:t>此外，一旦发生土壤污染事故，立即启动应急预案、采取应急措施控制土壤污染，并使污染得到治理。</w:t>
      </w:r>
    </w:p>
    <w:p>
      <w:pPr>
        <w:widowControl w:val="0"/>
        <w:spacing w:line="460" w:lineRule="exact"/>
        <w:ind w:firstLine="480" w:firstLineChars="200"/>
        <w:jc w:val="both"/>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kern w:val="2"/>
          <w:sz w:val="24"/>
          <w:szCs w:val="20"/>
          <w:highlight w:val="none"/>
          <w:lang w:val="en-US" w:eastAsia="zh-CN" w:bidi="ar-SA"/>
        </w:rPr>
        <w:t>综上所述，建设单位通过采取源头控制、过程控制等措施，同时在加强日常生产安全、环保管理的基础上，项目不会对土壤造成较大影响，基本可杜绝土壤污染隐患。</w:t>
      </w:r>
    </w:p>
    <w:p>
      <w:pPr>
        <w:pStyle w:val="9"/>
        <w:rPr>
          <w:rFonts w:hint="eastAsia" w:ascii="Times New Roman" w:hAnsi="Times New Roman" w:eastAsia="宋体" w:cs="Times New Roman"/>
          <w:b/>
          <w:bCs/>
          <w:color w:val="auto"/>
          <w:kern w:val="2"/>
          <w:sz w:val="24"/>
          <w:szCs w:val="20"/>
          <w:highlight w:val="none"/>
          <w:lang w:val="en-US" w:eastAsia="zh-CN" w:bidi="ar-SA"/>
        </w:rPr>
      </w:pPr>
      <w:r>
        <w:rPr>
          <w:rFonts w:hint="eastAsia" w:ascii="Times New Roman" w:hAnsi="Times New Roman" w:cs="Times New Roman"/>
          <w:color w:val="auto"/>
          <w:highlight w:val="none"/>
          <w:lang w:val="en-US" w:eastAsia="zh-CN"/>
        </w:rPr>
        <w:t>土壤</w:t>
      </w:r>
      <w:r>
        <w:rPr>
          <w:rFonts w:hint="eastAsia" w:ascii="Times New Roman" w:hAnsi="Times New Roman" w:eastAsia="宋体" w:cs="Times New Roman"/>
          <w:b/>
          <w:bCs/>
          <w:color w:val="auto"/>
          <w:kern w:val="2"/>
          <w:sz w:val="24"/>
          <w:szCs w:val="20"/>
          <w:highlight w:val="none"/>
          <w:lang w:val="en-US" w:eastAsia="zh-CN" w:bidi="ar-SA"/>
        </w:rPr>
        <w:t>环境跟踪监测</w:t>
      </w:r>
    </w:p>
    <w:p>
      <w:pPr>
        <w:spacing w:line="360" w:lineRule="auto"/>
        <w:ind w:firstLine="480" w:firstLineChars="200"/>
        <w:rPr>
          <w:rFonts w:hint="eastAsia" w:ascii="Times New Roman" w:hAnsi="Times New Roman" w:eastAsia="宋体" w:cs="Times New Roman"/>
          <w:color w:val="auto"/>
          <w:kern w:val="2"/>
          <w:sz w:val="24"/>
          <w:szCs w:val="20"/>
          <w:highlight w:val="none"/>
          <w:lang w:val="en-US" w:eastAsia="zh-CN" w:bidi="ar-SA"/>
        </w:rPr>
      </w:pPr>
      <w:r>
        <w:rPr>
          <w:rFonts w:hint="eastAsia" w:ascii="Times New Roman" w:hAnsi="Times New Roman" w:eastAsia="宋体" w:cs="Times New Roman"/>
          <w:color w:val="auto"/>
          <w:sz w:val="24"/>
          <w:szCs w:val="24"/>
          <w:highlight w:val="none"/>
        </w:rPr>
        <w:t>根据《排污单位自行监测技术指南 总则》(HJ 819-2017)，结合《排污许可证申请与核发技术规范畜禽养殖行业》（HJ 1029—2019），</w:t>
      </w:r>
      <w:r>
        <w:rPr>
          <w:rFonts w:hint="eastAsia" w:ascii="Times New Roman" w:hAnsi="Times New Roman" w:eastAsia="宋体" w:cs="Times New Roman"/>
          <w:color w:val="auto"/>
          <w:kern w:val="2"/>
          <w:sz w:val="24"/>
          <w:szCs w:val="20"/>
          <w:highlight w:val="none"/>
          <w:lang w:val="en-US" w:eastAsia="zh-CN" w:bidi="ar-SA"/>
        </w:rPr>
        <w:t>对厂区内的土壤定期监测，发现突然污染时，及时查找泄漏源，防止污染源的进一步下渗，必要时对已污染的土壤进行替换或修复。基于建设项目现状监测点设置兼顾土壤环境影响跟踪监测计划的原则，环评建议在污水处理设施附近布点，具体布点见下表：</w:t>
      </w:r>
    </w:p>
    <w:p>
      <w:pPr>
        <w:widowControl w:val="0"/>
        <w:numPr>
          <w:ilvl w:val="0"/>
          <w:numId w:val="34"/>
        </w:numPr>
        <w:spacing w:after="0" w:afterLines="0" w:line="360" w:lineRule="auto"/>
        <w:ind w:left="0" w:leftChars="0" w:firstLine="0" w:firstLineChars="0"/>
        <w:jc w:val="center"/>
        <w:rPr>
          <w:rFonts w:hint="eastAsia" w:ascii="Times New Roman" w:hAnsi="Times New Roman"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土壤环境跟踪监测布点一览表</w:t>
      </w:r>
    </w:p>
    <w:tbl>
      <w:tblPr>
        <w:tblStyle w:val="251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9"/>
        <w:gridCol w:w="1192"/>
        <w:gridCol w:w="1201"/>
        <w:gridCol w:w="1467"/>
        <w:gridCol w:w="1064"/>
        <w:gridCol w:w="1018"/>
        <w:gridCol w:w="19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3" w:type="pct"/>
            <w:noWrap w:val="0"/>
            <w:vAlign w:val="center"/>
          </w:tcPr>
          <w:p>
            <w:pPr>
              <w:keepNext w:val="0"/>
              <w:keepLines w:val="0"/>
              <w:suppressLineNumbers w:val="0"/>
              <w:spacing w:before="0" w:beforeAutospacing="0" w:after="0" w:afterAutospacing="0"/>
              <w:ind w:left="0" w:right="0"/>
              <w:jc w:val="center"/>
              <w:rPr>
                <w:rFonts w:hint="default"/>
                <w:b/>
                <w:color w:val="auto"/>
                <w:kern w:val="0"/>
                <w:szCs w:val="21"/>
                <w:highlight w:val="none"/>
              </w:rPr>
            </w:pPr>
            <w:r>
              <w:rPr>
                <w:rFonts w:hint="default"/>
                <w:b/>
                <w:color w:val="auto"/>
                <w:kern w:val="0"/>
                <w:szCs w:val="21"/>
                <w:highlight w:val="none"/>
              </w:rPr>
              <w:t>序号</w:t>
            </w:r>
          </w:p>
        </w:tc>
        <w:tc>
          <w:tcPr>
            <w:tcW w:w="699" w:type="pct"/>
            <w:noWrap w:val="0"/>
            <w:vAlign w:val="center"/>
          </w:tcPr>
          <w:p>
            <w:pPr>
              <w:keepNext w:val="0"/>
              <w:keepLines w:val="0"/>
              <w:suppressLineNumbers w:val="0"/>
              <w:spacing w:before="0" w:beforeAutospacing="0" w:after="0" w:afterAutospacing="0"/>
              <w:ind w:left="0" w:right="0"/>
              <w:jc w:val="center"/>
              <w:rPr>
                <w:rFonts w:hint="default"/>
                <w:b/>
                <w:color w:val="auto"/>
                <w:kern w:val="0"/>
                <w:szCs w:val="21"/>
                <w:highlight w:val="none"/>
              </w:rPr>
            </w:pPr>
            <w:r>
              <w:rPr>
                <w:rFonts w:hint="default"/>
                <w:b/>
                <w:color w:val="auto"/>
                <w:kern w:val="0"/>
                <w:szCs w:val="21"/>
                <w:highlight w:val="none"/>
              </w:rPr>
              <w:t>监测点位</w:t>
            </w:r>
          </w:p>
        </w:tc>
        <w:tc>
          <w:tcPr>
            <w:tcW w:w="704" w:type="pct"/>
            <w:noWrap w:val="0"/>
            <w:vAlign w:val="center"/>
          </w:tcPr>
          <w:p>
            <w:pPr>
              <w:keepNext w:val="0"/>
              <w:keepLines w:val="0"/>
              <w:suppressLineNumbers w:val="0"/>
              <w:spacing w:before="0" w:beforeAutospacing="0" w:after="0" w:afterAutospacing="0"/>
              <w:ind w:left="0" w:right="0"/>
              <w:jc w:val="center"/>
              <w:rPr>
                <w:rFonts w:hint="default"/>
                <w:b/>
                <w:color w:val="auto"/>
                <w:kern w:val="0"/>
                <w:szCs w:val="21"/>
                <w:highlight w:val="none"/>
              </w:rPr>
            </w:pPr>
            <w:r>
              <w:rPr>
                <w:rFonts w:hint="default"/>
                <w:b/>
                <w:color w:val="auto"/>
                <w:kern w:val="0"/>
                <w:szCs w:val="21"/>
                <w:highlight w:val="none"/>
              </w:rPr>
              <w:t>布点位置</w:t>
            </w:r>
          </w:p>
        </w:tc>
        <w:tc>
          <w:tcPr>
            <w:tcW w:w="860" w:type="pct"/>
            <w:noWrap w:val="0"/>
            <w:vAlign w:val="center"/>
          </w:tcPr>
          <w:p>
            <w:pPr>
              <w:keepNext w:val="0"/>
              <w:keepLines w:val="0"/>
              <w:suppressLineNumbers w:val="0"/>
              <w:spacing w:before="0" w:beforeAutospacing="0" w:after="0" w:afterAutospacing="0"/>
              <w:ind w:left="0" w:right="0"/>
              <w:jc w:val="center"/>
              <w:rPr>
                <w:rFonts w:hint="eastAsia" w:eastAsiaTheme="minorEastAsia"/>
                <w:b/>
                <w:color w:val="auto"/>
                <w:kern w:val="0"/>
                <w:szCs w:val="21"/>
                <w:highlight w:val="none"/>
                <w:lang w:eastAsia="zh-CN"/>
              </w:rPr>
            </w:pPr>
            <w:r>
              <w:rPr>
                <w:rFonts w:hint="eastAsia"/>
                <w:b/>
                <w:color w:val="auto"/>
                <w:szCs w:val="21"/>
                <w:highlight w:val="none"/>
                <w:lang w:eastAsia="zh-CN"/>
              </w:rPr>
              <w:t>取样要求</w:t>
            </w:r>
          </w:p>
        </w:tc>
        <w:tc>
          <w:tcPr>
            <w:tcW w:w="624" w:type="pct"/>
            <w:noWrap w:val="0"/>
            <w:vAlign w:val="center"/>
          </w:tcPr>
          <w:p>
            <w:pPr>
              <w:keepNext w:val="0"/>
              <w:keepLines w:val="0"/>
              <w:suppressLineNumbers w:val="0"/>
              <w:spacing w:before="0" w:beforeAutospacing="0" w:after="0" w:afterAutospacing="0"/>
              <w:ind w:left="0" w:right="0"/>
              <w:jc w:val="center"/>
              <w:rPr>
                <w:rFonts w:hint="default"/>
                <w:b/>
                <w:color w:val="auto"/>
                <w:kern w:val="0"/>
                <w:szCs w:val="21"/>
                <w:highlight w:val="none"/>
              </w:rPr>
            </w:pPr>
            <w:r>
              <w:rPr>
                <w:rFonts w:hint="default"/>
                <w:b/>
                <w:color w:val="auto"/>
                <w:szCs w:val="21"/>
                <w:highlight w:val="none"/>
              </w:rPr>
              <w:t>监测因子</w:t>
            </w:r>
          </w:p>
        </w:tc>
        <w:tc>
          <w:tcPr>
            <w:tcW w:w="597" w:type="pct"/>
            <w:noWrap w:val="0"/>
            <w:vAlign w:val="center"/>
          </w:tcPr>
          <w:p>
            <w:pPr>
              <w:keepNext w:val="0"/>
              <w:keepLines w:val="0"/>
              <w:suppressLineNumbers w:val="0"/>
              <w:spacing w:before="0" w:beforeAutospacing="0" w:after="0" w:afterAutospacing="0"/>
              <w:ind w:left="0" w:right="0"/>
              <w:jc w:val="center"/>
              <w:rPr>
                <w:rFonts w:hint="default"/>
                <w:b/>
                <w:color w:val="auto"/>
                <w:kern w:val="0"/>
                <w:szCs w:val="21"/>
                <w:highlight w:val="none"/>
              </w:rPr>
            </w:pPr>
            <w:r>
              <w:rPr>
                <w:rFonts w:hint="eastAsia"/>
                <w:b/>
                <w:color w:val="auto"/>
                <w:szCs w:val="21"/>
                <w:highlight w:val="none"/>
              </w:rPr>
              <w:t>监测频次</w:t>
            </w:r>
          </w:p>
        </w:tc>
        <w:tc>
          <w:tcPr>
            <w:tcW w:w="1150" w:type="pct"/>
            <w:noWrap w:val="0"/>
            <w:vAlign w:val="center"/>
          </w:tcPr>
          <w:p>
            <w:pPr>
              <w:keepNext w:val="0"/>
              <w:keepLines w:val="0"/>
              <w:suppressLineNumbers w:val="0"/>
              <w:spacing w:before="0" w:beforeAutospacing="0" w:after="0" w:afterAutospacing="0"/>
              <w:ind w:left="0" w:right="0"/>
              <w:jc w:val="center"/>
              <w:rPr>
                <w:rFonts w:hint="default"/>
                <w:b/>
                <w:color w:val="auto"/>
                <w:kern w:val="0"/>
                <w:szCs w:val="21"/>
                <w:highlight w:val="none"/>
              </w:rPr>
            </w:pPr>
            <w:r>
              <w:rPr>
                <w:rFonts w:hint="eastAsia"/>
                <w:b/>
                <w:color w:val="auto"/>
                <w:szCs w:val="21"/>
                <w:highlight w:val="none"/>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1</w:t>
            </w:r>
          </w:p>
        </w:tc>
        <w:tc>
          <w:tcPr>
            <w:tcW w:w="699"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kern w:val="0"/>
                <w:szCs w:val="21"/>
                <w:highlight w:val="none"/>
                <w:lang w:eastAsia="zh-CN"/>
              </w:rPr>
            </w:pPr>
            <w:r>
              <w:rPr>
                <w:rFonts w:hint="default" w:ascii="Times New Roman" w:hAnsi="Times New Roman" w:cs="Times New Roman"/>
                <w:bCs/>
                <w:color w:val="auto"/>
                <w:kern w:val="0"/>
                <w:szCs w:val="21"/>
                <w:highlight w:val="none"/>
                <w:lang w:eastAsia="zh-CN"/>
              </w:rPr>
              <w:t>污水处理站</w:t>
            </w:r>
          </w:p>
        </w:tc>
        <w:tc>
          <w:tcPr>
            <w:tcW w:w="70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占地范围内</w:t>
            </w:r>
          </w:p>
        </w:tc>
        <w:tc>
          <w:tcPr>
            <w:tcW w:w="86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auto"/>
                <w:kern w:val="0"/>
                <w:szCs w:val="21"/>
                <w:highlight w:val="none"/>
                <w:lang w:eastAsia="zh-CN"/>
              </w:rPr>
            </w:pPr>
            <w:r>
              <w:rPr>
                <w:rFonts w:hint="default" w:ascii="Times New Roman" w:hAnsi="Times New Roman" w:cs="Times New Roman"/>
                <w:color w:val="auto"/>
                <w:szCs w:val="21"/>
                <w:highlight w:val="none"/>
                <w:lang w:eastAsia="zh-CN"/>
              </w:rPr>
              <w:t>柱状样</w:t>
            </w:r>
          </w:p>
        </w:tc>
        <w:tc>
          <w:tcPr>
            <w:tcW w:w="62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COD、NH</w:t>
            </w:r>
            <w:r>
              <w:rPr>
                <w:rFonts w:hint="default" w:ascii="Times New Roman" w:hAnsi="Times New Roman" w:cs="Times New Roman"/>
                <w:bCs/>
                <w:color w:val="auto"/>
                <w:kern w:val="0"/>
                <w:szCs w:val="21"/>
                <w:highlight w:val="none"/>
                <w:vertAlign w:val="subscript"/>
              </w:rPr>
              <w:t>3</w:t>
            </w:r>
            <w:r>
              <w:rPr>
                <w:rFonts w:hint="default" w:ascii="Times New Roman" w:hAnsi="Times New Roman" w:cs="Times New Roman"/>
                <w:bCs/>
                <w:color w:val="auto"/>
                <w:kern w:val="0"/>
                <w:szCs w:val="21"/>
                <w:highlight w:val="none"/>
              </w:rPr>
              <w:t>-N</w:t>
            </w:r>
          </w:p>
        </w:tc>
        <w:tc>
          <w:tcPr>
            <w:tcW w:w="59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kern w:val="0"/>
                <w:szCs w:val="21"/>
                <w:highlight w:val="none"/>
                <w:lang w:eastAsia="zh-CN"/>
              </w:rPr>
            </w:pPr>
            <w:r>
              <w:rPr>
                <w:rFonts w:hint="default" w:ascii="Times New Roman" w:hAnsi="Times New Roman" w:cs="Times New Roman"/>
                <w:bCs/>
                <w:color w:val="auto"/>
                <w:kern w:val="0"/>
                <w:szCs w:val="21"/>
                <w:highlight w:val="none"/>
                <w:lang w:eastAsia="zh-CN"/>
              </w:rPr>
              <w:t>1次/5年</w:t>
            </w:r>
          </w:p>
        </w:tc>
        <w:tc>
          <w:tcPr>
            <w:tcW w:w="115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color w:val="auto"/>
                <w:kern w:val="0"/>
                <w:szCs w:val="21"/>
                <w:highlight w:val="none"/>
              </w:rPr>
              <w:t>《土壤环境质量标准 农用地土壤污染风险管控标准（试行）》（GB15618-2018）</w:t>
            </w:r>
          </w:p>
        </w:tc>
      </w:tr>
    </w:tbl>
    <w:p>
      <w:pPr>
        <w:pStyle w:val="24"/>
        <w:spacing w:line="360" w:lineRule="auto"/>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上述监测结果应按项目有关规定及时建立档案，并定期向建设单位安全环保部门汇报，对于常规监测数据应该进行公开，特别是对项目所在区域的公众进行公开，满足法律中关于知情权的要求。如发现异常或发生事故，加密监测频次，改为每天监测一次，并分析污染原因，确定泄漏污染源，及时采取对应应急措施。</w:t>
      </w:r>
    </w:p>
    <w:p>
      <w:pPr>
        <w:pStyle w:val="9"/>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 xml:space="preserve">土壤评价结论 </w:t>
      </w:r>
    </w:p>
    <w:p>
      <w:pPr>
        <w:pStyle w:val="24"/>
        <w:spacing w:line="360" w:lineRule="auto"/>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选址位于巴中市巴州区鼎山镇首市村，区域现状为农用地，项目针对各类污染物均采取了对应的污染治理措施，可确保污染物的达标排放及防止渗漏发生，可从源头上控制项目对土壤环境的污染源强，确保项目对区域土壤环境的影响处于可接受水平。因此，只要建设单位严格落实本报告提出的污染防治措施，项目对区域土壤环境影响可接受。</w:t>
      </w:r>
    </w:p>
    <w:p>
      <w:pPr>
        <w:pStyle w:val="8"/>
        <w:spacing w:before="0" w:after="0" w:line="360" w:lineRule="auto"/>
        <w:ind w:left="0" w:firstLine="0"/>
        <w:rPr>
          <w:rFonts w:hint="eastAsia" w:cs="Times New Roman"/>
          <w:color w:val="auto"/>
          <w:highlight w:val="none"/>
        </w:rPr>
      </w:pPr>
      <w:bookmarkStart w:id="252" w:name="_Toc29193"/>
      <w:r>
        <w:rPr>
          <w:rFonts w:hint="eastAsia" w:cs="Times New Roman"/>
          <w:color w:val="auto"/>
          <w:highlight w:val="none"/>
        </w:rPr>
        <w:t>生态环境影响分析</w:t>
      </w:r>
      <w:bookmarkEnd w:id="252"/>
    </w:p>
    <w:p>
      <w:pPr>
        <w:pStyle w:val="9"/>
        <w:rPr>
          <w:rFonts w:hint="eastAsia" w:cs="Times New Roman"/>
          <w:color w:val="auto"/>
          <w:highlight w:val="none"/>
          <w:lang w:val="en-US" w:eastAsia="zh-CN"/>
        </w:rPr>
      </w:pPr>
      <w:r>
        <w:rPr>
          <w:rFonts w:hint="eastAsia" w:cs="Times New Roman"/>
          <w:color w:val="auto"/>
          <w:highlight w:val="none"/>
          <w:lang w:val="en-US" w:eastAsia="zh-CN"/>
        </w:rPr>
        <w:t>生态环境影响分析</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项目废水包括生活污水和生产废水，全部进入污水处理站。项目废水处理后用于耕地农灌，企业在严格按照操作规程进行的情况下，不会对区域的水生生态环境造成严重影响。项目固废处理处置率达100%，不会积压或占用大部分土地，不对区域的景观生态环境造成严重影响。</w:t>
      </w:r>
    </w:p>
    <w:p>
      <w:pPr>
        <w:pStyle w:val="24"/>
        <w:ind w:firstLine="482"/>
        <w:rPr>
          <w:rFonts w:hint="eastAsia" w:ascii="Times New Roman" w:hAnsi="Times New Roman"/>
          <w:b/>
          <w:color w:val="auto"/>
          <w:highlight w:val="none"/>
        </w:rPr>
      </w:pPr>
      <w:r>
        <w:rPr>
          <w:rFonts w:hint="eastAsia" w:ascii="Times New Roman" w:hAnsi="Times New Roman"/>
          <w:b/>
          <w:color w:val="auto"/>
          <w:highlight w:val="none"/>
        </w:rPr>
        <w:t>1、对陆生植物的影响</w:t>
      </w:r>
    </w:p>
    <w:p>
      <w:pPr>
        <w:pStyle w:val="24"/>
        <w:rPr>
          <w:color w:val="auto"/>
          <w:highlight w:val="none"/>
        </w:rPr>
      </w:pPr>
      <w:r>
        <w:rPr>
          <w:color w:val="auto"/>
          <w:highlight w:val="none"/>
        </w:rPr>
        <w:t>本项目所用土地主要为</w:t>
      </w:r>
      <w:r>
        <w:rPr>
          <w:rFonts w:hint="eastAsia"/>
          <w:color w:val="auto"/>
          <w:highlight w:val="none"/>
          <w:lang w:eastAsia="zh-CN"/>
        </w:rPr>
        <w:t>农业设施用地</w:t>
      </w:r>
      <w:r>
        <w:rPr>
          <w:color w:val="auto"/>
          <w:highlight w:val="none"/>
        </w:rPr>
        <w:t>，场内不涉及珍稀古树和濒危植物。总体上来说，不会对当地的陆生植物资源和林业资源带来明显的不利影响。</w:t>
      </w:r>
    </w:p>
    <w:p>
      <w:pPr>
        <w:pStyle w:val="24"/>
        <w:ind w:firstLine="482"/>
        <w:rPr>
          <w:rFonts w:hint="eastAsia" w:ascii="Times New Roman" w:hAnsi="Times New Roman"/>
          <w:b/>
          <w:color w:val="auto"/>
          <w:highlight w:val="none"/>
        </w:rPr>
      </w:pPr>
      <w:r>
        <w:rPr>
          <w:rFonts w:hint="eastAsia" w:ascii="Times New Roman" w:hAnsi="Times New Roman"/>
          <w:b/>
          <w:color w:val="auto"/>
          <w:highlight w:val="none"/>
        </w:rPr>
        <w:t>2、对陆生动物的影响</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受本项目的建设及施工期扰动的影响，一些动物的栖息地可能会受到一定的影响，项目所在地主要分布的是小型动物，这些动物的迁移能力较强，同类生境在附近易于寻找，因此，本项目的建设不会对动物的种群及数量带来明显的影响。</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项目所在地现状用地类型主要为</w:t>
      </w:r>
      <w:r>
        <w:rPr>
          <w:rFonts w:hint="eastAsia"/>
          <w:color w:val="auto"/>
          <w:highlight w:val="none"/>
          <w:lang w:eastAsia="zh-CN"/>
        </w:rPr>
        <w:t>耕地和</w:t>
      </w:r>
      <w:r>
        <w:rPr>
          <w:rFonts w:hint="eastAsia" w:ascii="Times New Roman" w:hAnsi="Times New Roman"/>
          <w:color w:val="auto"/>
          <w:highlight w:val="none"/>
          <w:lang w:eastAsia="zh-CN"/>
        </w:rPr>
        <w:t>林地</w:t>
      </w:r>
      <w:r>
        <w:rPr>
          <w:rFonts w:hint="eastAsia" w:ascii="Times New Roman" w:hAnsi="Times New Roman"/>
          <w:color w:val="auto"/>
          <w:highlight w:val="none"/>
        </w:rPr>
        <w:t>，周围以农业生态环境为主，建成后对植被、植物种类和群落分布以及动物区系的基本组成和性质不会发生明显变化。</w:t>
      </w:r>
    </w:p>
    <w:p>
      <w:pPr>
        <w:pStyle w:val="24"/>
        <w:ind w:firstLine="482"/>
        <w:rPr>
          <w:rFonts w:hint="eastAsia" w:ascii="Times New Roman" w:hAnsi="Times New Roman"/>
          <w:b/>
          <w:color w:val="auto"/>
          <w:highlight w:val="none"/>
        </w:rPr>
      </w:pPr>
      <w:r>
        <w:rPr>
          <w:rFonts w:hint="eastAsia" w:ascii="Times New Roman" w:hAnsi="Times New Roman"/>
          <w:b/>
          <w:color w:val="auto"/>
          <w:highlight w:val="none"/>
        </w:rPr>
        <w:t>3、对消纳土地影响分析</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项目处理后尾水对项目周边</w:t>
      </w:r>
      <w:r>
        <w:rPr>
          <w:rFonts w:hint="eastAsia"/>
          <w:color w:val="auto"/>
          <w:highlight w:val="none"/>
          <w:lang w:val="en-US" w:eastAsia="zh-CN"/>
        </w:rPr>
        <w:t>2800</w:t>
      </w:r>
      <w:r>
        <w:rPr>
          <w:rFonts w:hint="eastAsia" w:ascii="Times New Roman" w:hAnsi="Times New Roman"/>
          <w:color w:val="auto"/>
          <w:highlight w:val="none"/>
        </w:rPr>
        <w:t>亩</w:t>
      </w:r>
      <w:r>
        <w:rPr>
          <w:rFonts w:hint="eastAsia"/>
          <w:color w:val="auto"/>
          <w:highlight w:val="none"/>
          <w:lang w:val="en-US" w:eastAsia="zh-CN"/>
        </w:rPr>
        <w:t>耕地</w:t>
      </w:r>
      <w:r>
        <w:rPr>
          <w:rFonts w:hint="eastAsia" w:ascii="Times New Roman" w:hAnsi="Times New Roman" w:eastAsia="宋体" w:cs="Times New Roman"/>
          <w:color w:val="auto"/>
          <w:sz w:val="24"/>
          <w:szCs w:val="24"/>
          <w:highlight w:val="none"/>
          <w:lang w:eastAsia="zh-CN"/>
        </w:rPr>
        <w:t>（本项目厂区内绿化及林地面积约为</w:t>
      </w:r>
      <w:r>
        <w:rPr>
          <w:rFonts w:hint="eastAsia" w:ascii="Times New Roman" w:hAnsi="Times New Roman" w:eastAsia="宋体" w:cs="Times New Roman"/>
          <w:color w:val="auto"/>
          <w:sz w:val="24"/>
          <w:szCs w:val="24"/>
          <w:highlight w:val="none"/>
          <w:lang w:val="en-US" w:eastAsia="zh-CN"/>
        </w:rPr>
        <w:t>1300亩，厂外玉米、大豆种植面积约为1000亩，蔬菜种植约为500亩）</w:t>
      </w:r>
      <w:r>
        <w:rPr>
          <w:rFonts w:hint="eastAsia" w:ascii="Times New Roman" w:hAnsi="Times New Roman"/>
          <w:color w:val="auto"/>
          <w:highlight w:val="none"/>
        </w:rPr>
        <w:t>进行农灌，在正确科学灌溉的基础上，对照以往的施肥经验，合理搭配化学施肥。雨季灌溉时，多注意天气，一是避免粪肥的流失造成浪费，其次避免灌溉回水对地表水的影响；正常灌溉时，一是根据作物需要进行灌溉，其次每次灌溉时，以地面不积水为原则，不能随意漫灌。</w:t>
      </w:r>
    </w:p>
    <w:p>
      <w:pPr>
        <w:pStyle w:val="24"/>
        <w:ind w:firstLine="480"/>
        <w:rPr>
          <w:rFonts w:ascii="Times New Roman" w:hAnsi="Times New Roman"/>
          <w:color w:val="auto"/>
          <w:highlight w:val="none"/>
        </w:rPr>
      </w:pPr>
      <w:r>
        <w:rPr>
          <w:rFonts w:hint="eastAsia" w:ascii="Times New Roman" w:hAnsi="Times New Roman"/>
          <w:color w:val="auto"/>
          <w:highlight w:val="none"/>
        </w:rPr>
        <w:t>消纳土地灌溉回水影响分析：在科学灌溉基础上，类比以往灌溉经验，正常的化学成分流失对地表水影响很小，而且本项目农灌灌溉率能得到保障，比下雨时使用化肥更容易吸收，比以往灌溉回水影响更小。其次，本项目大部分消纳土地地势平整，基本没有灌溉回水问题，对地表水影响很小。</w:t>
      </w:r>
    </w:p>
    <w:p>
      <w:pPr>
        <w:pStyle w:val="9"/>
        <w:rPr>
          <w:rFonts w:hint="eastAsia" w:cs="Times New Roman"/>
          <w:color w:val="auto"/>
          <w:highlight w:val="none"/>
          <w:lang w:val="en-US" w:eastAsia="zh-CN"/>
        </w:rPr>
      </w:pPr>
      <w:r>
        <w:rPr>
          <w:rFonts w:hint="eastAsia" w:cs="Times New Roman"/>
          <w:color w:val="auto"/>
          <w:highlight w:val="none"/>
          <w:lang w:val="en-US" w:eastAsia="zh-CN"/>
        </w:rPr>
        <w:t>生态保护措施</w:t>
      </w:r>
    </w:p>
    <w:p>
      <w:pPr>
        <w:pStyle w:val="24"/>
        <w:ind w:firstLine="482"/>
        <w:rPr>
          <w:rFonts w:hint="eastAsia" w:ascii="Times New Roman" w:hAnsi="Times New Roman"/>
          <w:b/>
          <w:color w:val="auto"/>
          <w:highlight w:val="none"/>
        </w:rPr>
      </w:pPr>
      <w:r>
        <w:rPr>
          <w:rFonts w:hint="eastAsia" w:ascii="Times New Roman" w:hAnsi="Times New Roman"/>
          <w:b/>
          <w:color w:val="auto"/>
          <w:highlight w:val="none"/>
        </w:rPr>
        <w:t>1、加强污染物治理</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加强建设项目自身的污染治理，采用先进、高效的防治措施减少全场“三废”排放对当地生态环境影响。本项目投产运营后各项污染物做到了达标排放，但排放总量仍然会对当地环境造成一定影响。因此应从全场范围进行严格管理，使全场污染物排放总量进一步削减，减轻对区域环境污染。</w:t>
      </w:r>
    </w:p>
    <w:p>
      <w:pPr>
        <w:pStyle w:val="24"/>
        <w:ind w:firstLine="482"/>
        <w:rPr>
          <w:rFonts w:ascii="Times New Roman" w:hAnsi="Times New Roman"/>
          <w:b/>
          <w:color w:val="auto"/>
          <w:highlight w:val="none"/>
        </w:rPr>
      </w:pPr>
      <w:r>
        <w:rPr>
          <w:rFonts w:hint="eastAsia" w:ascii="Times New Roman" w:hAnsi="Times New Roman"/>
          <w:b/>
          <w:color w:val="auto"/>
          <w:highlight w:val="none"/>
        </w:rPr>
        <w:t>2、场区硬化</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为进一步改善区域生态环境，建设单位在加强场内“三废”治理同时，还应加强场内绿化和硬化工作。</w:t>
      </w:r>
    </w:p>
    <w:p>
      <w:pPr>
        <w:pStyle w:val="24"/>
        <w:ind w:firstLine="482"/>
        <w:rPr>
          <w:rFonts w:hint="eastAsia" w:ascii="Times New Roman" w:hAnsi="Times New Roman"/>
          <w:b/>
          <w:color w:val="auto"/>
          <w:highlight w:val="none"/>
        </w:rPr>
      </w:pPr>
      <w:r>
        <w:rPr>
          <w:rFonts w:hint="eastAsia" w:ascii="Times New Roman" w:hAnsi="Times New Roman"/>
          <w:b/>
          <w:color w:val="auto"/>
          <w:highlight w:val="none"/>
        </w:rPr>
        <w:t>3、加强职工生态环保意识</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随着项目建设，场内应健全管理体制，加强生态意识教育，以利于生态环境资源保护。</w:t>
      </w:r>
    </w:p>
    <w:p>
      <w:pPr>
        <w:pStyle w:val="24"/>
        <w:ind w:firstLine="482"/>
        <w:rPr>
          <w:rFonts w:hint="eastAsia" w:ascii="Times New Roman" w:hAnsi="Times New Roman"/>
          <w:b/>
          <w:color w:val="auto"/>
          <w:highlight w:val="none"/>
        </w:rPr>
      </w:pPr>
      <w:r>
        <w:rPr>
          <w:rFonts w:hint="eastAsia" w:ascii="Times New Roman" w:hAnsi="Times New Roman"/>
          <w:b/>
          <w:color w:val="auto"/>
          <w:highlight w:val="none"/>
        </w:rPr>
        <w:t>4、加强场区绿化</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场区应制定绿化规划，实施全面绿化。利用植物作为治理污染的一种经济手段，发挥它们在吸收有害气体、净化空气、降低噪声、改善环境、保持生态平衡方面的作用。重点为：养殖区、污水处理站、生活管理区和道路两侧，应以乔木绿化为主，乔、灌、草合理配置；在厂界四周根据实际条件营造防护林，用以防止污染物对周边生态环境的影响。绿色植物具有多种环境生态效应，如调节空气、温度、湿度，阻挡风沙、滞留空气中的灰尘、吸收SO</w:t>
      </w:r>
      <w:r>
        <w:rPr>
          <w:rFonts w:hint="eastAsia" w:ascii="Times New Roman" w:hAnsi="Times New Roman"/>
          <w:color w:val="auto"/>
          <w:highlight w:val="none"/>
          <w:vertAlign w:val="subscript"/>
        </w:rPr>
        <w:t>2</w:t>
      </w:r>
      <w:r>
        <w:rPr>
          <w:rFonts w:hint="eastAsia" w:ascii="Times New Roman" w:hAnsi="Times New Roman"/>
          <w:color w:val="auto"/>
          <w:highlight w:val="none"/>
        </w:rPr>
        <w:t>等有害气体等，有些植物还有一定的杀菌能力，此外，树本身还有降噪隔声的功能。</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结合项目的特点，种植高低相结合的乔灌木，形成隔离林带，防止污染扩散。生活管理区应以美化环境为主，种植绿篱、布置花坛、草坪等。道路的绿化以种植道路树为主，选择适宜的树种，进行多种树种混栽，形成沿道路的绿化带。</w:t>
      </w:r>
    </w:p>
    <w:p>
      <w:pPr>
        <w:pStyle w:val="24"/>
        <w:ind w:firstLine="482"/>
        <w:rPr>
          <w:rFonts w:hint="eastAsia" w:ascii="Times New Roman" w:hAnsi="Times New Roman"/>
          <w:b/>
          <w:color w:val="auto"/>
          <w:highlight w:val="none"/>
        </w:rPr>
      </w:pPr>
      <w:r>
        <w:rPr>
          <w:rFonts w:hint="eastAsia" w:ascii="Times New Roman" w:hAnsi="Times New Roman"/>
          <w:b/>
          <w:color w:val="auto"/>
          <w:highlight w:val="none"/>
        </w:rPr>
        <w:t>5、服务期满后复垦要求</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（1）所占地的用途为修建</w:t>
      </w:r>
      <w:r>
        <w:rPr>
          <w:rFonts w:hint="eastAsia"/>
          <w:color w:val="auto"/>
          <w:highlight w:val="none"/>
          <w:lang w:eastAsia="zh-CN"/>
        </w:rPr>
        <w:t>肉牛养殖场</w:t>
      </w:r>
      <w:r>
        <w:rPr>
          <w:rFonts w:hint="eastAsia" w:ascii="Times New Roman" w:hAnsi="Times New Roman"/>
          <w:color w:val="auto"/>
          <w:highlight w:val="none"/>
        </w:rPr>
        <w:t>，硬化区域有</w:t>
      </w:r>
      <w:r>
        <w:rPr>
          <w:rFonts w:hint="eastAsia"/>
          <w:color w:val="auto"/>
          <w:highlight w:val="none"/>
          <w:lang w:eastAsia="zh-CN"/>
        </w:rPr>
        <w:t>牛舍</w:t>
      </w:r>
      <w:r>
        <w:rPr>
          <w:rFonts w:hint="eastAsia" w:ascii="Times New Roman" w:hAnsi="Times New Roman"/>
          <w:color w:val="auto"/>
          <w:highlight w:val="none"/>
        </w:rPr>
        <w:t>、污水处理站、</w:t>
      </w:r>
      <w:r>
        <w:rPr>
          <w:rFonts w:hint="eastAsia"/>
          <w:color w:val="auto"/>
          <w:highlight w:val="none"/>
          <w:lang w:eastAsia="zh-CN"/>
        </w:rPr>
        <w:t>干粪棚</w:t>
      </w:r>
      <w:r>
        <w:rPr>
          <w:rFonts w:hint="eastAsia" w:ascii="Times New Roman" w:hAnsi="Times New Roman"/>
          <w:color w:val="auto"/>
          <w:highlight w:val="none"/>
        </w:rPr>
        <w:t>、生活区等，工程完工后即可恢复到原使用要求，不会对现有土地改变原貌、损毁。复垦过程没有难度，对自然环境不会造成破。</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（2）项目在生产建设活动中，因挖损、塌陷、压占等造成破坏土地的，必须根据《土地管理法》和《土地复垦条例》，采取整治措施，使其复垦到原用途。</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（3）在拆除彩钢房、砖墙建筑及地下建构筑物后，必须用机械把地面的混凝土层清除，再用犁地机械将土地翻整，以保证其原始用途。</w:t>
      </w:r>
    </w:p>
    <w:p>
      <w:pPr>
        <w:pStyle w:val="24"/>
        <w:ind w:firstLine="480"/>
        <w:rPr>
          <w:rFonts w:hint="eastAsia" w:ascii="Times New Roman" w:hAnsi="Times New Roman"/>
          <w:color w:val="auto"/>
          <w:highlight w:val="none"/>
        </w:rPr>
      </w:pPr>
      <w:r>
        <w:rPr>
          <w:rFonts w:hint="eastAsia" w:ascii="Times New Roman" w:hAnsi="Times New Roman"/>
          <w:color w:val="auto"/>
          <w:highlight w:val="none"/>
        </w:rPr>
        <w:t>（4）复垦的目标是使所占土地达到可耕种的要求，不会改变现有的土地样貌、格局或原本具有的生产能力，项目服务期满后恢复至原有的地形地貌或比原有更改善的状况；恢复原有土地功能，与周围地形地貌相符。</w:t>
      </w:r>
    </w:p>
    <w:p>
      <w:pPr>
        <w:pStyle w:val="24"/>
        <w:ind w:firstLine="480"/>
        <w:rPr>
          <w:rFonts w:ascii="Times New Roman" w:hAnsi="Times New Roman"/>
          <w:color w:val="auto"/>
          <w:highlight w:val="none"/>
        </w:rPr>
      </w:pPr>
      <w:r>
        <w:rPr>
          <w:rFonts w:hint="eastAsia" w:ascii="Times New Roman" w:hAnsi="Times New Roman"/>
          <w:color w:val="auto"/>
          <w:highlight w:val="none"/>
        </w:rPr>
        <w:t>（5）建设单位在组织复垦时，必须报所占用土地的村委会实施监督。达到原耕作条件或恢复到原用途，报经县级国土资源局验收合格后，应将土地复垦费交还原承包户。</w:t>
      </w:r>
    </w:p>
    <w:p>
      <w:pPr>
        <w:pStyle w:val="9"/>
        <w:rPr>
          <w:rFonts w:hint="eastAsia" w:cs="Times New Roman"/>
          <w:color w:val="auto"/>
          <w:highlight w:val="none"/>
          <w:lang w:val="en-US" w:eastAsia="zh-CN"/>
        </w:rPr>
      </w:pPr>
      <w:r>
        <w:rPr>
          <w:rFonts w:hint="eastAsia" w:cs="Times New Roman"/>
          <w:color w:val="auto"/>
          <w:highlight w:val="none"/>
          <w:lang w:val="en-US" w:eastAsia="zh-CN"/>
        </w:rPr>
        <w:t>生态影响分析小结</w:t>
      </w:r>
    </w:p>
    <w:p>
      <w:pPr>
        <w:pStyle w:val="24"/>
        <w:spacing w:line="360" w:lineRule="auto"/>
        <w:ind w:firstLine="480"/>
        <w:rPr>
          <w:rFonts w:hint="eastAsia" w:ascii="Times New Roman" w:hAnsi="Times New Roman"/>
          <w:color w:val="auto"/>
          <w:highlight w:val="none"/>
        </w:rPr>
      </w:pPr>
      <w:r>
        <w:rPr>
          <w:rFonts w:hint="eastAsia" w:ascii="Times New Roman" w:hAnsi="Times New Roman"/>
          <w:color w:val="auto"/>
          <w:highlight w:val="none"/>
        </w:rPr>
        <w:t>评价区生态系统受到本项目影响相对较小，在严格采取评价提出的生态保护措施后，其生态特征不会从根本上发生改变，体系仍然维持原有的稳定性和生态承载能力。项目虽然在对周围生态环境产生一定的影响，但是其处理达标的大量废水用于周边</w:t>
      </w:r>
      <w:r>
        <w:rPr>
          <w:rFonts w:hint="eastAsia" w:ascii="Times New Roman" w:hAnsi="Times New Roman"/>
          <w:color w:val="auto"/>
          <w:highlight w:val="none"/>
          <w:lang w:eastAsia="zh-CN"/>
        </w:rPr>
        <w:t>林地</w:t>
      </w:r>
      <w:r>
        <w:rPr>
          <w:rFonts w:hint="eastAsia" w:ascii="Times New Roman" w:hAnsi="Times New Roman"/>
          <w:color w:val="auto"/>
          <w:highlight w:val="none"/>
        </w:rPr>
        <w:t>灌溉，提高了</w:t>
      </w:r>
      <w:r>
        <w:rPr>
          <w:rFonts w:hint="eastAsia" w:ascii="Times New Roman" w:hAnsi="Times New Roman"/>
          <w:color w:val="auto"/>
          <w:highlight w:val="none"/>
          <w:lang w:eastAsia="zh-CN"/>
        </w:rPr>
        <w:t>经济林</w:t>
      </w:r>
      <w:r>
        <w:rPr>
          <w:rFonts w:hint="eastAsia" w:ascii="Times New Roman" w:hAnsi="Times New Roman"/>
          <w:color w:val="auto"/>
          <w:highlight w:val="none"/>
        </w:rPr>
        <w:t>的灌溉保证率，本工程的建设对周围环境有较大的有益作用。</w:t>
      </w:r>
    </w:p>
    <w:p>
      <w:pPr>
        <w:pStyle w:val="24"/>
        <w:spacing w:line="360" w:lineRule="auto"/>
        <w:ind w:firstLine="480"/>
        <w:rPr>
          <w:rFonts w:ascii="Times New Roman" w:hAnsi="Times New Roman"/>
          <w:color w:val="auto"/>
          <w:highlight w:val="none"/>
        </w:rPr>
      </w:pPr>
      <w:r>
        <w:rPr>
          <w:rFonts w:hint="eastAsia" w:ascii="Times New Roman" w:hAnsi="Times New Roman"/>
          <w:color w:val="auto"/>
          <w:highlight w:val="none"/>
        </w:rPr>
        <w:t>从总体上看，项目运营期对生态环境的影响较小，评价要求对废水、废气、固废各种污染物按照处理措施严格执行，并加大场区及其周围地区的绿化面积，这样才能保证生态环境不会受到破坏，并能够对受到影响的场地及时补救。</w:t>
      </w:r>
    </w:p>
    <w:p>
      <w:pPr>
        <w:pStyle w:val="8"/>
        <w:spacing w:before="0" w:after="0" w:line="360" w:lineRule="auto"/>
        <w:ind w:left="0" w:firstLine="0"/>
        <w:rPr>
          <w:rFonts w:hint="eastAsia" w:cs="Times New Roman"/>
          <w:color w:val="auto"/>
          <w:highlight w:val="none"/>
        </w:rPr>
      </w:pPr>
      <w:bookmarkStart w:id="253" w:name="_Toc30245"/>
      <w:r>
        <w:rPr>
          <w:rFonts w:hint="eastAsia" w:cs="Times New Roman"/>
          <w:color w:val="auto"/>
          <w:highlight w:val="none"/>
        </w:rPr>
        <w:t>环境影响评价小结</w:t>
      </w:r>
      <w:bookmarkEnd w:id="253"/>
    </w:p>
    <w:p>
      <w:pPr>
        <w:pStyle w:val="24"/>
        <w:spacing w:line="360" w:lineRule="auto"/>
        <w:ind w:firstLine="480"/>
        <w:rPr>
          <w:rFonts w:hint="eastAsia" w:ascii="Times New Roman" w:hAnsi="Times New Roman"/>
          <w:color w:val="auto"/>
          <w:highlight w:val="none"/>
        </w:rPr>
      </w:pPr>
      <w:r>
        <w:rPr>
          <w:rFonts w:hint="eastAsia" w:ascii="Times New Roman" w:hAnsi="Times New Roman"/>
          <w:color w:val="auto"/>
          <w:highlight w:val="none"/>
        </w:rPr>
        <w:t>综上，本项目运营期在认真落实环评提出的各项污染防治措施的前提下，各污染物均能做到达标排放，不会对项目所在区域环境质量造成明显不利影响。</w:t>
      </w:r>
    </w:p>
    <w:p>
      <w:pPr>
        <w:rPr>
          <w:rFonts w:hint="eastAsia" w:ascii="Times New Roman" w:hAnsi="Times New Roman"/>
          <w:color w:val="auto"/>
          <w:highlight w:val="none"/>
        </w:rPr>
      </w:pPr>
      <w:r>
        <w:rPr>
          <w:rFonts w:hint="eastAsia" w:ascii="Times New Roman" w:hAnsi="Times New Roman"/>
          <w:color w:val="auto"/>
          <w:highlight w:val="none"/>
        </w:rPr>
        <w:br w:type="page"/>
      </w:r>
    </w:p>
    <w:p>
      <w:pPr>
        <w:pStyle w:val="6"/>
        <w:rPr>
          <w:rFonts w:cs="Times New Roman"/>
          <w:color w:val="auto"/>
          <w:highlight w:val="none"/>
        </w:rPr>
      </w:pPr>
      <w:bookmarkStart w:id="254" w:name="_Toc24406"/>
      <w:bookmarkStart w:id="255" w:name="_Toc29221873"/>
      <w:r>
        <w:rPr>
          <w:rFonts w:cs="Times New Roman"/>
          <w:color w:val="auto"/>
          <w:highlight w:val="none"/>
        </w:rPr>
        <w:t>环境风险评价</w:t>
      </w:r>
      <w:bookmarkEnd w:id="254"/>
      <w:bookmarkEnd w:id="255"/>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default" w:ascii="Times New Roman" w:hAnsi="Times New Roman" w:eastAsia="宋体" w:cs="Times New Roman"/>
          <w:color w:val="auto"/>
          <w:highlight w:val="none"/>
        </w:rPr>
      </w:pPr>
      <w:bookmarkStart w:id="256" w:name="_Toc29221874"/>
      <w:bookmarkStart w:id="257" w:name="_Toc436035694"/>
      <w:bookmarkStart w:id="258" w:name="_Toc3940"/>
      <w:r>
        <w:rPr>
          <w:rFonts w:hint="default" w:ascii="Times New Roman" w:hAnsi="Times New Roman" w:eastAsia="宋体" w:cs="Times New Roman"/>
          <w:color w:val="auto"/>
          <w:highlight w:val="none"/>
        </w:rPr>
        <w:t>风险评价目的</w:t>
      </w:r>
      <w:bookmarkEnd w:id="256"/>
      <w:bookmarkEnd w:id="257"/>
      <w:bookmarkEnd w:id="258"/>
    </w:p>
    <w:p>
      <w:pPr>
        <w:tabs>
          <w:tab w:val="left" w:pos="1220"/>
        </w:tabs>
        <w:spacing w:line="360" w:lineRule="auto"/>
        <w:ind w:firstLine="520" w:firstLineChars="210"/>
        <w:rPr>
          <w:rFonts w:hint="eastAsia"/>
          <w:color w:val="auto"/>
          <w:spacing w:val="4"/>
          <w:sz w:val="24"/>
          <w:highlight w:val="none"/>
        </w:rPr>
      </w:pPr>
      <w:r>
        <w:rPr>
          <w:rFonts w:hint="eastAsia"/>
          <w:color w:val="auto"/>
          <w:spacing w:val="4"/>
          <w:sz w:val="24"/>
          <w:highlight w:val="none"/>
        </w:rPr>
        <w:t>环境风险评价的目的是分析和预测项目存在的潜在危险，有害因素，项目运营期间可能发生的突发性事件，引起有毒有害和易燃易爆等物质泄漏、爆炸和火灾等突发性事故伴生/次生的污染物释放，所造成的人身安全与环境影响和损害程度，提出合理可行的防范、应急与减缓措施，以使建设项目事故率达到可接受水平，损失和环境影响达到最小。</w:t>
      </w:r>
    </w:p>
    <w:p>
      <w:pPr>
        <w:tabs>
          <w:tab w:val="left" w:pos="1220"/>
        </w:tabs>
        <w:spacing w:line="360" w:lineRule="auto"/>
        <w:ind w:firstLine="520" w:firstLineChars="210"/>
        <w:rPr>
          <w:rFonts w:hint="eastAsia"/>
          <w:color w:val="auto"/>
          <w:spacing w:val="4"/>
          <w:sz w:val="24"/>
          <w:highlight w:val="none"/>
        </w:rPr>
      </w:pPr>
      <w:r>
        <w:rPr>
          <w:rFonts w:hint="eastAsia"/>
          <w:color w:val="auto"/>
          <w:spacing w:val="4"/>
          <w:sz w:val="24"/>
          <w:highlight w:val="none"/>
        </w:rPr>
        <w:t>环境风险是指在自然环境中产生的或者通过自然环境传递的，对人类健康和幸福产生不利影响同时又具有某些不确定性的危害事件，而环境风险评价就是评估事件发生概率以及在不同概率事件后果的严重性，并决定采取适宜的对策。环境风险评价的主要特点是评价环境中的不确定性和突发性的风险问题，关心的风险事故发生的可能性及其产生的环境后果。</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default" w:ascii="Times New Roman" w:hAnsi="Times New Roman" w:eastAsia="宋体" w:cs="Times New Roman"/>
          <w:color w:val="auto"/>
          <w:highlight w:val="none"/>
          <w:lang w:val="en-US" w:eastAsia="zh-CN"/>
        </w:rPr>
      </w:pPr>
      <w:bookmarkStart w:id="259" w:name="_Toc6090"/>
      <w:r>
        <w:rPr>
          <w:rFonts w:hint="default" w:ascii="Times New Roman" w:hAnsi="Times New Roman" w:eastAsia="宋体" w:cs="Times New Roman"/>
          <w:color w:val="auto"/>
          <w:highlight w:val="none"/>
          <w:lang w:val="en-US" w:eastAsia="zh-CN"/>
        </w:rPr>
        <w:t>评价依据</w:t>
      </w:r>
      <w:bookmarkEnd w:id="259"/>
    </w:p>
    <w:p>
      <w:pPr>
        <w:tabs>
          <w:tab w:val="left" w:pos="1220"/>
        </w:tabs>
        <w:spacing w:line="360" w:lineRule="auto"/>
        <w:ind w:firstLine="520" w:firstLineChars="210"/>
        <w:rPr>
          <w:rFonts w:hint="eastAsia"/>
          <w:color w:val="auto"/>
          <w:spacing w:val="4"/>
          <w:sz w:val="24"/>
          <w:highlight w:val="none"/>
        </w:rPr>
      </w:pPr>
      <w:r>
        <w:rPr>
          <w:rFonts w:hint="eastAsia"/>
          <w:color w:val="auto"/>
          <w:spacing w:val="4"/>
          <w:sz w:val="24"/>
          <w:highlight w:val="none"/>
        </w:rPr>
        <w:t>根据《建设项目环境风险评价技术导则》（HJ 169-2018）中4.4规定：环境风险评价基本内容包括风险调查、环境风险潜势初判、风险识别、风险事故情形分析、风险预测与评价、环境风险管理等。</w:t>
      </w:r>
    </w:p>
    <w:p>
      <w:pPr>
        <w:pStyle w:val="8"/>
        <w:spacing w:before="0" w:after="0" w:line="360" w:lineRule="auto"/>
        <w:ind w:left="0" w:firstLine="0"/>
        <w:rPr>
          <w:rFonts w:hint="default" w:cs="Times New Roman"/>
          <w:color w:val="auto"/>
          <w:highlight w:val="none"/>
          <w:lang w:val="en-US" w:eastAsia="zh-CN"/>
        </w:rPr>
      </w:pPr>
      <w:bookmarkStart w:id="260" w:name="_Toc25239"/>
      <w:r>
        <w:rPr>
          <w:rFonts w:hint="default" w:cs="Times New Roman"/>
          <w:color w:val="auto"/>
          <w:highlight w:val="none"/>
          <w:lang w:val="en-US" w:eastAsia="zh-CN"/>
        </w:rPr>
        <w:t>风险调查</w:t>
      </w:r>
      <w:bookmarkEnd w:id="260"/>
    </w:p>
    <w:p>
      <w:pPr>
        <w:pStyle w:val="9"/>
        <w:rPr>
          <w:rFonts w:hint="eastAsia"/>
          <w:color w:val="auto"/>
          <w:spacing w:val="4"/>
          <w:sz w:val="24"/>
          <w:highlight w:val="none"/>
        </w:rPr>
      </w:pPr>
      <w:r>
        <w:rPr>
          <w:rFonts w:hint="eastAsia" w:cs="Times New Roman"/>
          <w:color w:val="auto"/>
          <w:highlight w:val="none"/>
          <w:lang w:eastAsia="zh-CN"/>
        </w:rPr>
        <w:t>生产物质风险</w:t>
      </w:r>
      <w:r>
        <w:rPr>
          <w:rFonts w:hint="eastAsia" w:cs="Times New Roman"/>
          <w:color w:val="auto"/>
          <w:highlight w:val="none"/>
        </w:rPr>
        <w:t>调查</w:t>
      </w:r>
    </w:p>
    <w:p>
      <w:pPr>
        <w:tabs>
          <w:tab w:val="left" w:pos="1220"/>
        </w:tabs>
        <w:spacing w:line="360" w:lineRule="auto"/>
        <w:ind w:firstLine="520" w:firstLineChars="210"/>
        <w:rPr>
          <w:rFonts w:hint="eastAsia"/>
          <w:color w:val="auto"/>
          <w:spacing w:val="4"/>
          <w:sz w:val="24"/>
          <w:highlight w:val="none"/>
        </w:rPr>
      </w:pPr>
      <w:r>
        <w:rPr>
          <w:rFonts w:hint="eastAsia"/>
          <w:color w:val="auto"/>
          <w:spacing w:val="4"/>
          <w:sz w:val="24"/>
          <w:highlight w:val="none"/>
        </w:rPr>
        <w:t>根据《建设项目环境风险评价技术导则》（HJ169-2018）附录，拟建项目原辅材料中，可能构成风险的是污水站产生的沼气（主要成分为甲烷）、备用发电机使用的柴油、消毒剂（过氧乙酸、烧碱）。</w:t>
      </w:r>
    </w:p>
    <w:p>
      <w:pPr>
        <w:pStyle w:val="2504"/>
        <w:numPr>
          <w:ilvl w:val="0"/>
          <w:numId w:val="39"/>
        </w:numPr>
        <w:spacing w:before="120"/>
        <w:ind w:left="425" w:leftChars="0" w:hanging="425" w:firstLineChars="0"/>
        <w:rPr>
          <w:color w:val="auto"/>
          <w:highlight w:val="none"/>
        </w:rPr>
      </w:pPr>
      <w:r>
        <w:rPr>
          <w:rFonts w:hint="eastAsia"/>
          <w:color w:val="auto"/>
          <w:highlight w:val="none"/>
          <w:lang w:val="en-US" w:eastAsia="zh-CN"/>
        </w:rPr>
        <w:t xml:space="preserve">   </w:t>
      </w:r>
      <w:r>
        <w:rPr>
          <w:color w:val="auto"/>
          <w:highlight w:val="none"/>
        </w:rPr>
        <w:t>主要危险物质危险特性表</w:t>
      </w:r>
    </w:p>
    <w:tbl>
      <w:tblPr>
        <w:tblStyle w:val="9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6"/>
        <w:gridCol w:w="1553"/>
        <w:gridCol w:w="1323"/>
        <w:gridCol w:w="740"/>
        <w:gridCol w:w="995"/>
        <w:gridCol w:w="1381"/>
        <w:gridCol w:w="1127"/>
        <w:gridCol w:w="7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362"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序号</w:t>
            </w:r>
          </w:p>
        </w:tc>
        <w:tc>
          <w:tcPr>
            <w:tcW w:w="911"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物料名称</w:t>
            </w:r>
          </w:p>
        </w:tc>
        <w:tc>
          <w:tcPr>
            <w:tcW w:w="77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主要成分</w:t>
            </w:r>
          </w:p>
        </w:tc>
        <w:tc>
          <w:tcPr>
            <w:tcW w:w="43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状态</w:t>
            </w:r>
          </w:p>
        </w:tc>
        <w:tc>
          <w:tcPr>
            <w:tcW w:w="58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储存方式</w:t>
            </w:r>
          </w:p>
        </w:tc>
        <w:tc>
          <w:tcPr>
            <w:tcW w:w="81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最大储存量</w:t>
            </w:r>
          </w:p>
        </w:tc>
        <w:tc>
          <w:tcPr>
            <w:tcW w:w="661"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CAS号</w:t>
            </w:r>
          </w:p>
        </w:tc>
        <w:tc>
          <w:tcPr>
            <w:tcW w:w="45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特性/危险性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362"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911"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柴油</w:t>
            </w:r>
          </w:p>
        </w:tc>
        <w:tc>
          <w:tcPr>
            <w:tcW w:w="77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烃类混合物</w:t>
            </w:r>
          </w:p>
        </w:tc>
        <w:tc>
          <w:tcPr>
            <w:tcW w:w="43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液态</w:t>
            </w:r>
          </w:p>
        </w:tc>
        <w:tc>
          <w:tcPr>
            <w:tcW w:w="58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钢桶</w:t>
            </w:r>
          </w:p>
        </w:tc>
        <w:tc>
          <w:tcPr>
            <w:tcW w:w="81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（1桶）0.16t</w:t>
            </w:r>
          </w:p>
        </w:tc>
        <w:tc>
          <w:tcPr>
            <w:tcW w:w="661"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45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362"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p>
        </w:tc>
        <w:tc>
          <w:tcPr>
            <w:tcW w:w="911"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沼气（甲烷）</w:t>
            </w:r>
          </w:p>
        </w:tc>
        <w:tc>
          <w:tcPr>
            <w:tcW w:w="77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CH</w:t>
            </w:r>
            <w:r>
              <w:rPr>
                <w:rFonts w:hint="default" w:ascii="Times New Roman" w:hAnsi="Times New Roman" w:cs="Times New Roman"/>
                <w:color w:val="auto"/>
                <w:sz w:val="21"/>
                <w:szCs w:val="21"/>
                <w:highlight w:val="none"/>
                <w:vertAlign w:val="subscript"/>
              </w:rPr>
              <w:t>4</w:t>
            </w:r>
          </w:p>
        </w:tc>
        <w:tc>
          <w:tcPr>
            <w:tcW w:w="43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气态</w:t>
            </w:r>
          </w:p>
        </w:tc>
        <w:tc>
          <w:tcPr>
            <w:tcW w:w="58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双膜储气袋</w:t>
            </w:r>
          </w:p>
        </w:tc>
        <w:tc>
          <w:tcPr>
            <w:tcW w:w="81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0.25t</w:t>
            </w:r>
          </w:p>
        </w:tc>
        <w:tc>
          <w:tcPr>
            <w:tcW w:w="661"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74-82-8</w:t>
            </w:r>
          </w:p>
        </w:tc>
        <w:tc>
          <w:tcPr>
            <w:tcW w:w="45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362"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w:t>
            </w:r>
          </w:p>
        </w:tc>
        <w:tc>
          <w:tcPr>
            <w:tcW w:w="911"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过氧乙酸</w:t>
            </w:r>
          </w:p>
        </w:tc>
        <w:tc>
          <w:tcPr>
            <w:tcW w:w="77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caps w:val="0"/>
                <w:color w:val="auto"/>
                <w:spacing w:val="0"/>
                <w:sz w:val="21"/>
                <w:szCs w:val="21"/>
                <w:highlight w:val="none"/>
                <w:shd w:val="clear" w:fill="FFFFFF"/>
              </w:rPr>
              <w:t>CH</w:t>
            </w:r>
            <w:r>
              <w:rPr>
                <w:rFonts w:hint="default" w:ascii="Times New Roman" w:hAnsi="Times New Roman" w:eastAsia="宋体" w:cs="Times New Roman"/>
                <w:i w:val="0"/>
                <w:caps w:val="0"/>
                <w:color w:val="auto"/>
                <w:spacing w:val="0"/>
                <w:sz w:val="21"/>
                <w:szCs w:val="21"/>
                <w:highlight w:val="none"/>
                <w:shd w:val="clear" w:fill="FFFFFF"/>
                <w:vertAlign w:val="subscript"/>
              </w:rPr>
              <w:t>3</w:t>
            </w:r>
            <w:r>
              <w:rPr>
                <w:rFonts w:hint="default" w:ascii="Times New Roman" w:hAnsi="Times New Roman" w:eastAsia="宋体" w:cs="Times New Roman"/>
                <w:i w:val="0"/>
                <w:caps w:val="0"/>
                <w:color w:val="auto"/>
                <w:spacing w:val="0"/>
                <w:sz w:val="21"/>
                <w:szCs w:val="21"/>
                <w:highlight w:val="none"/>
                <w:shd w:val="clear" w:fill="FFFFFF"/>
              </w:rPr>
              <w:t>COOOH</w:t>
            </w:r>
          </w:p>
        </w:tc>
        <w:tc>
          <w:tcPr>
            <w:tcW w:w="43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液态</w:t>
            </w:r>
          </w:p>
        </w:tc>
        <w:tc>
          <w:tcPr>
            <w:tcW w:w="58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瓶装</w:t>
            </w:r>
          </w:p>
        </w:tc>
        <w:tc>
          <w:tcPr>
            <w:tcW w:w="81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w:t>
            </w:r>
            <w:r>
              <w:rPr>
                <w:rFonts w:hint="default" w:ascii="Times New Roman" w:hAnsi="Times New Roman" w:cs="Times New Roman"/>
                <w:color w:val="auto"/>
                <w:sz w:val="21"/>
                <w:szCs w:val="21"/>
                <w:highlight w:val="none"/>
                <w:lang w:val="en-US" w:eastAsia="zh-CN"/>
              </w:rPr>
              <w:t>t</w:t>
            </w:r>
          </w:p>
        </w:tc>
        <w:tc>
          <w:tcPr>
            <w:tcW w:w="661"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color w:val="auto"/>
                <w:sz w:val="21"/>
                <w:szCs w:val="21"/>
                <w:highlight w:val="none"/>
              </w:rPr>
              <w:t>7</w:t>
            </w:r>
            <w:r>
              <w:rPr>
                <w:rFonts w:hint="default" w:ascii="Times New Roman" w:hAnsi="Times New Roman" w:cs="Times New Roman"/>
                <w:color w:val="auto"/>
                <w:sz w:val="21"/>
                <w:szCs w:val="21"/>
                <w:highlight w:val="none"/>
                <w:lang w:val="en-US" w:eastAsia="zh-CN"/>
              </w:rPr>
              <w:t>9</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21</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0</w:t>
            </w:r>
          </w:p>
        </w:tc>
        <w:tc>
          <w:tcPr>
            <w:tcW w:w="45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color w:val="auto"/>
                <w:sz w:val="21"/>
                <w:szCs w:val="21"/>
                <w:highlight w:val="none"/>
                <w:lang w:eastAsia="zh-CN"/>
              </w:rPr>
              <w:t>易燃</w:t>
            </w:r>
          </w:p>
        </w:tc>
      </w:tr>
    </w:tbl>
    <w:p>
      <w:pPr>
        <w:pStyle w:val="9"/>
        <w:rPr>
          <w:rFonts w:hint="default"/>
          <w:color w:val="auto"/>
          <w:highlight w:val="none"/>
        </w:rPr>
      </w:pPr>
      <w:r>
        <w:rPr>
          <w:rFonts w:hint="eastAsia" w:cs="Times New Roman"/>
          <w:color w:val="auto"/>
          <w:highlight w:val="none"/>
          <w:lang w:eastAsia="zh-CN"/>
        </w:rPr>
        <w:t>生产系统风险</w:t>
      </w:r>
      <w:r>
        <w:rPr>
          <w:rFonts w:hint="eastAsia" w:cs="Times New Roman"/>
          <w:color w:val="auto"/>
          <w:highlight w:val="none"/>
        </w:rPr>
        <w:t>调查</w:t>
      </w:r>
    </w:p>
    <w:p>
      <w:pPr>
        <w:tabs>
          <w:tab w:val="left" w:pos="1220"/>
        </w:tabs>
        <w:ind w:firstLine="520" w:firstLineChars="210"/>
        <w:rPr>
          <w:rFonts w:hint="eastAsia" w:eastAsiaTheme="minorEastAsia"/>
          <w:color w:val="auto"/>
          <w:spacing w:val="4"/>
          <w:sz w:val="24"/>
          <w:highlight w:val="none"/>
          <w:lang w:eastAsia="zh-CN"/>
        </w:rPr>
      </w:pPr>
      <w:r>
        <w:rPr>
          <w:rFonts w:hint="eastAsia"/>
          <w:color w:val="auto"/>
          <w:spacing w:val="4"/>
          <w:sz w:val="24"/>
          <w:highlight w:val="none"/>
        </w:rPr>
        <w:t>生产设施风险识别范围：主体工程、贮运系统、公用工程系统、工程环保设施及辅助生产设施等。具体营运过程中危害风险见</w:t>
      </w:r>
      <w:r>
        <w:rPr>
          <w:rFonts w:hint="eastAsia"/>
          <w:color w:val="auto"/>
          <w:spacing w:val="4"/>
          <w:sz w:val="24"/>
          <w:highlight w:val="none"/>
          <w:lang w:eastAsia="zh-CN"/>
        </w:rPr>
        <w:t>下表</w:t>
      </w:r>
    </w:p>
    <w:p>
      <w:pPr>
        <w:pStyle w:val="2504"/>
        <w:numPr>
          <w:ilvl w:val="0"/>
          <w:numId w:val="39"/>
        </w:numPr>
        <w:spacing w:before="120"/>
        <w:ind w:left="425" w:leftChars="0" w:hanging="425" w:firstLineChars="0"/>
        <w:rPr>
          <w:color w:val="auto"/>
          <w:highlight w:val="none"/>
        </w:rPr>
      </w:pPr>
      <w:r>
        <w:rPr>
          <w:rFonts w:hint="eastAsia"/>
          <w:color w:val="auto"/>
          <w:highlight w:val="none"/>
          <w:lang w:val="en-US" w:eastAsia="zh-CN"/>
        </w:rPr>
        <w:t xml:space="preserve">  生产系统识别一览表</w:t>
      </w:r>
    </w:p>
    <w:tbl>
      <w:tblPr>
        <w:tblStyle w:val="9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98"/>
        <w:gridCol w:w="2990"/>
        <w:gridCol w:w="1226"/>
        <w:gridCol w:w="1881"/>
        <w:gridCol w:w="18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sz w:val="21"/>
                <w:szCs w:val="21"/>
                <w:highlight w:val="none"/>
              </w:rPr>
            </w:pPr>
            <w:r>
              <w:rPr>
                <w:rFonts w:hint="default"/>
                <w:b/>
                <w:color w:val="auto"/>
                <w:sz w:val="21"/>
                <w:szCs w:val="21"/>
                <w:highlight w:val="none"/>
              </w:rPr>
              <w:t>序号</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sz w:val="21"/>
                <w:szCs w:val="21"/>
                <w:highlight w:val="none"/>
              </w:rPr>
            </w:pPr>
            <w:r>
              <w:rPr>
                <w:rFonts w:hint="default"/>
                <w:b/>
                <w:color w:val="auto"/>
                <w:sz w:val="21"/>
                <w:szCs w:val="21"/>
                <w:highlight w:val="none"/>
              </w:rPr>
              <w:t>名称</w:t>
            </w:r>
          </w:p>
        </w:tc>
        <w:tc>
          <w:tcPr>
            <w:tcW w:w="122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Theme="minorEastAsia"/>
                <w:b/>
                <w:color w:val="auto"/>
                <w:sz w:val="21"/>
                <w:szCs w:val="21"/>
                <w:highlight w:val="none"/>
                <w:lang w:eastAsia="zh-CN"/>
              </w:rPr>
            </w:pPr>
            <w:r>
              <w:rPr>
                <w:rFonts w:hint="eastAsia"/>
                <w:b/>
                <w:color w:val="auto"/>
                <w:sz w:val="21"/>
                <w:szCs w:val="21"/>
                <w:highlight w:val="none"/>
                <w:lang w:eastAsia="zh-CN"/>
              </w:rPr>
              <w:t>设备种类</w:t>
            </w:r>
          </w:p>
        </w:tc>
        <w:tc>
          <w:tcPr>
            <w:tcW w:w="188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sz w:val="21"/>
                <w:szCs w:val="21"/>
                <w:highlight w:val="none"/>
              </w:rPr>
            </w:pPr>
            <w:r>
              <w:rPr>
                <w:rFonts w:hint="eastAsia"/>
                <w:b/>
                <w:color w:val="auto"/>
                <w:sz w:val="21"/>
                <w:szCs w:val="21"/>
                <w:highlight w:val="none"/>
                <w:lang w:eastAsia="zh-CN"/>
              </w:rPr>
              <w:t>危险因素</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Theme="minorEastAsia"/>
                <w:b/>
                <w:color w:val="auto"/>
                <w:sz w:val="21"/>
                <w:szCs w:val="21"/>
                <w:highlight w:val="none"/>
                <w:lang w:eastAsia="zh-CN"/>
              </w:rPr>
            </w:pPr>
            <w:r>
              <w:rPr>
                <w:rFonts w:hint="eastAsia"/>
                <w:b/>
                <w:color w:val="auto"/>
                <w:sz w:val="21"/>
                <w:szCs w:val="21"/>
                <w:highlight w:val="none"/>
                <w:lang w:eastAsia="zh-CN"/>
              </w:rPr>
              <w:t>风险类型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1</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供电系统.</w:t>
            </w:r>
          </w:p>
        </w:tc>
        <w:tc>
          <w:tcPr>
            <w:tcW w:w="122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固定设备</w:t>
            </w:r>
          </w:p>
        </w:tc>
        <w:tc>
          <w:tcPr>
            <w:tcW w:w="188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停电、燃烧</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安全风险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2</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Theme="minorEastAsia"/>
                <w:color w:val="auto"/>
                <w:sz w:val="21"/>
                <w:szCs w:val="21"/>
                <w:highlight w:val="none"/>
                <w:lang w:eastAsia="zh-CN"/>
              </w:rPr>
            </w:pPr>
            <w:r>
              <w:rPr>
                <w:rFonts w:hint="eastAsia"/>
                <w:color w:val="auto"/>
                <w:sz w:val="21"/>
                <w:szCs w:val="21"/>
                <w:highlight w:val="none"/>
              </w:rPr>
              <w:t>水处理站</w:t>
            </w:r>
            <w:r>
              <w:rPr>
                <w:rFonts w:hint="eastAsia"/>
                <w:color w:val="auto"/>
                <w:sz w:val="21"/>
                <w:szCs w:val="21"/>
                <w:highlight w:val="none"/>
                <w:lang w:eastAsia="zh-CN"/>
              </w:rPr>
              <w:t>及污水管网</w:t>
            </w:r>
            <w:r>
              <w:rPr>
                <w:rFonts w:hint="eastAsia"/>
                <w:color w:val="auto"/>
                <w:sz w:val="21"/>
                <w:szCs w:val="21"/>
                <w:highlight w:val="none"/>
              </w:rPr>
              <w:t>事故排放</w:t>
            </w:r>
            <w:r>
              <w:rPr>
                <w:rFonts w:hint="eastAsia"/>
                <w:color w:val="auto"/>
                <w:sz w:val="21"/>
                <w:szCs w:val="21"/>
                <w:highlight w:val="none"/>
                <w:lang w:eastAsia="zh-CN"/>
              </w:rPr>
              <w:t>及泄露</w:t>
            </w:r>
          </w:p>
        </w:tc>
        <w:tc>
          <w:tcPr>
            <w:tcW w:w="122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固定设备</w:t>
            </w:r>
          </w:p>
        </w:tc>
        <w:tc>
          <w:tcPr>
            <w:tcW w:w="188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废水外排</w:t>
            </w:r>
            <w:r>
              <w:rPr>
                <w:rFonts w:hint="eastAsia"/>
                <w:color w:val="auto"/>
                <w:sz w:val="21"/>
                <w:szCs w:val="21"/>
                <w:highlight w:val="none"/>
                <w:lang w:eastAsia="zh-CN"/>
              </w:rPr>
              <w:t>泄露</w:t>
            </w:r>
            <w:r>
              <w:rPr>
                <w:rFonts w:hint="eastAsia"/>
                <w:color w:val="auto"/>
                <w:sz w:val="21"/>
                <w:szCs w:val="21"/>
                <w:highlight w:val="none"/>
              </w:rPr>
              <w:t>、沼气燃爆</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安全风险、环境风险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Theme="minorEastAsia"/>
                <w:color w:val="auto"/>
                <w:sz w:val="21"/>
                <w:szCs w:val="21"/>
                <w:highlight w:val="none"/>
                <w:lang w:val="en-US" w:eastAsia="zh-CN"/>
              </w:rPr>
            </w:pPr>
            <w:r>
              <w:rPr>
                <w:rFonts w:hint="eastAsia"/>
                <w:color w:val="auto"/>
                <w:sz w:val="21"/>
                <w:szCs w:val="21"/>
                <w:highlight w:val="none"/>
                <w:lang w:val="en-US" w:eastAsia="zh-CN"/>
              </w:rPr>
              <w:t>3</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双膜储气袋</w:t>
            </w:r>
          </w:p>
        </w:tc>
        <w:tc>
          <w:tcPr>
            <w:tcW w:w="122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固定设备</w:t>
            </w:r>
          </w:p>
        </w:tc>
        <w:tc>
          <w:tcPr>
            <w:tcW w:w="188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燃爆、泄露</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安全风险、环境风险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Theme="minorEastAsia"/>
                <w:color w:val="auto"/>
                <w:sz w:val="21"/>
                <w:szCs w:val="21"/>
                <w:highlight w:val="none"/>
                <w:lang w:val="en-US" w:eastAsia="zh-CN"/>
              </w:rPr>
            </w:pPr>
            <w:r>
              <w:rPr>
                <w:rFonts w:hint="eastAsia"/>
                <w:color w:val="auto"/>
                <w:sz w:val="21"/>
                <w:szCs w:val="21"/>
                <w:highlight w:val="none"/>
                <w:lang w:val="en-US" w:eastAsia="zh-CN"/>
              </w:rPr>
              <w:t>4</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 xml:space="preserve">消毒剂存放间 </w:t>
            </w:r>
          </w:p>
        </w:tc>
        <w:tc>
          <w:tcPr>
            <w:tcW w:w="122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存放容积</w:t>
            </w:r>
          </w:p>
        </w:tc>
        <w:tc>
          <w:tcPr>
            <w:tcW w:w="188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泄露</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环境风险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Theme="minorEastAsia"/>
                <w:color w:val="auto"/>
                <w:sz w:val="21"/>
                <w:szCs w:val="21"/>
                <w:highlight w:val="none"/>
                <w:lang w:val="en-US" w:eastAsia="zh-CN"/>
              </w:rPr>
            </w:pPr>
            <w:r>
              <w:rPr>
                <w:rFonts w:hint="eastAsia"/>
                <w:color w:val="auto"/>
                <w:sz w:val="21"/>
                <w:szCs w:val="21"/>
                <w:highlight w:val="none"/>
                <w:lang w:val="en-US" w:eastAsia="zh-CN"/>
              </w:rPr>
              <w:t>5</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危废暂存间</w:t>
            </w:r>
          </w:p>
        </w:tc>
        <w:tc>
          <w:tcPr>
            <w:tcW w:w="122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存放容积</w:t>
            </w:r>
          </w:p>
        </w:tc>
        <w:tc>
          <w:tcPr>
            <w:tcW w:w="188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泄露</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环境风险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Theme="minorEastAsia"/>
                <w:color w:val="auto"/>
                <w:sz w:val="21"/>
                <w:szCs w:val="21"/>
                <w:highlight w:val="none"/>
                <w:lang w:val="en-US" w:eastAsia="zh-CN"/>
              </w:rPr>
            </w:pPr>
            <w:r>
              <w:rPr>
                <w:rFonts w:hint="eastAsia"/>
                <w:color w:val="auto"/>
                <w:sz w:val="21"/>
                <w:szCs w:val="21"/>
                <w:highlight w:val="none"/>
                <w:lang w:val="en-US" w:eastAsia="zh-CN"/>
              </w:rPr>
              <w:t>6</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olor w:val="auto"/>
                <w:sz w:val="21"/>
                <w:szCs w:val="21"/>
                <w:highlight w:val="none"/>
              </w:rPr>
            </w:pPr>
            <w:r>
              <w:rPr>
                <w:rFonts w:hint="eastAsia"/>
                <w:color w:val="auto"/>
                <w:sz w:val="21"/>
                <w:szCs w:val="21"/>
                <w:highlight w:val="none"/>
              </w:rPr>
              <w:t>备用发电机房(柴油)</w:t>
            </w:r>
          </w:p>
        </w:tc>
        <w:tc>
          <w:tcPr>
            <w:tcW w:w="122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存放容积</w:t>
            </w:r>
          </w:p>
        </w:tc>
        <w:tc>
          <w:tcPr>
            <w:tcW w:w="188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泄露</w:t>
            </w:r>
          </w:p>
        </w:tc>
        <w:tc>
          <w:tcPr>
            <w:tcW w:w="0" w:type="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环境风险</w:t>
            </w:r>
          </w:p>
        </w:tc>
      </w:tr>
    </w:tbl>
    <w:p>
      <w:pPr>
        <w:pStyle w:val="8"/>
        <w:spacing w:before="0" w:after="0" w:line="360" w:lineRule="auto"/>
        <w:ind w:left="0" w:firstLine="0"/>
        <w:rPr>
          <w:rFonts w:hint="eastAsia" w:cs="Times New Roman"/>
          <w:color w:val="auto"/>
          <w:highlight w:val="none"/>
          <w:lang w:val="en-US" w:eastAsia="zh-CN"/>
        </w:rPr>
      </w:pPr>
      <w:bookmarkStart w:id="261" w:name="_Toc3358"/>
      <w:r>
        <w:rPr>
          <w:rFonts w:hint="eastAsia" w:cs="Times New Roman"/>
          <w:color w:val="auto"/>
          <w:highlight w:val="none"/>
          <w:lang w:val="en-US" w:eastAsia="zh-CN"/>
        </w:rPr>
        <w:t>环境风险潜势初判</w:t>
      </w:r>
      <w:bookmarkEnd w:id="261"/>
    </w:p>
    <w:p>
      <w:pPr>
        <w:tabs>
          <w:tab w:val="left" w:pos="1220"/>
        </w:tabs>
        <w:spacing w:line="360" w:lineRule="auto"/>
        <w:ind w:firstLine="520" w:firstLineChars="210"/>
        <w:rPr>
          <w:color w:val="auto"/>
          <w:highlight w:val="none"/>
        </w:rPr>
      </w:pPr>
      <w:r>
        <w:rPr>
          <w:rFonts w:hint="default" w:ascii="Times New Roman" w:hAnsi="Times New Roman" w:cs="Times New Roman"/>
          <w:color w:val="auto"/>
          <w:spacing w:val="4"/>
          <w:sz w:val="24"/>
          <w:highlight w:val="none"/>
        </w:rPr>
        <w:t>根据《建设项目环境风险评价技术导则》（HJ/T169－2018），危险物质及工艺系统危害性（P）应根据危险物质数量与临界量的比值（Q）和行业及生产工艺（M）确定。</w:t>
      </w:r>
    </w:p>
    <w:p>
      <w:pPr>
        <w:spacing w:line="360" w:lineRule="auto"/>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1、环境敏感程度（E）的确定</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①</w:t>
      </w:r>
      <w:r>
        <w:rPr>
          <w:rFonts w:ascii="Times New Roman" w:hAnsi="Times New Roman" w:eastAsia="宋体" w:cs="Times New Roman"/>
          <w:color w:val="auto"/>
          <w:sz w:val="24"/>
          <w:szCs w:val="24"/>
          <w:highlight w:val="none"/>
        </w:rPr>
        <w:t>大气环境</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项目周边5km范围内人口总数小于</w:t>
      </w:r>
      <w:r>
        <w:rPr>
          <w:rFonts w:hint="eastAsia" w:ascii="Times New Roman" w:hAnsi="Times New Roman" w:eastAsia="宋体" w:cs="Times New Roman"/>
          <w:color w:val="auto"/>
          <w:sz w:val="24"/>
          <w:szCs w:val="24"/>
          <w:highlight w:val="none"/>
          <w:lang w:val="en-US" w:eastAsia="zh-CN"/>
        </w:rPr>
        <w:t>1</w:t>
      </w:r>
      <w:r>
        <w:rPr>
          <w:rFonts w:ascii="Times New Roman" w:hAnsi="Times New Roman" w:eastAsia="宋体" w:cs="Times New Roman"/>
          <w:color w:val="auto"/>
          <w:sz w:val="24"/>
          <w:szCs w:val="24"/>
          <w:highlight w:val="none"/>
        </w:rPr>
        <w:t>万人（主要包括</w:t>
      </w:r>
      <w:r>
        <w:rPr>
          <w:rFonts w:hint="eastAsia" w:ascii="Times New Roman" w:hAnsi="Times New Roman" w:eastAsia="宋体" w:cs="Times New Roman"/>
          <w:color w:val="auto"/>
          <w:sz w:val="24"/>
          <w:szCs w:val="24"/>
          <w:highlight w:val="none"/>
          <w:lang w:eastAsia="zh-CN"/>
        </w:rPr>
        <w:t>巴州区鼎山镇首市村所属部分村庄</w:t>
      </w:r>
      <w:r>
        <w:rPr>
          <w:rFonts w:ascii="Times New Roman" w:hAnsi="Times New Roman" w:eastAsia="宋体" w:cs="Times New Roman"/>
          <w:color w:val="auto"/>
          <w:sz w:val="24"/>
          <w:szCs w:val="24"/>
          <w:highlight w:val="none"/>
        </w:rPr>
        <w:t>），根据《建设项目环境风险评价技术导则》（HJ169-2018）附录D，项目大气环境敏感程度为环境</w:t>
      </w:r>
      <w:r>
        <w:rPr>
          <w:rFonts w:hint="eastAsia" w:ascii="Times New Roman" w:hAnsi="Times New Roman" w:eastAsia="宋体" w:cs="Times New Roman"/>
          <w:color w:val="auto"/>
          <w:sz w:val="24"/>
          <w:szCs w:val="24"/>
          <w:highlight w:val="none"/>
          <w:lang w:eastAsia="zh-CN"/>
        </w:rPr>
        <w:t>低度</w:t>
      </w:r>
      <w:r>
        <w:rPr>
          <w:rFonts w:ascii="Times New Roman" w:hAnsi="Times New Roman" w:eastAsia="宋体" w:cs="Times New Roman"/>
          <w:color w:val="auto"/>
          <w:sz w:val="24"/>
          <w:szCs w:val="24"/>
          <w:highlight w:val="none"/>
        </w:rPr>
        <w:t>敏感区（E</w:t>
      </w:r>
      <w:r>
        <w:rPr>
          <w:rFonts w:hint="eastAsia" w:ascii="Times New Roman" w:hAnsi="Times New Roman" w:eastAsia="宋体" w:cs="Times New Roman"/>
          <w:color w:val="auto"/>
          <w:sz w:val="24"/>
          <w:szCs w:val="24"/>
          <w:highlight w:val="none"/>
          <w:lang w:val="en-US" w:eastAsia="zh-CN"/>
        </w:rPr>
        <w:t>3</w:t>
      </w:r>
      <w:r>
        <w:rPr>
          <w:rFonts w:ascii="Times New Roman" w:hAnsi="Times New Roman" w:eastAsia="宋体" w:cs="Times New Roman"/>
          <w:color w:val="auto"/>
          <w:sz w:val="24"/>
          <w:szCs w:val="24"/>
          <w:highlight w:val="none"/>
        </w:rPr>
        <w:t>）。</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②</w:t>
      </w:r>
      <w:r>
        <w:rPr>
          <w:rFonts w:ascii="Times New Roman" w:hAnsi="Times New Roman" w:eastAsia="宋体" w:cs="Times New Roman"/>
          <w:color w:val="auto"/>
          <w:sz w:val="24"/>
          <w:szCs w:val="24"/>
          <w:highlight w:val="none"/>
        </w:rPr>
        <w:t>地表水环境</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项目废水经处理后用于周围耕地消纳，不外排，项目发生风险事故时废水均能在厂区收集处理，不会进入周边地表水体。根据《建设项目环境风险评价技术导则》（HJ169-2018）附录D，项目地表水环境敏感程度为环境低度敏感区（E3）。</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③</w:t>
      </w:r>
      <w:r>
        <w:rPr>
          <w:rFonts w:ascii="Times New Roman" w:hAnsi="Times New Roman" w:eastAsia="宋体" w:cs="Times New Roman"/>
          <w:color w:val="auto"/>
          <w:sz w:val="24"/>
          <w:szCs w:val="24"/>
          <w:highlight w:val="none"/>
        </w:rPr>
        <w:t>地下水环境</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bCs/>
          <w:color w:val="auto"/>
          <w:sz w:val="24"/>
          <w:highlight w:val="none"/>
        </w:rPr>
        <w:t>地下水评价范围内</w:t>
      </w:r>
      <w:r>
        <w:rPr>
          <w:rFonts w:hint="eastAsia" w:ascii="Times New Roman" w:hAnsi="Times New Roman" w:eastAsia="宋体" w:cs="Times New Roman"/>
          <w:bCs/>
          <w:color w:val="auto"/>
          <w:sz w:val="24"/>
          <w:highlight w:val="none"/>
        </w:rPr>
        <w:t>地下水未得以集中开发和利用，</w:t>
      </w:r>
      <w:r>
        <w:rPr>
          <w:rFonts w:ascii="Times New Roman" w:hAnsi="Times New Roman" w:eastAsia="宋体" w:cs="Times New Roman"/>
          <w:bCs/>
          <w:color w:val="auto"/>
          <w:sz w:val="24"/>
          <w:highlight w:val="none"/>
        </w:rPr>
        <w:t>没有集中式地下水饮用水源及水源保护区，</w:t>
      </w:r>
      <w:r>
        <w:rPr>
          <w:rFonts w:hint="eastAsia" w:ascii="Times New Roman" w:hAnsi="Times New Roman" w:eastAsia="宋体" w:cs="Times New Roman"/>
          <w:bCs/>
          <w:color w:val="auto"/>
          <w:sz w:val="24"/>
          <w:highlight w:val="none"/>
        </w:rPr>
        <w:t>且无与地下水相关的水源保护区和其他资源保护区，居民已实现集中供水，现有水井仅用作灌溉、洗衣等或废弃，不作为居民的分散供水水源</w:t>
      </w:r>
      <w:r>
        <w:rPr>
          <w:rFonts w:ascii="Times New Roman" w:hAnsi="Times New Roman" w:eastAsia="宋体" w:cs="Times New Roman"/>
          <w:color w:val="auto"/>
          <w:sz w:val="24"/>
          <w:szCs w:val="24"/>
          <w:highlight w:val="none"/>
        </w:rPr>
        <w:t>，为较敏感G</w:t>
      </w:r>
      <w:r>
        <w:rPr>
          <w:rFonts w:hint="eastAsia" w:ascii="Times New Roman" w:hAnsi="Times New Roman" w:eastAsia="宋体" w:cs="Times New Roman"/>
          <w:color w:val="auto"/>
          <w:sz w:val="24"/>
          <w:szCs w:val="24"/>
          <w:highlight w:val="none"/>
          <w:lang w:val="en-US" w:eastAsia="zh-CN"/>
        </w:rPr>
        <w:t>2</w:t>
      </w:r>
      <w:r>
        <w:rPr>
          <w:rFonts w:ascii="Times New Roman" w:hAnsi="Times New Roman" w:eastAsia="宋体" w:cs="Times New Roman"/>
          <w:color w:val="auto"/>
          <w:sz w:val="24"/>
          <w:szCs w:val="24"/>
          <w:highlight w:val="none"/>
        </w:rPr>
        <w:t>，根据项目所在区域水文地质资料，项目地下水类型为基岩裂隙水，</w:t>
      </w:r>
      <w:r>
        <w:rPr>
          <w:rFonts w:hint="eastAsia" w:ascii="Times New Roman" w:hAnsi="Times New Roman" w:eastAsia="宋体" w:cs="Times New Roman"/>
          <w:color w:val="auto"/>
          <w:sz w:val="24"/>
          <w:szCs w:val="24"/>
          <w:highlight w:val="none"/>
        </w:rPr>
        <w:t>含水层由富含砂粒、砾粒、碎石的粘土、粉质粘土、细砂及砂砾卵石层组成</w:t>
      </w:r>
      <w:r>
        <w:rPr>
          <w:rFonts w:ascii="Times New Roman" w:hAnsi="Times New Roman" w:eastAsia="宋体" w:cs="Times New Roman"/>
          <w:color w:val="auto"/>
          <w:sz w:val="24"/>
          <w:szCs w:val="24"/>
          <w:highlight w:val="none"/>
        </w:rPr>
        <w:t>，具有较强的防污性能。因此，项目所在区域包气带防污性能D3，即 Mb≥1.0m，k≤1.0×10</w:t>
      </w:r>
      <w:r>
        <w:rPr>
          <w:rFonts w:ascii="Times New Roman" w:hAnsi="Times New Roman" w:eastAsia="宋体" w:cs="Times New Roman"/>
          <w:color w:val="auto"/>
          <w:sz w:val="24"/>
          <w:szCs w:val="24"/>
          <w:highlight w:val="none"/>
          <w:vertAlign w:val="superscript"/>
        </w:rPr>
        <w:t>-6</w:t>
      </w:r>
      <w:r>
        <w:rPr>
          <w:rFonts w:ascii="Times New Roman" w:hAnsi="Times New Roman" w:eastAsia="宋体" w:cs="Times New Roman"/>
          <w:color w:val="auto"/>
          <w:sz w:val="24"/>
          <w:szCs w:val="24"/>
          <w:highlight w:val="none"/>
        </w:rPr>
        <w:t>cm/s，且分布连续稳定。本项目地下水环境敏感度为E3（低度敏感区）。</w:t>
      </w:r>
    </w:p>
    <w:p>
      <w:pPr>
        <w:spacing w:line="360" w:lineRule="auto"/>
        <w:ind w:firstLine="482"/>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color w:val="auto"/>
          <w:sz w:val="24"/>
          <w:szCs w:val="24"/>
          <w:highlight w:val="none"/>
        </w:rPr>
        <w:t>2、危险物质数量与临界量比值（</w:t>
      </w:r>
      <w:r>
        <w:rPr>
          <w:rFonts w:hint="default" w:ascii="Times New Roman" w:hAnsi="Times New Roman" w:eastAsia="宋体" w:cs="Times New Roman"/>
          <w:b/>
          <w:i/>
          <w:color w:val="auto"/>
          <w:sz w:val="24"/>
          <w:szCs w:val="24"/>
          <w:highlight w:val="none"/>
        </w:rPr>
        <w:t>Q</w:t>
      </w:r>
      <w:r>
        <w:rPr>
          <w:rFonts w:hint="default" w:ascii="Times New Roman" w:hAnsi="Times New Roman" w:eastAsia="宋体" w:cs="Times New Roman"/>
          <w:b/>
          <w:color w:val="auto"/>
          <w:sz w:val="24"/>
          <w:szCs w:val="24"/>
          <w:highlight w:val="none"/>
        </w:rPr>
        <w:t>）</w:t>
      </w:r>
    </w:p>
    <w:p>
      <w:pPr>
        <w:spacing w:line="360" w:lineRule="auto"/>
        <w:ind w:firstLine="480" w:firstLineChars="200"/>
        <w:rPr>
          <w:rFonts w:ascii="Times New Roman" w:hAnsi="Times New Roman" w:eastAsia="宋体" w:cs="Times New Roman"/>
          <w:bCs/>
          <w:color w:val="auto"/>
          <w:sz w:val="24"/>
          <w:szCs w:val="24"/>
          <w:highlight w:val="none"/>
        </w:rPr>
      </w:pPr>
      <w:r>
        <w:rPr>
          <w:rFonts w:ascii="Times New Roman" w:hAnsi="Times New Roman" w:eastAsia="宋体" w:cs="Times New Roman"/>
          <w:bCs/>
          <w:color w:val="auto"/>
          <w:sz w:val="24"/>
          <w:szCs w:val="24"/>
          <w:highlight w:val="none"/>
        </w:rPr>
        <w:t>根据《建设项目环境风险评价技术导则》（HJ169-2018）附录C中危险物质数量与临界量比值（</w:t>
      </w:r>
      <w:r>
        <w:rPr>
          <w:rFonts w:ascii="Times New Roman" w:hAnsi="Times New Roman" w:eastAsia="宋体" w:cs="Times New Roman"/>
          <w:bCs/>
          <w:i/>
          <w:color w:val="auto"/>
          <w:sz w:val="24"/>
          <w:szCs w:val="24"/>
          <w:highlight w:val="none"/>
        </w:rPr>
        <w:t>Q</w:t>
      </w:r>
      <w:r>
        <w:rPr>
          <w:rFonts w:ascii="Times New Roman" w:hAnsi="Times New Roman" w:eastAsia="宋体" w:cs="Times New Roman"/>
          <w:bCs/>
          <w:color w:val="auto"/>
          <w:sz w:val="24"/>
          <w:szCs w:val="24"/>
          <w:highlight w:val="none"/>
        </w:rPr>
        <w:t>）的定义，计算所涉及的每种危险物质在厂界内的最大存在总量与其在附录B中对应临界量的比值</w:t>
      </w:r>
      <w:r>
        <w:rPr>
          <w:rFonts w:ascii="Times New Roman" w:hAnsi="Times New Roman" w:eastAsia="宋体" w:cs="Times New Roman"/>
          <w:bCs/>
          <w:i/>
          <w:color w:val="auto"/>
          <w:sz w:val="24"/>
          <w:szCs w:val="24"/>
          <w:highlight w:val="none"/>
        </w:rPr>
        <w:t>Q</w:t>
      </w:r>
      <w:r>
        <w:rPr>
          <w:rFonts w:ascii="Times New Roman" w:hAnsi="Times New Roman" w:eastAsia="宋体" w:cs="Times New Roman"/>
          <w:bCs/>
          <w:color w:val="auto"/>
          <w:sz w:val="24"/>
          <w:szCs w:val="24"/>
          <w:highlight w:val="none"/>
        </w:rPr>
        <w:t>。在不同厂区的同一种物质，按其在厂界内的最大存在总量计算。对于长输管线项目，按照两个截断阀室之间管段危险物质最大存在总量计算。</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bCs/>
          <w:color w:val="auto"/>
          <w:sz w:val="24"/>
          <w:szCs w:val="24"/>
          <w:highlight w:val="none"/>
        </w:rPr>
        <w:t>1）当只涉及一种危险物质时，计算该物质的总量与其临界量比值，即为</w:t>
      </w:r>
      <w:r>
        <w:rPr>
          <w:rFonts w:ascii="Times New Roman" w:hAnsi="Times New Roman" w:eastAsia="宋体" w:cs="Times New Roman"/>
          <w:bCs/>
          <w:i/>
          <w:color w:val="auto"/>
          <w:sz w:val="24"/>
          <w:szCs w:val="24"/>
          <w:highlight w:val="none"/>
        </w:rPr>
        <w:t>Q</w:t>
      </w:r>
      <w:r>
        <w:rPr>
          <w:rFonts w:ascii="Times New Roman" w:hAnsi="Times New Roman" w:eastAsia="宋体" w:cs="Times New Roman"/>
          <w:bCs/>
          <w:color w:val="auto"/>
          <w:sz w:val="24"/>
          <w:szCs w:val="24"/>
          <w:highlight w:val="none"/>
        </w:rPr>
        <w:t>；</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2）当存在多种危险物质时，则按式（C.1）计算物质总量与其临界量比值（</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rPr>
        <w:t>）：</w:t>
      </w:r>
    </w:p>
    <w:p>
      <w:pPr>
        <w:spacing w:before="120" w:beforeLines="50" w:line="360" w:lineRule="auto"/>
        <w:ind w:firstLine="199" w:firstLineChars="83"/>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fldChar w:fldCharType="begin"/>
      </w:r>
      <w:r>
        <w:rPr>
          <w:rFonts w:ascii="Times New Roman" w:hAnsi="Times New Roman" w:eastAsia="宋体" w:cs="Times New Roman"/>
          <w:color w:val="auto"/>
          <w:sz w:val="24"/>
          <w:szCs w:val="24"/>
          <w:highlight w:val="none"/>
        </w:rPr>
        <w:instrText xml:space="preserve"> QUOTE </w:instrText>
      </w:r>
      <w:r>
        <w:rPr>
          <w:rFonts w:ascii="Times New Roman" w:hAnsi="Times New Roman" w:eastAsia="宋体" w:cs="Times New Roman"/>
          <w:color w:val="auto"/>
          <w:position w:val="-30"/>
          <w:sz w:val="24"/>
          <w:szCs w:val="24"/>
          <w:highlight w:val="none"/>
        </w:rPr>
        <w:drawing>
          <wp:inline distT="0" distB="0" distL="114300" distR="114300">
            <wp:extent cx="1362075" cy="352425"/>
            <wp:effectExtent l="0" t="0" r="9525" b="0"/>
            <wp:docPr id="4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1"/>
                    <pic:cNvPicPr>
                      <a:picLocks noChangeAspect="1"/>
                    </pic:cNvPicPr>
                  </pic:nvPicPr>
                  <pic:blipFill>
                    <a:blip r:embed="rId65">
                      <a:clrChange>
                        <a:clrFrom>
                          <a:srgbClr val="FFFFFF"/>
                        </a:clrFrom>
                        <a:clrTo>
                          <a:srgbClr val="FFFFFF">
                            <a:alpha val="0"/>
                          </a:srgbClr>
                        </a:clrTo>
                      </a:clrChange>
                    </a:blip>
                    <a:stretch>
                      <a:fillRect/>
                    </a:stretch>
                  </pic:blipFill>
                  <pic:spPr>
                    <a:xfrm>
                      <a:off x="0" y="0"/>
                      <a:ext cx="1362075" cy="352425"/>
                    </a:xfrm>
                    <a:prstGeom prst="rect">
                      <a:avLst/>
                    </a:prstGeom>
                    <a:noFill/>
                    <a:ln>
                      <a:noFill/>
                    </a:ln>
                  </pic:spPr>
                </pic:pic>
              </a:graphicData>
            </a:graphic>
          </wp:inline>
        </w:drawing>
      </w:r>
      <w:r>
        <w:rPr>
          <w:rFonts w:ascii="Times New Roman" w:hAnsi="Times New Roman" w:eastAsia="宋体" w:cs="Times New Roman"/>
          <w:color w:val="auto"/>
          <w:sz w:val="24"/>
          <w:szCs w:val="24"/>
          <w:highlight w:val="none"/>
        </w:rPr>
        <w:instrText xml:space="preserve">  \* MERGEFORMAT </w:instrText>
      </w:r>
      <w:r>
        <w:rPr>
          <w:rFonts w:ascii="Times New Roman" w:hAnsi="Times New Roman" w:eastAsia="宋体" w:cs="Times New Roman"/>
          <w:color w:val="auto"/>
          <w:sz w:val="24"/>
          <w:szCs w:val="24"/>
          <w:highlight w:val="none"/>
        </w:rPr>
        <w:fldChar w:fldCharType="separate"/>
      </w:r>
      <w:r>
        <w:rPr>
          <w:rFonts w:ascii="Times New Roman" w:hAnsi="Times New Roman" w:eastAsia="宋体" w:cs="Times New Roman"/>
          <w:color w:val="auto"/>
          <w:sz w:val="24"/>
          <w:szCs w:val="24"/>
          <w:highlight w:val="none"/>
        </w:rPr>
        <w:fldChar w:fldCharType="end"/>
      </w:r>
      <w:r>
        <w:rPr>
          <w:rFonts w:ascii="Times New Roman" w:hAnsi="Times New Roman" w:eastAsia="宋体" w:cs="Times New Roman"/>
          <w:color w:val="auto"/>
          <w:sz w:val="24"/>
          <w:szCs w:val="24"/>
          <w:highlight w:val="none"/>
        </w:rPr>
        <w:fldChar w:fldCharType="begin"/>
      </w:r>
      <w:r>
        <w:rPr>
          <w:rFonts w:ascii="Times New Roman" w:hAnsi="Times New Roman" w:eastAsia="宋体" w:cs="Times New Roman"/>
          <w:color w:val="auto"/>
          <w:sz w:val="24"/>
          <w:szCs w:val="24"/>
          <w:highlight w:val="none"/>
        </w:rPr>
        <w:instrText xml:space="preserve"> QUOTE </w:instrText>
      </w:r>
      <w:r>
        <w:rPr>
          <w:rFonts w:ascii="Times New Roman" w:hAnsi="Times New Roman" w:eastAsia="宋体" w:cs="Times New Roman"/>
          <w:color w:val="auto"/>
          <w:position w:val="-30"/>
          <w:sz w:val="24"/>
          <w:szCs w:val="24"/>
          <w:highlight w:val="none"/>
        </w:rPr>
        <w:drawing>
          <wp:inline distT="0" distB="0" distL="114300" distR="114300">
            <wp:extent cx="1362075" cy="352425"/>
            <wp:effectExtent l="0" t="0" r="9525" b="0"/>
            <wp:docPr id="4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2"/>
                    <pic:cNvPicPr>
                      <a:picLocks noChangeAspect="1"/>
                    </pic:cNvPicPr>
                  </pic:nvPicPr>
                  <pic:blipFill>
                    <a:blip r:embed="rId65">
                      <a:clrChange>
                        <a:clrFrom>
                          <a:srgbClr val="FFFFFF"/>
                        </a:clrFrom>
                        <a:clrTo>
                          <a:srgbClr val="FFFFFF">
                            <a:alpha val="0"/>
                          </a:srgbClr>
                        </a:clrTo>
                      </a:clrChange>
                    </a:blip>
                    <a:stretch>
                      <a:fillRect/>
                    </a:stretch>
                  </pic:blipFill>
                  <pic:spPr>
                    <a:xfrm>
                      <a:off x="0" y="0"/>
                      <a:ext cx="1362075" cy="352425"/>
                    </a:xfrm>
                    <a:prstGeom prst="rect">
                      <a:avLst/>
                    </a:prstGeom>
                    <a:noFill/>
                    <a:ln>
                      <a:noFill/>
                    </a:ln>
                  </pic:spPr>
                </pic:pic>
              </a:graphicData>
            </a:graphic>
          </wp:inline>
        </w:drawing>
      </w:r>
      <w:r>
        <w:rPr>
          <w:rFonts w:ascii="Times New Roman" w:hAnsi="Times New Roman" w:eastAsia="宋体" w:cs="Times New Roman"/>
          <w:color w:val="auto"/>
          <w:sz w:val="24"/>
          <w:szCs w:val="24"/>
          <w:highlight w:val="none"/>
        </w:rPr>
        <w:instrText xml:space="preserve">  \* MERGEFORMAT </w:instrText>
      </w:r>
      <w:r>
        <w:rPr>
          <w:rFonts w:ascii="Times New Roman" w:hAnsi="Times New Roman" w:eastAsia="宋体" w:cs="Times New Roman"/>
          <w:color w:val="auto"/>
          <w:sz w:val="24"/>
          <w:szCs w:val="24"/>
          <w:highlight w:val="none"/>
        </w:rPr>
        <w:fldChar w:fldCharType="separate"/>
      </w:r>
      <w:r>
        <w:rPr>
          <w:rFonts w:ascii="Times New Roman" w:hAnsi="Times New Roman" w:eastAsia="宋体" w:cs="Times New Roman"/>
          <w:color w:val="auto"/>
          <w:sz w:val="24"/>
          <w:szCs w:val="24"/>
          <w:highlight w:val="none"/>
        </w:rPr>
        <w:fldChar w:fldCharType="end"/>
      </w:r>
      <w:r>
        <w:rPr>
          <w:rFonts w:ascii="Times New Roman" w:hAnsi="Times New Roman" w:eastAsia="宋体" w:cs="Times New Roman"/>
          <w:color w:val="auto"/>
          <w:sz w:val="24"/>
          <w:szCs w:val="24"/>
          <w:highlight w:val="none"/>
        </w:rPr>
        <w:drawing>
          <wp:inline distT="0" distB="0" distL="114300" distR="114300">
            <wp:extent cx="1476375" cy="438150"/>
            <wp:effectExtent l="0" t="0" r="9525" b="0"/>
            <wp:docPr id="4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3"/>
                    <pic:cNvPicPr>
                      <a:picLocks noChangeAspect="1"/>
                    </pic:cNvPicPr>
                  </pic:nvPicPr>
                  <pic:blipFill>
                    <a:blip r:embed="rId66">
                      <a:clrChange>
                        <a:clrFrom>
                          <a:srgbClr val="FFFFFF"/>
                        </a:clrFrom>
                        <a:clrTo>
                          <a:srgbClr val="FFFFFF">
                            <a:alpha val="0"/>
                          </a:srgbClr>
                        </a:clrTo>
                      </a:clrChange>
                    </a:blip>
                    <a:stretch>
                      <a:fillRect/>
                    </a:stretch>
                  </pic:blipFill>
                  <pic:spPr>
                    <a:xfrm>
                      <a:off x="0" y="0"/>
                      <a:ext cx="1476375" cy="438150"/>
                    </a:xfrm>
                    <a:prstGeom prst="rect">
                      <a:avLst/>
                    </a:prstGeom>
                    <a:noFill/>
                    <a:ln>
                      <a:noFill/>
                    </a:ln>
                  </pic:spPr>
                </pic:pic>
              </a:graphicData>
            </a:graphic>
          </wp:inline>
        </w:drawing>
      </w:r>
      <w:r>
        <w:rPr>
          <w:rFonts w:ascii="Times New Roman" w:hAnsi="Times New Roman" w:eastAsia="宋体" w:cs="Times New Roman"/>
          <w:color w:val="auto"/>
          <w:sz w:val="24"/>
          <w:szCs w:val="24"/>
          <w:highlight w:val="none"/>
        </w:rPr>
        <w:t xml:space="preserve">            （C.1）</w:t>
      </w:r>
    </w:p>
    <w:p>
      <w:pPr>
        <w:spacing w:line="360" w:lineRule="auto"/>
        <w:ind w:firstLine="480" w:firstLineChars="200"/>
        <w:rPr>
          <w:rFonts w:ascii="Times New Roman" w:hAnsi="Times New Roman" w:eastAsia="宋体" w:cs="Times New Roman"/>
          <w:bCs/>
          <w:color w:val="auto"/>
          <w:sz w:val="24"/>
          <w:szCs w:val="24"/>
          <w:highlight w:val="none"/>
        </w:rPr>
      </w:pPr>
      <w:r>
        <w:rPr>
          <w:rFonts w:ascii="Times New Roman" w:hAnsi="Times New Roman" w:eastAsia="宋体" w:cs="Times New Roman"/>
          <w:bCs/>
          <w:color w:val="auto"/>
          <w:sz w:val="24"/>
          <w:szCs w:val="24"/>
          <w:highlight w:val="none"/>
        </w:rPr>
        <w:t>式中：</w:t>
      </w:r>
      <w:r>
        <w:rPr>
          <w:rFonts w:ascii="Times New Roman" w:hAnsi="Times New Roman" w:eastAsia="宋体" w:cs="Times New Roman"/>
          <w:bCs/>
          <w:i/>
          <w:color w:val="auto"/>
          <w:sz w:val="24"/>
          <w:szCs w:val="24"/>
          <w:highlight w:val="none"/>
        </w:rPr>
        <w:t>q</w:t>
      </w:r>
      <w:r>
        <w:rPr>
          <w:rFonts w:ascii="Times New Roman" w:hAnsi="Times New Roman" w:eastAsia="宋体" w:cs="Times New Roman"/>
          <w:bCs/>
          <w:i/>
          <w:color w:val="auto"/>
          <w:sz w:val="24"/>
          <w:szCs w:val="24"/>
          <w:highlight w:val="none"/>
          <w:vertAlign w:val="subscript"/>
        </w:rPr>
        <w:t>1</w:t>
      </w:r>
      <w:r>
        <w:rPr>
          <w:rFonts w:ascii="Times New Roman" w:hAnsi="Times New Roman" w:eastAsia="宋体" w:cs="Times New Roman"/>
          <w:bCs/>
          <w:color w:val="auto"/>
          <w:sz w:val="24"/>
          <w:szCs w:val="24"/>
          <w:highlight w:val="none"/>
        </w:rPr>
        <w:t>，</w:t>
      </w:r>
      <w:r>
        <w:rPr>
          <w:rFonts w:ascii="Times New Roman" w:hAnsi="Times New Roman" w:eastAsia="宋体" w:cs="Times New Roman"/>
          <w:bCs/>
          <w:i/>
          <w:color w:val="auto"/>
          <w:sz w:val="24"/>
          <w:szCs w:val="24"/>
          <w:highlight w:val="none"/>
        </w:rPr>
        <w:t>q</w:t>
      </w:r>
      <w:r>
        <w:rPr>
          <w:rFonts w:ascii="Times New Roman" w:hAnsi="Times New Roman" w:eastAsia="宋体" w:cs="Times New Roman"/>
          <w:bCs/>
          <w:i/>
          <w:color w:val="auto"/>
          <w:sz w:val="24"/>
          <w:szCs w:val="24"/>
          <w:highlight w:val="none"/>
          <w:vertAlign w:val="subscript"/>
        </w:rPr>
        <w:t>2</w:t>
      </w:r>
      <w:r>
        <w:rPr>
          <w:rFonts w:ascii="Times New Roman" w:hAnsi="Times New Roman" w:eastAsia="宋体" w:cs="Times New Roman"/>
          <w:bCs/>
          <w:color w:val="auto"/>
          <w:sz w:val="24"/>
          <w:szCs w:val="24"/>
          <w:highlight w:val="none"/>
        </w:rPr>
        <w:t>，…，</w:t>
      </w:r>
      <w:r>
        <w:rPr>
          <w:rFonts w:ascii="Times New Roman" w:hAnsi="Times New Roman" w:eastAsia="宋体" w:cs="Times New Roman"/>
          <w:bCs/>
          <w:i/>
          <w:color w:val="auto"/>
          <w:sz w:val="24"/>
          <w:szCs w:val="24"/>
          <w:highlight w:val="none"/>
        </w:rPr>
        <w:t>q</w:t>
      </w:r>
      <w:r>
        <w:rPr>
          <w:rFonts w:ascii="Times New Roman" w:hAnsi="Times New Roman" w:eastAsia="宋体" w:cs="Times New Roman"/>
          <w:bCs/>
          <w:i/>
          <w:color w:val="auto"/>
          <w:sz w:val="24"/>
          <w:szCs w:val="24"/>
          <w:highlight w:val="none"/>
          <w:vertAlign w:val="subscript"/>
        </w:rPr>
        <w:t>n</w:t>
      </w:r>
      <w:r>
        <w:rPr>
          <w:rFonts w:ascii="Times New Roman" w:hAnsi="Times New Roman" w:eastAsia="宋体" w:cs="Times New Roman"/>
          <w:bCs/>
          <w:color w:val="auto"/>
          <w:sz w:val="24"/>
          <w:szCs w:val="24"/>
          <w:highlight w:val="none"/>
        </w:rPr>
        <w:t>——每种危险物质的最大存在总量，t；</w:t>
      </w:r>
    </w:p>
    <w:p>
      <w:pPr>
        <w:spacing w:line="360" w:lineRule="auto"/>
        <w:ind w:firstLine="1200" w:firstLineChars="500"/>
        <w:rPr>
          <w:rFonts w:ascii="Times New Roman" w:hAnsi="Times New Roman" w:eastAsia="宋体" w:cs="Times New Roman"/>
          <w:bCs/>
          <w:color w:val="auto"/>
          <w:sz w:val="24"/>
          <w:szCs w:val="24"/>
          <w:highlight w:val="none"/>
        </w:rPr>
      </w:pPr>
      <w:r>
        <w:rPr>
          <w:rFonts w:ascii="Times New Roman" w:hAnsi="Times New Roman" w:eastAsia="宋体" w:cs="Times New Roman"/>
          <w:bCs/>
          <w:i/>
          <w:color w:val="auto"/>
          <w:sz w:val="24"/>
          <w:szCs w:val="24"/>
          <w:highlight w:val="none"/>
        </w:rPr>
        <w:t>Q</w:t>
      </w:r>
      <w:r>
        <w:rPr>
          <w:rFonts w:ascii="Times New Roman" w:hAnsi="Times New Roman" w:eastAsia="宋体" w:cs="Times New Roman"/>
          <w:bCs/>
          <w:i/>
          <w:color w:val="auto"/>
          <w:sz w:val="24"/>
          <w:szCs w:val="24"/>
          <w:highlight w:val="none"/>
          <w:vertAlign w:val="subscript"/>
        </w:rPr>
        <w:t>1</w:t>
      </w:r>
      <w:r>
        <w:rPr>
          <w:rFonts w:ascii="Times New Roman" w:hAnsi="Times New Roman" w:eastAsia="宋体" w:cs="Times New Roman"/>
          <w:bCs/>
          <w:color w:val="auto"/>
          <w:sz w:val="24"/>
          <w:szCs w:val="24"/>
          <w:highlight w:val="none"/>
        </w:rPr>
        <w:t>，</w:t>
      </w:r>
      <w:r>
        <w:rPr>
          <w:rFonts w:ascii="Times New Roman" w:hAnsi="Times New Roman" w:eastAsia="宋体" w:cs="Times New Roman"/>
          <w:bCs/>
          <w:i/>
          <w:color w:val="auto"/>
          <w:sz w:val="24"/>
          <w:szCs w:val="24"/>
          <w:highlight w:val="none"/>
        </w:rPr>
        <w:t>Q</w:t>
      </w:r>
      <w:r>
        <w:rPr>
          <w:rFonts w:ascii="Times New Roman" w:hAnsi="Times New Roman" w:eastAsia="宋体" w:cs="Times New Roman"/>
          <w:bCs/>
          <w:i/>
          <w:color w:val="auto"/>
          <w:sz w:val="24"/>
          <w:szCs w:val="24"/>
          <w:highlight w:val="none"/>
          <w:vertAlign w:val="subscript"/>
        </w:rPr>
        <w:t>2</w:t>
      </w:r>
      <w:r>
        <w:rPr>
          <w:rFonts w:ascii="Times New Roman" w:hAnsi="Times New Roman" w:eastAsia="宋体" w:cs="Times New Roman"/>
          <w:bCs/>
          <w:color w:val="auto"/>
          <w:sz w:val="24"/>
          <w:szCs w:val="24"/>
          <w:highlight w:val="none"/>
        </w:rPr>
        <w:t>，…，</w:t>
      </w:r>
      <w:r>
        <w:rPr>
          <w:rFonts w:ascii="Times New Roman" w:hAnsi="Times New Roman" w:eastAsia="宋体" w:cs="Times New Roman"/>
          <w:bCs/>
          <w:i/>
          <w:color w:val="auto"/>
          <w:sz w:val="24"/>
          <w:szCs w:val="24"/>
          <w:highlight w:val="none"/>
        </w:rPr>
        <w:t>Q</w:t>
      </w:r>
      <w:r>
        <w:rPr>
          <w:rFonts w:ascii="Times New Roman" w:hAnsi="Times New Roman" w:eastAsia="宋体" w:cs="Times New Roman"/>
          <w:bCs/>
          <w:i/>
          <w:color w:val="auto"/>
          <w:sz w:val="24"/>
          <w:szCs w:val="24"/>
          <w:highlight w:val="none"/>
          <w:vertAlign w:val="subscript"/>
        </w:rPr>
        <w:t>n</w:t>
      </w:r>
      <w:r>
        <w:rPr>
          <w:rFonts w:ascii="Times New Roman" w:hAnsi="Times New Roman" w:eastAsia="宋体" w:cs="Times New Roman"/>
          <w:bCs/>
          <w:color w:val="auto"/>
          <w:sz w:val="24"/>
          <w:szCs w:val="24"/>
          <w:highlight w:val="none"/>
        </w:rPr>
        <w:t>——每种危险物质的临界量，t；</w:t>
      </w:r>
    </w:p>
    <w:p>
      <w:pPr>
        <w:spacing w:line="360" w:lineRule="auto"/>
        <w:ind w:firstLine="1200" w:firstLineChars="500"/>
        <w:rPr>
          <w:rFonts w:ascii="Times New Roman" w:hAnsi="Times New Roman" w:eastAsia="宋体" w:cs="Times New Roman"/>
          <w:bCs/>
          <w:color w:val="auto"/>
          <w:sz w:val="24"/>
          <w:szCs w:val="24"/>
          <w:highlight w:val="none"/>
        </w:rPr>
      </w:pPr>
      <w:r>
        <w:rPr>
          <w:rFonts w:ascii="Times New Roman" w:hAnsi="Times New Roman" w:eastAsia="宋体" w:cs="Times New Roman"/>
          <w:bCs/>
          <w:color w:val="auto"/>
          <w:sz w:val="24"/>
          <w:szCs w:val="24"/>
          <w:highlight w:val="none"/>
        </w:rPr>
        <w:t>当</w:t>
      </w:r>
      <w:r>
        <w:rPr>
          <w:rFonts w:ascii="Times New Roman" w:hAnsi="Times New Roman" w:eastAsia="宋体" w:cs="Times New Roman"/>
          <w:bCs/>
          <w:i/>
          <w:color w:val="auto"/>
          <w:sz w:val="24"/>
          <w:szCs w:val="24"/>
          <w:highlight w:val="none"/>
        </w:rPr>
        <w:t>Q</w:t>
      </w:r>
      <w:r>
        <w:rPr>
          <w:rFonts w:ascii="Times New Roman" w:hAnsi="Times New Roman" w:eastAsia="宋体" w:cs="Times New Roman"/>
          <w:bCs/>
          <w:color w:val="auto"/>
          <w:sz w:val="24"/>
          <w:szCs w:val="24"/>
          <w:highlight w:val="none"/>
        </w:rPr>
        <w:t>&lt;1时，该项目环境风险潜势为Ⅰ。</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 xml:space="preserve">      当</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rPr>
        <w:t>≥1时，将</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rPr>
        <w:t>值划分为：（1）1≤</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rPr>
        <w:t>&lt;10；（2）10≤</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rPr>
        <w:t>&lt;100；（3）</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rPr>
        <w:t>≥100；</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根据工程分析，本项目建成后柴油的最大储量为0.16t（1个储油桶），其临界量为2500t；1</w:t>
      </w:r>
      <w:r>
        <w:rPr>
          <w:rFonts w:hint="eastAsia" w:ascii="Times New Roman" w:hAnsi="Times New Roman" w:eastAsia="宋体" w:cs="Times New Roman"/>
          <w:color w:val="auto"/>
          <w:sz w:val="24"/>
          <w:szCs w:val="24"/>
          <w:highlight w:val="none"/>
          <w:lang w:val="en-US" w:eastAsia="zh-CN"/>
        </w:rPr>
        <w:t>5</w:t>
      </w:r>
      <w:r>
        <w:rPr>
          <w:rFonts w:ascii="Times New Roman" w:hAnsi="Times New Roman" w:eastAsia="宋体" w:cs="Times New Roman"/>
          <w:color w:val="auto"/>
          <w:sz w:val="24"/>
          <w:szCs w:val="24"/>
          <w:highlight w:val="none"/>
        </w:rPr>
        <w:t>0m</w:t>
      </w:r>
      <w:r>
        <w:rPr>
          <w:rFonts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lang w:eastAsia="zh-CN"/>
        </w:rPr>
        <w:t>双膜储气袋</w:t>
      </w:r>
      <w:r>
        <w:rPr>
          <w:rFonts w:ascii="Times New Roman" w:hAnsi="Times New Roman" w:eastAsia="宋体" w:cs="Times New Roman"/>
          <w:color w:val="auto"/>
          <w:sz w:val="24"/>
          <w:szCs w:val="24"/>
          <w:highlight w:val="none"/>
        </w:rPr>
        <w:t>最大储存沼气</w:t>
      </w:r>
      <w:r>
        <w:rPr>
          <w:rFonts w:hint="eastAsia" w:ascii="Times New Roman" w:hAnsi="Times New Roman" w:eastAsia="宋体" w:cs="Times New Roman"/>
          <w:color w:val="auto"/>
          <w:sz w:val="24"/>
          <w:szCs w:val="24"/>
          <w:highlight w:val="none"/>
        </w:rPr>
        <w:t>0.</w:t>
      </w:r>
      <w:r>
        <w:rPr>
          <w:rFonts w:hint="eastAsia" w:ascii="Times New Roman" w:hAnsi="Times New Roman" w:eastAsia="宋体" w:cs="Times New Roman"/>
          <w:color w:val="auto"/>
          <w:sz w:val="24"/>
          <w:szCs w:val="24"/>
          <w:highlight w:val="none"/>
          <w:lang w:val="en-US" w:eastAsia="zh-CN"/>
        </w:rPr>
        <w:t>25</w:t>
      </w:r>
      <w:r>
        <w:rPr>
          <w:rFonts w:ascii="Times New Roman" w:hAnsi="Times New Roman" w:eastAsia="宋体" w:cs="Times New Roman"/>
          <w:color w:val="auto"/>
          <w:sz w:val="24"/>
          <w:szCs w:val="24"/>
          <w:highlight w:val="none"/>
        </w:rPr>
        <w:t>t，其临界量按其主要成分甲烷考虑，为10t。按照《建设项目环境风险评价技术导则》（HJ169-2018）附录B临界量进行判别，结果见表6.2-</w:t>
      </w:r>
      <w:r>
        <w:rPr>
          <w:rFonts w:hint="eastAsia" w:ascii="Times New Roman" w:hAnsi="Times New Roman" w:eastAsia="宋体" w:cs="Times New Roman"/>
          <w:color w:val="auto"/>
          <w:sz w:val="24"/>
          <w:szCs w:val="24"/>
          <w:highlight w:val="none"/>
          <w:lang w:val="en-US" w:eastAsia="zh-CN"/>
        </w:rPr>
        <w:t>3</w:t>
      </w:r>
      <w:r>
        <w:rPr>
          <w:rFonts w:ascii="Times New Roman" w:hAnsi="Times New Roman" w:eastAsia="宋体" w:cs="Times New Roman"/>
          <w:color w:val="auto"/>
          <w:sz w:val="24"/>
          <w:szCs w:val="24"/>
          <w:highlight w:val="none"/>
        </w:rPr>
        <w:t>。</w:t>
      </w:r>
    </w:p>
    <w:p>
      <w:pPr>
        <w:pStyle w:val="2504"/>
        <w:numPr>
          <w:ilvl w:val="0"/>
          <w:numId w:val="39"/>
        </w:numPr>
        <w:spacing w:before="120"/>
        <w:ind w:left="425" w:leftChars="0" w:hanging="425" w:firstLineChars="0"/>
        <w:rPr>
          <w:rFonts w:hint="eastAsia"/>
          <w:color w:val="auto"/>
          <w:highlight w:val="none"/>
          <w:lang w:val="en-US" w:eastAsia="zh-CN"/>
        </w:rPr>
      </w:pPr>
      <w:r>
        <w:rPr>
          <w:rFonts w:hint="eastAsia"/>
          <w:color w:val="auto"/>
          <w:highlight w:val="none"/>
          <w:lang w:val="en-US" w:eastAsia="zh-CN"/>
        </w:rPr>
        <w:t xml:space="preserve">    危险物质数量与临界量比值判别表</w:t>
      </w:r>
    </w:p>
    <w:tbl>
      <w:tblPr>
        <w:tblStyle w:val="9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842"/>
        <w:gridCol w:w="1307"/>
        <w:gridCol w:w="1745"/>
        <w:gridCol w:w="1269"/>
        <w:gridCol w:w="21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679"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1842"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物料名称</w:t>
            </w:r>
          </w:p>
        </w:tc>
        <w:tc>
          <w:tcPr>
            <w:tcW w:w="1307"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CAS号</w:t>
            </w:r>
          </w:p>
        </w:tc>
        <w:tc>
          <w:tcPr>
            <w:tcW w:w="1745"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最大储存量(吨)</w:t>
            </w:r>
          </w:p>
        </w:tc>
        <w:tc>
          <w:tcPr>
            <w:tcW w:w="1269"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临界量(吨)</w:t>
            </w:r>
          </w:p>
        </w:tc>
        <w:tc>
          <w:tcPr>
            <w:tcW w:w="216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q/Q</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679"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842"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柴油</w:t>
            </w:r>
          </w:p>
        </w:tc>
        <w:tc>
          <w:tcPr>
            <w:tcW w:w="1307"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745"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0.16</w:t>
            </w:r>
          </w:p>
        </w:tc>
        <w:tc>
          <w:tcPr>
            <w:tcW w:w="1269"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2500</w:t>
            </w:r>
          </w:p>
        </w:tc>
        <w:tc>
          <w:tcPr>
            <w:tcW w:w="216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0.000064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679"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842"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沼气（甲烷）</w:t>
            </w:r>
          </w:p>
        </w:tc>
        <w:tc>
          <w:tcPr>
            <w:tcW w:w="1307"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74-82-8</w:t>
            </w:r>
          </w:p>
        </w:tc>
        <w:tc>
          <w:tcPr>
            <w:tcW w:w="1745"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0.7</w:t>
            </w:r>
          </w:p>
        </w:tc>
        <w:tc>
          <w:tcPr>
            <w:tcW w:w="1269"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216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679"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1842"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rPr>
              <w:t>过氧乙酸</w:t>
            </w:r>
          </w:p>
        </w:tc>
        <w:tc>
          <w:tcPr>
            <w:tcW w:w="1307"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rPr>
              <w:t>7</w:t>
            </w:r>
            <w:r>
              <w:rPr>
                <w:rFonts w:hint="default" w:ascii="Times New Roman" w:hAnsi="Times New Roman" w:cs="Times New Roman"/>
                <w:color w:val="auto"/>
                <w:sz w:val="21"/>
                <w:szCs w:val="21"/>
                <w:highlight w:val="none"/>
                <w:lang w:val="en-US" w:eastAsia="zh-CN"/>
              </w:rPr>
              <w:t>9</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21</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0</w:t>
            </w:r>
          </w:p>
        </w:tc>
        <w:tc>
          <w:tcPr>
            <w:tcW w:w="1745"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w:t>
            </w:r>
          </w:p>
        </w:tc>
        <w:tc>
          <w:tcPr>
            <w:tcW w:w="1269"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216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6842" w:type="dxa"/>
            <w:gridSpan w:val="5"/>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合计</w:t>
            </w:r>
          </w:p>
        </w:tc>
        <w:tc>
          <w:tcPr>
            <w:tcW w:w="216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0.090064</w:t>
            </w:r>
          </w:p>
        </w:tc>
      </w:tr>
    </w:tbl>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经计算，本项目危险物质数量与临界量比值</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rPr>
        <w:t>=</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vertAlign w:val="subscript"/>
        </w:rPr>
        <w:t>1</w:t>
      </w:r>
      <w:r>
        <w:rPr>
          <w:rFonts w:ascii="Times New Roman" w:hAnsi="Times New Roman" w:eastAsia="宋体" w:cs="Times New Roman"/>
          <w:color w:val="auto"/>
          <w:sz w:val="24"/>
          <w:szCs w:val="24"/>
          <w:highlight w:val="none"/>
        </w:rPr>
        <w:t>/</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vertAlign w:val="subscript"/>
        </w:rPr>
        <w:t>1</w:t>
      </w:r>
      <w:r>
        <w:rPr>
          <w:rFonts w:ascii="Times New Roman" w:hAnsi="Times New Roman" w:eastAsia="宋体" w:cs="Times New Roman"/>
          <w:color w:val="auto"/>
          <w:sz w:val="24"/>
          <w:szCs w:val="24"/>
          <w:highlight w:val="none"/>
        </w:rPr>
        <w:t>+</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w:t>
      </w:r>
      <w:r>
        <w:rPr>
          <w:rFonts w:ascii="Times New Roman" w:hAnsi="Times New Roman" w:eastAsia="宋体" w:cs="Times New Roman"/>
          <w:i/>
          <w:color w:val="auto"/>
          <w:sz w:val="24"/>
          <w:szCs w:val="24"/>
          <w:highlight w:val="none"/>
        </w:rPr>
        <w:t>Q</w:t>
      </w:r>
      <w:r>
        <w:rPr>
          <w:rFonts w:ascii="Times New Roman" w:hAnsi="Times New Roman" w:eastAsia="宋体" w:cs="Times New Roman"/>
          <w:color w:val="auto"/>
          <w:sz w:val="24"/>
          <w:szCs w:val="24"/>
          <w:highlight w:val="none"/>
          <w:vertAlign w:val="subscript"/>
        </w:rPr>
        <w:t>2</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0.090064</w:t>
      </w:r>
      <w:r>
        <w:rPr>
          <w:rFonts w:ascii="Times New Roman" w:hAnsi="Times New Roman" w:eastAsia="宋体" w:cs="Times New Roman"/>
          <w:color w:val="auto"/>
          <w:sz w:val="24"/>
          <w:szCs w:val="24"/>
          <w:highlight w:val="none"/>
        </w:rPr>
        <w:t>&lt;1，根据HJ169-2018附录C.1.1当Q&lt;1时，项目环境风险潜势为Ⅰ。</w:t>
      </w:r>
    </w:p>
    <w:p>
      <w:pPr>
        <w:spacing w:line="360" w:lineRule="auto"/>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3、行业及生产工艺（M）值的确定</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根据《建设项目环境风险评价技术导则》（HJ169-2018）附录C，本项目</w:t>
      </w:r>
      <w:r>
        <w:rPr>
          <w:rFonts w:hint="eastAsia" w:ascii="Times New Roman" w:hAnsi="Times New Roman" w:eastAsia="宋体" w:cs="Times New Roman"/>
          <w:color w:val="auto"/>
          <w:sz w:val="24"/>
          <w:szCs w:val="24"/>
          <w:highlight w:val="none"/>
        </w:rPr>
        <w:t>涉及危险物质使用、储存的项目</w:t>
      </w:r>
      <w:r>
        <w:rPr>
          <w:rFonts w:ascii="Times New Roman" w:hAnsi="Times New Roman" w:eastAsia="宋体" w:cs="Times New Roman"/>
          <w:color w:val="auto"/>
          <w:sz w:val="24"/>
          <w:szCs w:val="24"/>
          <w:highlight w:val="none"/>
        </w:rPr>
        <w:t>过程，项目M值具体情况见表6.2-</w:t>
      </w:r>
      <w:r>
        <w:rPr>
          <w:rFonts w:hint="eastAsia" w:ascii="Times New Roman" w:hAnsi="Times New Roman" w:eastAsia="宋体" w:cs="Times New Roman"/>
          <w:color w:val="auto"/>
          <w:sz w:val="24"/>
          <w:szCs w:val="24"/>
          <w:highlight w:val="none"/>
          <w:lang w:val="en-US" w:eastAsia="zh-CN"/>
        </w:rPr>
        <w:t>4</w:t>
      </w:r>
      <w:r>
        <w:rPr>
          <w:rFonts w:ascii="Times New Roman" w:hAnsi="Times New Roman" w:eastAsia="宋体" w:cs="Times New Roman"/>
          <w:color w:val="auto"/>
          <w:sz w:val="24"/>
          <w:szCs w:val="24"/>
          <w:highlight w:val="none"/>
        </w:rPr>
        <w:t>。</w:t>
      </w:r>
    </w:p>
    <w:p>
      <w:pPr>
        <w:pStyle w:val="2504"/>
        <w:numPr>
          <w:ilvl w:val="0"/>
          <w:numId w:val="39"/>
        </w:numPr>
        <w:spacing w:before="120"/>
        <w:ind w:left="425" w:leftChars="0" w:hanging="425" w:firstLineChars="0"/>
        <w:rPr>
          <w:rFonts w:hint="eastAsia"/>
          <w:color w:val="auto"/>
          <w:highlight w:val="none"/>
          <w:lang w:val="en-US" w:eastAsia="zh-CN"/>
        </w:rPr>
      </w:pPr>
      <w:r>
        <w:rPr>
          <w:rFonts w:hint="eastAsia"/>
          <w:color w:val="auto"/>
          <w:highlight w:val="none"/>
          <w:lang w:val="en-US" w:eastAsia="zh-CN"/>
        </w:rPr>
        <w:t xml:space="preserve">   行业及生产工艺（M）值的确定</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63"/>
        <w:gridCol w:w="4684"/>
        <w:gridCol w:w="804"/>
        <w:gridCol w:w="1098"/>
        <w:gridCol w:w="1054"/>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9" w:type="pct"/>
            <w:noWrap w:val="0"/>
            <w:vAlign w:val="top"/>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56" w:right="0" w:firstLine="0" w:firstLineChars="0"/>
              <w:jc w:val="left"/>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序号</w:t>
            </w:r>
          </w:p>
        </w:tc>
        <w:tc>
          <w:tcPr>
            <w:tcW w:w="2819" w:type="pct"/>
            <w:noWrap w:val="0"/>
            <w:vAlign w:val="top"/>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评估依据</w:t>
            </w:r>
          </w:p>
        </w:tc>
        <w:tc>
          <w:tcPr>
            <w:tcW w:w="484" w:type="pct"/>
            <w:noWrap w:val="0"/>
            <w:vAlign w:val="top"/>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236" w:right="0" w:firstLine="0" w:firstLineChars="0"/>
              <w:jc w:val="left"/>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数量</w:t>
            </w:r>
          </w:p>
        </w:tc>
        <w:tc>
          <w:tcPr>
            <w:tcW w:w="661" w:type="pct"/>
            <w:noWrap w:val="0"/>
            <w:vAlign w:val="top"/>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398" w:right="0" w:firstLine="0" w:firstLineChars="0"/>
              <w:jc w:val="left"/>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分值</w:t>
            </w:r>
          </w:p>
        </w:tc>
        <w:tc>
          <w:tcPr>
            <w:tcW w:w="634" w:type="pct"/>
            <w:noWrap w:val="0"/>
            <w:vAlign w:val="top"/>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359" w:right="0" w:firstLine="0" w:firstLineChars="0"/>
              <w:jc w:val="left"/>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M值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399" w:type="pct"/>
            <w:noWrap w:val="0"/>
            <w:vAlign w:val="top"/>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w w:val="99"/>
                <w:kern w:val="0"/>
                <w:sz w:val="21"/>
                <w:szCs w:val="21"/>
                <w:highlight w:val="none"/>
                <w:lang w:val="en-US" w:eastAsia="zh-CN" w:bidi="ar-SA"/>
              </w:rPr>
              <w:t>1</w:t>
            </w:r>
          </w:p>
        </w:tc>
        <w:tc>
          <w:tcPr>
            <w:tcW w:w="2819" w:type="pct"/>
            <w:noWrap w:val="0"/>
            <w:vAlign w:val="top"/>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142" w:right="0" w:firstLine="0" w:firstLineChars="0"/>
              <w:jc w:val="left"/>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涉及危险物质使用、储存的项目</w:t>
            </w:r>
          </w:p>
        </w:tc>
        <w:tc>
          <w:tcPr>
            <w:tcW w:w="484" w:type="pct"/>
            <w:noWrap w:val="0"/>
            <w:vAlign w:val="top"/>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w w:val="99"/>
                <w:kern w:val="0"/>
                <w:sz w:val="21"/>
                <w:szCs w:val="21"/>
                <w:highlight w:val="none"/>
                <w:lang w:val="en-US" w:eastAsia="zh-CN" w:bidi="ar-SA"/>
              </w:rPr>
              <w:t>/</w:t>
            </w:r>
          </w:p>
        </w:tc>
        <w:tc>
          <w:tcPr>
            <w:tcW w:w="661" w:type="pct"/>
            <w:noWrap w:val="0"/>
            <w:vAlign w:val="top"/>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w w:val="99"/>
                <w:kern w:val="0"/>
                <w:sz w:val="21"/>
                <w:szCs w:val="21"/>
                <w:highlight w:val="none"/>
                <w:lang w:val="en-US" w:eastAsia="zh-CN" w:bidi="ar-SA"/>
              </w:rPr>
              <w:t>/</w:t>
            </w:r>
          </w:p>
        </w:tc>
        <w:tc>
          <w:tcPr>
            <w:tcW w:w="634" w:type="pct"/>
            <w:noWrap w:val="0"/>
            <w:vAlign w:val="top"/>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 w:firstLine="0" w:firstLineChars="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w w:val="99"/>
                <w:kern w:val="0"/>
                <w:sz w:val="21"/>
                <w:szCs w:val="21"/>
                <w:highlight w:val="none"/>
                <w:lang w:val="en-US" w:eastAsia="zh-CN" w:bidi="ar-SA"/>
              </w:rPr>
              <w:t>5</w:t>
            </w:r>
          </w:p>
        </w:tc>
      </w:tr>
    </w:tbl>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bCs/>
          <w:color w:val="auto"/>
          <w:sz w:val="24"/>
          <w:szCs w:val="24"/>
          <w:highlight w:val="none"/>
        </w:rPr>
        <w:t>对照《建设项目环境风险评价技术导则》（HJ 169-2018）附录C中表C.1行业及生产工艺（M），</w:t>
      </w:r>
      <w:r>
        <w:rPr>
          <w:rFonts w:ascii="Times New Roman" w:hAnsi="Times New Roman" w:eastAsia="宋体" w:cs="Times New Roman"/>
          <w:color w:val="auto"/>
          <w:sz w:val="24"/>
          <w:szCs w:val="24"/>
          <w:highlight w:val="none"/>
        </w:rPr>
        <w:t>本项目</w:t>
      </w:r>
      <w:r>
        <w:rPr>
          <w:rFonts w:ascii="Times New Roman" w:hAnsi="Times New Roman" w:eastAsia="宋体" w:cs="Times New Roman"/>
          <w:bCs/>
          <w:color w:val="auto"/>
          <w:sz w:val="24"/>
          <w:szCs w:val="24"/>
          <w:highlight w:val="none"/>
        </w:rPr>
        <w:t>行业及生产工艺M</w:t>
      </w:r>
      <w:r>
        <w:rPr>
          <w:rFonts w:ascii="Times New Roman" w:hAnsi="Times New Roman" w:eastAsia="宋体" w:cs="Times New Roman"/>
          <w:color w:val="auto"/>
          <w:sz w:val="24"/>
          <w:szCs w:val="24"/>
          <w:highlight w:val="none"/>
        </w:rPr>
        <w:t>=5，属于M4。</w:t>
      </w:r>
      <w:r>
        <w:rPr>
          <w:rFonts w:ascii="Times New Roman" w:hAnsi="Times New Roman" w:eastAsia="宋体" w:cs="Times New Roman"/>
          <w:bCs/>
          <w:color w:val="auto"/>
          <w:sz w:val="24"/>
          <w:szCs w:val="24"/>
          <w:highlight w:val="none"/>
        </w:rPr>
        <w:t>本项目行业及生产工艺属于其他涉及危险物质使用、贮存的项目</w:t>
      </w:r>
      <w:r>
        <w:rPr>
          <w:rFonts w:ascii="Times New Roman" w:hAnsi="Times New Roman" w:eastAsia="宋体" w:cs="Times New Roman"/>
          <w:color w:val="auto"/>
          <w:sz w:val="24"/>
          <w:szCs w:val="24"/>
          <w:highlight w:val="none"/>
        </w:rPr>
        <w:t>，</w:t>
      </w:r>
      <w:r>
        <w:rPr>
          <w:rFonts w:ascii="Times New Roman" w:hAnsi="Times New Roman" w:eastAsia="宋体" w:cs="Times New Roman"/>
          <w:bCs/>
          <w:color w:val="auto"/>
          <w:sz w:val="24"/>
          <w:szCs w:val="24"/>
          <w:highlight w:val="none"/>
        </w:rPr>
        <w:t>项目涉及的风险事故主要为危险物质使用过程及储存中存在的安全隐患。</w:t>
      </w:r>
    </w:p>
    <w:p>
      <w:pPr>
        <w:spacing w:line="440" w:lineRule="exact"/>
        <w:ind w:firstLine="482" w:firstLineChars="200"/>
        <w:rPr>
          <w:rFonts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4、风险潜势判断</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根据《建设项目环境风险评价技术导则》（HJ169-2018），建设项目环境风险潜势划分为Ⅰ、Ⅱ、Ⅲ、Ⅳ/Ⅳ</w:t>
      </w:r>
      <w:r>
        <w:rPr>
          <w:rFonts w:ascii="Times New Roman" w:hAnsi="Times New Roman" w:eastAsia="宋体" w:cs="Times New Roman"/>
          <w:color w:val="auto"/>
          <w:sz w:val="24"/>
          <w:szCs w:val="24"/>
          <w:highlight w:val="none"/>
          <w:vertAlign w:val="superscript"/>
        </w:rPr>
        <w:t>+</w:t>
      </w:r>
      <w:r>
        <w:rPr>
          <w:rFonts w:ascii="Times New Roman" w:hAnsi="Times New Roman" w:eastAsia="宋体" w:cs="Times New Roman"/>
          <w:color w:val="auto"/>
          <w:sz w:val="24"/>
          <w:szCs w:val="24"/>
          <w:highlight w:val="none"/>
        </w:rPr>
        <w:t>级。根据建设项目涉及的物质和工艺系统的危险性及其所在地环境敏感程度，结合事故情形下环境影响途径，对建设项目潜在环境危害程度进行概化分析，本项目环境风险潜势综合等级为I，环境风险潜势划分情况见表6.2-</w:t>
      </w:r>
      <w:r>
        <w:rPr>
          <w:rFonts w:hint="eastAsia" w:ascii="Times New Roman" w:hAnsi="Times New Roman" w:eastAsia="宋体" w:cs="Times New Roman"/>
          <w:color w:val="auto"/>
          <w:sz w:val="24"/>
          <w:szCs w:val="24"/>
          <w:highlight w:val="none"/>
          <w:lang w:val="en-US" w:eastAsia="zh-CN"/>
        </w:rPr>
        <w:t>5</w:t>
      </w:r>
      <w:r>
        <w:rPr>
          <w:rFonts w:ascii="Times New Roman" w:hAnsi="Times New Roman" w:eastAsia="宋体" w:cs="Times New Roman"/>
          <w:color w:val="auto"/>
          <w:sz w:val="24"/>
          <w:szCs w:val="24"/>
          <w:highlight w:val="none"/>
        </w:rPr>
        <w:t>。</w:t>
      </w:r>
    </w:p>
    <w:p>
      <w:pPr>
        <w:pStyle w:val="2504"/>
        <w:numPr>
          <w:ilvl w:val="0"/>
          <w:numId w:val="39"/>
        </w:numPr>
        <w:spacing w:before="120"/>
        <w:ind w:left="425" w:leftChars="0" w:hanging="425" w:firstLineChars="0"/>
        <w:rPr>
          <w:rFonts w:hint="eastAsia"/>
          <w:color w:val="auto"/>
          <w:highlight w:val="none"/>
          <w:lang w:val="en-US" w:eastAsia="zh-CN"/>
        </w:rPr>
      </w:pPr>
      <w:r>
        <w:rPr>
          <w:rFonts w:hint="eastAsia"/>
          <w:color w:val="auto"/>
          <w:highlight w:val="none"/>
          <w:lang w:val="en-US" w:eastAsia="zh-CN"/>
        </w:rPr>
        <w:t xml:space="preserve">   建设项目环境风险潜势划分</w:t>
      </w:r>
    </w:p>
    <w:tbl>
      <w:tblPr>
        <w:tblStyle w:val="91"/>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89"/>
        <w:gridCol w:w="1787"/>
        <w:gridCol w:w="1534"/>
        <w:gridCol w:w="1661"/>
        <w:gridCol w:w="14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6" w:type="pct"/>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环境敏感程度（E）</w:t>
            </w:r>
          </w:p>
        </w:tc>
        <w:tc>
          <w:tcPr>
            <w:tcW w:w="3773" w:type="pct"/>
            <w:gridSpan w:val="4"/>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危险物质及工艺系统危险性（P）</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6" w:type="pct"/>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104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极高危害（P1）</w:t>
            </w:r>
          </w:p>
        </w:tc>
        <w:tc>
          <w:tcPr>
            <w:tcW w:w="9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高度危害（P2）</w:t>
            </w:r>
          </w:p>
        </w:tc>
        <w:tc>
          <w:tcPr>
            <w:tcW w:w="97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中度危害（P3）</w:t>
            </w:r>
          </w:p>
        </w:tc>
        <w:tc>
          <w:tcPr>
            <w:tcW w:w="84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轻度危害（P4）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环境高度敏感区（E1）</w:t>
            </w:r>
          </w:p>
        </w:tc>
        <w:tc>
          <w:tcPr>
            <w:tcW w:w="104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Ⅳ</w:t>
            </w:r>
            <w:r>
              <w:rPr>
                <w:rFonts w:hint="default" w:ascii="Times New Roman" w:hAnsi="Times New Roman" w:eastAsia="宋体" w:cs="Times New Roman"/>
                <w:bCs/>
                <w:color w:val="auto"/>
                <w:sz w:val="21"/>
                <w:szCs w:val="21"/>
                <w:highlight w:val="none"/>
                <w:vertAlign w:val="superscript"/>
              </w:rPr>
              <w:t>+</w:t>
            </w:r>
          </w:p>
        </w:tc>
        <w:tc>
          <w:tcPr>
            <w:tcW w:w="9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Ⅳ</w:t>
            </w:r>
          </w:p>
        </w:tc>
        <w:tc>
          <w:tcPr>
            <w:tcW w:w="97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Ⅲ</w:t>
            </w:r>
          </w:p>
        </w:tc>
        <w:tc>
          <w:tcPr>
            <w:tcW w:w="84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环境中度敏感区（E2）</w:t>
            </w:r>
          </w:p>
        </w:tc>
        <w:tc>
          <w:tcPr>
            <w:tcW w:w="104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Ⅳ</w:t>
            </w:r>
          </w:p>
        </w:tc>
        <w:tc>
          <w:tcPr>
            <w:tcW w:w="9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Ⅲ</w:t>
            </w:r>
          </w:p>
        </w:tc>
        <w:tc>
          <w:tcPr>
            <w:tcW w:w="97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Ⅲ</w:t>
            </w:r>
          </w:p>
        </w:tc>
        <w:tc>
          <w:tcPr>
            <w:tcW w:w="849" w:type="pct"/>
            <w:tcBorders>
              <w:bottom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Ⅱ</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6"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环境低度敏感区（E3）</w:t>
            </w:r>
          </w:p>
        </w:tc>
        <w:tc>
          <w:tcPr>
            <w:tcW w:w="1049"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Ⅲ</w:t>
            </w:r>
          </w:p>
        </w:tc>
        <w:tc>
          <w:tcPr>
            <w:tcW w:w="900"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Ⅲ</w:t>
            </w:r>
          </w:p>
        </w:tc>
        <w:tc>
          <w:tcPr>
            <w:tcW w:w="975" w:type="pct"/>
            <w:shd w:val="clear" w:color="auto" w:fill="auto"/>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Ⅱ</w:t>
            </w:r>
          </w:p>
        </w:tc>
        <w:tc>
          <w:tcPr>
            <w:tcW w:w="849" w:type="pct"/>
            <w:tcBorders>
              <w:top w:val="single" w:color="auto" w:sz="4" w:space="0"/>
              <w:bottom w:val="single" w:color="auto" w:sz="4" w:space="0"/>
            </w:tcBorders>
            <w:shd w:val="pct10"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noWrap w:val="0"/>
            <w:vAlign w:val="center"/>
          </w:tcPr>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t>注：</w:t>
            </w:r>
            <w:r>
              <w:rPr>
                <w:rFonts w:hint="default" w:ascii="Times New Roman" w:hAnsi="Times New Roman" w:eastAsia="黑体" w:cs="Times New Roman"/>
                <w:bCs/>
                <w:color w:val="auto"/>
                <w:sz w:val="21"/>
                <w:szCs w:val="21"/>
                <w:highlight w:val="none"/>
              </w:rPr>
              <w:t>Ⅳ</w:t>
            </w:r>
            <w:r>
              <w:rPr>
                <w:rFonts w:hint="default" w:ascii="Times New Roman" w:hAnsi="Times New Roman" w:eastAsia="黑体" w:cs="Times New Roman"/>
                <w:bCs/>
                <w:color w:val="auto"/>
                <w:sz w:val="21"/>
                <w:szCs w:val="21"/>
                <w:highlight w:val="none"/>
                <w:vertAlign w:val="superscript"/>
              </w:rPr>
              <w:t>+</w:t>
            </w:r>
            <w:r>
              <w:rPr>
                <w:rFonts w:hint="default" w:ascii="Times New Roman" w:hAnsi="Times New Roman" w:eastAsia="黑体" w:cs="Times New Roman"/>
                <w:color w:val="auto"/>
                <w:sz w:val="21"/>
                <w:szCs w:val="21"/>
                <w:highlight w:val="none"/>
              </w:rPr>
              <w:t>为极高环境风险。</w:t>
            </w:r>
          </w:p>
        </w:tc>
      </w:tr>
    </w:tbl>
    <w:p>
      <w:pPr>
        <w:pStyle w:val="8"/>
        <w:spacing w:before="0" w:after="0" w:line="360" w:lineRule="auto"/>
        <w:ind w:left="0" w:firstLine="0"/>
        <w:rPr>
          <w:rFonts w:hint="eastAsia" w:cs="Times New Roman"/>
          <w:color w:val="auto"/>
          <w:highlight w:val="none"/>
          <w:lang w:val="en-US" w:eastAsia="zh-CN"/>
        </w:rPr>
      </w:pPr>
      <w:bookmarkStart w:id="262" w:name="_Toc2035"/>
      <w:r>
        <w:rPr>
          <w:rFonts w:hint="eastAsia" w:cs="Times New Roman"/>
          <w:color w:val="auto"/>
          <w:highlight w:val="none"/>
          <w:lang w:val="en-US" w:eastAsia="zh-CN"/>
        </w:rPr>
        <w:t>评价等级</w:t>
      </w:r>
      <w:bookmarkEnd w:id="262"/>
    </w:p>
    <w:p>
      <w:pPr>
        <w:spacing w:line="360" w:lineRule="auto"/>
        <w:ind w:firstLine="480" w:firstLineChars="200"/>
        <w:rPr>
          <w:rFonts w:ascii="Times New Roman" w:hAnsi="Times New Roman" w:eastAsia="宋体" w:cs="Times New Roman"/>
          <w:b/>
          <w:bCs/>
          <w:color w:val="auto"/>
          <w:sz w:val="24"/>
          <w:szCs w:val="24"/>
          <w:highlight w:val="none"/>
        </w:rPr>
      </w:pPr>
      <w:r>
        <w:rPr>
          <w:rFonts w:ascii="Times New Roman" w:hAnsi="Times New Roman" w:eastAsia="宋体" w:cs="Times New Roman"/>
          <w:bCs/>
          <w:color w:val="auto"/>
          <w:sz w:val="24"/>
          <w:szCs w:val="24"/>
          <w:highlight w:val="none"/>
        </w:rPr>
        <w:t>根据《建设项目环境风险评价技术导则》（HJ 169-2018），环境风险评价工作等级划分为一级、二级、三级。根据建设项目涉及的物质及工艺系统危险性和所在地的环境敏感性确定环境风险潜势，按照下表6.2-</w:t>
      </w:r>
      <w:r>
        <w:rPr>
          <w:rFonts w:hint="eastAsia" w:ascii="Times New Roman" w:hAnsi="Times New Roman" w:eastAsia="宋体" w:cs="Times New Roman"/>
          <w:bCs/>
          <w:color w:val="auto"/>
          <w:sz w:val="24"/>
          <w:szCs w:val="24"/>
          <w:highlight w:val="none"/>
          <w:lang w:val="en-US" w:eastAsia="zh-CN"/>
        </w:rPr>
        <w:t>6</w:t>
      </w:r>
      <w:r>
        <w:rPr>
          <w:rFonts w:ascii="Times New Roman" w:hAnsi="Times New Roman" w:eastAsia="宋体" w:cs="Times New Roman"/>
          <w:bCs/>
          <w:color w:val="auto"/>
          <w:sz w:val="24"/>
          <w:szCs w:val="24"/>
          <w:highlight w:val="none"/>
        </w:rPr>
        <w:t>对环境风险评价工作等级进行划分。</w:t>
      </w:r>
    </w:p>
    <w:p>
      <w:pPr>
        <w:pStyle w:val="2504"/>
        <w:numPr>
          <w:ilvl w:val="0"/>
          <w:numId w:val="39"/>
        </w:numPr>
        <w:spacing w:before="120"/>
        <w:ind w:left="425" w:leftChars="0" w:hanging="425" w:firstLineChars="0"/>
        <w:rPr>
          <w:rFonts w:hint="eastAsia"/>
          <w:color w:val="auto"/>
          <w:highlight w:val="none"/>
          <w:lang w:val="en-US" w:eastAsia="zh-CN"/>
        </w:rPr>
      </w:pPr>
      <w:r>
        <w:rPr>
          <w:rFonts w:hint="eastAsia"/>
          <w:color w:val="auto"/>
          <w:highlight w:val="none"/>
          <w:lang w:val="en-US" w:eastAsia="zh-CN"/>
        </w:rPr>
        <w:t xml:space="preserve">   评价工作等级划分</w:t>
      </w:r>
    </w:p>
    <w:tbl>
      <w:tblPr>
        <w:tblStyle w:val="9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97"/>
        <w:gridCol w:w="1702"/>
        <w:gridCol w:w="1702"/>
        <w:gridCol w:w="1702"/>
        <w:gridCol w:w="17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997" w:type="pct"/>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环境风险潜势</w:t>
            </w:r>
          </w:p>
        </w:tc>
        <w:tc>
          <w:tcPr>
            <w:tcW w:w="999" w:type="pct"/>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Ⅳ、Ⅳ</w:t>
            </w:r>
            <w:r>
              <w:rPr>
                <w:rFonts w:hint="default" w:ascii="Times New Roman" w:hAnsi="Times New Roman" w:eastAsia="宋体" w:cs="Times New Roman"/>
                <w:color w:val="auto"/>
                <w:kern w:val="2"/>
                <w:sz w:val="21"/>
                <w:szCs w:val="21"/>
                <w:highlight w:val="none"/>
                <w:vertAlign w:val="superscript"/>
                <w:lang w:val="en-US" w:eastAsia="zh-CN" w:bidi="ar-SA"/>
              </w:rPr>
              <w:t>+</w:t>
            </w:r>
          </w:p>
        </w:tc>
        <w:tc>
          <w:tcPr>
            <w:tcW w:w="999" w:type="pct"/>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仿宋" w:cs="Times New Roman"/>
                <w:color w:val="auto"/>
                <w:kern w:val="2"/>
                <w:sz w:val="21"/>
                <w:szCs w:val="21"/>
                <w:highlight w:val="none"/>
                <w:lang w:val="en-US" w:eastAsia="zh-CN" w:bidi="ar-SA"/>
              </w:rPr>
              <w:t>Ⅲ</w:t>
            </w:r>
          </w:p>
        </w:tc>
        <w:tc>
          <w:tcPr>
            <w:tcW w:w="999" w:type="pct"/>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Ⅱ</w:t>
            </w:r>
          </w:p>
        </w:tc>
        <w:tc>
          <w:tcPr>
            <w:tcW w:w="1004" w:type="pct"/>
            <w:tcBorders>
              <w:top w:val="single" w:color="auto" w:sz="12" w:space="0"/>
              <w:bottom w:val="single" w:color="auto" w:sz="4" w:space="0"/>
            </w:tcBorders>
            <w:shd w:val="clear" w:color="auto" w:fill="DBDBDB"/>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997" w:type="pct"/>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评价工作等级</w:t>
            </w:r>
          </w:p>
        </w:tc>
        <w:tc>
          <w:tcPr>
            <w:tcW w:w="999" w:type="pct"/>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w:t>
            </w:r>
          </w:p>
        </w:tc>
        <w:tc>
          <w:tcPr>
            <w:tcW w:w="999" w:type="pct"/>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二</w:t>
            </w:r>
          </w:p>
        </w:tc>
        <w:tc>
          <w:tcPr>
            <w:tcW w:w="999" w:type="pct"/>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三</w:t>
            </w:r>
          </w:p>
        </w:tc>
        <w:tc>
          <w:tcPr>
            <w:tcW w:w="1004" w:type="pct"/>
            <w:tcBorders>
              <w:top w:val="single" w:color="auto" w:sz="4" w:space="0"/>
              <w:bottom w:val="single" w:color="auto" w:sz="4" w:space="0"/>
            </w:tcBorders>
            <w:shd w:val="clear" w:color="auto" w:fill="DBDBDB"/>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简单分析</w:t>
            </w:r>
            <w:r>
              <w:rPr>
                <w:rFonts w:hint="default" w:ascii="Times New Roman" w:hAnsi="Times New Roman" w:eastAsia="宋体" w:cs="Times New Roman"/>
                <w:color w:val="auto"/>
                <w:kern w:val="2"/>
                <w:sz w:val="21"/>
                <w:szCs w:val="21"/>
                <w:highlight w:val="none"/>
                <w:vertAlign w:val="superscript"/>
                <w:lang w:val="en-US" w:eastAsia="zh-CN" w:bidi="ar-SA"/>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00" w:type="pct"/>
            <w:gridSpan w:val="5"/>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vertAlign w:val="superscript"/>
                <w:lang w:val="en-US" w:eastAsia="zh-CN" w:bidi="ar-SA"/>
              </w:rPr>
              <w:t>a</w:t>
            </w:r>
            <w:r>
              <w:rPr>
                <w:rFonts w:hint="default" w:ascii="Times New Roman" w:hAnsi="Times New Roman" w:eastAsia="宋体" w:cs="Times New Roman"/>
                <w:color w:val="auto"/>
                <w:kern w:val="2"/>
                <w:sz w:val="21"/>
                <w:szCs w:val="21"/>
                <w:highlight w:val="none"/>
                <w:lang w:val="en-US" w:eastAsia="zh-CN" w:bidi="ar-SA"/>
              </w:rPr>
              <w:t>是相对于详细评价工作内容而言，在描述危险物质、环境影响途径、环境危害后果、风险防范措施等方面给出定性的说明。见附录A。</w:t>
            </w:r>
          </w:p>
        </w:tc>
      </w:tr>
    </w:tbl>
    <w:p>
      <w:pPr>
        <w:spacing w:line="360" w:lineRule="auto"/>
        <w:ind w:firstLine="480" w:firstLineChars="200"/>
        <w:rPr>
          <w:rFonts w:ascii="Times New Roman" w:hAnsi="Times New Roman" w:eastAsia="宋体" w:cs="Times New Roman"/>
          <w:bCs/>
          <w:color w:val="auto"/>
          <w:sz w:val="24"/>
          <w:szCs w:val="24"/>
          <w:highlight w:val="none"/>
        </w:rPr>
      </w:pPr>
      <w:r>
        <w:rPr>
          <w:rFonts w:ascii="Times New Roman" w:hAnsi="Times New Roman" w:eastAsia="宋体" w:cs="Times New Roman"/>
          <w:bCs/>
          <w:color w:val="auto"/>
          <w:sz w:val="24"/>
          <w:szCs w:val="24"/>
          <w:highlight w:val="none"/>
        </w:rPr>
        <w:t>根据建设项目涉及的物质及工艺系统危险性和所在地的环境敏感性确定环境风险潜势，环境风险潜势为Ⅳ及以上，进行一级评价；风险潜势为Ⅲ，进行二级评价；风险潜势为Ⅱ，进行三级级评价；环境风险潜势为Ⅰ，可开展简单分析。根据项目风险源调查结果，本项目Q值为</w:t>
      </w:r>
      <w:r>
        <w:rPr>
          <w:rFonts w:ascii="Times New Roman" w:hAnsi="Times New Roman" w:eastAsia="宋体" w:cs="Times New Roman"/>
          <w:color w:val="auto"/>
          <w:sz w:val="24"/>
          <w:szCs w:val="24"/>
          <w:highlight w:val="none"/>
        </w:rPr>
        <w:t>0.0</w:t>
      </w:r>
      <w:r>
        <w:rPr>
          <w:rFonts w:hint="eastAsia" w:ascii="Times New Roman" w:hAnsi="Times New Roman" w:eastAsia="宋体" w:cs="Times New Roman"/>
          <w:color w:val="auto"/>
          <w:sz w:val="24"/>
          <w:szCs w:val="24"/>
          <w:highlight w:val="none"/>
        </w:rPr>
        <w:t>193</w:t>
      </w:r>
      <w:r>
        <w:rPr>
          <w:rFonts w:ascii="Times New Roman" w:hAnsi="Times New Roman" w:eastAsia="宋体" w:cs="Times New Roman"/>
          <w:color w:val="auto"/>
          <w:sz w:val="24"/>
          <w:szCs w:val="24"/>
          <w:highlight w:val="none"/>
        </w:rPr>
        <w:t>64&lt;1</w:t>
      </w:r>
      <w:r>
        <w:rPr>
          <w:rFonts w:ascii="Times New Roman" w:hAnsi="Times New Roman" w:eastAsia="宋体" w:cs="Times New Roman"/>
          <w:bCs/>
          <w:color w:val="auto"/>
          <w:sz w:val="24"/>
          <w:szCs w:val="24"/>
          <w:highlight w:val="none"/>
        </w:rPr>
        <w:t>，环境风险潜势为Ⅰ，因此本次评价仅针对环境风险进行简单分析。</w:t>
      </w:r>
    </w:p>
    <w:p>
      <w:pPr>
        <w:spacing w:line="360" w:lineRule="auto"/>
        <w:ind w:firstLine="480" w:firstLineChars="200"/>
        <w:rPr>
          <w:rFonts w:ascii="Times New Roman" w:hAnsi="Times New Roman" w:eastAsia="宋体" w:cs="Times New Roman"/>
          <w:bCs/>
          <w:color w:val="auto"/>
          <w:sz w:val="24"/>
          <w:szCs w:val="24"/>
          <w:highlight w:val="none"/>
        </w:rPr>
      </w:pPr>
      <w:r>
        <w:rPr>
          <w:rFonts w:ascii="Times New Roman" w:hAnsi="Times New Roman" w:eastAsia="宋体" w:cs="Times New Roman"/>
          <w:bCs/>
          <w:color w:val="auto"/>
          <w:sz w:val="24"/>
          <w:szCs w:val="24"/>
          <w:highlight w:val="none"/>
        </w:rPr>
        <w:t>根据《建设项目环境风险评价技术导则》（HJ 169-2018）规定，本次评价重点进行风险识别、源项分析和对事故影响进行简单分析，提出防范、减缓和应急措施。</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263" w:name="_Toc5800"/>
      <w:r>
        <w:rPr>
          <w:rFonts w:hint="eastAsia" w:ascii="Times New Roman" w:hAnsi="Times New Roman" w:eastAsia="宋体" w:cs="Times New Roman"/>
          <w:color w:val="auto"/>
          <w:highlight w:val="none"/>
          <w:lang w:val="en-US" w:eastAsia="zh-CN"/>
        </w:rPr>
        <w:t>风险识别</w:t>
      </w:r>
      <w:bookmarkEnd w:id="263"/>
    </w:p>
    <w:p>
      <w:pPr>
        <w:pStyle w:val="9"/>
        <w:rPr>
          <w:rFonts w:hint="eastAsia" w:cs="Times New Roman"/>
          <w:color w:val="auto"/>
          <w:highlight w:val="none"/>
          <w:lang w:eastAsia="zh-CN"/>
        </w:rPr>
      </w:pPr>
      <w:r>
        <w:rPr>
          <w:rFonts w:hint="eastAsia" w:cs="Times New Roman"/>
          <w:color w:val="auto"/>
          <w:highlight w:val="none"/>
          <w:lang w:eastAsia="zh-CN"/>
        </w:rPr>
        <w:t>物质风险识别</w:t>
      </w:r>
    </w:p>
    <w:p>
      <w:pPr>
        <w:tabs>
          <w:tab w:val="left" w:pos="1220"/>
        </w:tabs>
        <w:ind w:firstLine="520" w:firstLineChars="210"/>
        <w:rPr>
          <w:rFonts w:hint="eastAsia"/>
          <w:color w:val="auto"/>
          <w:spacing w:val="4"/>
          <w:sz w:val="24"/>
          <w:highlight w:val="none"/>
        </w:rPr>
      </w:pPr>
      <w:r>
        <w:rPr>
          <w:rFonts w:hint="eastAsia"/>
          <w:color w:val="auto"/>
          <w:spacing w:val="4"/>
          <w:sz w:val="24"/>
          <w:highlight w:val="none"/>
        </w:rPr>
        <w:t>本项目物质危险性识别见下表。</w:t>
      </w:r>
    </w:p>
    <w:p>
      <w:pPr>
        <w:pStyle w:val="2504"/>
        <w:numPr>
          <w:ilvl w:val="0"/>
          <w:numId w:val="40"/>
        </w:numPr>
        <w:spacing w:before="120"/>
        <w:ind w:left="425" w:leftChars="0" w:hanging="425"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 本项目化学品危险特性一览表</w:t>
      </w:r>
    </w:p>
    <w:tbl>
      <w:tblPr>
        <w:tblStyle w:val="91"/>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200"/>
        <w:gridCol w:w="1875"/>
        <w:gridCol w:w="45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trPr>
        <w:tc>
          <w:tcPr>
            <w:tcW w:w="720" w:type="dxa"/>
            <w:tcBorders>
              <w:bottom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lang w:eastAsia="zh-CN"/>
              </w:rPr>
              <w:t>序号</w:t>
            </w:r>
          </w:p>
        </w:tc>
        <w:tc>
          <w:tcPr>
            <w:tcW w:w="1200" w:type="dxa"/>
            <w:tcBorders>
              <w:bottom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lang w:eastAsia="zh-CN"/>
              </w:rPr>
              <w:t>名称</w:t>
            </w:r>
          </w:p>
        </w:tc>
        <w:tc>
          <w:tcPr>
            <w:tcW w:w="1875" w:type="dxa"/>
            <w:tcBorders>
              <w:bottom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主（次）危险性类别</w:t>
            </w:r>
          </w:p>
        </w:tc>
        <w:tc>
          <w:tcPr>
            <w:tcW w:w="4567" w:type="dxa"/>
            <w:tcBorders>
              <w:bottom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危险特性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bottom w:val="single" w:color="auto" w:sz="4" w:space="0"/>
            </w:tcBorders>
            <w:shd w:val="clear" w:color="auto" w:fill="auto"/>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1</w:t>
            </w:r>
          </w:p>
        </w:tc>
        <w:tc>
          <w:tcPr>
            <w:tcW w:w="1200" w:type="dxa"/>
            <w:tcBorders>
              <w:top w:val="single" w:color="auto" w:sz="4" w:space="0"/>
              <w:bottom w:val="single" w:color="auto" w:sz="4" w:space="0"/>
            </w:tcBorders>
            <w:shd w:val="clear" w:color="auto" w:fill="auto"/>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CH</w:t>
            </w:r>
            <w:r>
              <w:rPr>
                <w:rFonts w:hint="default" w:ascii="Times New Roman" w:hAnsi="Times New Roman" w:eastAsia="宋体" w:cs="Times New Roman"/>
                <w:color w:val="auto"/>
                <w:kern w:val="0"/>
                <w:szCs w:val="21"/>
                <w:highlight w:val="none"/>
                <w:vertAlign w:val="subscript"/>
              </w:rPr>
              <w:t>4</w:t>
            </w:r>
          </w:p>
        </w:tc>
        <w:tc>
          <w:tcPr>
            <w:tcW w:w="1875" w:type="dxa"/>
            <w:tcBorders>
              <w:top w:val="single" w:color="auto" w:sz="4" w:space="0"/>
              <w:bottom w:val="single" w:color="auto" w:sz="4" w:space="0"/>
            </w:tcBorders>
            <w:shd w:val="clear" w:color="auto" w:fill="auto"/>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易燃气体</w:t>
            </w:r>
          </w:p>
        </w:tc>
        <w:tc>
          <w:tcPr>
            <w:tcW w:w="4567" w:type="dxa"/>
            <w:tcBorders>
              <w:top w:val="single" w:color="auto" w:sz="4" w:space="0"/>
              <w:bottom w:val="single" w:color="auto" w:sz="4" w:space="0"/>
            </w:tcBorders>
            <w:shd w:val="clear" w:color="auto" w:fill="auto"/>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both"/>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分子量 16.04。熔点-182.47℃，沸点-161.45℃。闪点-187.7℃，是最简单的有机化合物。无色无味、难溶于水的可燃性气体，和空气组成适当比例时，遇火花会发生爆炸。甲烷对人基本无毒，但浓度过高时，使空气中氧含量明显降低，使人窒息。当空气中甲烷达 25%～30%时，可引起头痛、头晕、乏力、注意力不集中、呼吸和心跳加速、共济失调。若不及时脱离，可致窒息死亡。皮肤接触液化本品，可致冻伤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w:t>
            </w:r>
          </w:p>
        </w:tc>
        <w:tc>
          <w:tcPr>
            <w:tcW w:w="1200"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柴油</w:t>
            </w:r>
          </w:p>
        </w:tc>
        <w:tc>
          <w:tcPr>
            <w:tcW w:w="1875"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易燃液体</w:t>
            </w:r>
          </w:p>
        </w:tc>
        <w:tc>
          <w:tcPr>
            <w:tcW w:w="4567"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both"/>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遇明火、高热或与氧化剂接触，有引起燃烧爆炸的危险。若遇高热，容器内压增大，有开裂和爆炸的危险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2" w:hRule="atLeast"/>
        </w:trPr>
        <w:tc>
          <w:tcPr>
            <w:tcW w:w="720"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3</w:t>
            </w:r>
          </w:p>
        </w:tc>
        <w:tc>
          <w:tcPr>
            <w:tcW w:w="1200"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过氧乙酸</w:t>
            </w:r>
          </w:p>
        </w:tc>
        <w:tc>
          <w:tcPr>
            <w:tcW w:w="1875"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易燃</w:t>
            </w:r>
          </w:p>
        </w:tc>
        <w:tc>
          <w:tcPr>
            <w:tcW w:w="4567"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both"/>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易燃，加热至 100℃ 即猛烈分解，遇火或受热、受震都可起爆。与还原剂、促进剂、有机物、可燃物等接触会发生剧烈反应，有燃烧爆炸的危险。有强腐蚀性。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8" w:hRule="atLeast"/>
        </w:trPr>
        <w:tc>
          <w:tcPr>
            <w:tcW w:w="720"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4</w:t>
            </w:r>
          </w:p>
        </w:tc>
        <w:tc>
          <w:tcPr>
            <w:tcW w:w="1200"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烧碱</w:t>
            </w:r>
          </w:p>
        </w:tc>
        <w:tc>
          <w:tcPr>
            <w:tcW w:w="1875"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腐蚀性</w:t>
            </w:r>
          </w:p>
        </w:tc>
        <w:tc>
          <w:tcPr>
            <w:tcW w:w="4567" w:type="dxa"/>
            <w:tcBorders>
              <w:top w:val="single" w:color="auto" w:sz="4" w:space="0"/>
            </w:tcBorders>
            <w:noWrap w:val="0"/>
            <w:tcMar>
              <w:left w:w="28" w:type="dxa"/>
              <w:right w:w="28" w:type="dxa"/>
            </w:tcMar>
            <w:vAlign w:val="center"/>
          </w:tcPr>
          <w:p>
            <w:pPr>
              <w:keepNext w:val="0"/>
              <w:keepLines w:val="0"/>
              <w:widowControl/>
              <w:suppressLineNumbers w:val="0"/>
              <w:shd w:val="clear" w:color="auto" w:fill="auto"/>
              <w:spacing w:before="0" w:beforeAutospacing="0" w:after="0" w:afterAutospacing="0" w:line="280" w:lineRule="exact"/>
              <w:ind w:left="0" w:right="0"/>
              <w:jc w:val="both"/>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该品有强烈刺激和腐蚀性。粉尘或烟雾会刺激眼和呼吸道，腐蚀鼻中隔，皮肤和眼与 NaOH 直接接触会引起灼伤，误服可造成消化道灼伤，粘膜糜烂、出血和休克。</w:t>
            </w:r>
          </w:p>
        </w:tc>
      </w:tr>
    </w:tbl>
    <w:p>
      <w:pPr>
        <w:pStyle w:val="9"/>
        <w:rPr>
          <w:rFonts w:hint="eastAsia" w:cs="Times New Roman"/>
          <w:color w:val="auto"/>
          <w:highlight w:val="none"/>
          <w:lang w:eastAsia="zh-CN"/>
        </w:rPr>
      </w:pPr>
      <w:r>
        <w:rPr>
          <w:rFonts w:hint="eastAsia" w:cs="Times New Roman"/>
          <w:color w:val="auto"/>
          <w:highlight w:val="none"/>
          <w:lang w:eastAsia="zh-CN"/>
        </w:rPr>
        <w:t>生产设施风险识别</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default" w:ascii="Times New Roman" w:hAnsi="Times New Roman" w:cs="Times New Roman"/>
          <w:color w:val="auto"/>
          <w:spacing w:val="4"/>
          <w:sz w:val="24"/>
          <w:highlight w:val="none"/>
        </w:rPr>
        <w:t>生产设施存在风险的系统主要包括贮运系统、生产系统，发生泄漏、火灾等风险事故。</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default" w:ascii="Times New Roman" w:hAnsi="Times New Roman" w:cs="Times New Roman"/>
          <w:color w:val="auto"/>
          <w:spacing w:val="4"/>
          <w:sz w:val="24"/>
          <w:highlight w:val="none"/>
        </w:rPr>
        <w:t>（1）本项目在沼气产生、输送、贮存过程中，设备的弯曲连接、阀门、管线等均有可能导致沼气泄漏。泄漏的气体容易与空气混合形成爆炸性混合气体，当形成的气云浓度高于爆炸下限并且低于爆炸上限时，遇火源将引发火灾、爆炸，对周围人员、建筑物造成危害。</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default" w:ascii="Times New Roman" w:hAnsi="Times New Roman" w:cs="Times New Roman"/>
          <w:color w:val="auto"/>
          <w:spacing w:val="4"/>
          <w:sz w:val="24"/>
          <w:highlight w:val="none"/>
        </w:rPr>
        <w:t>在生产中容易发生泄漏的部分如下：</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eastAsia" w:ascii="Times New Roman" w:hAnsi="Times New Roman" w:cs="Times New Roman"/>
          <w:color w:val="auto"/>
          <w:spacing w:val="4"/>
          <w:sz w:val="24"/>
          <w:highlight w:val="none"/>
          <w:lang w:val="en-US" w:eastAsia="zh-CN"/>
        </w:rPr>
        <w:t>1、</w:t>
      </w:r>
      <w:r>
        <w:rPr>
          <w:rFonts w:hint="default" w:ascii="Times New Roman" w:hAnsi="Times New Roman" w:cs="Times New Roman"/>
          <w:color w:val="auto"/>
          <w:spacing w:val="4"/>
          <w:sz w:val="24"/>
          <w:highlight w:val="none"/>
        </w:rPr>
        <w:t>管道：沼气</w:t>
      </w:r>
      <w:r>
        <w:rPr>
          <w:rFonts w:hint="eastAsia" w:ascii="Times New Roman" w:hAnsi="Times New Roman" w:cs="Times New Roman"/>
          <w:color w:val="auto"/>
          <w:spacing w:val="4"/>
          <w:sz w:val="24"/>
          <w:highlight w:val="none"/>
          <w:lang w:eastAsia="zh-CN"/>
        </w:rPr>
        <w:t>及污水</w:t>
      </w:r>
      <w:r>
        <w:rPr>
          <w:rFonts w:hint="default" w:ascii="Times New Roman" w:hAnsi="Times New Roman" w:cs="Times New Roman"/>
          <w:color w:val="auto"/>
          <w:spacing w:val="4"/>
          <w:sz w:val="24"/>
          <w:highlight w:val="none"/>
        </w:rPr>
        <w:t>的输送管道，可能存在材料缺陷、机械损伤、内外腐蚀、焊缝裂纹或缺陷、外力破坏、施工缺陷和特殊因素等都可能导致管道局部泄漏。</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eastAsia" w:ascii="Times New Roman" w:hAnsi="Times New Roman" w:cs="Times New Roman"/>
          <w:color w:val="auto"/>
          <w:spacing w:val="4"/>
          <w:sz w:val="24"/>
          <w:highlight w:val="none"/>
          <w:lang w:val="en-US" w:eastAsia="zh-CN"/>
        </w:rPr>
        <w:t>2、</w:t>
      </w:r>
      <w:r>
        <w:rPr>
          <w:rFonts w:hint="default" w:ascii="Times New Roman" w:hAnsi="Times New Roman" w:cs="Times New Roman"/>
          <w:color w:val="auto"/>
          <w:spacing w:val="4"/>
          <w:sz w:val="24"/>
          <w:highlight w:val="none"/>
        </w:rPr>
        <w:t>阀门：排放阀、润滑系统缺陷及管道系统的阀门、法兰等密封不好或填料缺陷，正常磨损，操作失误等易造成泄漏。</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eastAsia" w:ascii="Times New Roman" w:hAnsi="Times New Roman" w:cs="Times New Roman"/>
          <w:color w:val="auto"/>
          <w:spacing w:val="4"/>
          <w:sz w:val="24"/>
          <w:highlight w:val="none"/>
          <w:lang w:val="en-US" w:eastAsia="zh-CN"/>
        </w:rPr>
        <w:t>3、</w:t>
      </w:r>
      <w:r>
        <w:rPr>
          <w:rFonts w:hint="default" w:ascii="Times New Roman" w:hAnsi="Times New Roman" w:cs="Times New Roman"/>
          <w:color w:val="auto"/>
          <w:spacing w:val="4"/>
          <w:sz w:val="24"/>
          <w:highlight w:val="none"/>
        </w:rPr>
        <w:t>附件、安全装置：附件、安全装置不可靠可能引发破裂而导致泄漏。如安全阀失效引起超压爆破而泄漏。</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eastAsia" w:ascii="Times New Roman" w:hAnsi="Times New Roman" w:cs="Times New Roman"/>
          <w:color w:val="auto"/>
          <w:spacing w:val="4"/>
          <w:sz w:val="24"/>
          <w:highlight w:val="none"/>
          <w:lang w:val="en-US" w:eastAsia="zh-CN"/>
        </w:rPr>
        <w:t>4、</w:t>
      </w:r>
      <w:r>
        <w:rPr>
          <w:rFonts w:hint="default" w:ascii="Times New Roman" w:hAnsi="Times New Roman" w:cs="Times New Roman"/>
          <w:color w:val="auto"/>
          <w:spacing w:val="4"/>
          <w:sz w:val="24"/>
          <w:highlight w:val="none"/>
        </w:rPr>
        <w:t>生产设备：沼气池采用筋砼结构，现场浇筑，若密封不严，或操作不规范未封盖严实时，会导致沼气泄漏；双膜储气袋可能因本身的质量缺陷，或不具备抗压性能、超期使用，而导致穿透造成泄漏危险。</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eastAsia" w:ascii="Times New Roman" w:hAnsi="Times New Roman" w:cs="Times New Roman"/>
          <w:color w:val="auto"/>
          <w:spacing w:val="4"/>
          <w:sz w:val="24"/>
          <w:highlight w:val="none"/>
          <w:lang w:val="en-US" w:eastAsia="zh-CN"/>
        </w:rPr>
        <w:t>5、</w:t>
      </w:r>
      <w:r>
        <w:rPr>
          <w:rFonts w:hint="default" w:ascii="Times New Roman" w:hAnsi="Times New Roman" w:cs="Times New Roman"/>
          <w:color w:val="auto"/>
          <w:spacing w:val="4"/>
          <w:sz w:val="24"/>
          <w:highlight w:val="none"/>
        </w:rPr>
        <w:t>放空：沼气储气袋、储气袋设备可能因控制系统出现故障或操作与判断失误，导致沼气放空。</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default" w:ascii="Times New Roman" w:hAnsi="Times New Roman" w:cs="Times New Roman"/>
          <w:color w:val="auto"/>
          <w:spacing w:val="4"/>
          <w:sz w:val="24"/>
          <w:highlight w:val="none"/>
        </w:rPr>
        <w:t>（2）本项目化学原料（消毒剂）储存在包装袋/桶中，在储存、装卸过程中，包装袋/桶桶发生意外事故的几率很低，但仍不能排除因种种原因引起泄漏乃至火灾事故发生的可能性，因此有必要进行全面、细致的环境风险因素分析，找出事故发生的可能性，提出必要的防范措施，以利于管理部门了解事故发生的可能性，及早的消除事故隐患和预防事故的发生。</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default" w:ascii="Times New Roman" w:hAnsi="Times New Roman" w:cs="Times New Roman"/>
          <w:color w:val="auto"/>
          <w:spacing w:val="4"/>
          <w:sz w:val="24"/>
          <w:highlight w:val="none"/>
        </w:rPr>
        <w:t>①材料缺陷：是指因材料本身有划痕、擦伤、砂眼等瑕疵。而最终导致泄漏的情况。</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default" w:ascii="Times New Roman" w:hAnsi="Times New Roman" w:cs="Times New Roman"/>
          <w:color w:val="auto"/>
          <w:spacing w:val="4"/>
          <w:sz w:val="24"/>
          <w:highlight w:val="none"/>
        </w:rPr>
        <w:t>②腐蚀：是指由于各种原因造成的包装袋/桶内、外壁的腐蚀，引起泄漏的情况。</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default" w:ascii="Times New Roman" w:hAnsi="Times New Roman" w:cs="Times New Roman"/>
          <w:color w:val="auto"/>
          <w:spacing w:val="4"/>
          <w:sz w:val="24"/>
          <w:highlight w:val="none"/>
        </w:rPr>
        <w:t>③违规操作：主要是指由于人为破坏的情况，其中主要为其他项目施工时的影响。</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pacing w:val="4"/>
          <w:sz w:val="24"/>
          <w:highlight w:val="none"/>
        </w:rPr>
      </w:pPr>
      <w:r>
        <w:rPr>
          <w:rFonts w:hint="default" w:ascii="Times New Roman" w:hAnsi="Times New Roman" w:cs="Times New Roman"/>
          <w:color w:val="auto"/>
          <w:spacing w:val="4"/>
          <w:sz w:val="24"/>
          <w:highlight w:val="none"/>
        </w:rPr>
        <w:t>④自然因素：是指由于地震、洪水、飓风、开春时地面下沉等自然原因而造成的损坏。</w:t>
      </w:r>
    </w:p>
    <w:p>
      <w:pPr>
        <w:pStyle w:val="114"/>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4"/>
          <w:sz w:val="24"/>
          <w:highlight w:val="none"/>
        </w:rPr>
        <w:t>⑤夏季高温期间如防护措施不力或冷却降温系统发生故障，易引发易燃液体物料的火灾、爆炸。</w:t>
      </w:r>
    </w:p>
    <w:p>
      <w:pPr>
        <w:keepNext w:val="0"/>
        <w:keepLines w:val="0"/>
        <w:pageBreakBefore w:val="0"/>
        <w:widowControl w:val="0"/>
        <w:tabs>
          <w:tab w:val="left" w:pos="1220"/>
        </w:tabs>
        <w:kinsoku/>
        <w:wordWrap/>
        <w:overflowPunct/>
        <w:topLinePunct w:val="0"/>
        <w:autoSpaceDE/>
        <w:autoSpaceDN/>
        <w:bidi w:val="0"/>
        <w:adjustRightInd/>
        <w:snapToGrid/>
        <w:ind w:firstLine="496" w:firstLineChars="200"/>
        <w:textAlignment w:val="auto"/>
        <w:rPr>
          <w:rFonts w:hint="eastAsia"/>
          <w:color w:val="auto"/>
          <w:spacing w:val="4"/>
          <w:sz w:val="24"/>
          <w:highlight w:val="none"/>
        </w:rPr>
      </w:pPr>
      <w:r>
        <w:rPr>
          <w:rFonts w:hint="eastAsia"/>
          <w:color w:val="auto"/>
          <w:spacing w:val="4"/>
          <w:sz w:val="24"/>
          <w:highlight w:val="none"/>
        </w:rPr>
        <w:t>（3）污水处理站出现故障，无法正常运行，导致废水不能达标处理</w:t>
      </w:r>
      <w:r>
        <w:rPr>
          <w:rFonts w:hint="eastAsia"/>
          <w:color w:val="auto"/>
          <w:spacing w:val="4"/>
          <w:sz w:val="24"/>
          <w:highlight w:val="none"/>
          <w:lang w:eastAsia="zh-CN"/>
        </w:rPr>
        <w:t>及池体泄露</w:t>
      </w:r>
      <w:r>
        <w:rPr>
          <w:rFonts w:hint="eastAsia"/>
          <w:color w:val="auto"/>
          <w:spacing w:val="4"/>
          <w:sz w:val="24"/>
          <w:highlight w:val="none"/>
        </w:rPr>
        <w:t>，造成环境污染。</w:t>
      </w:r>
    </w:p>
    <w:p>
      <w:pPr>
        <w:keepNext w:val="0"/>
        <w:keepLines w:val="0"/>
        <w:pageBreakBefore w:val="0"/>
        <w:widowControl w:val="0"/>
        <w:tabs>
          <w:tab w:val="left" w:pos="1220"/>
        </w:tabs>
        <w:kinsoku/>
        <w:wordWrap/>
        <w:overflowPunct/>
        <w:topLinePunct w:val="0"/>
        <w:autoSpaceDE/>
        <w:autoSpaceDN/>
        <w:bidi w:val="0"/>
        <w:adjustRightInd/>
        <w:snapToGrid/>
        <w:ind w:firstLine="496" w:firstLineChars="200"/>
        <w:textAlignment w:val="auto"/>
        <w:rPr>
          <w:rFonts w:hint="eastAsia"/>
          <w:color w:val="auto"/>
          <w:spacing w:val="4"/>
          <w:sz w:val="24"/>
          <w:highlight w:val="none"/>
        </w:rPr>
      </w:pPr>
      <w:r>
        <w:rPr>
          <w:rFonts w:hint="eastAsia"/>
          <w:color w:val="auto"/>
          <w:spacing w:val="4"/>
          <w:sz w:val="24"/>
          <w:highlight w:val="none"/>
        </w:rPr>
        <w:t>（4）患传染病的</w:t>
      </w:r>
      <w:r>
        <w:rPr>
          <w:rFonts w:hint="eastAsia"/>
          <w:color w:val="auto"/>
          <w:spacing w:val="4"/>
          <w:sz w:val="24"/>
          <w:highlight w:val="none"/>
          <w:lang w:eastAsia="zh-CN"/>
        </w:rPr>
        <w:t>牛</w:t>
      </w:r>
      <w:r>
        <w:rPr>
          <w:rFonts w:hint="eastAsia"/>
          <w:color w:val="auto"/>
          <w:spacing w:val="4"/>
          <w:sz w:val="24"/>
          <w:highlight w:val="none"/>
        </w:rPr>
        <w:t>引发的疫病风险：患人畜共患的传染病的</w:t>
      </w:r>
      <w:r>
        <w:rPr>
          <w:rFonts w:hint="eastAsia"/>
          <w:color w:val="auto"/>
          <w:spacing w:val="4"/>
          <w:sz w:val="24"/>
          <w:highlight w:val="none"/>
          <w:lang w:eastAsia="zh-CN"/>
        </w:rPr>
        <w:t>牛</w:t>
      </w:r>
      <w:r>
        <w:rPr>
          <w:rFonts w:hint="eastAsia"/>
          <w:color w:val="auto"/>
          <w:spacing w:val="4"/>
          <w:sz w:val="24"/>
          <w:highlight w:val="none"/>
        </w:rPr>
        <w:t>和工作人员接触后引发工作人员发病，病</w:t>
      </w:r>
      <w:r>
        <w:rPr>
          <w:rFonts w:hint="eastAsia"/>
          <w:color w:val="auto"/>
          <w:spacing w:val="4"/>
          <w:sz w:val="24"/>
          <w:highlight w:val="none"/>
          <w:lang w:eastAsia="zh-CN"/>
        </w:rPr>
        <w:t>牛</w:t>
      </w:r>
      <w:r>
        <w:rPr>
          <w:rFonts w:hint="eastAsia"/>
          <w:color w:val="auto"/>
          <w:spacing w:val="4"/>
          <w:sz w:val="24"/>
          <w:highlight w:val="none"/>
        </w:rPr>
        <w:t>的</w:t>
      </w:r>
      <w:r>
        <w:rPr>
          <w:rFonts w:hint="eastAsia"/>
          <w:color w:val="auto"/>
          <w:spacing w:val="4"/>
          <w:sz w:val="24"/>
          <w:highlight w:val="none"/>
          <w:lang w:eastAsia="zh-CN"/>
        </w:rPr>
        <w:t>牛粪</w:t>
      </w:r>
      <w:r>
        <w:rPr>
          <w:rFonts w:hint="eastAsia"/>
          <w:color w:val="auto"/>
          <w:spacing w:val="4"/>
          <w:sz w:val="24"/>
          <w:highlight w:val="none"/>
        </w:rPr>
        <w:t>和工作人员接触后引发工作人员发病。</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264" w:name="_Toc24986"/>
      <w:bookmarkStart w:id="265" w:name="_Toc29221876"/>
      <w:r>
        <w:rPr>
          <w:rFonts w:hint="eastAsia" w:ascii="Times New Roman" w:hAnsi="Times New Roman" w:eastAsia="宋体" w:cs="Times New Roman"/>
          <w:color w:val="auto"/>
          <w:highlight w:val="none"/>
          <w:lang w:val="en-US" w:eastAsia="zh-CN"/>
        </w:rPr>
        <w:t>环境敏感目标概况</w:t>
      </w:r>
      <w:bookmarkEnd w:id="264"/>
      <w:bookmarkEnd w:id="265"/>
    </w:p>
    <w:p>
      <w:pPr>
        <w:pStyle w:val="114"/>
        <w:rPr>
          <w:rFonts w:hint="eastAsia"/>
          <w:color w:val="auto"/>
          <w:highlight w:val="none"/>
        </w:rPr>
      </w:pPr>
      <w:r>
        <w:rPr>
          <w:rFonts w:hint="default" w:ascii="Times New Roman" w:hAnsi="Times New Roman" w:eastAsia="宋体" w:cs="Times New Roman"/>
          <w:color w:val="auto"/>
          <w:highlight w:val="none"/>
        </w:rPr>
        <w:t>通过调查，确定本项目环境敏感目标，具体见表</w:t>
      </w:r>
      <w:r>
        <w:rPr>
          <w:rFonts w:hint="default" w:ascii="Times New Roman" w:hAnsi="Times New Roman" w:eastAsia="宋体" w:cs="Times New Roman"/>
          <w:color w:val="auto"/>
          <w:highlight w:val="none"/>
          <w:lang w:val="en-US" w:eastAsia="zh-CN"/>
        </w:rPr>
        <w:t>6.4</w:t>
      </w:r>
      <w:r>
        <w:rPr>
          <w:rFonts w:hint="default" w:ascii="Times New Roman" w:hAnsi="Times New Roman" w:eastAsia="宋体" w:cs="Times New Roman"/>
          <w:color w:val="auto"/>
          <w:highlight w:val="none"/>
        </w:rPr>
        <w:t>-</w:t>
      </w:r>
      <w:r>
        <w:rPr>
          <w:rFonts w:hint="default" w:ascii="Times New Roman" w:hAnsi="Times New Roman" w:eastAsia="宋体" w:cs="Times New Roman"/>
          <w:color w:val="auto"/>
          <w:highlight w:val="none"/>
          <w:lang w:val="en-US" w:eastAsia="zh-CN"/>
        </w:rPr>
        <w:t>1</w:t>
      </w:r>
      <w:r>
        <w:rPr>
          <w:rFonts w:hint="eastAsia"/>
          <w:color w:val="auto"/>
          <w:highlight w:val="none"/>
        </w:rPr>
        <w:t>。</w:t>
      </w:r>
    </w:p>
    <w:p>
      <w:pPr>
        <w:pStyle w:val="2504"/>
        <w:numPr>
          <w:ilvl w:val="0"/>
          <w:numId w:val="41"/>
        </w:numPr>
        <w:spacing w:before="120"/>
        <w:ind w:left="425" w:leftChars="0" w:hanging="425" w:firstLineChars="0"/>
        <w:jc w:val="center"/>
        <w:rPr>
          <w:color w:val="auto"/>
          <w:highlight w:val="none"/>
        </w:rPr>
      </w:pPr>
      <w:r>
        <w:rPr>
          <w:color w:val="auto"/>
          <w:highlight w:val="none"/>
        </w:rPr>
        <w:t>项目环境敏感特征表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949"/>
        <w:gridCol w:w="745"/>
        <w:gridCol w:w="2018"/>
        <w:gridCol w:w="1094"/>
        <w:gridCol w:w="406"/>
        <w:gridCol w:w="888"/>
        <w:gridCol w:w="216"/>
        <w:gridCol w:w="675"/>
        <w:gridCol w:w="407"/>
        <w:gridCol w:w="1121"/>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restar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r>
              <w:rPr>
                <w:rFonts w:hint="eastAsia" w:ascii="Times New Roman" w:hAnsi="Times New Roman" w:eastAsia="宋体" w:cs="Times New Roman"/>
                <w:b/>
                <w:bCs/>
                <w:i w:val="0"/>
                <w:color w:val="auto"/>
                <w:kern w:val="0"/>
                <w:sz w:val="21"/>
                <w:szCs w:val="21"/>
                <w:highlight w:val="none"/>
                <w:u w:val="none"/>
                <w:lang w:val="en-US" w:eastAsia="zh-CN" w:bidi="ar"/>
              </w:rPr>
              <w:t>类别</w:t>
            </w:r>
          </w:p>
        </w:tc>
        <w:tc>
          <w:tcPr>
            <w:tcW w:w="4442" w:type="pct"/>
            <w:gridSpan w:val="9"/>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环境敏感特征</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p>
        </w:tc>
        <w:tc>
          <w:tcPr>
            <w:tcW w:w="4442" w:type="pct"/>
            <w:gridSpan w:val="9"/>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厂址周边5km范围内</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restar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环</w:t>
            </w:r>
          </w:p>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境</w:t>
            </w:r>
          </w:p>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空</w:t>
            </w:r>
          </w:p>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气</w:t>
            </w:r>
          </w:p>
        </w:tc>
        <w:tc>
          <w:tcPr>
            <w:tcW w:w="437"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序号</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敏感目标名称</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相对方位</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最近距离/</w:t>
            </w:r>
            <w:r>
              <w:rPr>
                <w:rFonts w:hint="eastAsia" w:ascii="Times New Roman" w:hAnsi="Times New Roman" w:eastAsia="宋体" w:cs="Times New Roman"/>
                <w:i w:val="0"/>
                <w:color w:val="auto"/>
                <w:kern w:val="0"/>
                <w:sz w:val="21"/>
                <w:szCs w:val="21"/>
                <w:highlight w:val="none"/>
                <w:u w:val="none"/>
                <w:lang w:val="en-US" w:eastAsia="zh-CN" w:bidi="ar"/>
              </w:rPr>
              <w:t>k</w:t>
            </w:r>
            <w:r>
              <w:rPr>
                <w:rFonts w:hint="default" w:ascii="Times New Roman" w:hAnsi="Times New Roman" w:eastAsia="宋体" w:cs="Times New Roman"/>
                <w:i w:val="0"/>
                <w:color w:val="auto"/>
                <w:kern w:val="0"/>
                <w:sz w:val="21"/>
                <w:szCs w:val="21"/>
                <w:highlight w:val="none"/>
                <w:u w:val="none"/>
                <w:lang w:val="en-US" w:eastAsia="zh-CN" w:bidi="ar"/>
              </w:rPr>
              <w:t>m</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属性</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人口数</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石羊村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w:t>
            </w:r>
            <w:r>
              <w:rPr>
                <w:rFonts w:hint="eastAsia" w:ascii="Times New Roman" w:hAnsi="Times New Roman" w:cs="Times New Roman"/>
                <w:i w:val="0"/>
                <w:color w:val="auto"/>
                <w:kern w:val="0"/>
                <w:sz w:val="21"/>
                <w:szCs w:val="21"/>
                <w:highlight w:val="none"/>
                <w:u w:val="none"/>
                <w:lang w:val="en-US" w:eastAsia="zh-CN" w:bidi="ar"/>
              </w:rPr>
              <w:t>E</w:t>
            </w:r>
            <w:r>
              <w:rPr>
                <w:rFonts w:hint="eastAsia" w:ascii="Times New Roman" w:hAnsi="Times New Roman" w:eastAsia="宋体" w:cs="Times New Roman"/>
                <w:i w:val="0"/>
                <w:color w:val="auto"/>
                <w:kern w:val="0"/>
                <w:sz w:val="21"/>
                <w:szCs w:val="21"/>
                <w:highlight w:val="none"/>
                <w:u w:val="none"/>
                <w:lang w:val="en-US" w:eastAsia="zh-CN" w:bidi="ar"/>
              </w:rPr>
              <w:t>W</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0.24</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居住区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90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首市村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E</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0.42</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居住区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500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香樟村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EN</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0.3</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居住区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200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三河村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E</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3.7</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居住</w:t>
            </w:r>
            <w:r>
              <w:rPr>
                <w:rFonts w:hint="default" w:ascii="Times New Roman" w:hAnsi="Times New Roman" w:eastAsia="宋体" w:cs="Times New Roman"/>
                <w:i w:val="0"/>
                <w:color w:val="auto"/>
                <w:kern w:val="0"/>
                <w:sz w:val="21"/>
                <w:szCs w:val="21"/>
                <w:highlight w:val="none"/>
                <w:u w:val="none"/>
                <w:lang w:val="en-US" w:eastAsia="zh-CN" w:bidi="ar"/>
              </w:rPr>
              <w:t>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760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黑潭村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NW</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2.2</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居住</w:t>
            </w:r>
            <w:r>
              <w:rPr>
                <w:rFonts w:hint="default" w:ascii="Times New Roman" w:hAnsi="Times New Roman" w:eastAsia="宋体" w:cs="Times New Roman"/>
                <w:i w:val="0"/>
                <w:color w:val="auto"/>
                <w:kern w:val="0"/>
                <w:sz w:val="21"/>
                <w:szCs w:val="21"/>
                <w:highlight w:val="none"/>
                <w:u w:val="none"/>
                <w:lang w:val="en-US" w:eastAsia="zh-CN" w:bidi="ar"/>
              </w:rPr>
              <w:t>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145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青狮村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w:t>
            </w:r>
            <w:r>
              <w:rPr>
                <w:rFonts w:hint="eastAsia" w:ascii="Times New Roman" w:hAnsi="Times New Roman" w:cs="Times New Roman"/>
                <w:i w:val="0"/>
                <w:color w:val="auto"/>
                <w:kern w:val="0"/>
                <w:sz w:val="21"/>
                <w:szCs w:val="21"/>
                <w:highlight w:val="none"/>
                <w:u w:val="none"/>
                <w:lang w:val="en-US" w:eastAsia="zh-CN" w:bidi="ar"/>
              </w:rPr>
              <w:t>EW</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1.9</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w:t>
            </w:r>
            <w:r>
              <w:rPr>
                <w:rFonts w:hint="default" w:ascii="Times New Roman" w:hAnsi="Times New Roman" w:eastAsia="宋体" w:cs="Times New Roman"/>
                <w:i w:val="0"/>
                <w:color w:val="auto"/>
                <w:kern w:val="0"/>
                <w:sz w:val="21"/>
                <w:szCs w:val="21"/>
                <w:highlight w:val="none"/>
                <w:u w:val="none"/>
                <w:lang w:val="en-US" w:eastAsia="zh-CN" w:bidi="ar"/>
              </w:rPr>
              <w:t>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55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连山村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W</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1.0</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w:t>
            </w:r>
            <w:r>
              <w:rPr>
                <w:rFonts w:hint="default" w:ascii="Times New Roman" w:hAnsi="Times New Roman" w:eastAsia="宋体" w:cs="Times New Roman"/>
                <w:i w:val="0"/>
                <w:color w:val="auto"/>
                <w:kern w:val="0"/>
                <w:sz w:val="21"/>
                <w:szCs w:val="21"/>
                <w:highlight w:val="none"/>
                <w:u w:val="none"/>
                <w:lang w:val="en-US" w:eastAsia="zh-CN" w:bidi="ar"/>
              </w:rPr>
              <w:t>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铜鼓村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E</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3.3</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居住区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140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升平村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NNW</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2.90</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居住</w:t>
            </w:r>
            <w:r>
              <w:rPr>
                <w:rFonts w:hint="default" w:ascii="Times New Roman" w:hAnsi="Times New Roman" w:eastAsia="宋体" w:cs="Times New Roman"/>
                <w:i w:val="0"/>
                <w:color w:val="auto"/>
                <w:kern w:val="0"/>
                <w:sz w:val="21"/>
                <w:szCs w:val="21"/>
                <w:highlight w:val="none"/>
                <w:u w:val="none"/>
                <w:lang w:val="en-US" w:eastAsia="zh-CN" w:bidi="ar"/>
              </w:rPr>
              <w:t>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圣泉村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NW</w:t>
            </w:r>
            <w:r>
              <w:rPr>
                <w:rFonts w:hint="eastAsia" w:ascii="Times New Roman" w:hAnsi="Times New Roman" w:cs="Times New Roman"/>
                <w:i w:val="0"/>
                <w:color w:val="auto"/>
                <w:kern w:val="0"/>
                <w:sz w:val="21"/>
                <w:szCs w:val="21"/>
                <w:highlight w:val="none"/>
                <w:u w:val="none"/>
                <w:lang w:val="en-US" w:eastAsia="zh-CN" w:bidi="ar"/>
              </w:rPr>
              <w:t>W</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3.4</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居住</w:t>
            </w:r>
            <w:r>
              <w:rPr>
                <w:rFonts w:hint="default" w:ascii="Times New Roman" w:hAnsi="Times New Roman" w:eastAsia="宋体" w:cs="Times New Roman"/>
                <w:i w:val="0"/>
                <w:color w:val="auto"/>
                <w:kern w:val="0"/>
                <w:sz w:val="21"/>
                <w:szCs w:val="21"/>
                <w:highlight w:val="none"/>
                <w:u w:val="none"/>
                <w:lang w:val="en-US" w:eastAsia="zh-CN" w:bidi="ar"/>
              </w:rPr>
              <w:t>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200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高顶村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W</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0.9</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居住</w:t>
            </w:r>
            <w:r>
              <w:rPr>
                <w:rFonts w:hint="default" w:ascii="Times New Roman" w:hAnsi="Times New Roman" w:eastAsia="宋体" w:cs="Times New Roman"/>
                <w:i w:val="0"/>
                <w:color w:val="auto"/>
                <w:kern w:val="0"/>
                <w:sz w:val="21"/>
                <w:szCs w:val="21"/>
                <w:highlight w:val="none"/>
                <w:u w:val="none"/>
                <w:lang w:val="en-US" w:eastAsia="zh-CN" w:bidi="ar"/>
              </w:rPr>
              <w:t>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60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白尖村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W</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2.0</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w:t>
            </w:r>
            <w:r>
              <w:rPr>
                <w:rFonts w:hint="default" w:ascii="Times New Roman" w:hAnsi="Times New Roman" w:eastAsia="宋体" w:cs="Times New Roman"/>
                <w:i w:val="0"/>
                <w:color w:val="auto"/>
                <w:kern w:val="0"/>
                <w:sz w:val="21"/>
                <w:szCs w:val="21"/>
                <w:highlight w:val="none"/>
                <w:u w:val="none"/>
                <w:lang w:val="en-US" w:eastAsia="zh-CN" w:bidi="ar"/>
              </w:rPr>
              <w:t>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大梁村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SWW</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4.0</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w:t>
            </w:r>
            <w:r>
              <w:rPr>
                <w:rFonts w:hint="default" w:ascii="Times New Roman" w:hAnsi="Times New Roman" w:eastAsia="宋体" w:cs="Times New Roman"/>
                <w:i w:val="0"/>
                <w:color w:val="auto"/>
                <w:kern w:val="0"/>
                <w:sz w:val="21"/>
                <w:szCs w:val="21"/>
                <w:highlight w:val="none"/>
                <w:u w:val="none"/>
                <w:lang w:val="en-US" w:eastAsia="zh-CN" w:bidi="ar"/>
              </w:rPr>
              <w:t>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90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康民村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WS</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3.6</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居住区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高坪村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WS</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2.4</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居住</w:t>
            </w:r>
            <w:r>
              <w:rPr>
                <w:rFonts w:hint="default" w:ascii="Times New Roman" w:hAnsi="Times New Roman" w:eastAsia="宋体" w:cs="Times New Roman"/>
                <w:i w:val="0"/>
                <w:color w:val="auto"/>
                <w:kern w:val="0"/>
                <w:sz w:val="21"/>
                <w:szCs w:val="21"/>
                <w:highlight w:val="none"/>
                <w:u w:val="none"/>
                <w:lang w:val="en-US" w:eastAsia="zh-CN" w:bidi="ar"/>
              </w:rPr>
              <w:t>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65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白果村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SWW</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0.4</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居住区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580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尖山子村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S</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3.3</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居住</w:t>
            </w:r>
            <w:r>
              <w:rPr>
                <w:rFonts w:hint="default" w:ascii="Times New Roman" w:hAnsi="Times New Roman" w:eastAsia="宋体" w:cs="Times New Roman"/>
                <w:i w:val="0"/>
                <w:color w:val="auto"/>
                <w:kern w:val="0"/>
                <w:sz w:val="21"/>
                <w:szCs w:val="21"/>
                <w:highlight w:val="none"/>
                <w:u w:val="none"/>
                <w:lang w:val="en-US" w:eastAsia="zh-CN" w:bidi="ar"/>
              </w:rPr>
              <w:t>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280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小寨村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S</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0.7</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居住</w:t>
            </w:r>
            <w:r>
              <w:rPr>
                <w:rFonts w:hint="default" w:ascii="Times New Roman" w:hAnsi="Times New Roman" w:eastAsia="宋体" w:cs="Times New Roman"/>
                <w:i w:val="0"/>
                <w:color w:val="auto"/>
                <w:kern w:val="0"/>
                <w:sz w:val="21"/>
                <w:szCs w:val="21"/>
                <w:highlight w:val="none"/>
                <w:u w:val="none"/>
                <w:lang w:val="en-US" w:eastAsia="zh-CN" w:bidi="ar"/>
              </w:rPr>
              <w:t>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280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19</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黄粱村</w:t>
            </w:r>
          </w:p>
        </w:tc>
        <w:tc>
          <w:tcPr>
            <w:tcW w:w="642" w:type="pct"/>
            <w:noWrap w:val="0"/>
            <w:vAlign w:val="center"/>
          </w:tcPr>
          <w:p>
            <w:pPr>
              <w:pStyle w:val="468"/>
              <w:keepNext w:val="0"/>
              <w:keepLines w:val="0"/>
              <w:suppressLineNumbers w:val="0"/>
              <w:spacing w:before="0" w:beforeAutospacing="0" w:after="0" w:afterAutospacing="0" w:line="240" w:lineRule="auto"/>
              <w:ind w:left="0" w:leftChars="0" w:right="0" w:rightChars="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NE</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leftChars="0" w:right="0" w:rightChars="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1.9</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leftChars="0" w:right="0" w:rightChars="0"/>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居住区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leftChars="0" w:right="0" w:rightChars="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蝉池村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SSE</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2.9</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居</w:t>
            </w:r>
            <w:r>
              <w:rPr>
                <w:rFonts w:hint="default" w:ascii="Times New Roman" w:hAnsi="Times New Roman" w:eastAsia="宋体" w:cs="Times New Roman"/>
                <w:i w:val="0"/>
                <w:color w:val="auto"/>
                <w:kern w:val="0"/>
                <w:sz w:val="21"/>
                <w:szCs w:val="21"/>
                <w:highlight w:val="none"/>
                <w:u w:val="none"/>
                <w:lang w:val="en-US" w:eastAsia="zh-CN" w:bidi="ar"/>
              </w:rPr>
              <w:t>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190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观坪村</w:t>
            </w:r>
          </w:p>
        </w:tc>
        <w:tc>
          <w:tcPr>
            <w:tcW w:w="642"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SSE</w:t>
            </w:r>
          </w:p>
        </w:tc>
        <w:tc>
          <w:tcPr>
            <w:tcW w:w="759"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4.2</w:t>
            </w:r>
          </w:p>
        </w:tc>
        <w:tc>
          <w:tcPr>
            <w:tcW w:w="522" w:type="pct"/>
            <w:gridSpan w:val="2"/>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居住区</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200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3545" w:type="pct"/>
            <w:gridSpan w:val="7"/>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厂址周边500m范围内人口小计</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140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3545" w:type="pct"/>
            <w:gridSpan w:val="7"/>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厂址周边5km范围内人口小计</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4855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3545" w:type="pct"/>
            <w:gridSpan w:val="7"/>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大气环境敏感程度E值</w:t>
            </w:r>
          </w:p>
        </w:tc>
        <w:tc>
          <w:tcPr>
            <w:tcW w:w="896"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E</w:t>
            </w:r>
            <w:r>
              <w:rPr>
                <w:rFonts w:hint="eastAsia" w:ascii="Times New Roman" w:hAnsi="Times New Roman" w:cs="Times New Roman"/>
                <w:i w:val="0"/>
                <w:color w:val="auto"/>
                <w:kern w:val="0"/>
                <w:sz w:val="21"/>
                <w:szCs w:val="21"/>
                <w:highlight w:val="none"/>
                <w:u w:val="none"/>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restar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地表水</w:t>
            </w:r>
          </w:p>
        </w:tc>
        <w:tc>
          <w:tcPr>
            <w:tcW w:w="4442" w:type="pct"/>
            <w:gridSpan w:val="9"/>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受纳水体</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4"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442" w:type="pct"/>
            <w:gridSpan w:val="9"/>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本项目废水经自建污水处理设施处理达标后用于周围</w:t>
            </w:r>
            <w:r>
              <w:rPr>
                <w:rFonts w:hint="eastAsia" w:ascii="Times New Roman" w:hAnsi="Times New Roman" w:cs="Times New Roman"/>
                <w:i w:val="0"/>
                <w:color w:val="auto"/>
                <w:kern w:val="0"/>
                <w:sz w:val="21"/>
                <w:szCs w:val="21"/>
                <w:highlight w:val="none"/>
                <w:u w:val="none"/>
                <w:lang w:val="en-US" w:eastAsia="zh-CN" w:bidi="ar"/>
              </w:rPr>
              <w:t>农田</w:t>
            </w:r>
            <w:r>
              <w:rPr>
                <w:rFonts w:hint="eastAsia" w:ascii="Times New Roman" w:hAnsi="Times New Roman" w:eastAsia="宋体" w:cs="Times New Roman"/>
                <w:i w:val="0"/>
                <w:color w:val="auto"/>
                <w:kern w:val="0"/>
                <w:sz w:val="21"/>
                <w:szCs w:val="21"/>
                <w:highlight w:val="none"/>
                <w:u w:val="none"/>
                <w:lang w:val="en-US" w:eastAsia="zh-CN" w:bidi="ar"/>
              </w:rPr>
              <w:t>消纳，不外排</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442" w:type="pct"/>
            <w:gridSpan w:val="9"/>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敏感目标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序号</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敏感目标名称</w:t>
            </w:r>
          </w:p>
        </w:tc>
        <w:tc>
          <w:tcPr>
            <w:tcW w:w="880"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环境敏感特征</w:t>
            </w:r>
          </w:p>
        </w:tc>
        <w:tc>
          <w:tcPr>
            <w:tcW w:w="647"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水质目标</w:t>
            </w:r>
          </w:p>
        </w:tc>
        <w:tc>
          <w:tcPr>
            <w:tcW w:w="1292" w:type="pct"/>
            <w:gridSpan w:val="3"/>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与</w:t>
            </w:r>
            <w:r>
              <w:rPr>
                <w:rFonts w:hint="eastAsia" w:ascii="Times New Roman" w:hAnsi="Times New Roman" w:eastAsia="宋体" w:cs="Times New Roman"/>
                <w:b/>
                <w:bCs/>
                <w:i w:val="0"/>
                <w:color w:val="auto"/>
                <w:kern w:val="0"/>
                <w:sz w:val="21"/>
                <w:szCs w:val="21"/>
                <w:highlight w:val="none"/>
                <w:u w:val="none"/>
                <w:lang w:val="en-US" w:eastAsia="zh-CN" w:bidi="ar"/>
              </w:rPr>
              <w:t>厂</w:t>
            </w:r>
            <w:r>
              <w:rPr>
                <w:rFonts w:hint="default" w:ascii="Times New Roman" w:hAnsi="Times New Roman" w:eastAsia="宋体" w:cs="Times New Roman"/>
                <w:b/>
                <w:bCs/>
                <w:i w:val="0"/>
                <w:color w:val="auto"/>
                <w:kern w:val="0"/>
                <w:sz w:val="21"/>
                <w:szCs w:val="21"/>
                <w:highlight w:val="none"/>
                <w:u w:val="none"/>
                <w:lang w:val="en-US" w:eastAsia="zh-CN" w:bidi="ar"/>
              </w:rPr>
              <w:t>界距离/m</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罗地沟水库</w:t>
            </w:r>
          </w:p>
        </w:tc>
        <w:tc>
          <w:tcPr>
            <w:tcW w:w="880" w:type="pct"/>
            <w:gridSpan w:val="2"/>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灌溉</w:t>
            </w:r>
          </w:p>
        </w:tc>
        <w:tc>
          <w:tcPr>
            <w:tcW w:w="647"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Ⅲ类</w:t>
            </w:r>
          </w:p>
        </w:tc>
        <w:tc>
          <w:tcPr>
            <w:tcW w:w="1292" w:type="pct"/>
            <w:gridSpan w:val="3"/>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85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2</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eastAsia" w:cs="Times New Roman"/>
                <w:color w:val="auto"/>
                <w:sz w:val="21"/>
                <w:szCs w:val="21"/>
                <w:highlight w:val="none"/>
                <w:lang w:val="en-US" w:eastAsia="zh-CN"/>
              </w:rPr>
              <w:t>油坊沟</w:t>
            </w:r>
          </w:p>
        </w:tc>
        <w:tc>
          <w:tcPr>
            <w:tcW w:w="880"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季节性冲沟</w:t>
            </w:r>
          </w:p>
        </w:tc>
        <w:tc>
          <w:tcPr>
            <w:tcW w:w="647"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Ⅲ类</w:t>
            </w:r>
          </w:p>
        </w:tc>
        <w:tc>
          <w:tcPr>
            <w:tcW w:w="1292" w:type="pct"/>
            <w:gridSpan w:val="3"/>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254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3149" w:type="pct"/>
            <w:gridSpan w:val="6"/>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地表水环境敏感程度E值</w:t>
            </w:r>
          </w:p>
        </w:tc>
        <w:tc>
          <w:tcPr>
            <w:tcW w:w="1292" w:type="pct"/>
            <w:gridSpan w:val="3"/>
            <w:noWrap w:val="0"/>
            <w:vAlign w:val="center"/>
          </w:tcPr>
          <w:p>
            <w:pPr>
              <w:pStyle w:val="468"/>
              <w:keepNext w:val="0"/>
              <w:keepLines w:val="0"/>
              <w:suppressLineNumbers w:val="0"/>
              <w:spacing w:before="0" w:beforeAutospacing="0" w:after="0" w:afterAutospacing="0" w:line="240" w:lineRule="auto"/>
              <w:ind w:left="0" w:right="0"/>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E</w:t>
            </w:r>
            <w:r>
              <w:rPr>
                <w:rFonts w:hint="eastAsia" w:ascii="Times New Roman" w:hAnsi="Times New Roman" w:eastAsia="宋体" w:cs="Times New Roman"/>
                <w:i w:val="0"/>
                <w:color w:val="auto"/>
                <w:kern w:val="0"/>
                <w:sz w:val="21"/>
                <w:szCs w:val="21"/>
                <w:highlight w:val="none"/>
                <w:u w:val="none"/>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restar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地下水</w:t>
            </w:r>
          </w:p>
        </w:tc>
        <w:tc>
          <w:tcPr>
            <w:tcW w:w="437"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序号</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敏感目标名称</w:t>
            </w:r>
          </w:p>
        </w:tc>
        <w:tc>
          <w:tcPr>
            <w:tcW w:w="880"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环境敏感特征</w:t>
            </w:r>
          </w:p>
        </w:tc>
        <w:tc>
          <w:tcPr>
            <w:tcW w:w="647"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水质目标</w:t>
            </w:r>
          </w:p>
        </w:tc>
        <w:tc>
          <w:tcPr>
            <w:tcW w:w="635" w:type="pct"/>
            <w:gridSpan w:val="2"/>
            <w:tcBorders>
              <w:right w:val="single" w:color="auto" w:sz="4" w:space="0"/>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包气带防污性能</w:t>
            </w:r>
          </w:p>
        </w:tc>
        <w:tc>
          <w:tcPr>
            <w:tcW w:w="657" w:type="pct"/>
            <w:tcBorders>
              <w:left w:val="single" w:color="auto" w:sz="4" w:space="0"/>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与下游厂界距离/m</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437"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w:t>
            </w:r>
          </w:p>
        </w:tc>
        <w:tc>
          <w:tcPr>
            <w:tcW w:w="1184" w:type="pct"/>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周围农户地下水井</w:t>
            </w:r>
          </w:p>
        </w:tc>
        <w:tc>
          <w:tcPr>
            <w:tcW w:w="880"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G2</w:t>
            </w:r>
          </w:p>
        </w:tc>
        <w:tc>
          <w:tcPr>
            <w:tcW w:w="647" w:type="pct"/>
            <w:gridSpan w:val="2"/>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Ⅲ类</w:t>
            </w:r>
          </w:p>
        </w:tc>
        <w:tc>
          <w:tcPr>
            <w:tcW w:w="635" w:type="pct"/>
            <w:gridSpan w:val="2"/>
            <w:tcBorders>
              <w:right w:val="single" w:color="auto" w:sz="4" w:space="0"/>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D3</w:t>
            </w:r>
          </w:p>
        </w:tc>
        <w:tc>
          <w:tcPr>
            <w:tcW w:w="657" w:type="pct"/>
            <w:tcBorders>
              <w:left w:val="single" w:color="auto" w:sz="4" w:space="0"/>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557" w:type="pct"/>
            <w:vMerge w:val="continue"/>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p>
        </w:tc>
        <w:tc>
          <w:tcPr>
            <w:tcW w:w="3784" w:type="pct"/>
            <w:gridSpan w:val="8"/>
            <w:tcBorders>
              <w:right w:val="single" w:color="auto" w:sz="4" w:space="0"/>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地下水环境敏感程度E值</w:t>
            </w:r>
          </w:p>
        </w:tc>
        <w:tc>
          <w:tcPr>
            <w:tcW w:w="657" w:type="pct"/>
            <w:tcBorders>
              <w:left w:val="single" w:color="auto" w:sz="4" w:space="0"/>
            </w:tcBorders>
            <w:noWrap w:val="0"/>
            <w:vAlign w:val="center"/>
          </w:tcPr>
          <w:p>
            <w:pPr>
              <w:pStyle w:val="468"/>
              <w:keepNext w:val="0"/>
              <w:keepLines w:val="0"/>
              <w:suppressLineNumbers w:val="0"/>
              <w:spacing w:before="0" w:beforeAutospacing="0" w:after="0" w:afterAutospacing="0" w:line="240" w:lineRule="auto"/>
              <w:ind w:left="0" w:right="0"/>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E3</w:t>
            </w:r>
          </w:p>
        </w:tc>
      </w:tr>
    </w:tbl>
    <w:p>
      <w:pPr>
        <w:ind w:firstLine="480"/>
        <w:rPr>
          <w:rFonts w:hint="eastAsia"/>
          <w:color w:val="auto"/>
          <w:sz w:val="24"/>
          <w:szCs w:val="24"/>
          <w:highlight w:val="none"/>
        </w:rPr>
      </w:pPr>
      <w:r>
        <w:rPr>
          <w:rFonts w:hint="eastAsia"/>
          <w:color w:val="auto"/>
          <w:sz w:val="24"/>
          <w:szCs w:val="24"/>
          <w:highlight w:val="none"/>
        </w:rPr>
        <w:t>本项目位于</w:t>
      </w:r>
      <w:r>
        <w:rPr>
          <w:rFonts w:hint="eastAsia"/>
          <w:bCs/>
          <w:color w:val="auto"/>
          <w:sz w:val="24"/>
          <w:szCs w:val="24"/>
          <w:highlight w:val="none"/>
          <w:lang w:eastAsia="zh-CN"/>
        </w:rPr>
        <w:t>巴中市巴州区鼎山镇首市村</w:t>
      </w:r>
      <w:r>
        <w:rPr>
          <w:color w:val="auto"/>
          <w:sz w:val="24"/>
          <w:szCs w:val="24"/>
          <w:highlight w:val="none"/>
        </w:rPr>
        <w:t>，</w:t>
      </w:r>
      <w:r>
        <w:rPr>
          <w:rFonts w:hint="eastAsia"/>
          <w:color w:val="auto"/>
          <w:sz w:val="24"/>
          <w:szCs w:val="24"/>
          <w:highlight w:val="none"/>
        </w:rPr>
        <w:t>大气环境敏感程度为E</w:t>
      </w:r>
      <w:r>
        <w:rPr>
          <w:rFonts w:hint="eastAsia"/>
          <w:color w:val="auto"/>
          <w:sz w:val="24"/>
          <w:szCs w:val="24"/>
          <w:highlight w:val="none"/>
          <w:lang w:val="en-US" w:eastAsia="zh-CN"/>
        </w:rPr>
        <w:t>3</w:t>
      </w:r>
      <w:r>
        <w:rPr>
          <w:rFonts w:hint="eastAsia"/>
          <w:color w:val="auto"/>
          <w:sz w:val="24"/>
          <w:szCs w:val="24"/>
          <w:highlight w:val="none"/>
        </w:rPr>
        <w:t>环境</w:t>
      </w:r>
      <w:r>
        <w:rPr>
          <w:rFonts w:hint="eastAsia"/>
          <w:color w:val="auto"/>
          <w:sz w:val="24"/>
          <w:szCs w:val="24"/>
          <w:highlight w:val="none"/>
          <w:lang w:eastAsia="zh-CN"/>
        </w:rPr>
        <w:t>低</w:t>
      </w:r>
      <w:r>
        <w:rPr>
          <w:rFonts w:hint="eastAsia"/>
          <w:color w:val="auto"/>
          <w:sz w:val="24"/>
          <w:szCs w:val="24"/>
          <w:highlight w:val="none"/>
        </w:rPr>
        <w:t>度敏感区，地表水环境敏感程度为E</w:t>
      </w:r>
      <w:r>
        <w:rPr>
          <w:rFonts w:hint="eastAsia"/>
          <w:color w:val="auto"/>
          <w:sz w:val="24"/>
          <w:szCs w:val="24"/>
          <w:highlight w:val="none"/>
          <w:lang w:val="en-US" w:eastAsia="zh-CN"/>
        </w:rPr>
        <w:t>3</w:t>
      </w:r>
      <w:r>
        <w:rPr>
          <w:rFonts w:hint="eastAsia"/>
          <w:color w:val="auto"/>
          <w:sz w:val="24"/>
          <w:szCs w:val="24"/>
          <w:highlight w:val="none"/>
        </w:rPr>
        <w:t>环境</w:t>
      </w:r>
      <w:r>
        <w:rPr>
          <w:rFonts w:hint="eastAsia"/>
          <w:color w:val="auto"/>
          <w:sz w:val="24"/>
          <w:szCs w:val="24"/>
          <w:highlight w:val="none"/>
          <w:lang w:eastAsia="zh-CN"/>
        </w:rPr>
        <w:t>低</w:t>
      </w:r>
      <w:r>
        <w:rPr>
          <w:rFonts w:hint="eastAsia"/>
          <w:color w:val="auto"/>
          <w:sz w:val="24"/>
          <w:szCs w:val="24"/>
          <w:highlight w:val="none"/>
        </w:rPr>
        <w:t>度敏感区，地下水环境敏感程度为E3环境低度敏感区。</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color w:val="auto"/>
          <w:highlight w:val="none"/>
        </w:rPr>
      </w:pPr>
      <w:bookmarkStart w:id="266" w:name="_Toc29221878"/>
      <w:bookmarkStart w:id="267" w:name="_Toc32133"/>
      <w:r>
        <w:rPr>
          <w:rFonts w:hint="eastAsia" w:ascii="Times New Roman" w:hAnsi="Times New Roman" w:eastAsia="宋体" w:cs="Times New Roman"/>
          <w:color w:val="auto"/>
          <w:highlight w:val="none"/>
          <w:lang w:val="en-US" w:eastAsia="zh-CN"/>
        </w:rPr>
        <w:t>环境风险分析</w:t>
      </w:r>
      <w:bookmarkEnd w:id="266"/>
      <w:bookmarkEnd w:id="267"/>
    </w:p>
    <w:p>
      <w:pPr>
        <w:pStyle w:val="9"/>
        <w:rPr>
          <w:rFonts w:cs="Times New Roman"/>
          <w:color w:val="auto"/>
          <w:highlight w:val="none"/>
        </w:rPr>
      </w:pPr>
      <w:r>
        <w:rPr>
          <w:rFonts w:hint="eastAsia" w:cs="Times New Roman"/>
          <w:color w:val="auto"/>
          <w:highlight w:val="none"/>
        </w:rPr>
        <w:t>环境风险分析</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本项目没有重大危险源，根据</w:t>
      </w:r>
      <w:r>
        <w:rPr>
          <w:rFonts w:ascii="Times New Roman" w:hAnsi="Times New Roman" w:eastAsia="宋体" w:cs="Times New Roman"/>
          <w:color w:val="auto"/>
          <w:sz w:val="24"/>
          <w:szCs w:val="24"/>
          <w:highlight w:val="none"/>
        </w:rPr>
        <w:t>《建设项目环境风险评价技术导则》（HJ169-2018）</w:t>
      </w:r>
      <w:r>
        <w:rPr>
          <w:rFonts w:hint="eastAsia" w:ascii="Times New Roman" w:hAnsi="Times New Roman" w:eastAsia="宋体" w:cs="Times New Roman"/>
          <w:color w:val="auto"/>
          <w:sz w:val="24"/>
          <w:szCs w:val="24"/>
          <w:highlight w:val="none"/>
        </w:rPr>
        <w:t>，环境风险评价等级为简单分析，本次评价针对项目可能存在的环境风险事故影响进行简要分析。</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1、柴油运输及储运风险分析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本项目需外购柴油，在运输途中可能因翻车、撞车造成柴油泄漏，以及造成对周围设施的污染事故的发生。</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设有柴油发电机房，项目柴油发电机（包括柴油发电机房储油桶）一旦因不可预见因素导致油桶破裂发生泄漏事故容易造成地下水污染。地下水遭到成品油的污染后将使小范围地下水产生严重异味，并具有较强的致畸致癌性。此外，成品油渗漏必然穿过较厚的土壤层，使土壤层中吸附大量的燃料油，土壤层吸附的燃料油不仅会造成植物生物的死亡，而且土壤层吸附的燃料油还会随着地表水的下渗对土壤层的冲刷作用补充到地下水，即便污染源得到及时控制，被污染的地下水和土壤要完全恢复也需要较长时间。但本项目柴油储存量较小，同时储油桶周边设置围堰，地面采取防渗措施，能够将柴油发生泄漏后对周围环境的污染风险降至最低。</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2、沼气泄漏事故影响分析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（1）泄漏情况分析：沼气泄漏时主要成分为，甲烷（CH</w:t>
      </w:r>
      <w:r>
        <w:rPr>
          <w:rFonts w:hint="eastAsia" w:ascii="Times New Roman" w:hAnsi="Times New Roman" w:eastAsia="宋体" w:cs="Times New Roman"/>
          <w:color w:val="auto"/>
          <w:sz w:val="24"/>
          <w:szCs w:val="24"/>
          <w:highlight w:val="none"/>
          <w:vertAlign w:val="subscript"/>
        </w:rPr>
        <w:t>4</w:t>
      </w:r>
      <w:r>
        <w:rPr>
          <w:rFonts w:hint="eastAsia" w:ascii="Times New Roman" w:hAnsi="Times New Roman" w:eastAsia="宋体" w:cs="Times New Roman"/>
          <w:color w:val="auto"/>
          <w:sz w:val="24"/>
          <w:szCs w:val="24"/>
          <w:highlight w:val="none"/>
        </w:rPr>
        <w:t>），密度较小，极易扩散，只会对近距离的大气环境造成短时间的影响。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（2）燃烧情况分析：沼气泄漏时若遇到明火，引发的火灾事故可在短时间内产生大量的烟气。由于主要成分是甲烷，燃烧反应生成物主要为水和CO</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，对大气环境影响较小。</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（3）爆炸情况分析：由于安全措施的设置，爆炸的几率很小，爆炸的瞬间，由于冲击波的冲击，土层被掀起，产生一定量的粉尘，对近距离的大气环境造成短时间的影响。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（4）事故后对水环境的影响</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因工程处理的物料为沼气，其泄漏不会影响周围的水体。但是一旦发生火灾爆炸，会产生大量消防废水，同时会产生大量燃烧废物，若不及时清理，有毒有害物质易随雨水进入河道，对地表水体造成污染。</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（5）事故后对声环境的影响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发生泄漏、火灾爆炸后，消防车辆会产生交通噪声，现场指挥、对周围村庄预警等会产生社会噪声。</w:t>
      </w:r>
    </w:p>
    <w:p>
      <w:pPr>
        <w:spacing w:line="360" w:lineRule="auto"/>
        <w:ind w:firstLine="480" w:firstLineChars="200"/>
        <w:rPr>
          <w:rFonts w:hint="eastAsia" w:ascii="Times New Roman" w:hAnsi="Times New Roman" w:eastAsia="宋体" w:cs="Times New Roman"/>
          <w:b w:val="0"/>
          <w:bCs w:val="0"/>
          <w:color w:val="auto"/>
          <w:sz w:val="24"/>
          <w:szCs w:val="24"/>
          <w:highlight w:val="none"/>
        </w:rPr>
      </w:pPr>
      <w:r>
        <w:rPr>
          <w:rFonts w:hint="eastAsia" w:ascii="Times New Roman" w:hAnsi="Times New Roman" w:eastAsia="宋体" w:cs="Times New Roman"/>
          <w:b w:val="0"/>
          <w:bCs w:val="0"/>
          <w:color w:val="auto"/>
          <w:sz w:val="24"/>
          <w:szCs w:val="24"/>
          <w:highlight w:val="none"/>
        </w:rPr>
        <w:t>（6）事故后产生的固废影响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发生火灾爆炸后，会有生产设备、房屋的破坏等，产生一定量的建筑垃圾和废弃设备，对环境造成一定的影响。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（7）事故后对生态环境的影响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发生火灾爆炸后，场区内部及周边地表植被遭到烧毁或踩踏，会对生态环境产生的一定影响。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（8）事故对其他环境的影响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在沼气泄漏量较少，由于沼气比重比空气小，所以一旦泄漏，会很快散发，只会对附近的大气产生短时间的影响，其燃烧的热辐射范围有限，对周围人群和动植物影响不大；但在泄漏量较大，燃烧产生的热辐射影响范围较大，并有可能导致场内来不及撤离的人员发生伤亡事故，造成动植物的死亡。因此，建设单位在设计中，场址远离人群密集区域，并建立相应的应急措施。一旦发生沼气泄漏能及时得到控制，将危害损失降到最小。</w:t>
      </w:r>
    </w:p>
    <w:p>
      <w:pPr>
        <w:spacing w:line="360" w:lineRule="auto"/>
        <w:ind w:firstLine="482" w:firstLineChars="200"/>
        <w:rPr>
          <w:rFonts w:hint="eastAsia"/>
          <w:color w:val="auto"/>
          <w:highlight w:val="none"/>
        </w:rPr>
      </w:pPr>
      <w:r>
        <w:rPr>
          <w:rFonts w:hint="eastAsia" w:ascii="Times New Roman" w:hAnsi="Times New Roman" w:eastAsia="宋体" w:cs="Times New Roman"/>
          <w:b/>
          <w:color w:val="auto"/>
          <w:sz w:val="24"/>
          <w:szCs w:val="24"/>
          <w:highlight w:val="none"/>
        </w:rPr>
        <w:t>3、</w:t>
      </w:r>
      <w:r>
        <w:rPr>
          <w:rFonts w:hint="eastAsia" w:ascii="Times New Roman" w:hAnsi="Times New Roman" w:eastAsia="宋体" w:cs="Times New Roman"/>
          <w:b/>
          <w:color w:val="auto"/>
          <w:sz w:val="24"/>
          <w:szCs w:val="24"/>
          <w:highlight w:val="none"/>
          <w:lang w:eastAsia="zh-CN"/>
        </w:rPr>
        <w:t>过氧乙酸</w:t>
      </w:r>
      <w:r>
        <w:rPr>
          <w:rFonts w:hint="eastAsia" w:ascii="Times New Roman" w:hAnsi="Times New Roman" w:eastAsia="宋体" w:cs="Times New Roman"/>
          <w:b/>
          <w:color w:val="auto"/>
          <w:sz w:val="24"/>
          <w:szCs w:val="24"/>
          <w:highlight w:val="none"/>
        </w:rPr>
        <w:t>泄漏影响分析</w:t>
      </w:r>
    </w:p>
    <w:p>
      <w:pPr>
        <w:pStyle w:val="114"/>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过氧乙酸具有一定的毒性和很强的腐蚀性，对皮肤和眼睛有强烈的刺激性，对皮肤可发生严重灼伤，眼直接接触液体可导致不可逆损伤甚至失明，吞咽可致命，吸进其蒸气，能导致对呼吸道的刺激和损害。</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lang w:val="en-US" w:eastAsia="zh-CN"/>
        </w:rPr>
        <w:t>4</w:t>
      </w:r>
      <w:r>
        <w:rPr>
          <w:rFonts w:hint="eastAsia" w:ascii="Times New Roman" w:hAnsi="Times New Roman" w:eastAsia="宋体" w:cs="Times New Roman"/>
          <w:b/>
          <w:color w:val="auto"/>
          <w:sz w:val="24"/>
          <w:szCs w:val="24"/>
          <w:highlight w:val="none"/>
        </w:rPr>
        <w:t>、粪污事故泄漏影响分析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（1）储存池事故风险分析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污水处理站处理后的废水在非灌溉期于场内灌溉储存池中暂存，当储存池等污水处理各构筑物发生故障渗漏时，未处理的污水直接渗入到周边农用地，由于废水中高浓度的有机物和氨氮会使土壤环境质量严重恶化，并可能通过雨水径流进入周边地表水体。根据工程分析可知，项目运营期综合废水水质有机质含量较高，根据项目非正常泄漏对周围地下水环境的影响预测分析，如出现污水事故排放（污水处理单元发生泄漏）将对地下水造成污染，从而进一步影响土壤及地表水。储存池可能的风险：</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①渗漏风险分析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储存池需采取重点防渗，以防止污染地下水，同时各废水输送管道应做到防泄露、跑冒等，常情况下可以防止池内水下渗对地下水的污染。</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经过上述处理后，不存在废水下渗污染地下水和土壤的风险。</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②暴雨天气溢出的风险分析</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废水储存池采用半地埋式设计，且周边修筑挡墙，从而消除了周边区域雨水的汇入，因此废水储存池雨天溢出的风险主要来自于直接降入池中的雨水。根据现场踏勘和建设单位提供的设计资料，项目选址于山顶，不会出现淹没风险。但如果场地雨水排水系统做得不好，会造成场地积水，雨水进入污水处理各构筑物或粪肥储存间，造成污水处理各构筑物污水溢流，或对粪肥储存间冲刷，造成粪污污染物外泄，从而对周边地表水体造成不利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（2）废水贮存事故风险分析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正常情况下在非雨季，项目废水经处理后的废水用于还田；在雨季，废水由厂区内废水储存池暂时贮存，不外排。事故排放指污水处理站管道出现泄漏、污水处理站故障，废水未经处理排入地表水体短期内将使收纳水体污染物浓度升高。</w:t>
      </w:r>
    </w:p>
    <w:p>
      <w:pPr>
        <w:wordWrap w:val="0"/>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本项目为污水处理工程建设配套事故应急池，在废水处理设施检修或出现故障时，废水暂时收集存放在事故应急池中；场址内设有事故池1座，位于项目</w:t>
      </w:r>
      <w:r>
        <w:rPr>
          <w:rFonts w:hint="eastAsia" w:ascii="Times New Roman" w:hAnsi="Times New Roman" w:eastAsia="宋体" w:cs="Times New Roman"/>
          <w:color w:val="auto"/>
          <w:sz w:val="24"/>
          <w:szCs w:val="24"/>
          <w:highlight w:val="none"/>
          <w:lang w:eastAsia="zh-CN"/>
        </w:rPr>
        <w:t>南</w:t>
      </w:r>
      <w:r>
        <w:rPr>
          <w:rFonts w:hint="eastAsia" w:ascii="Times New Roman" w:hAnsi="Times New Roman" w:eastAsia="宋体" w:cs="Times New Roman"/>
          <w:color w:val="auto"/>
          <w:sz w:val="24"/>
          <w:szCs w:val="24"/>
          <w:highlight w:val="none"/>
        </w:rPr>
        <w:t>侧，容积</w:t>
      </w:r>
      <w:r>
        <w:rPr>
          <w:rFonts w:hint="eastAsia" w:ascii="Times New Roman" w:hAnsi="Times New Roman" w:eastAsia="宋体" w:cs="Times New Roman"/>
          <w:color w:val="auto"/>
          <w:sz w:val="24"/>
          <w:szCs w:val="24"/>
          <w:highlight w:val="none"/>
          <w:lang w:val="en-US" w:eastAsia="zh-CN"/>
        </w:rPr>
        <w:t>20</w:t>
      </w:r>
      <w:r>
        <w:rPr>
          <w:rFonts w:hint="eastAsia" w:ascii="Times New Roman" w:hAnsi="Times New Roman" w:eastAsia="宋体" w:cs="Times New Roman"/>
          <w:color w:val="auto"/>
          <w:sz w:val="24"/>
          <w:szCs w:val="24"/>
          <w:highlight w:val="none"/>
        </w:rPr>
        <w:t>00m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；考虑一般污水处理设施故障一周内便可解决，环评要求废水事故池容积满足存放项目</w:t>
      </w:r>
      <w:r>
        <w:rPr>
          <w:rFonts w:ascii="Times New Roman" w:hAnsi="Times New Roman" w:eastAsia="宋体" w:cs="Times New Roman"/>
          <w:color w:val="auto"/>
          <w:sz w:val="24"/>
          <w:szCs w:val="24"/>
          <w:highlight w:val="none"/>
        </w:rPr>
        <w:t>7</w:t>
      </w:r>
      <w:r>
        <w:rPr>
          <w:rFonts w:hint="eastAsia" w:ascii="Times New Roman" w:hAnsi="Times New Roman" w:eastAsia="宋体" w:cs="Times New Roman"/>
          <w:color w:val="auto"/>
          <w:sz w:val="24"/>
          <w:szCs w:val="24"/>
          <w:highlight w:val="none"/>
        </w:rPr>
        <w:t>天产生的废水量（</w:t>
      </w:r>
      <w:r>
        <w:rPr>
          <w:rFonts w:hint="eastAsia" w:ascii="Times New Roman" w:hAnsi="Times New Roman" w:eastAsia="宋体" w:cs="Times New Roman"/>
          <w:color w:val="auto"/>
          <w:sz w:val="24"/>
          <w:szCs w:val="24"/>
          <w:highlight w:val="none"/>
          <w:lang w:val="en-US" w:eastAsia="zh-CN"/>
        </w:rPr>
        <w:t>1741.31</w:t>
      </w:r>
      <w:r>
        <w:rPr>
          <w:rFonts w:hint="eastAsia" w:ascii="Times New Roman" w:hAnsi="Times New Roman" w:eastAsia="宋体" w:cs="Times New Roman"/>
          <w:color w:val="auto"/>
          <w:sz w:val="24"/>
          <w:szCs w:val="24"/>
          <w:highlight w:val="none"/>
        </w:rPr>
        <w:t>m³），本项目设置的</w:t>
      </w:r>
      <w:r>
        <w:rPr>
          <w:rFonts w:hint="eastAsia" w:ascii="Times New Roman" w:hAnsi="Times New Roman" w:eastAsia="宋体" w:cs="Times New Roman"/>
          <w:color w:val="auto"/>
          <w:sz w:val="24"/>
          <w:szCs w:val="24"/>
          <w:highlight w:val="none"/>
          <w:lang w:val="en-US" w:eastAsia="zh-CN"/>
        </w:rPr>
        <w:t>2000</w:t>
      </w:r>
      <w:r>
        <w:rPr>
          <w:rFonts w:hint="eastAsia" w:ascii="Times New Roman" w:hAnsi="Times New Roman" w:eastAsia="宋体" w:cs="Times New Roman"/>
          <w:color w:val="auto"/>
          <w:sz w:val="24"/>
          <w:szCs w:val="24"/>
          <w:highlight w:val="none"/>
        </w:rPr>
        <w:t>m³事故应急池&gt;能够满足暂存要求。当发生事故或非正常工况排水时，废水在应急池中临时贮存，待事故解除后重新处理。本项目最近地表水体为</w:t>
      </w:r>
      <w:r>
        <w:rPr>
          <w:rFonts w:hint="eastAsia" w:ascii="Times New Roman" w:hAnsi="Times New Roman" w:eastAsia="宋体" w:cs="Times New Roman"/>
          <w:color w:val="auto"/>
          <w:sz w:val="24"/>
          <w:szCs w:val="24"/>
          <w:highlight w:val="none"/>
          <w:lang w:eastAsia="zh-CN"/>
        </w:rPr>
        <w:t>罗地沟</w:t>
      </w:r>
      <w:r>
        <w:rPr>
          <w:rFonts w:hint="eastAsia" w:ascii="Times New Roman" w:hAnsi="Times New Roman" w:eastAsia="宋体" w:cs="Times New Roman"/>
          <w:color w:val="auto"/>
          <w:sz w:val="24"/>
          <w:szCs w:val="24"/>
          <w:highlight w:val="none"/>
        </w:rPr>
        <w:t>水库，位于项目</w:t>
      </w:r>
      <w:r>
        <w:rPr>
          <w:rFonts w:hint="eastAsia" w:ascii="Times New Roman" w:hAnsi="Times New Roman" w:eastAsia="宋体" w:cs="Times New Roman"/>
          <w:color w:val="auto"/>
          <w:sz w:val="24"/>
          <w:szCs w:val="24"/>
          <w:highlight w:val="none"/>
          <w:lang w:eastAsia="zh-CN"/>
        </w:rPr>
        <w:t>南侧</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污水处理站与水库</w:t>
      </w:r>
      <w:r>
        <w:rPr>
          <w:rFonts w:hint="eastAsia" w:ascii="Times New Roman" w:hAnsi="Times New Roman" w:eastAsia="宋体" w:cs="Times New Roman"/>
          <w:color w:val="auto"/>
          <w:sz w:val="24"/>
          <w:szCs w:val="24"/>
          <w:highlight w:val="none"/>
        </w:rPr>
        <w:t>中间区域有</w:t>
      </w:r>
      <w:r>
        <w:rPr>
          <w:rFonts w:hint="eastAsia" w:ascii="Times New Roman" w:hAnsi="Times New Roman" w:eastAsia="宋体" w:cs="Times New Roman"/>
          <w:color w:val="auto"/>
          <w:sz w:val="24"/>
          <w:szCs w:val="24"/>
          <w:highlight w:val="none"/>
          <w:lang w:eastAsia="zh-CN"/>
        </w:rPr>
        <w:t>大面积的林地</w:t>
      </w:r>
      <w:r>
        <w:rPr>
          <w:rFonts w:hint="eastAsia" w:ascii="Times New Roman" w:hAnsi="Times New Roman" w:eastAsia="宋体" w:cs="Times New Roman"/>
          <w:color w:val="auto"/>
          <w:sz w:val="24"/>
          <w:szCs w:val="24"/>
          <w:highlight w:val="none"/>
        </w:rPr>
        <w:t>相隔，且，通过表层土的吸收、降解及自然蒸发，</w:t>
      </w:r>
      <w:r>
        <w:rPr>
          <w:rFonts w:hint="eastAsia" w:ascii="Times New Roman" w:hAnsi="Times New Roman" w:eastAsia="宋体" w:cs="Times New Roman"/>
          <w:color w:val="auto"/>
          <w:sz w:val="24"/>
          <w:szCs w:val="24"/>
          <w:highlight w:val="none"/>
          <w:lang w:eastAsia="zh-CN"/>
        </w:rPr>
        <w:t>废水</w:t>
      </w:r>
      <w:r>
        <w:rPr>
          <w:rFonts w:hint="eastAsia" w:ascii="Times New Roman" w:hAnsi="Times New Roman" w:eastAsia="宋体" w:cs="Times New Roman"/>
          <w:color w:val="auto"/>
          <w:sz w:val="24"/>
          <w:szCs w:val="24"/>
          <w:highlight w:val="none"/>
        </w:rPr>
        <w:t>不会流入项目附近水库。</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w:t>
      </w:r>
      <w:r>
        <w:rPr>
          <w:rFonts w:hint="eastAsia" w:ascii="Times New Roman" w:hAnsi="Times New Roman" w:eastAsia="宋体" w:cs="Times New Roman"/>
          <w:color w:val="auto"/>
          <w:sz w:val="24"/>
          <w:szCs w:val="24"/>
          <w:highlight w:val="none"/>
          <w:lang w:eastAsia="zh-CN"/>
        </w:rPr>
        <w:t>尾水</w:t>
      </w:r>
      <w:r>
        <w:rPr>
          <w:rFonts w:hint="eastAsia" w:ascii="Times New Roman" w:hAnsi="Times New Roman" w:eastAsia="宋体" w:cs="Times New Roman"/>
          <w:color w:val="auto"/>
          <w:sz w:val="24"/>
          <w:szCs w:val="24"/>
          <w:highlight w:val="none"/>
        </w:rPr>
        <w:t>储存池采用HDPE+混凝土进行防渗，且储存池容积建设的较大，储存池容积</w:t>
      </w:r>
      <w:r>
        <w:rPr>
          <w:rFonts w:hint="eastAsia" w:ascii="Times New Roman" w:hAnsi="Times New Roman" w:eastAsia="宋体" w:cs="Times New Roman"/>
          <w:color w:val="auto"/>
          <w:sz w:val="24"/>
          <w:szCs w:val="24"/>
          <w:highlight w:val="none"/>
          <w:lang w:eastAsia="zh-CN"/>
        </w:rPr>
        <w:t>为</w:t>
      </w:r>
      <w:r>
        <w:rPr>
          <w:rFonts w:hint="eastAsia" w:ascii="Times New Roman" w:hAnsi="Times New Roman" w:eastAsia="宋体" w:cs="Times New Roman"/>
          <w:color w:val="auto"/>
          <w:sz w:val="24"/>
          <w:szCs w:val="24"/>
          <w:highlight w:val="none"/>
          <w:lang w:val="en-US" w:eastAsia="zh-CN"/>
        </w:rPr>
        <w:t>30</w:t>
      </w:r>
      <w:r>
        <w:rPr>
          <w:rFonts w:hint="eastAsia" w:ascii="Times New Roman" w:hAnsi="Times New Roman" w:eastAsia="宋体" w:cs="Times New Roman"/>
          <w:color w:val="auto"/>
          <w:sz w:val="24"/>
          <w:szCs w:val="24"/>
          <w:highlight w:val="none"/>
        </w:rPr>
        <w:t>天的</w:t>
      </w:r>
      <w:r>
        <w:rPr>
          <w:rFonts w:hint="eastAsia" w:ascii="Times New Roman" w:hAnsi="Times New Roman" w:eastAsia="宋体" w:cs="Times New Roman"/>
          <w:color w:val="auto"/>
          <w:sz w:val="24"/>
          <w:szCs w:val="24"/>
          <w:highlight w:val="none"/>
          <w:lang w:eastAsia="zh-CN"/>
        </w:rPr>
        <w:t>废水</w:t>
      </w:r>
      <w:r>
        <w:rPr>
          <w:rFonts w:hint="eastAsia" w:ascii="Times New Roman" w:hAnsi="Times New Roman" w:eastAsia="宋体" w:cs="Times New Roman"/>
          <w:color w:val="auto"/>
          <w:sz w:val="24"/>
          <w:szCs w:val="24"/>
          <w:highlight w:val="none"/>
        </w:rPr>
        <w:t>储存量，因此本项目储存池泄漏的可能性非常小。</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针对废水储存事故的风险，建设单位应对场内沼液储存池应严格按照规范进行设计，做好防渗、防漏工程，同时输送管道严防跑、冒、滴、漏等，防止污水渗漏。加强相关操作人员及管理人员的培训管理，成立事故处理组织，一旦发生管线泄漏、防渗层破裂，应立即组织人力、物力、财力加紧进行维修，同时进行废水拦截、回收、转移，最大限度的减少沼液的排放量，避免对环境产生影响。</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lang w:val="en-US" w:eastAsia="zh-CN"/>
        </w:rPr>
        <w:t>5</w:t>
      </w:r>
      <w:r>
        <w:rPr>
          <w:rFonts w:hint="eastAsia" w:ascii="Times New Roman" w:hAnsi="Times New Roman" w:eastAsia="宋体" w:cs="Times New Roman"/>
          <w:b/>
          <w:color w:val="auto"/>
          <w:sz w:val="24"/>
          <w:szCs w:val="24"/>
          <w:highlight w:val="none"/>
        </w:rPr>
        <w:t>、动物疾病、疫情风险影响分析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动物疫病是由某种特定病原体引起的，包括有致病性的细菌、病毒、真菌、螺旋体、霉形体、衣原体、立克次氏体、放线菌等微生物感染动物而引起的传染病和有病原性蠕虫、原虫、节肢动物感染或侵袭动物而引起的寄生虫病。动物疫病严重危害养殖业生产，导致养殖动物死亡率升高，直接造成严重的经济损失，特别是流行性、群发性疫病，更是会给养殖企业造成严重的经济损失。动物疫病还会造成动物生产性能和畜产品品质的下降，并增加动物饲料消耗、人工费用、防治费用等养殖成本，使养殖企业利润受损。对于出口型养殖企业，还会造成出口动物源性食品因动物疫病问题而被退货、销毁甚至封关。同时，随着病毒的发展演化，产生了许多人畜共患病，给人类健康带来严重威胁。目前肉牛养殖业主要疫情为炭疽疫等。</w:t>
      </w:r>
    </w:p>
    <w:p>
      <w:pPr>
        <w:pStyle w:val="9"/>
        <w:rPr>
          <w:rFonts w:cs="Times New Roman"/>
          <w:color w:val="auto"/>
          <w:highlight w:val="none"/>
        </w:rPr>
      </w:pPr>
      <w:r>
        <w:rPr>
          <w:rFonts w:hint="eastAsia" w:cs="Times New Roman"/>
          <w:color w:val="auto"/>
          <w:highlight w:val="none"/>
        </w:rPr>
        <w:t>环境风险管理措施及应急要求</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1、柴油燃爆风险防范措施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本项目柴油的储运，应严格按照国家、行业相关规定执行，需采取的防范措施主要包括：</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（1）柴油发电机房的建设满足防火要求，防火间距、消防通道、消防设施等满足要求。</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（2）柴油发电机房储油桶与周围建筑物之间有足够的防火距离。</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（3）柴油发电机房储油桶周围设置防火堤，防止因物料泄漏而引起流淌火或二次危害。</w:t>
      </w:r>
    </w:p>
    <w:p>
      <w:pPr>
        <w:wordWrap w:val="0"/>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（4）柴油发电机房以及储油</w:t>
      </w:r>
      <w:r>
        <w:rPr>
          <w:rFonts w:hint="eastAsia" w:ascii="Times New Roman" w:hAnsi="Times New Roman" w:eastAsia="宋体" w:cs="Times New Roman"/>
          <w:color w:val="auto"/>
          <w:sz w:val="24"/>
          <w:szCs w:val="24"/>
          <w:highlight w:val="none"/>
        </w:rPr>
        <w:t>桶</w:t>
      </w:r>
      <w:r>
        <w:rPr>
          <w:rFonts w:ascii="Times New Roman" w:hAnsi="Times New Roman" w:eastAsia="宋体" w:cs="Times New Roman"/>
          <w:color w:val="auto"/>
          <w:sz w:val="24"/>
          <w:szCs w:val="24"/>
          <w:highlight w:val="none"/>
        </w:rPr>
        <w:t>的地面必须做重点防渗处理（地面采取粘土铺底，敷设2mm后的HDPE膜，再在上层铺10~15cm的水泥进行硬化），使柴油发电机（包括柴油发电机房储油桶）防渗达到等效黏土防渗层Mb≥6.0m，K≤1.0×10</w:t>
      </w:r>
      <w:r>
        <w:rPr>
          <w:rFonts w:ascii="Times New Roman" w:hAnsi="Times New Roman" w:eastAsia="宋体" w:cs="Times New Roman"/>
          <w:color w:val="auto"/>
          <w:sz w:val="24"/>
          <w:szCs w:val="24"/>
          <w:highlight w:val="none"/>
          <w:vertAlign w:val="superscript"/>
        </w:rPr>
        <w:t>-7</w:t>
      </w:r>
      <w:r>
        <w:rPr>
          <w:rFonts w:ascii="Times New Roman" w:hAnsi="Times New Roman" w:eastAsia="宋体" w:cs="Times New Roman"/>
          <w:color w:val="auto"/>
          <w:sz w:val="24"/>
          <w:szCs w:val="24"/>
          <w:highlight w:val="none"/>
        </w:rPr>
        <w:t>cm/s。</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5</w:t>
      </w:r>
      <w:r>
        <w:rPr>
          <w:rFonts w:hint="eastAsia" w:ascii="Times New Roman" w:hAnsi="Times New Roman" w:eastAsia="宋体" w:cs="Times New Roman"/>
          <w:color w:val="auto"/>
          <w:sz w:val="24"/>
          <w:szCs w:val="24"/>
          <w:highlight w:val="none"/>
        </w:rPr>
        <w:t>）柴油发电机以及储油桶下面必须添加集油盘收集发电机跑冒和渗漏出来的机油和柴油，减少对外环境的影响。</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6</w:t>
      </w:r>
      <w:r>
        <w:rPr>
          <w:rFonts w:hint="eastAsia" w:ascii="Times New Roman" w:hAnsi="Times New Roman" w:eastAsia="宋体" w:cs="Times New Roman"/>
          <w:color w:val="auto"/>
          <w:sz w:val="24"/>
          <w:szCs w:val="24"/>
          <w:highlight w:val="none"/>
        </w:rPr>
        <w:t>）柴油发电机房以及储油桶应按相关规定设置消防器材，配置干粉泡沫化学灭火器。</w:t>
      </w:r>
    </w:p>
    <w:p>
      <w:pPr>
        <w:spacing w:line="360" w:lineRule="auto"/>
        <w:ind w:firstLine="482" w:firstLineChars="200"/>
        <w:rPr>
          <w:rFonts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2、沼气泄漏事故风险防范措施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根据工程设计，建设单位拟在</w:t>
      </w:r>
      <w:r>
        <w:rPr>
          <w:rFonts w:hint="eastAsia" w:ascii="Times New Roman" w:hAnsi="Times New Roman" w:eastAsia="宋体" w:cs="Times New Roman"/>
          <w:color w:val="auto"/>
          <w:sz w:val="24"/>
          <w:szCs w:val="24"/>
          <w:highlight w:val="none"/>
          <w:lang w:eastAsia="zh-CN"/>
        </w:rPr>
        <w:t>双膜储气袋</w:t>
      </w:r>
      <w:r>
        <w:rPr>
          <w:rFonts w:hint="eastAsia" w:ascii="Times New Roman" w:hAnsi="Times New Roman" w:eastAsia="宋体" w:cs="Times New Roman"/>
          <w:color w:val="auto"/>
          <w:sz w:val="24"/>
          <w:szCs w:val="24"/>
          <w:highlight w:val="none"/>
        </w:rPr>
        <w:t>周围安装可燃气体泄露报警器、火焰报警器和烟雾报警器，对封闭式设备进行安全监测；建设单位在生产过程中应注意以下防范措施：</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（1）工程设计风险防范措施</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总图布置应符合《工业企业总平面设计规范》（GB50187-2012）、《建筑设计防火规范》（GB50016-2014）等有关规定，应满足生产工业要求，保证工艺流程顺畅，管线短捷，有利于生产和便于管理，同时应满足安全、卫生、环保、消防等有关标准规范的要求；</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②严格执行有关防水、防爆、防中毒的规定，高温和有明火的设备尽量远离散发可燃气体的场所；</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③设备、管道设计应留有一定的安全余量；场内应设有急救设施、救援通道和应急疏散通道；</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④沼气池设置阻火器，防止发生回火。</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（2）加强岗位培训，落实安全生产责任制</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①公司领导要把安全生产、防范事故工作放在第一位，严格安全生产管理，经常检查安全生产措施，发现问题及时解决，消除事故隐患；</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②加强工作人员的安全技术培训工作，特别是对安全管理人员的安全培训，应严格遵守国家劳动安全卫生法律、法规和标准；</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③落实各项安全生产责任制，建立健全劳动安全卫生规章制度和安全操作规程。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（3）加强设备维护保养</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①加强对系统设备和密封单元的维护保养，严防泄露；</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②定期进行管道壁厚的测量，对严重关闭减薄的管段，及时维修更换，避免爆管事故发生；</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③在每次大检修时，必须对陈旧、老化的设备和管道按重要程度、安全等级进行更换。</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（4）落实工程安全技术措施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装置拟采用的工艺技术方案在国内外已得到应用，且有成功运行的经验，技术上成熟可靠，工艺技术方案本身不会引起事故风险，只要在设计中严格执行《建筑设计防火规范》（GBJ50016-2006）、《建筑物防雷设计规范》（GB50057-2010）等设计规范，设计不当引起的事故是可以杜绝的；</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严把工程建设质量关，特别是高压设备、各类泵、阀门等可能泄漏爆破部位质量关，在安装过程中，必须确保各装置的密封性，从采购、安装、检验等关键环节上加强对关键装置的管理，从根本上消除事故隐患，确保生产安全；</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③工程建成后，应全面检查输配管道、配件及安装是否合格，确保不漏气才能交付启用。</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（5）防火、防爆措施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①本项目的管道、建构筑物之间应保持一定的防火间距；</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有火灾爆炸危险场所的建构筑物的结构形式以及选用材料应符合防火防爆要求，具有可燃气体、易燃气体的生产装置应设防静电接地系统，具有火灾爆炸危险的生产设备和管道设计安全阀、爆破板、水封、阻火器等防爆阻火器等防爆阻火设施；另外应根据不同危险类型设计可燃气体检测报警系统和在线分析系统设计方案；</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③具有火灾、爆炸等危害的作业区，应设计事故状态时能延时工作的事故照明灯，装置内潮湿和高温等危险环境采用安全电压；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④配备足够的消防、气体防护设施，如防火服、氧气呼吸器、防护眼镜等，经常检查安全消防设施的完好性，使其处于即用状态；</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⑤建立一支业务技术过硬的抢救队伍，包括消防、气体防护、维修等，以备在事故发生时能及时、有效的发挥作用；</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⑥严禁在</w:t>
      </w:r>
      <w:r>
        <w:rPr>
          <w:rFonts w:hint="eastAsia" w:ascii="Times New Roman" w:hAnsi="Times New Roman" w:eastAsia="宋体" w:cs="Times New Roman"/>
          <w:color w:val="auto"/>
          <w:sz w:val="24"/>
          <w:szCs w:val="24"/>
          <w:highlight w:val="none"/>
          <w:lang w:eastAsia="zh-CN"/>
        </w:rPr>
        <w:t>双膜储气袋</w:t>
      </w:r>
      <w:r>
        <w:rPr>
          <w:rFonts w:hint="eastAsia" w:ascii="Times New Roman" w:hAnsi="Times New Roman" w:eastAsia="宋体" w:cs="Times New Roman"/>
          <w:color w:val="auto"/>
          <w:sz w:val="24"/>
          <w:szCs w:val="24"/>
          <w:highlight w:val="none"/>
        </w:rPr>
        <w:t>周围吸烟或使用明火，严禁用明火鉴别沼气池是否已经产生沼气；严禁在储气导气管口试火；严禁用明火检查各种开关、接头、输气管道是否漏气；</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⑦建筑物采取防雷措施，安装避雷针等。</w:t>
      </w:r>
    </w:p>
    <w:p>
      <w:pPr>
        <w:numPr>
          <w:ilvl w:val="0"/>
          <w:numId w:val="42"/>
        </w:num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过氧乙酸风险防范措施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注意储存的量不宜过大，尤其要注意储存时应该采用塑料容器，而不能用玻璃瓶等膨胀性较差的容器储存过氧乙酸。必须储存于低温、避光的阴凉处，并采取通风换气措施，防止挥发出的蒸气大量集聚形成爆炸性混合物。同时，由于其在贮存中易分解，应当注意有效期。储存过氧乙酸的容器应当留有不少于 5%的空隙，防止液体蒸发膨胀造成容器爆裂。严禁使用铁器或铝器等金属容器盛装存放。</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2、刚拉运回来的过氧乙酸不宜立即使用，应当静置至少30分钟以上，以利运输过程中因震动等产生的静电消除，防止静电引起火灾或爆炸事故。</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储存场所应当设置明显的禁止烟火的防火标志，严禁使用非防爆电气照明或明火，电气线路若非十分必要不得架设，必须设置时必须采用防爆设计或采取防爆措施。同时要注意与热源、明火、易燃可燃物质等分开。</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4、其受震时的灵敏性增大，在搬运过程中要轻拿轻放，禁止摔、砸、碰、撞和太阳长时间照射，注意避免因受热、接触明火及受到摩擦、震动、撞击引起燃烧爆炸而造成对人员的伤害。</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5、应专库储存，专人保管，禁止与还原剂、有机物、可燃物、还原剂、酸碱和无机氧化剂等混合或接触，保管及使用人员应进行消防安全培训。</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6、在进行室内喷洒消毒时浓度不易过高，应按说明进行稀释，在对空气进行熏蒸消毒时，人员应脱离现场，熏蒸结束后要对室内进行通风后人员方可进入。</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7、使用时应认真阅读使用说明书和安全须知，严格按要求进行操作。</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8、发生过氧乙酸火灾事故或大量液体泄漏时，抢险人员必须加强个人防护措施，宜在上风方向进行抢险作业，或用湿毛巾捂住口鼻可防止其对人体的毒害性，必要时应配戴空气呼吸器。对泄漏的液体可用水进行洗消，对火灾宜用水、泡沫和二氧化碳剂（灭火器）进行扑救。不得用干粉扑救过氧乙酸火灾。</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lang w:val="en-US" w:eastAsia="zh-CN"/>
        </w:rPr>
        <w:t>4</w:t>
      </w:r>
      <w:r>
        <w:rPr>
          <w:rFonts w:hint="eastAsia" w:ascii="Times New Roman" w:hAnsi="Times New Roman" w:eastAsia="宋体" w:cs="Times New Roman"/>
          <w:b/>
          <w:color w:val="auto"/>
          <w:sz w:val="24"/>
          <w:szCs w:val="24"/>
          <w:highlight w:val="none"/>
        </w:rPr>
        <w:t>、粪污泄漏的风险防范措施</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为避免粪污泄漏事故的发生，建设单位需做好有关防范措施：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（1）厂区配套的集污池等各污水处理构筑物、</w:t>
      </w:r>
      <w:r>
        <w:rPr>
          <w:rFonts w:hint="eastAsia" w:ascii="Times New Roman" w:hAnsi="Times New Roman" w:eastAsia="宋体" w:cs="Times New Roman"/>
          <w:color w:val="auto"/>
          <w:sz w:val="24"/>
          <w:szCs w:val="24"/>
          <w:highlight w:val="none"/>
          <w:lang w:eastAsia="zh-CN"/>
        </w:rPr>
        <w:t>堆肥车间</w:t>
      </w:r>
      <w:r>
        <w:rPr>
          <w:rFonts w:hint="eastAsia" w:ascii="Times New Roman" w:hAnsi="Times New Roman" w:eastAsia="宋体" w:cs="Times New Roman"/>
          <w:color w:val="auto"/>
          <w:sz w:val="24"/>
          <w:szCs w:val="24"/>
          <w:highlight w:val="none"/>
        </w:rPr>
        <w:t>应采取有效的防雨、防渗和防溢流措施，防止粪污泄漏污染地下水。</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做好废水处理设施的日常维护，保证及时发现处理设备的事故隐患，确保处理系统正常运行；开、停、检修要有预案，有严密周全的计划，确保废水满足排放要求。</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污水处理设施程配套建设事故应急池，一旦污水处理系统某个构筑物或设备出现故障，应立即关闭集污池进水阀门，打开切换阀，将废水引至事故应急池，待污水处理系统恢复正常运行后，将事故应急池内污水逐步泵入集污池，坚决不允许废水不经处理直接排放。本项目将新建1座事故应急池，紧邻暂存塘，事故应急池总容积为</w:t>
      </w:r>
      <w:r>
        <w:rPr>
          <w:rFonts w:hint="eastAsia" w:ascii="Times New Roman" w:hAnsi="Times New Roman" w:eastAsia="宋体" w:cs="Times New Roman"/>
          <w:color w:val="auto"/>
          <w:sz w:val="24"/>
          <w:szCs w:val="24"/>
          <w:highlight w:val="none"/>
          <w:lang w:val="en-US" w:eastAsia="zh-CN"/>
        </w:rPr>
        <w:t>20</w:t>
      </w:r>
      <w:r>
        <w:rPr>
          <w:rFonts w:hint="eastAsia" w:ascii="Times New Roman" w:hAnsi="Times New Roman" w:eastAsia="宋体" w:cs="Times New Roman"/>
          <w:color w:val="auto"/>
          <w:sz w:val="24"/>
          <w:szCs w:val="24"/>
          <w:highlight w:val="none"/>
        </w:rPr>
        <w:t>00m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。项目最大排水量为</w:t>
      </w:r>
      <w:r>
        <w:rPr>
          <w:rFonts w:hint="eastAsia" w:ascii="Times New Roman" w:hAnsi="Times New Roman" w:eastAsia="宋体" w:cs="Times New Roman"/>
          <w:color w:val="auto"/>
          <w:sz w:val="24"/>
          <w:szCs w:val="24"/>
          <w:highlight w:val="none"/>
          <w:lang w:val="en-US" w:eastAsia="zh-CN"/>
        </w:rPr>
        <w:t>248.76</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/d，考虑一般污水处理设施故障7天内便可解决，则本项目应设置事故应急池总容积不低于</w:t>
      </w:r>
      <w:r>
        <w:rPr>
          <w:rFonts w:hint="eastAsia" w:ascii="Times New Roman" w:hAnsi="Times New Roman" w:eastAsia="宋体" w:cs="Times New Roman"/>
          <w:color w:val="auto"/>
          <w:sz w:val="24"/>
          <w:szCs w:val="24"/>
          <w:highlight w:val="none"/>
          <w:lang w:val="en-US" w:eastAsia="zh-CN"/>
        </w:rPr>
        <w:t>1741.31</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。因此，建设1座</w:t>
      </w:r>
      <w:r>
        <w:rPr>
          <w:rFonts w:hint="eastAsia" w:ascii="Times New Roman" w:hAnsi="Times New Roman" w:eastAsia="宋体" w:cs="Times New Roman"/>
          <w:color w:val="auto"/>
          <w:sz w:val="24"/>
          <w:szCs w:val="24"/>
          <w:highlight w:val="none"/>
          <w:lang w:val="en-US" w:eastAsia="zh-CN"/>
        </w:rPr>
        <w:t>20</w:t>
      </w:r>
      <w:r>
        <w:rPr>
          <w:rFonts w:hint="eastAsia" w:ascii="Times New Roman" w:hAnsi="Times New Roman" w:eastAsia="宋体" w:cs="Times New Roman"/>
          <w:color w:val="auto"/>
          <w:sz w:val="24"/>
          <w:szCs w:val="24"/>
          <w:highlight w:val="none"/>
        </w:rPr>
        <w:t>00m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的事故应急池可行。</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4</w:t>
      </w:r>
      <w:r>
        <w:rPr>
          <w:rFonts w:hint="eastAsia" w:ascii="Times New Roman" w:hAnsi="Times New Roman" w:eastAsia="宋体" w:cs="Times New Roman"/>
          <w:color w:val="auto"/>
          <w:sz w:val="24"/>
          <w:szCs w:val="24"/>
          <w:highlight w:val="none"/>
        </w:rPr>
        <w:t>）设置备用电源、备用处理设备和零件，以备停电或设备出现故障时保障及时更换，保证废水能及时处理。污水处理系统各功能泵一般设置为一用一备，进一步确保了污水处理系统正常运行，避免事故溢流或不达标出水。</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5</w:t>
      </w:r>
      <w:r>
        <w:rPr>
          <w:rFonts w:hint="eastAsia" w:ascii="Times New Roman" w:hAnsi="Times New Roman" w:eastAsia="宋体" w:cs="Times New Roman"/>
          <w:color w:val="auto"/>
          <w:sz w:val="24"/>
          <w:szCs w:val="24"/>
          <w:highlight w:val="none"/>
        </w:rPr>
        <w:t>）对员工进行岗位培训，持证上岗；日常监测需做好值班记录，实行岗位责任制。</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lang w:val="en-US" w:eastAsia="zh-CN"/>
        </w:rPr>
        <w:t>5</w:t>
      </w:r>
      <w:r>
        <w:rPr>
          <w:rFonts w:hint="eastAsia" w:ascii="Times New Roman" w:hAnsi="Times New Roman" w:eastAsia="宋体" w:cs="Times New Roman"/>
          <w:b/>
          <w:color w:val="auto"/>
          <w:sz w:val="24"/>
          <w:szCs w:val="24"/>
          <w:highlight w:val="none"/>
        </w:rPr>
        <w:t>、暴雨灾害风险防范措施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项目实行雨污分流，场内雨水通过雨水沟排入厂外排水沟。同时采取如下措施：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（1）养殖场的排水系统实行雨污分流，避免雨水进入集污池等污水处理构筑物、粪肥储存间；排污系统全部设为暗管，避免雨水进入排污管内。</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（2）在集污池加防雨顶棚，周围设置截水沟，防止雨水进入造成溢流污染地表水。</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（3）对坡度较大的堡坎及护坡，进行加固及绿化。</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w:t>
      </w:r>
      <w:r>
        <w:rPr>
          <w:rFonts w:hint="eastAsia" w:ascii="Times New Roman" w:hAnsi="Times New Roman" w:eastAsia="宋体" w:cs="Times New Roman"/>
          <w:color w:val="auto"/>
          <w:sz w:val="24"/>
          <w:szCs w:val="24"/>
          <w:highlight w:val="none"/>
          <w:lang w:eastAsia="zh-CN"/>
        </w:rPr>
        <w:t>干粪棚</w:t>
      </w:r>
      <w:r>
        <w:rPr>
          <w:rFonts w:hint="eastAsia" w:ascii="Times New Roman" w:hAnsi="Times New Roman" w:eastAsia="宋体" w:cs="Times New Roman"/>
          <w:color w:val="auto"/>
          <w:sz w:val="24"/>
          <w:szCs w:val="24"/>
          <w:highlight w:val="none"/>
        </w:rPr>
        <w:t>地面应高出场地地面0.5m以上，防止雨水进入，导致污染物外泄。</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（5）集污池池壁顶应高于地面0.5m，确保暴雨事故时雨水不会进入各构筑物内。污水处理系统各池体、建筑物周边设置雨水沟，避免厂区内汇集的雨水流入池内而造成池内污水外溢。</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lang w:val="en-US" w:eastAsia="zh-CN"/>
        </w:rPr>
        <w:t>6</w:t>
      </w:r>
      <w:r>
        <w:rPr>
          <w:rFonts w:hint="eastAsia" w:ascii="Times New Roman" w:hAnsi="Times New Roman" w:eastAsia="宋体" w:cs="Times New Roman"/>
          <w:b/>
          <w:color w:val="auto"/>
          <w:sz w:val="24"/>
          <w:szCs w:val="24"/>
          <w:highlight w:val="none"/>
        </w:rPr>
        <w:t>、畜禽疫病事故风险防范措施</w:t>
      </w:r>
    </w:p>
    <w:p>
      <w:pPr>
        <w:pStyle w:val="2"/>
        <w:spacing w:line="360" w:lineRule="auto"/>
        <w:rPr>
          <w:rFonts w:hint="eastAsia"/>
          <w:color w:val="auto"/>
          <w:highlight w:val="none"/>
        </w:rPr>
      </w:pPr>
      <w:r>
        <w:rPr>
          <w:rFonts w:hint="eastAsia"/>
          <w:color w:val="auto"/>
          <w:highlight w:val="none"/>
        </w:rPr>
        <w:t>根据《中华人民共和国动物防疫法》及其他相关管理办法的要求，本项目的生产经营活动采取以下措施保障动物疫病的防治：</w:t>
      </w:r>
    </w:p>
    <w:p>
      <w:pPr>
        <w:pStyle w:val="2"/>
        <w:spacing w:line="360" w:lineRule="auto"/>
        <w:rPr>
          <w:rFonts w:hint="eastAsia"/>
          <w:color w:val="auto"/>
          <w:highlight w:val="none"/>
        </w:rPr>
      </w:pPr>
      <w:r>
        <w:rPr>
          <w:rFonts w:hint="eastAsia"/>
          <w:color w:val="auto"/>
          <w:highlight w:val="none"/>
        </w:rPr>
        <w:t>1、加强员工防疫知识和兽医法规的教育；</w:t>
      </w:r>
    </w:p>
    <w:p>
      <w:pPr>
        <w:pStyle w:val="2"/>
        <w:spacing w:line="360" w:lineRule="auto"/>
        <w:rPr>
          <w:rFonts w:hint="eastAsia"/>
          <w:color w:val="auto"/>
          <w:highlight w:val="none"/>
        </w:rPr>
      </w:pPr>
      <w:r>
        <w:rPr>
          <w:rFonts w:hint="eastAsia"/>
          <w:color w:val="auto"/>
          <w:highlight w:val="none"/>
        </w:rPr>
        <w:t>2、对养殖场进行科学的选址规划和布局，远离人口聚集区及其他动物制品加工店，在厂区内设置严格管理的消毒设施，对不同生长阶段的牛只实行隔离饲养，并保持安全距离；</w:t>
      </w:r>
    </w:p>
    <w:p>
      <w:pPr>
        <w:pStyle w:val="2"/>
        <w:spacing w:line="360" w:lineRule="auto"/>
        <w:rPr>
          <w:rFonts w:hint="eastAsia"/>
          <w:color w:val="auto"/>
          <w:highlight w:val="none"/>
        </w:rPr>
      </w:pPr>
      <w:r>
        <w:rPr>
          <w:rFonts w:hint="eastAsia"/>
          <w:color w:val="auto"/>
          <w:highlight w:val="none"/>
        </w:rPr>
        <w:t>3、完善隔离制度，厂界划分明确，生产区和患病牛舍保持安全距离，并建立隔离网、隔离墙或防疫沟等设施，粪污和动物运输通道分离，人畜分离，加强生产区人及其他动物的出入管理，各入口处设置消毒设施并严格执行消毒制度，落实动物尸体无害化处理；</w:t>
      </w:r>
    </w:p>
    <w:p>
      <w:pPr>
        <w:pStyle w:val="2"/>
        <w:spacing w:line="360" w:lineRule="auto"/>
        <w:rPr>
          <w:rFonts w:hint="eastAsia"/>
          <w:color w:val="auto"/>
          <w:highlight w:val="none"/>
        </w:rPr>
      </w:pPr>
      <w:r>
        <w:rPr>
          <w:rFonts w:hint="eastAsia"/>
          <w:color w:val="auto"/>
          <w:highlight w:val="none"/>
        </w:rPr>
        <w:t>4、加强影响疾病发生和流行的饲养管理因素，主要包括饲料营养、饮水质量、饲养密度、通风换气、防暑或保温、粪便和污物处理、环境卫生和消毒、动物圈舍管理、生产管理制度、全进全出制度、技术操作规程以及患病动物隔离、检疫等内容，防治病原微生物在不同批次群体中形成连续感染或交叉感染；</w:t>
      </w:r>
    </w:p>
    <w:p>
      <w:pPr>
        <w:pStyle w:val="2"/>
        <w:spacing w:line="360" w:lineRule="auto"/>
        <w:rPr>
          <w:rFonts w:hint="eastAsia"/>
          <w:color w:val="auto"/>
          <w:highlight w:val="none"/>
        </w:rPr>
      </w:pPr>
      <w:r>
        <w:rPr>
          <w:rFonts w:hint="eastAsia"/>
          <w:color w:val="auto"/>
          <w:highlight w:val="none"/>
        </w:rPr>
        <w:t>5、做好疫情报告和疫情诊断工作，迅速全面准确的将疫情报告给主管防疫部门，以便畜禽防疫检疫机构及时正确的做出诊断，提出并实施防治办法，控制疫病的蔓延扩散；</w:t>
      </w:r>
    </w:p>
    <w:p>
      <w:pPr>
        <w:pStyle w:val="2"/>
        <w:spacing w:line="360" w:lineRule="auto"/>
        <w:rPr>
          <w:rFonts w:hint="eastAsia"/>
          <w:color w:val="auto"/>
          <w:highlight w:val="none"/>
        </w:rPr>
      </w:pPr>
      <w:r>
        <w:rPr>
          <w:rFonts w:hint="eastAsia"/>
          <w:color w:val="auto"/>
          <w:highlight w:val="none"/>
        </w:rPr>
        <w:t>6、根据动物运转的环节，配合相关管理部门做好产地检疫、市场监督、屠宰检疫和运输检疫工作；</w:t>
      </w:r>
    </w:p>
    <w:p>
      <w:pPr>
        <w:pStyle w:val="2"/>
        <w:spacing w:line="360" w:lineRule="auto"/>
        <w:rPr>
          <w:rFonts w:hint="eastAsia"/>
          <w:color w:val="auto"/>
          <w:highlight w:val="none"/>
        </w:rPr>
      </w:pPr>
      <w:r>
        <w:rPr>
          <w:rFonts w:hint="eastAsia"/>
          <w:color w:val="auto"/>
          <w:highlight w:val="none"/>
        </w:rPr>
        <w:t>7、在发生疫病后，严格按照相关防治处理方案做好隔离、封锁、扑杀和疫病的净化；禁止牛只流动，病牛及相关物品应采取无害化处理。对未发病的牛，应立即以牛瘟弱毒疫苗（剂量可加大 2～4 倍）进行紧急预防接种，对牛舍、粪便和用具彻底彻底消毒，饲养用具每天消毒一次。</w:t>
      </w:r>
    </w:p>
    <w:p>
      <w:pPr>
        <w:pStyle w:val="2"/>
        <w:spacing w:line="360" w:lineRule="auto"/>
        <w:rPr>
          <w:rFonts w:hint="eastAsia"/>
          <w:color w:val="auto"/>
          <w:highlight w:val="none"/>
        </w:rPr>
      </w:pPr>
      <w:r>
        <w:rPr>
          <w:rFonts w:hint="eastAsia"/>
          <w:color w:val="auto"/>
          <w:highlight w:val="none"/>
        </w:rPr>
        <w:t>8、做好牛只的免疫接种工作，尤其是对易感畜群，要做好群体防治，必要时使用免疫增强剂，在使用药物的同时，也要做好药物消毒检查，确保药物的安全；</w:t>
      </w:r>
    </w:p>
    <w:p>
      <w:pPr>
        <w:pStyle w:val="2"/>
        <w:spacing w:line="360" w:lineRule="auto"/>
        <w:rPr>
          <w:rFonts w:hint="eastAsia"/>
          <w:color w:val="auto"/>
          <w:highlight w:val="none"/>
        </w:rPr>
      </w:pPr>
      <w:r>
        <w:rPr>
          <w:rFonts w:hint="eastAsia"/>
          <w:color w:val="auto"/>
          <w:highlight w:val="none"/>
        </w:rPr>
        <w:t>9、严格落实消毒制度，按照规范对尸体进行无害化处理，并定期进行厂区杀虫灭鼠工作，切断昆虫和鼠类等传染源；</w:t>
      </w:r>
    </w:p>
    <w:p>
      <w:pPr>
        <w:pStyle w:val="2"/>
        <w:spacing w:line="360" w:lineRule="auto"/>
        <w:rPr>
          <w:rFonts w:hint="eastAsia"/>
          <w:color w:val="auto"/>
          <w:highlight w:val="none"/>
        </w:rPr>
      </w:pPr>
      <w:r>
        <w:rPr>
          <w:rFonts w:hint="eastAsia"/>
          <w:color w:val="auto"/>
          <w:highlight w:val="none"/>
        </w:rPr>
        <w:t>10、对于已经感染疫病的动物，可以挽救的，应进行及时全面的治疗措施，但对于感染烈性传染病的畜禽，应坚决予以扑杀后，交由当地县级以上地方人民政府兽医主管部门负责处置。</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268" w:name="_Toc19888"/>
      <w:r>
        <w:rPr>
          <w:rFonts w:hint="eastAsia" w:ascii="Times New Roman" w:hAnsi="Times New Roman" w:eastAsia="宋体" w:cs="Times New Roman"/>
          <w:color w:val="auto"/>
          <w:highlight w:val="none"/>
          <w:lang w:val="en-US" w:eastAsia="zh-CN"/>
        </w:rPr>
        <w:t>应急预案</w:t>
      </w:r>
      <w:bookmarkEnd w:id="268"/>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应急预案主要内容应根据《建设项目环境风险评价技术导则》（HJ169-2018）详细编制，急预案基本内容见表</w:t>
      </w:r>
      <w:r>
        <w:rPr>
          <w:rFonts w:hint="eastAsia" w:ascii="Times New Roman" w:hAnsi="Times New Roman" w:eastAsia="宋体" w:cs="Times New Roman"/>
          <w:color w:val="auto"/>
          <w:sz w:val="24"/>
          <w:szCs w:val="24"/>
          <w:highlight w:val="none"/>
          <w:lang w:val="en-US" w:eastAsia="zh-CN"/>
        </w:rPr>
        <w:t>6.6</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w:t>
      </w:r>
    </w:p>
    <w:p>
      <w:pPr>
        <w:widowControl w:val="0"/>
        <w:numPr>
          <w:ilvl w:val="0"/>
          <w:numId w:val="43"/>
        </w:numPr>
        <w:spacing w:before="120" w:beforeLines="50" w:line="360" w:lineRule="auto"/>
        <w:ind w:left="425" w:leftChars="0" w:hanging="425" w:firstLineChars="0"/>
        <w:jc w:val="center"/>
        <w:rPr>
          <w:rFonts w:hint="eastAsia" w:ascii="Times New Roman" w:hAnsi="Times New Roman" w:eastAsia="宋体" w:cs="Times New Roman"/>
          <w:b/>
          <w:color w:val="auto"/>
          <w:kern w:val="2"/>
          <w:sz w:val="21"/>
          <w:szCs w:val="24"/>
          <w:highlight w:val="none"/>
          <w:lang w:val="en-US" w:eastAsia="zh-CN" w:bidi="ar-SA"/>
        </w:rPr>
      </w:pPr>
      <w:r>
        <w:rPr>
          <w:rFonts w:hint="eastAsia" w:ascii="Times New Roman" w:hAnsi="Times New Roman" w:eastAsia="宋体" w:cs="Times New Roman"/>
          <w:b/>
          <w:color w:val="auto"/>
          <w:kern w:val="2"/>
          <w:sz w:val="21"/>
          <w:szCs w:val="24"/>
          <w:highlight w:val="none"/>
          <w:lang w:val="en-US" w:eastAsia="zh-CN" w:bidi="ar-SA"/>
        </w:rPr>
        <w:t>环境风险</w:t>
      </w:r>
      <w:r>
        <w:rPr>
          <w:rFonts w:ascii="Times New Roman" w:hAnsi="Times New Roman" w:eastAsia="宋体" w:cs="Times New Roman"/>
          <w:b/>
          <w:color w:val="auto"/>
          <w:kern w:val="2"/>
          <w:sz w:val="21"/>
          <w:szCs w:val="24"/>
          <w:highlight w:val="none"/>
          <w:lang w:val="en-US" w:eastAsia="zh-CN" w:bidi="ar-SA"/>
        </w:rPr>
        <w:t>应急预案内容一览表</w:t>
      </w:r>
    </w:p>
    <w:tbl>
      <w:tblPr>
        <w:tblStyle w:val="91"/>
        <w:tblW w:w="0" w:type="auto"/>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704"/>
        <w:gridCol w:w="2553"/>
        <w:gridCol w:w="5746"/>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12"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2553" w:type="dxa"/>
            <w:tcBorders>
              <w:top w:val="single" w:color="auto" w:sz="12"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项目</w:t>
            </w:r>
          </w:p>
        </w:tc>
        <w:tc>
          <w:tcPr>
            <w:tcW w:w="5746" w:type="dxa"/>
            <w:tcBorders>
              <w:top w:val="single" w:color="auto" w:sz="12"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内容及要求</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1</w:t>
            </w:r>
          </w:p>
        </w:tc>
        <w:tc>
          <w:tcPr>
            <w:tcW w:w="255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应急计划区</w:t>
            </w:r>
          </w:p>
        </w:tc>
        <w:tc>
          <w:tcPr>
            <w:tcW w:w="5746" w:type="dxa"/>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危险目标：生产区、污水处理区、环境保护目标</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2</w:t>
            </w:r>
          </w:p>
        </w:tc>
        <w:tc>
          <w:tcPr>
            <w:tcW w:w="255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应急组织机构、人员</w:t>
            </w:r>
          </w:p>
        </w:tc>
        <w:tc>
          <w:tcPr>
            <w:tcW w:w="5746" w:type="dxa"/>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建设单位设置应急组织机构，厂长为总负责人，各部门和基层单位应急负责人为本单位为应急计划、协调第一责任人，应急人员必须为培训上岗熟练工；区域应急组织结构由当地政府、相关行业专家、卫生安全相关单位组成，并由当地政府进行统一调度</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3</w:t>
            </w:r>
          </w:p>
        </w:tc>
        <w:tc>
          <w:tcPr>
            <w:tcW w:w="255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预案分级响应条件</w:t>
            </w:r>
          </w:p>
        </w:tc>
        <w:tc>
          <w:tcPr>
            <w:tcW w:w="5746" w:type="dxa"/>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根据事故险情的严重程度制定相应级别的应急预案，以及适合相应情况的处理措施</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4</w:t>
            </w:r>
          </w:p>
        </w:tc>
        <w:tc>
          <w:tcPr>
            <w:tcW w:w="255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应急救援保障</w:t>
            </w:r>
          </w:p>
        </w:tc>
        <w:tc>
          <w:tcPr>
            <w:tcW w:w="5746" w:type="dxa"/>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各装置应配备相应数量的应急设施、设备与器材等。应急设备设施的管理具体执行《生产车间应急装备物资管理规定》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5</w:t>
            </w:r>
          </w:p>
        </w:tc>
        <w:tc>
          <w:tcPr>
            <w:tcW w:w="255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报警、通讯联络方式</w:t>
            </w:r>
          </w:p>
        </w:tc>
        <w:tc>
          <w:tcPr>
            <w:tcW w:w="5746" w:type="dxa"/>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逐一细化应急状态下各主要负责部门的报警通讯方式、地点、电话号码以及相关配套的交通保障、管制、消防联络方法，涉及跨区域的还应与相关区域环境保护部门和上级生态环境部门保持联系，及时通报事故处理情况，以获得区域性支援。同时充分重视并发挥煤体的作用</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6</w:t>
            </w:r>
          </w:p>
        </w:tc>
        <w:tc>
          <w:tcPr>
            <w:tcW w:w="255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应急环境监测、抢险、救援及控制措施</w:t>
            </w:r>
          </w:p>
        </w:tc>
        <w:tc>
          <w:tcPr>
            <w:tcW w:w="5746" w:type="dxa"/>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组织专业队伍负责对事故现场进行侦察监测，对事故性质、参数与后果进行评估，专为指挥部门提供决策依据。严格规定事故多发区、事故现场、邻近区域、控制防火区域设置控制和清除污染措施及相应设备的数量、使用方法、使用人员</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7</w:t>
            </w:r>
          </w:p>
        </w:tc>
        <w:tc>
          <w:tcPr>
            <w:tcW w:w="255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应急检测、防护措施、清除泄漏措施和器材</w:t>
            </w:r>
          </w:p>
        </w:tc>
        <w:tc>
          <w:tcPr>
            <w:tcW w:w="5746" w:type="dxa"/>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事故现场、邻近区域、控制防火区域，控制和清除污染措施及相应设备</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8</w:t>
            </w:r>
          </w:p>
        </w:tc>
        <w:tc>
          <w:tcPr>
            <w:tcW w:w="255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人员紧急撤离、疏散，应急剂量控制、撤离组织计划</w:t>
            </w:r>
          </w:p>
        </w:tc>
        <w:tc>
          <w:tcPr>
            <w:tcW w:w="5746" w:type="dxa"/>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事故现场、工厂邻近区、受事故影响的区域人员及公众对毒物应急剂量控制规定，撤离组织计划及救护，医疗救护与公众健康</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9</w:t>
            </w:r>
          </w:p>
        </w:tc>
        <w:tc>
          <w:tcPr>
            <w:tcW w:w="255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事故应急救援关闭程序与恢复措施</w:t>
            </w:r>
          </w:p>
        </w:tc>
        <w:tc>
          <w:tcPr>
            <w:tcW w:w="5746" w:type="dxa"/>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制定相关应急状态终止程序，事故现场、受影响范围内的善后处理、恢复措施，邻近区域解除事故警戒及善后恢复措施</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10</w:t>
            </w:r>
          </w:p>
        </w:tc>
        <w:tc>
          <w:tcPr>
            <w:tcW w:w="255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应急培训计划</w:t>
            </w:r>
          </w:p>
        </w:tc>
        <w:tc>
          <w:tcPr>
            <w:tcW w:w="5746" w:type="dxa"/>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应急计划制定后，定期安排相关人员进行培训与演练</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11</w:t>
            </w:r>
          </w:p>
        </w:tc>
        <w:tc>
          <w:tcPr>
            <w:tcW w:w="255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公众教育和信息</w:t>
            </w:r>
          </w:p>
        </w:tc>
        <w:tc>
          <w:tcPr>
            <w:tcW w:w="5746" w:type="dxa"/>
            <w:tcBorders>
              <w:top w:val="single" w:color="auto" w:sz="8" w:space="0"/>
              <w:left w:val="single" w:color="auto" w:sz="8" w:space="0"/>
              <w:bottom w:val="single" w:color="auto" w:sz="8"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对工厂邻近地区开展公众教育、培训和发布有关信息</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4" w:hRule="atLeast"/>
          <w:jc w:val="center"/>
        </w:trPr>
        <w:tc>
          <w:tcPr>
            <w:tcW w:w="704" w:type="dxa"/>
            <w:tcBorders>
              <w:top w:val="single" w:color="auto" w:sz="8" w:space="0"/>
              <w:left w:val="nil"/>
              <w:bottom w:val="single" w:color="auto" w:sz="12"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12</w:t>
            </w:r>
          </w:p>
        </w:tc>
        <w:tc>
          <w:tcPr>
            <w:tcW w:w="2553" w:type="dxa"/>
            <w:tcBorders>
              <w:top w:val="single" w:color="auto" w:sz="8" w:space="0"/>
              <w:left w:val="single" w:color="auto" w:sz="8" w:space="0"/>
              <w:bottom w:val="single" w:color="auto" w:sz="12" w:space="0"/>
              <w:right w:val="single" w:color="auto" w:sz="8"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事故恢复措施</w:t>
            </w:r>
          </w:p>
        </w:tc>
        <w:tc>
          <w:tcPr>
            <w:tcW w:w="5746" w:type="dxa"/>
            <w:tcBorders>
              <w:top w:val="single" w:color="auto" w:sz="8" w:space="0"/>
              <w:left w:val="single" w:color="auto" w:sz="8" w:space="0"/>
              <w:bottom w:val="single" w:color="auto" w:sz="12" w:space="0"/>
              <w:right w:val="nil"/>
            </w:tcBorders>
            <w:noWrap w:val="0"/>
            <w:vAlign w:val="center"/>
          </w:tcPr>
          <w:p>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组织专业人员对事故后的环境变化进行监测，对事故应急措施的环境可行性进行后影响评价</w:t>
            </w:r>
          </w:p>
        </w:tc>
      </w:tr>
    </w:tbl>
    <w:p>
      <w:pPr>
        <w:pStyle w:val="9"/>
        <w:rPr>
          <w:rFonts w:hint="eastAsia" w:cs="Times New Roman"/>
          <w:color w:val="auto"/>
          <w:highlight w:val="none"/>
          <w:lang w:val="en-US" w:eastAsia="zh-CN"/>
        </w:rPr>
      </w:pPr>
      <w:r>
        <w:rPr>
          <w:rFonts w:hint="eastAsia" w:cs="Times New Roman"/>
          <w:color w:val="auto"/>
          <w:highlight w:val="none"/>
          <w:lang w:val="en-US" w:eastAsia="zh-CN"/>
        </w:rPr>
        <w:t>企业应急组织机构</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企业应设立专人负责日常安全生产环境管理，主要职责包括：负责应急事故处理预案的制定，落实事故处理岗位责任制，供岗位人员及救险人员应急学习；负责事故现场抢险指挥；负责与环保部门联系，进行应急监测；负责事故后果评价，并报告有关管理部门。</w:t>
      </w:r>
    </w:p>
    <w:p>
      <w:pPr>
        <w:pStyle w:val="9"/>
        <w:rPr>
          <w:rFonts w:hint="eastAsia" w:cs="Times New Roman"/>
          <w:color w:val="auto"/>
          <w:highlight w:val="none"/>
          <w:lang w:val="en-US" w:eastAsia="zh-CN"/>
        </w:rPr>
      </w:pPr>
      <w:r>
        <w:rPr>
          <w:rFonts w:hint="eastAsia" w:cs="Times New Roman"/>
          <w:color w:val="auto"/>
          <w:highlight w:val="none"/>
          <w:lang w:val="en-US" w:eastAsia="zh-CN"/>
        </w:rPr>
        <w:t>应急救援保障</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企业需具备应急救援保障设备及器材，包括防护服、消防水泵、灭火器材、氧气呼吸器、防爆手电、对讲机、警戒围绳等。</w:t>
      </w:r>
    </w:p>
    <w:p>
      <w:pPr>
        <w:pStyle w:val="9"/>
        <w:rPr>
          <w:rFonts w:hint="eastAsia" w:cs="Times New Roman"/>
          <w:color w:val="auto"/>
          <w:highlight w:val="none"/>
          <w:lang w:val="en-US" w:eastAsia="zh-CN"/>
        </w:rPr>
      </w:pPr>
      <w:r>
        <w:rPr>
          <w:rFonts w:hint="eastAsia" w:cs="Times New Roman"/>
          <w:color w:val="auto"/>
          <w:highlight w:val="none"/>
          <w:lang w:val="en-US" w:eastAsia="zh-CN"/>
        </w:rPr>
        <w:t>事故应急措施</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1、沼气、柴油贮存泄露应急措施</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为保证企业及人民生命财产的安全，防止突发性重大风险事故发生，或在发生事故时，能迅速有序地开展救援工作，尽最大努力减少事故的危害和损失，根据《中华人民共和国安全生产法》，公司应制定企业级事故应急救援预案，成立以法人为总指挥，副厂长为副总指挥的化学事故应急救援队伍，指挥部下设办公室、工程抢险救援组、医疗救护组、后勤保障组。</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2</w:t>
      </w:r>
      <w:r>
        <w:rPr>
          <w:rFonts w:hint="eastAsia" w:ascii="Times New Roman" w:hAnsi="Times New Roman" w:eastAsia="宋体" w:cs="Times New Roman"/>
          <w:b/>
          <w:color w:val="auto"/>
          <w:sz w:val="24"/>
          <w:szCs w:val="24"/>
          <w:highlight w:val="none"/>
        </w:rPr>
        <w:t>、还田输送管网泄漏应急措施</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企业必须确定或建立相应的管理机构，安排专人管理，落实足够的运行管理经费，制定切实可行的管理规章和工程维修养护制度，并对管理人员进行技术培训和岗位考核。同时做到对废水还田利用工程进行经常性的维护、季节性的整修和临时性的抢修以及系统运行效果和有害重金属的监测与处理。</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（1）管道养护</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要经常对管道进行巡查维护，发现管道漏水、爆裂及时修补，发现沼液出水明显减少，要及时监测、疏通污物收集装置，确保沼液输送通畅和设施完好、运行正常。</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沼液输送管线，做好防腐工作，定期进行检修，一旦发现滴漏，沼液排入沼液储存池，待维护完毕后方可输送。</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（2）设施维修保养</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建立处理、储液、储存池等主要建筑结构和管网、机电设备的检修制度或维修养护办法，确保各类设施设备完整，做到无损、无漏、无裂，闸门启闭灵活。安装的沼液泵、动力设备与电气设备应每年全面检修一次，确保安全运行。及时清除污物收集装置、储存池中的各种杂质淤泥。</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一旦污水处理系统出现故障，应立即关闭集污池进口阀门，打开切换阀，将废水输送至应急池，同时抓紧抢修，确保污水处理系统尽快恢复正常运行，污水处理系统正常运行后，将应急池内污水逐步泵入集污池进行污水处理。</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ascii="Times New Roman" w:hAnsi="Times New Roman" w:eastAsia="宋体" w:cs="Times New Roman"/>
          <w:b/>
          <w:color w:val="auto"/>
          <w:sz w:val="24"/>
          <w:szCs w:val="24"/>
          <w:highlight w:val="none"/>
        </w:rPr>
        <w:t>3</w:t>
      </w:r>
      <w:r>
        <w:rPr>
          <w:rFonts w:hint="eastAsia" w:ascii="Times New Roman" w:hAnsi="Times New Roman" w:eastAsia="宋体" w:cs="Times New Roman"/>
          <w:b/>
          <w:color w:val="auto"/>
          <w:sz w:val="24"/>
          <w:szCs w:val="24"/>
          <w:highlight w:val="none"/>
        </w:rPr>
        <w:t>、畜禽疫病事故应急措施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一旦发现养殖场内</w:t>
      </w:r>
      <w:r>
        <w:rPr>
          <w:rFonts w:hint="eastAsia" w:ascii="Times New Roman" w:hAnsi="Times New Roman" w:eastAsia="宋体" w:cs="Times New Roman"/>
          <w:color w:val="auto"/>
          <w:sz w:val="24"/>
          <w:szCs w:val="24"/>
          <w:highlight w:val="none"/>
          <w:lang w:eastAsia="zh-CN"/>
        </w:rPr>
        <w:t>牛</w:t>
      </w:r>
      <w:r>
        <w:rPr>
          <w:rFonts w:hint="eastAsia" w:ascii="Times New Roman" w:hAnsi="Times New Roman" w:eastAsia="宋体" w:cs="Times New Roman"/>
          <w:color w:val="auto"/>
          <w:sz w:val="24"/>
          <w:szCs w:val="24"/>
          <w:highlight w:val="none"/>
        </w:rPr>
        <w:t>发生疾病、疫情，应立即采取紧急防治措施，防止疫情扩散。</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（1）应立即组成防疫小组，尽快确切诊断，迅速向有关上级部门报告疫情。</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（2）迅速隔离病</w:t>
      </w:r>
      <w:r>
        <w:rPr>
          <w:rFonts w:hint="eastAsia" w:ascii="Times New Roman" w:hAnsi="Times New Roman" w:eastAsia="宋体" w:cs="Times New Roman"/>
          <w:color w:val="auto"/>
          <w:sz w:val="24"/>
          <w:szCs w:val="24"/>
          <w:highlight w:val="none"/>
          <w:lang w:eastAsia="zh-CN"/>
        </w:rPr>
        <w:t>牛</w:t>
      </w:r>
      <w:r>
        <w:rPr>
          <w:rFonts w:hint="eastAsia" w:ascii="Times New Roman" w:hAnsi="Times New Roman" w:eastAsia="宋体" w:cs="Times New Roman"/>
          <w:color w:val="auto"/>
          <w:sz w:val="24"/>
          <w:szCs w:val="24"/>
          <w:highlight w:val="none"/>
        </w:rPr>
        <w:t>，对危害较重的传染病应及时划区封锁，建立封锁带，出人人员和车辆要严格消毒，同时严格消毒污染环境。解除封锁的条件是在最后一头病</w:t>
      </w:r>
      <w:r>
        <w:rPr>
          <w:rFonts w:hint="eastAsia" w:ascii="Times New Roman" w:hAnsi="Times New Roman" w:eastAsia="宋体" w:cs="Times New Roman"/>
          <w:color w:val="auto"/>
          <w:sz w:val="24"/>
          <w:szCs w:val="24"/>
          <w:highlight w:val="none"/>
          <w:lang w:eastAsia="zh-CN"/>
        </w:rPr>
        <w:t>牛</w:t>
      </w:r>
      <w:r>
        <w:rPr>
          <w:rFonts w:hint="eastAsia" w:ascii="Times New Roman" w:hAnsi="Times New Roman" w:eastAsia="宋体" w:cs="Times New Roman"/>
          <w:color w:val="auto"/>
          <w:sz w:val="24"/>
          <w:szCs w:val="24"/>
          <w:highlight w:val="none"/>
        </w:rPr>
        <w:t>痊愈或屠宰后两个潜伏期内再无新病例出现，经过全面大消毒，报上级主管部门批准，方可解除封锁。</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（3）对病</w:t>
      </w:r>
      <w:r>
        <w:rPr>
          <w:rFonts w:hint="eastAsia" w:ascii="Times New Roman" w:hAnsi="Times New Roman" w:eastAsia="宋体" w:cs="Times New Roman"/>
          <w:color w:val="auto"/>
          <w:sz w:val="24"/>
          <w:szCs w:val="24"/>
          <w:highlight w:val="none"/>
          <w:lang w:eastAsia="zh-CN"/>
        </w:rPr>
        <w:t>牛</w:t>
      </w:r>
      <w:r>
        <w:rPr>
          <w:rFonts w:hint="eastAsia" w:ascii="Times New Roman" w:hAnsi="Times New Roman" w:eastAsia="宋体" w:cs="Times New Roman"/>
          <w:color w:val="auto"/>
          <w:sz w:val="24"/>
          <w:szCs w:val="24"/>
          <w:highlight w:val="none"/>
        </w:rPr>
        <w:t>及封锁区内的</w:t>
      </w:r>
      <w:r>
        <w:rPr>
          <w:rFonts w:hint="eastAsia" w:ascii="Times New Roman" w:hAnsi="Times New Roman" w:eastAsia="宋体" w:cs="Times New Roman"/>
          <w:color w:val="auto"/>
          <w:sz w:val="24"/>
          <w:szCs w:val="24"/>
          <w:highlight w:val="none"/>
          <w:lang w:eastAsia="zh-CN"/>
        </w:rPr>
        <w:t>牛</w:t>
      </w:r>
      <w:r>
        <w:rPr>
          <w:rFonts w:hint="eastAsia" w:ascii="Times New Roman" w:hAnsi="Times New Roman" w:eastAsia="宋体" w:cs="Times New Roman"/>
          <w:color w:val="auto"/>
          <w:sz w:val="24"/>
          <w:szCs w:val="24"/>
          <w:highlight w:val="none"/>
        </w:rPr>
        <w:t>实行合理的综合防制措施，包括疫苗的紧急接种、抗生素疗法、高免血清的特异性疗法、化学疗法、增强体质和生理机能的辅助疗法等。</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（4）病死</w:t>
      </w:r>
      <w:r>
        <w:rPr>
          <w:rFonts w:hint="eastAsia" w:ascii="Times New Roman" w:hAnsi="Times New Roman" w:eastAsia="宋体" w:cs="Times New Roman"/>
          <w:color w:val="auto"/>
          <w:sz w:val="24"/>
          <w:szCs w:val="24"/>
          <w:highlight w:val="none"/>
          <w:lang w:eastAsia="zh-CN"/>
        </w:rPr>
        <w:t>牛</w:t>
      </w:r>
      <w:r>
        <w:rPr>
          <w:rFonts w:hint="eastAsia" w:ascii="Times New Roman" w:hAnsi="Times New Roman" w:eastAsia="宋体" w:cs="Times New Roman"/>
          <w:color w:val="auto"/>
          <w:sz w:val="24"/>
          <w:szCs w:val="24"/>
          <w:highlight w:val="none"/>
        </w:rPr>
        <w:t>尸体要严格按照防疫条例进行处置。</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出现重大疫情时必须严格执行《重大动物疫情应急条例》中相关规定。其中报告制度如下：从事动物隔离、疫情监测、疫病研究与诊疗、检验检疫以及动物饲养、屠宰加工、运输、经营等活动的有关单位和个人，发现动物出现群体发病或者死亡的，应当立即向所在地的县（市）动物防疫监督机构报告。重大动物疫情报告包括下列内容：</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①疫情发生的时间、地点；</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②染疫、疑似染疫动物种类和数量、同群动物数量、免疫情况、死亡数量、临床症状、病理变化、诊断情况；</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③流行病学和疫源追踪情况；</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④已采取的控制措施；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⑤疫情报告的单位、负责人、报告人及联系方式。</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有关单位和个人对重大动物疫情不得瞒报、谎报、迟报，不得授意他人瞒报、谎报、迟报，不得阻碍他人报告。</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（6）发生疫情后针对疫点采取的应急措施如下：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①扑杀并销毁染疫动物和易感染的动物及其产品；</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②对病死的动物、动物排泄物、被污染饲料、污水进行无害化处理；</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③对被污染的物品、用具、动物圈舍、场地进行严格消毒。</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（7）对疫区应当采取下列措施：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①在疫区周围设置警示标志，在出入疫区的交通路口设置临时动物检疫消毒站，对出入的人员和车辆进行消毒；</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②扑杀并销毁染疫和疑似染疫动物及其同群动物，销毁染疫和疑似染疫的动物产品，对其他易感染的动物实行圈养或者在指定地点放养，役用动物限制在疫区内使役；</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③对易感染的动物进行监测，并按照国务院兽医主管部门的规定实施紧急免疫接种，必要时对易感染的动物进行扑杀；</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④关闭动物及动物产品交易市场，禁止动物进出疫区和动物产品运出疫区；</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⑤对动物圈舍、动物排泄物、污水和其他可能受污染的物品、场地，进行消毒或者无害化处理。</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根据《畜禽养殖业污染防治技术规范》第 9 条规定，病死畜禽尸体要及时处理，严禁随意丢弃，严禁出售或作为饲料再利用。</w:t>
      </w:r>
    </w:p>
    <w:p>
      <w:pPr>
        <w:pStyle w:val="9"/>
        <w:rPr>
          <w:rFonts w:hint="eastAsia" w:cs="Times New Roman"/>
          <w:color w:val="auto"/>
          <w:highlight w:val="none"/>
          <w:lang w:val="en-US" w:eastAsia="zh-CN"/>
        </w:rPr>
      </w:pPr>
      <w:r>
        <w:rPr>
          <w:rFonts w:hint="eastAsia" w:cs="Times New Roman"/>
          <w:color w:val="auto"/>
          <w:highlight w:val="none"/>
          <w:lang w:val="en-US" w:eastAsia="zh-CN"/>
        </w:rPr>
        <w:t>应急终止</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（1）应急终止的条件</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①事件现场得到控制，事件条件已经消除；</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②污染源的释放已降至规定限值以内；</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③事件所造成的危害已经被彻底消除，无继发可能；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④事件现场的各种专业应急处置行动已无继续的必要；</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⑤采取一切必要的防护措施以保护公众再次免受危害，并使事件可能引起的中长期影响趋于合理且尽量低的水平。</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（2）应急终止的程序</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①指挥领导小组确认终止时机或由事故责任单位提出，经指挥领导小组批准；</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②指挥领导小组向所属各专业应急响应队伍下达应急终止命令；</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③应急状态终止后，相关类别环境事件专业应急工作组应根据政府有关指示和实际情况，继续进行环境监测和评价工作，直至其他补救措施无须继续进行为止。</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（3）应急终止后的后续工作</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①环境跟踪监测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污染物进入周围环境后，随着稀释、扩散和降解等作用，其浓度会逐渐降低。为了掌握事故发生后的污染程度、范围及变化趋势，在应急状态终止后，环境安全监测组人员应进行污染物的跟踪监测，直至环境恢复正常或达标。</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②向本单位相关部门、周边村庄等受影响区域，通知本事件危险已解除。</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③应急终止后，应急指挥组应做好现场的保护，用隔离警示带围住事故现场区域。应急指挥组还要配合有关部门查找事件原因，防止类似问题的重复出现。</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④撰写突发环境事件总结报告，于应急终止后上报。</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⑤根据环境事件的类别，由相关专业主管部门组织对环境应急预案进行评估，并及时修订。</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⑥参加应急行动的部门分别组织、指导环境应急救援队伍维护、保养应急仪器设备，使之始终保持良好的技术状态。</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⑦根据事故调查结果，对公司现有的防范措施与应急预案进行评价，指出其有效性和不足之处，提出整改意见。</w:t>
      </w:r>
    </w:p>
    <w:p>
      <w:pPr>
        <w:pStyle w:val="9"/>
        <w:rPr>
          <w:rFonts w:hint="eastAsia" w:cs="Times New Roman"/>
          <w:color w:val="auto"/>
          <w:highlight w:val="none"/>
          <w:lang w:val="en-US" w:eastAsia="zh-CN"/>
        </w:rPr>
      </w:pPr>
      <w:r>
        <w:rPr>
          <w:rFonts w:hint="eastAsia" w:cs="Times New Roman"/>
          <w:color w:val="auto"/>
          <w:highlight w:val="none"/>
          <w:lang w:val="en-US" w:eastAsia="zh-CN"/>
        </w:rPr>
        <w:t>应急救援培训计划</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（1）应急救援人员培训</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建设单位应定期对应急救援人员进行应急事故处理及紧急救援培训，应急救援人员的培训由领导小组统一安排制定专人进行。</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（2）员工应急响应培训</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由建设单位组织应急救援人员定期对员工进行应急事故处理及紧急救援培训，提高员工风险防范意识及自救能力。</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（3）演练计划</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建设单位须定期进行突发事件紧急响应演习，至少每半年组织一次，由公司应急救援领导小组组织。</w:t>
      </w:r>
    </w:p>
    <w:p>
      <w:pPr>
        <w:pStyle w:val="9"/>
        <w:rPr>
          <w:rFonts w:hint="eastAsia" w:cs="Times New Roman"/>
          <w:color w:val="auto"/>
          <w:highlight w:val="none"/>
          <w:lang w:val="en-US" w:eastAsia="zh-CN"/>
        </w:rPr>
      </w:pPr>
      <w:r>
        <w:rPr>
          <w:rFonts w:hint="eastAsia" w:cs="Times New Roman"/>
          <w:color w:val="auto"/>
          <w:highlight w:val="none"/>
          <w:lang w:val="en-US" w:eastAsia="zh-CN"/>
        </w:rPr>
        <w:t>应急预案演习</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为验证应急预案的可操作性和合理性，确保所有职工都了解该应急预案，同时为</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了增强各部门之间的相互协作能力，应对各类可能发生事故进行培训和应急演练，从而确保预案的适时改进。所有运作人员参与污染事故应急演习的时间间隔不得超过一年，并做好演练记录。</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根据本项目的实际情况，企业还应从以下几方面加强事故应急防范：</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（1）建立应急救援指挥系统</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①企业应组建指挥小组。</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②指挥小组负责重大事故应急预案的制定及修订；组建应急救援专业队伍，并组织实施平时的演练；经常性检查应急预案的各项准备工作，以确保系统能正常工作。</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③定时组织工作人员进行培训。</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④及时向上级汇报事故情况，并对事故做总结。</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（2）现场事故处置</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①发生重大事故时，应紧急疏散场区工作人员，危险区域实行隔离，禁止进入，无关人员不得靠近。</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②现场扑救人员应佩戴氧气隔离防毒面具，穿专用防护服。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③发生山林火灾时应及时扑救，防止火势蔓延。</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（3）外部联络</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向当地市政府、消防、公安、环保、卫生、林业等部门及时汇报险情，寻求支援。</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269" w:name="_Toc436035701"/>
      <w:bookmarkStart w:id="270" w:name="_Toc25302"/>
      <w:bookmarkStart w:id="271" w:name="_Toc29221880"/>
      <w:r>
        <w:rPr>
          <w:rFonts w:hint="eastAsia" w:ascii="Times New Roman" w:hAnsi="Times New Roman" w:eastAsia="宋体" w:cs="Times New Roman"/>
          <w:color w:val="auto"/>
          <w:highlight w:val="none"/>
          <w:lang w:val="en-US" w:eastAsia="zh-CN"/>
        </w:rPr>
        <w:t>环境风险评价结论</w:t>
      </w:r>
      <w:bookmarkEnd w:id="269"/>
      <w:bookmarkEnd w:id="270"/>
      <w:bookmarkEnd w:id="271"/>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本项目营运期间涉及的主要危险物质包括柴油和甲烷</w:t>
      </w:r>
      <w:r>
        <w:rPr>
          <w:rFonts w:hint="eastAsia" w:ascii="Times New Roman" w:hAnsi="Times New Roman" w:eastAsia="宋体" w:cs="Times New Roman"/>
          <w:color w:val="auto"/>
          <w:sz w:val="24"/>
          <w:szCs w:val="24"/>
          <w:highlight w:val="none"/>
          <w:lang w:eastAsia="zh-CN"/>
        </w:rPr>
        <w:t>和</w:t>
      </w:r>
      <w:r>
        <w:rPr>
          <w:rFonts w:hint="default" w:ascii="Times New Roman" w:hAnsi="Times New Roman" w:eastAsia="宋体" w:cs="Times New Roman"/>
          <w:color w:val="auto"/>
          <w:sz w:val="24"/>
          <w:szCs w:val="24"/>
          <w:highlight w:val="none"/>
        </w:rPr>
        <w:t>，不构成重大危险源，项目环境风险事故的发生概率极小。建设单位通过采取一系列的风险防范措施，同时制定相应的事故应急预案，可有效地防止环境风险事故的发生；一旦发生事故，依靠安全防护设施和事故应急措施也能及时控制事故，防止事故的蔓延。减少事故带来的人员伤亡、财产损失和环境影响，项目的环境风险水平是可以接受的。综合分析，从环境风险角度分析本项目建设可行。</w:t>
      </w:r>
    </w:p>
    <w:p>
      <w:pPr>
        <w:pStyle w:val="2504"/>
        <w:numPr>
          <w:ilvl w:val="0"/>
          <w:numId w:val="44"/>
        </w:numPr>
        <w:spacing w:before="120"/>
        <w:ind w:left="425" w:leftChars="0" w:hanging="425" w:firstLineChars="0"/>
        <w:rPr>
          <w:rFonts w:hint="eastAsia"/>
          <w:color w:val="auto"/>
          <w:highlight w:val="none"/>
        </w:rPr>
      </w:pPr>
      <w:r>
        <w:rPr>
          <w:rFonts w:hint="eastAsia"/>
          <w:color w:val="auto"/>
          <w:highlight w:val="none"/>
        </w:rPr>
        <w:t xml:space="preserve">  建设项目环境风险简单分析内容表</w:t>
      </w:r>
    </w:p>
    <w:tbl>
      <w:tblPr>
        <w:tblStyle w:val="91"/>
        <w:tblW w:w="9003"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2066"/>
        <w:gridCol w:w="1304"/>
        <w:gridCol w:w="1541"/>
        <w:gridCol w:w="1320"/>
        <w:gridCol w:w="977"/>
        <w:gridCol w:w="1795"/>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2066" w:type="dxa"/>
            <w:tcBorders>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建设项目名称</w:t>
            </w:r>
          </w:p>
        </w:tc>
        <w:tc>
          <w:tcPr>
            <w:tcW w:w="6937" w:type="dxa"/>
            <w:gridSpan w:val="5"/>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Theme="minorEastAsia"/>
                <w:color w:val="auto"/>
                <w:sz w:val="21"/>
                <w:szCs w:val="21"/>
                <w:highlight w:val="none"/>
                <w:lang w:eastAsia="zh-CN"/>
              </w:rPr>
            </w:pPr>
            <w:r>
              <w:rPr>
                <w:rFonts w:hint="default"/>
                <w:color w:val="auto"/>
                <w:sz w:val="21"/>
                <w:szCs w:val="21"/>
                <w:highlight w:val="none"/>
              </w:rPr>
              <w:t>巴州区鼎山镇首市村巴山肉牛标准化</w:t>
            </w:r>
            <w:r>
              <w:rPr>
                <w:rFonts w:hint="eastAsia"/>
                <w:color w:val="auto"/>
                <w:sz w:val="21"/>
                <w:szCs w:val="21"/>
                <w:highlight w:val="none"/>
                <w:lang w:eastAsia="zh-CN"/>
              </w:rPr>
              <w:t>育肥场</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206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建设地点</w:t>
            </w:r>
          </w:p>
        </w:tc>
        <w:tc>
          <w:tcPr>
            <w:tcW w:w="1304"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（四川）省</w:t>
            </w:r>
          </w:p>
        </w:tc>
        <w:tc>
          <w:tcPr>
            <w:tcW w:w="154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w:t>
            </w:r>
            <w:r>
              <w:rPr>
                <w:rFonts w:hint="eastAsia"/>
                <w:color w:val="auto"/>
                <w:sz w:val="21"/>
                <w:szCs w:val="21"/>
                <w:highlight w:val="none"/>
              </w:rPr>
              <w:t>巴</w:t>
            </w:r>
            <w:r>
              <w:rPr>
                <w:rFonts w:hint="default"/>
                <w:color w:val="auto"/>
                <w:sz w:val="21"/>
                <w:szCs w:val="21"/>
                <w:highlight w:val="none"/>
              </w:rPr>
              <w:t>中）市</w:t>
            </w:r>
          </w:p>
        </w:tc>
        <w:tc>
          <w:tcPr>
            <w:tcW w:w="1320"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w:t>
            </w:r>
            <w:r>
              <w:rPr>
                <w:rFonts w:hint="eastAsia"/>
                <w:color w:val="auto"/>
                <w:sz w:val="21"/>
                <w:szCs w:val="21"/>
                <w:highlight w:val="none"/>
                <w:lang w:eastAsia="zh-CN"/>
              </w:rPr>
              <w:t>巴州</w:t>
            </w:r>
            <w:r>
              <w:rPr>
                <w:rFonts w:hint="default"/>
                <w:color w:val="auto"/>
                <w:sz w:val="21"/>
                <w:szCs w:val="21"/>
                <w:highlight w:val="none"/>
              </w:rPr>
              <w:t>）区</w:t>
            </w:r>
          </w:p>
        </w:tc>
        <w:tc>
          <w:tcPr>
            <w:tcW w:w="977"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（）县</w:t>
            </w:r>
          </w:p>
        </w:tc>
        <w:tc>
          <w:tcPr>
            <w:tcW w:w="1795"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Theme="minorEastAsia"/>
                <w:color w:val="auto"/>
                <w:sz w:val="21"/>
                <w:szCs w:val="21"/>
                <w:highlight w:val="none"/>
                <w:lang w:eastAsia="zh-CN"/>
              </w:rPr>
            </w:pPr>
            <w:r>
              <w:rPr>
                <w:rFonts w:hint="eastAsia"/>
                <w:color w:val="auto"/>
                <w:sz w:val="21"/>
                <w:szCs w:val="21"/>
                <w:highlight w:val="none"/>
                <w:lang w:eastAsia="zh-CN"/>
              </w:rPr>
              <w:t>鼎山镇首市村</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206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地理坐标</w:t>
            </w:r>
          </w:p>
        </w:tc>
        <w:tc>
          <w:tcPr>
            <w:tcW w:w="1304"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经度</w:t>
            </w:r>
          </w:p>
        </w:tc>
        <w:tc>
          <w:tcPr>
            <w:tcW w:w="154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106°50′30.32520″</w:t>
            </w:r>
          </w:p>
        </w:tc>
        <w:tc>
          <w:tcPr>
            <w:tcW w:w="1320"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纬度</w:t>
            </w:r>
          </w:p>
        </w:tc>
        <w:tc>
          <w:tcPr>
            <w:tcW w:w="2772" w:type="dxa"/>
            <w:gridSpan w:val="2"/>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31°39′24”</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206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主要危险物质及分布</w:t>
            </w:r>
          </w:p>
        </w:tc>
        <w:tc>
          <w:tcPr>
            <w:tcW w:w="6937" w:type="dxa"/>
            <w:gridSpan w:val="5"/>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Theme="minorEastAsia"/>
                <w:color w:val="auto"/>
                <w:sz w:val="21"/>
                <w:szCs w:val="21"/>
                <w:highlight w:val="none"/>
                <w:lang w:val="en-US" w:eastAsia="zh-CN"/>
              </w:rPr>
            </w:pPr>
            <w:r>
              <w:rPr>
                <w:rFonts w:hint="eastAsia"/>
                <w:color w:val="auto"/>
                <w:sz w:val="21"/>
                <w:szCs w:val="21"/>
                <w:highlight w:val="none"/>
              </w:rPr>
              <w:t>甲烷</w:t>
            </w:r>
            <w:r>
              <w:rPr>
                <w:rFonts w:hint="default"/>
                <w:color w:val="auto"/>
                <w:sz w:val="21"/>
                <w:szCs w:val="21"/>
                <w:highlight w:val="none"/>
              </w:rPr>
              <w:t>（</w:t>
            </w:r>
            <w:r>
              <w:rPr>
                <w:rFonts w:hint="default" w:ascii="Times New Roman" w:hAnsi="Times New Roman" w:cs="Times New Roman"/>
                <w:color w:val="auto"/>
                <w:sz w:val="21"/>
                <w:szCs w:val="21"/>
                <w:highlight w:val="none"/>
              </w:rPr>
              <w:t>双膜储气袋</w:t>
            </w:r>
            <w:r>
              <w:rPr>
                <w:rFonts w:hint="default"/>
                <w:color w:val="auto"/>
                <w:sz w:val="21"/>
                <w:szCs w:val="21"/>
                <w:highlight w:val="none"/>
              </w:rPr>
              <w:t>）、柴油（</w:t>
            </w:r>
            <w:r>
              <w:rPr>
                <w:rFonts w:hint="eastAsia"/>
                <w:color w:val="auto"/>
                <w:sz w:val="21"/>
                <w:szCs w:val="21"/>
                <w:highlight w:val="none"/>
              </w:rPr>
              <w:t>柴油</w:t>
            </w:r>
            <w:r>
              <w:rPr>
                <w:rFonts w:hint="default"/>
                <w:color w:val="auto"/>
                <w:sz w:val="21"/>
                <w:szCs w:val="21"/>
                <w:highlight w:val="none"/>
              </w:rPr>
              <w:t>发电机房）</w:t>
            </w:r>
            <w:r>
              <w:rPr>
                <w:rFonts w:hint="eastAsia"/>
                <w:color w:val="auto"/>
                <w:sz w:val="21"/>
                <w:szCs w:val="21"/>
                <w:highlight w:val="none"/>
                <w:lang w:eastAsia="zh-CN"/>
              </w:rPr>
              <w:t>、</w:t>
            </w:r>
            <w:r>
              <w:rPr>
                <w:rFonts w:hint="default" w:ascii="Times New Roman" w:hAnsi="Times New Roman" w:cs="Times New Roman"/>
                <w:color w:val="auto"/>
                <w:sz w:val="21"/>
                <w:szCs w:val="21"/>
                <w:highlight w:val="none"/>
              </w:rPr>
              <w:t>过氧乙酸</w:t>
            </w:r>
            <w:r>
              <w:rPr>
                <w:rFonts w:hint="eastAsia" w:ascii="Times New Roman" w:hAnsi="Times New Roman" w:cs="Times New Roman"/>
                <w:color w:val="auto"/>
                <w:sz w:val="21"/>
                <w:szCs w:val="21"/>
                <w:highlight w:val="none"/>
                <w:lang w:val="en-US" w:eastAsia="zh-CN"/>
              </w:rPr>
              <w:t>(物质房）</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206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环境影响途经及危害后果（大气、地表水、地下水等）</w:t>
            </w:r>
          </w:p>
        </w:tc>
        <w:tc>
          <w:tcPr>
            <w:tcW w:w="6937" w:type="dxa"/>
            <w:gridSpan w:val="5"/>
            <w:noWrap w:val="0"/>
            <w:vAlign w:val="center"/>
          </w:tcPr>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大气：甲烷或柴油过氧乙酸</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泄漏后若遇明火很容易引起火灾、爆炸事故，火灾、爆炸产生的废气污染区域大气环境；</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地表水：甲烷或柴油</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过氧乙酸泄漏后引起火灾、爆炸产生的消防废水在短时间内大量漫流，可能会通过沟渠进入附近地表水，污染区域地表水体；粪污事故泄漏、外溢可能污染区域地表水体；</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地下水：甲烷或柴油</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过氧乙酸泄漏后引起火灾、爆炸产生的消防废水泄漏污染地下水；粪污事故泄漏、外溢可能污染区域地下水。</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206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风险防范措施要求</w:t>
            </w:r>
          </w:p>
        </w:tc>
        <w:tc>
          <w:tcPr>
            <w:tcW w:w="6937" w:type="dxa"/>
            <w:gridSpan w:val="5"/>
            <w:noWrap w:val="0"/>
            <w:vAlign w:val="center"/>
          </w:tcPr>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1、柴油燃爆风险防范措施：</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（1）柴油发电机房的建设满足防火要求，防火间距、消防通道、消防设施等满足要求。</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（2）柴油发电机房储油桶与周围建筑物之间有足够的防火距离。</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（3）柴油发电机房储油桶周围设置防火堤，防止因物料泄漏而引起流淌火或二次危害。</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4）柴油发电机房以及储油桶的地面必须做重点防渗处理（地面采取粘土铺底，敷设2mm后的HDPE膜，再在上层铺10~15cm的水泥进行硬化），使柴油发电机（包括柴油发电机房储油桶）防渗达到等效黏土防渗层Mb≥6.0m，K≤1.0×10</w:t>
            </w:r>
            <w:r>
              <w:rPr>
                <w:rFonts w:hint="default" w:ascii="Times New Roman" w:hAnsi="Times New Roman" w:cs="Times New Roman"/>
                <w:bCs/>
                <w:color w:val="auto"/>
                <w:sz w:val="21"/>
                <w:szCs w:val="21"/>
                <w:highlight w:val="none"/>
                <w:vertAlign w:val="superscript"/>
              </w:rPr>
              <w:t>-7</w:t>
            </w:r>
            <w:r>
              <w:rPr>
                <w:rFonts w:hint="default" w:ascii="Times New Roman" w:hAnsi="Times New Roman" w:cs="Times New Roman"/>
                <w:bCs/>
                <w:color w:val="auto"/>
                <w:sz w:val="21"/>
                <w:szCs w:val="21"/>
                <w:highlight w:val="none"/>
              </w:rPr>
              <w:t>cm/s。</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（5）柴油发电机以及储油桶下面必须添加集油盘收集发电机跑冒和渗漏出来的机油和柴油，减少对外环境的影响。</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（6）柴油发电机房以及储油桶应按相关规定设置消防器材，配置干粉泡沫化学灭火器。</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2、沼气（甲烷）事故风险防范措施：</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（1）总图布置应满足安全、卫生、环保、消防等有关标准规范的要求；落实工程设计风险防范措施。</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（2）建立健全的消防与安全生产规章制度，落实安全生产岗位责任制。</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（3）加强对系统设备和密封单元的维护保养，严防泄露。</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（4）落实工程安全技术措施，严把工程建设质量关，从根本上消除事故隐患，确保生产安全。</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（5）采取防火、防爆措施；厌氧发酵系统、沼气储存系统等附近严禁明火；在</w:t>
            </w:r>
            <w:r>
              <w:rPr>
                <w:rFonts w:hint="eastAsia" w:ascii="Times New Roman" w:hAnsi="Times New Roman" w:cs="Times New Roman"/>
                <w:bCs/>
                <w:color w:val="auto"/>
                <w:sz w:val="21"/>
                <w:szCs w:val="21"/>
                <w:highlight w:val="none"/>
                <w:lang w:eastAsia="zh-CN"/>
              </w:rPr>
              <w:t>双膜储气袋</w:t>
            </w:r>
            <w:r>
              <w:rPr>
                <w:rFonts w:hint="default" w:ascii="Times New Roman" w:hAnsi="Times New Roman" w:cs="Times New Roman"/>
                <w:bCs/>
                <w:color w:val="auto"/>
                <w:sz w:val="21"/>
                <w:szCs w:val="21"/>
                <w:highlight w:val="none"/>
              </w:rPr>
              <w:t>周围安装可燃气体泄露报警器、火焰报警器和烟雾报警器等装置，当发现气体泄漏时立即报警。</w:t>
            </w:r>
          </w:p>
          <w:p>
            <w:pPr>
              <w:keepNext w:val="0"/>
              <w:keepLines w:val="0"/>
              <w:suppressLineNumbers w:val="0"/>
              <w:spacing w:before="0" w:beforeAutospacing="0" w:after="0" w:afterAutospacing="0" w:line="240" w:lineRule="auto"/>
              <w:ind w:left="0" w:right="0" w:firstLine="0" w:firstLineChars="0"/>
              <w:jc w:val="left"/>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lang w:val="en-US" w:eastAsia="zh-CN"/>
              </w:rPr>
              <w:t>3、</w:t>
            </w:r>
            <w:r>
              <w:rPr>
                <w:rFonts w:hint="eastAsia" w:ascii="Times New Roman" w:hAnsi="Times New Roman" w:cs="Times New Roman"/>
                <w:bCs/>
                <w:color w:val="auto"/>
                <w:sz w:val="21"/>
                <w:szCs w:val="21"/>
                <w:highlight w:val="none"/>
              </w:rPr>
              <w:t>过氧乙酸风险防范措施</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lang w:val="en-US" w:eastAsia="zh-CN"/>
              </w:rPr>
              <w:t>(1)</w:t>
            </w:r>
            <w:r>
              <w:rPr>
                <w:rFonts w:hint="default" w:ascii="Times New Roman" w:hAnsi="Times New Roman" w:cs="Times New Roman"/>
                <w:bCs/>
                <w:color w:val="auto"/>
                <w:sz w:val="21"/>
                <w:szCs w:val="21"/>
                <w:highlight w:val="none"/>
              </w:rPr>
              <w:t>注意储存的量不宜过大，尤其要注意储存时应该采用塑料容器，而不能用玻璃瓶等膨胀性较差的容器储存过氧乙酸。</w:t>
            </w:r>
          </w:p>
          <w:p>
            <w:pPr>
              <w:keepNext w:val="0"/>
              <w:keepLines w:val="0"/>
              <w:suppressLineNumbers w:val="0"/>
              <w:spacing w:before="0" w:beforeAutospacing="0" w:after="0" w:afterAutospacing="0" w:line="240" w:lineRule="auto"/>
              <w:ind w:left="0" w:right="0" w:firstLine="0" w:firstLineChars="0"/>
              <w:jc w:val="left"/>
              <w:rPr>
                <w:rFonts w:hint="default"/>
                <w:color w:val="auto"/>
                <w:highlight w:val="none"/>
              </w:rPr>
            </w:pPr>
            <w:r>
              <w:rPr>
                <w:rFonts w:hint="eastAsia" w:ascii="Times New Roman" w:hAnsi="Times New Roman" w:cs="Times New Roman"/>
                <w:bCs/>
                <w:color w:val="auto"/>
                <w:sz w:val="21"/>
                <w:szCs w:val="21"/>
                <w:highlight w:val="none"/>
                <w:lang w:val="en-US" w:eastAsia="zh-CN"/>
              </w:rPr>
              <w:t>(2)</w:t>
            </w:r>
            <w:r>
              <w:rPr>
                <w:rFonts w:hint="default"/>
                <w:color w:val="auto"/>
                <w:highlight w:val="none"/>
              </w:rPr>
              <w:t>刚拉运回来的过氧乙酸不宜立即使用，应当静置至少30分钟以上，以利运输过程中因震动等产生的静电消除，防止静电引起火灾或爆炸事故。</w:t>
            </w:r>
          </w:p>
          <w:p>
            <w:pPr>
              <w:keepNext w:val="0"/>
              <w:keepLines w:val="0"/>
              <w:suppressLineNumbers w:val="0"/>
              <w:spacing w:before="0" w:beforeAutospacing="0" w:after="0" w:afterAutospacing="0" w:line="240" w:lineRule="auto"/>
              <w:ind w:left="0" w:right="0" w:firstLine="0" w:firstLineChars="0"/>
              <w:jc w:val="left"/>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（3）禁烟防火，</w:t>
            </w:r>
            <w:r>
              <w:rPr>
                <w:rFonts w:hint="default" w:ascii="Times New Roman" w:hAnsi="Times New Roman" w:cs="Times New Roman"/>
                <w:bCs/>
                <w:color w:val="auto"/>
                <w:sz w:val="21"/>
                <w:szCs w:val="21"/>
                <w:highlight w:val="none"/>
                <w:lang w:val="en-US" w:eastAsia="zh-CN"/>
              </w:rPr>
              <w:t>采用防爆设计或采取防爆措施</w:t>
            </w:r>
            <w:r>
              <w:rPr>
                <w:rFonts w:hint="eastAsia" w:ascii="Times New Roman" w:hAnsi="Times New Roman" w:cs="Times New Roman"/>
                <w:bCs/>
                <w:color w:val="auto"/>
                <w:sz w:val="21"/>
                <w:szCs w:val="21"/>
                <w:highlight w:val="none"/>
                <w:lang w:val="en-US" w:eastAsia="zh-CN"/>
              </w:rPr>
              <w:t>。</w:t>
            </w:r>
          </w:p>
          <w:p>
            <w:pPr>
              <w:keepNext w:val="0"/>
              <w:keepLines w:val="0"/>
              <w:suppressLineNumbers w:val="0"/>
              <w:spacing w:before="0" w:beforeAutospacing="0" w:after="0" w:afterAutospacing="0" w:line="240" w:lineRule="auto"/>
              <w:ind w:left="0" w:right="0" w:firstLine="0" w:firstLineChars="0"/>
              <w:jc w:val="left"/>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（4）其受震时的灵敏性增大，在搬运过程中要轻拿轻放，禁止摔、砸、碰、撞和太阳长时间照射，注意避免因受热、接触明火及受到摩擦、震动、撞击引起燃烧爆炸而造成对人员的伤害。</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（5）应专库储存，专人保管，禁止与还原剂、有机物、可燃物、还原剂、酸碱和无机氧化剂等混合或接触，保管及使用人员应进行消防安全培训。</w:t>
            </w:r>
          </w:p>
          <w:p>
            <w:pPr>
              <w:keepNext w:val="0"/>
              <w:keepLines w:val="0"/>
              <w:suppressLineNumbers w:val="0"/>
              <w:spacing w:before="0" w:beforeAutospacing="0" w:after="0" w:afterAutospacing="0" w:line="240" w:lineRule="auto"/>
              <w:ind w:left="0" w:right="0" w:firstLine="0" w:firstLineChars="0"/>
              <w:jc w:val="left"/>
              <w:rPr>
                <w:rFonts w:hint="default"/>
                <w:color w:val="auto"/>
                <w:highlight w:val="none"/>
              </w:rPr>
            </w:pPr>
            <w:r>
              <w:rPr>
                <w:rFonts w:hint="default" w:ascii="Times New Roman" w:hAnsi="Times New Roman" w:cs="Times New Roman"/>
                <w:bCs/>
                <w:color w:val="auto"/>
                <w:sz w:val="21"/>
                <w:szCs w:val="21"/>
                <w:highlight w:val="none"/>
              </w:rPr>
              <w:t>3、粪污泄漏风险防范措施</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（1）厂区配套的集污池等各污水处理构筑物、</w:t>
            </w:r>
            <w:r>
              <w:rPr>
                <w:rFonts w:hint="eastAsia" w:ascii="Times New Roman" w:hAnsi="Times New Roman" w:cs="Times New Roman"/>
                <w:bCs/>
                <w:color w:val="auto"/>
                <w:sz w:val="21"/>
                <w:szCs w:val="21"/>
                <w:highlight w:val="none"/>
                <w:lang w:eastAsia="zh-CN"/>
              </w:rPr>
              <w:t>堆肥车间</w:t>
            </w:r>
            <w:r>
              <w:rPr>
                <w:rFonts w:hint="default" w:ascii="Times New Roman" w:hAnsi="Times New Roman" w:cs="Times New Roman"/>
                <w:bCs/>
                <w:color w:val="auto"/>
                <w:sz w:val="21"/>
                <w:szCs w:val="21"/>
                <w:highlight w:val="none"/>
              </w:rPr>
              <w:t>应采取有效的防雨、防渗和防溢流措施，防止粪污泄漏污染地下水。</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（2）本项目需设置1座事故应急池（</w:t>
            </w:r>
            <w:r>
              <w:rPr>
                <w:rFonts w:hint="eastAsia" w:ascii="Times New Roman" w:hAnsi="Times New Roman" w:cs="Times New Roman"/>
                <w:bCs/>
                <w:color w:val="auto"/>
                <w:sz w:val="21"/>
                <w:szCs w:val="21"/>
                <w:highlight w:val="none"/>
                <w:lang w:val="en-US" w:eastAsia="zh-CN"/>
              </w:rPr>
              <w:t>20</w:t>
            </w:r>
            <w:r>
              <w:rPr>
                <w:rFonts w:hint="default" w:ascii="Times New Roman" w:hAnsi="Times New Roman" w:cs="Times New Roman"/>
                <w:bCs/>
                <w:color w:val="auto"/>
                <w:sz w:val="21"/>
                <w:szCs w:val="21"/>
                <w:highlight w:val="none"/>
              </w:rPr>
              <w:t>00m</w:t>
            </w:r>
            <w:r>
              <w:rPr>
                <w:rFonts w:hint="default" w:ascii="Times New Roman" w:hAnsi="Times New Roman" w:cs="Times New Roman"/>
                <w:bCs/>
                <w:color w:val="auto"/>
                <w:sz w:val="21"/>
                <w:szCs w:val="21"/>
                <w:highlight w:val="none"/>
                <w:vertAlign w:val="superscript"/>
              </w:rPr>
              <w:t>3</w:t>
            </w:r>
            <w:r>
              <w:rPr>
                <w:rFonts w:hint="default" w:ascii="Times New Roman" w:hAnsi="Times New Roman" w:cs="Times New Roman"/>
                <w:bCs/>
                <w:color w:val="auto"/>
                <w:sz w:val="21"/>
                <w:szCs w:val="21"/>
                <w:highlight w:val="none"/>
              </w:rPr>
              <w:t>），以收集暂存污水处理设施出现故障情况下的污水，待污水处理设施故障解决后（最大时间预计7d），将事故应急池污水泵入集污池进行后续处理。</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9003" w:type="dxa"/>
            <w:gridSpan w:val="6"/>
            <w:noWrap w:val="0"/>
            <w:vAlign w:val="center"/>
          </w:tcPr>
          <w:p>
            <w:pPr>
              <w:keepNext w:val="0"/>
              <w:keepLines w:val="0"/>
              <w:suppressLineNumbers w:val="0"/>
              <w:spacing w:before="0" w:beforeAutospacing="0" w:after="0" w:afterAutospacing="0" w:line="240" w:lineRule="auto"/>
              <w:ind w:left="0" w:right="0" w:firstLine="0" w:firstLineChars="0"/>
              <w:jc w:val="left"/>
              <w:rPr>
                <w:rFonts w:hint="default"/>
                <w:color w:val="auto"/>
                <w:sz w:val="21"/>
                <w:szCs w:val="21"/>
                <w:highlight w:val="none"/>
              </w:rPr>
            </w:pPr>
            <w:r>
              <w:rPr>
                <w:rFonts w:hint="default"/>
                <w:color w:val="auto"/>
                <w:sz w:val="21"/>
                <w:szCs w:val="21"/>
                <w:highlight w:val="none"/>
              </w:rPr>
              <w:t>填表说明（列出项目相关信息及评价说明）：</w:t>
            </w:r>
          </w:p>
          <w:p>
            <w:pPr>
              <w:keepNext w:val="0"/>
              <w:keepLines w:val="0"/>
              <w:suppressLineNumbers w:val="0"/>
              <w:spacing w:before="0" w:beforeAutospacing="0" w:after="0" w:afterAutospacing="0" w:line="240" w:lineRule="auto"/>
              <w:ind w:left="0" w:right="0" w:firstLine="0" w:firstLineChars="0"/>
              <w:jc w:val="left"/>
              <w:rPr>
                <w:rFonts w:hint="default"/>
                <w:color w:val="auto"/>
                <w:sz w:val="21"/>
                <w:szCs w:val="21"/>
                <w:highlight w:val="none"/>
              </w:rPr>
            </w:pPr>
            <w:r>
              <w:rPr>
                <w:rFonts w:hint="default"/>
                <w:color w:val="auto"/>
                <w:sz w:val="21"/>
                <w:szCs w:val="21"/>
                <w:highlight w:val="none"/>
              </w:rPr>
              <w:t>评价说明</w:t>
            </w:r>
            <w:r>
              <w:rPr>
                <w:rFonts w:hint="eastAsia"/>
                <w:color w:val="auto"/>
                <w:sz w:val="21"/>
                <w:szCs w:val="21"/>
                <w:highlight w:val="none"/>
              </w:rPr>
              <w:t>：</w:t>
            </w:r>
            <w:r>
              <w:rPr>
                <w:rFonts w:hint="default"/>
                <w:color w:val="auto"/>
                <w:sz w:val="21"/>
                <w:szCs w:val="21"/>
                <w:highlight w:val="none"/>
              </w:rPr>
              <w:t>根据《建设项目环境风险评价技术导则》（HJ169-2018）进行分析</w:t>
            </w:r>
            <w:r>
              <w:rPr>
                <w:rFonts w:hint="eastAsia"/>
                <w:color w:val="auto"/>
                <w:sz w:val="21"/>
                <w:szCs w:val="21"/>
                <w:highlight w:val="none"/>
              </w:rPr>
              <w:t>，</w:t>
            </w:r>
            <w:r>
              <w:rPr>
                <w:rFonts w:hint="default"/>
                <w:color w:val="auto"/>
                <w:sz w:val="21"/>
                <w:szCs w:val="21"/>
                <w:highlight w:val="none"/>
              </w:rPr>
              <w:t>项目Q值&lt;1，风险潜势为I，评价等级为简单分析。在落实了环评提出的风险防范措施后，项目环境风险</w:t>
            </w:r>
            <w:r>
              <w:rPr>
                <w:rFonts w:hint="eastAsia"/>
                <w:color w:val="auto"/>
                <w:sz w:val="21"/>
                <w:szCs w:val="21"/>
                <w:highlight w:val="none"/>
              </w:rPr>
              <w:t>处于</w:t>
            </w:r>
            <w:r>
              <w:rPr>
                <w:rFonts w:hint="default"/>
                <w:color w:val="auto"/>
                <w:sz w:val="21"/>
                <w:szCs w:val="21"/>
                <w:highlight w:val="none"/>
              </w:rPr>
              <w:t>可接受水平。</w:t>
            </w:r>
          </w:p>
        </w:tc>
      </w:tr>
    </w:tbl>
    <w:p>
      <w:pPr>
        <w:ind w:firstLine="480"/>
        <w:rPr>
          <w:color w:val="auto"/>
          <w:sz w:val="24"/>
          <w:szCs w:val="24"/>
          <w:highlight w:val="none"/>
        </w:rPr>
      </w:pPr>
      <w:r>
        <w:rPr>
          <w:color w:val="auto"/>
          <w:sz w:val="24"/>
          <w:szCs w:val="24"/>
          <w:highlight w:val="none"/>
        </w:rPr>
        <w:t>综上所述，项目营运期间发生环境风险事故的概率极小，在严格落实环境风险防范措施、应急预案等提出的相关要求</w:t>
      </w:r>
      <w:r>
        <w:rPr>
          <w:rFonts w:hint="eastAsia"/>
          <w:color w:val="auto"/>
          <w:sz w:val="24"/>
          <w:szCs w:val="24"/>
          <w:highlight w:val="none"/>
        </w:rPr>
        <w:t>后</w:t>
      </w:r>
      <w:r>
        <w:rPr>
          <w:color w:val="auto"/>
          <w:sz w:val="24"/>
          <w:szCs w:val="24"/>
          <w:highlight w:val="none"/>
        </w:rPr>
        <w:t>可以将风险降到最低限度，项目的环境风险水平是可以接受的。</w:t>
      </w:r>
    </w:p>
    <w:p>
      <w:pPr>
        <w:rPr>
          <w:rFonts w:hint="eastAsia"/>
          <w:color w:val="auto"/>
          <w:highlight w:val="none"/>
        </w:rPr>
      </w:pPr>
      <w:r>
        <w:rPr>
          <w:rFonts w:hint="eastAsia"/>
          <w:color w:val="auto"/>
          <w:highlight w:val="none"/>
        </w:rPr>
        <w:br w:type="page"/>
      </w:r>
    </w:p>
    <w:p>
      <w:pPr>
        <w:pStyle w:val="6"/>
        <w:rPr>
          <w:rFonts w:cs="Times New Roman"/>
          <w:color w:val="auto"/>
          <w:highlight w:val="none"/>
        </w:rPr>
      </w:pPr>
      <w:bookmarkStart w:id="272" w:name="_Toc32287"/>
      <w:r>
        <w:rPr>
          <w:rFonts w:cs="Times New Roman"/>
          <w:color w:val="auto"/>
          <w:highlight w:val="none"/>
        </w:rPr>
        <w:t>环境保护措施及其可行性论证</w:t>
      </w:r>
      <w:bookmarkEnd w:id="272"/>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273" w:name="_Toc6406"/>
      <w:bookmarkStart w:id="274" w:name="_Toc29221882"/>
      <w:r>
        <w:rPr>
          <w:rFonts w:hint="eastAsia" w:ascii="Times New Roman" w:hAnsi="Times New Roman" w:eastAsia="宋体" w:cs="Times New Roman"/>
          <w:color w:val="auto"/>
          <w:highlight w:val="none"/>
          <w:lang w:val="en-US" w:eastAsia="zh-CN"/>
        </w:rPr>
        <w:t>施工期环境保护措施及其可行性论证</w:t>
      </w:r>
      <w:bookmarkEnd w:id="273"/>
      <w:bookmarkEnd w:id="274"/>
    </w:p>
    <w:p>
      <w:pPr>
        <w:spacing w:line="440" w:lineRule="exact"/>
        <w:ind w:firstLine="480" w:firstLineChars="200"/>
        <w:rPr>
          <w:rFonts w:ascii="Times New Roman" w:hAnsi="Times New Roman" w:eastAsia="宋体" w:cs="Times New Roman"/>
          <w:color w:val="auto"/>
          <w:sz w:val="20"/>
          <w:szCs w:val="20"/>
          <w:highlight w:val="none"/>
        </w:rPr>
      </w:pPr>
      <w:r>
        <w:rPr>
          <w:rFonts w:ascii="Times New Roman" w:hAnsi="Times New Roman" w:eastAsia="宋体" w:cs="Times New Roman"/>
          <w:color w:val="auto"/>
          <w:sz w:val="24"/>
          <w:szCs w:val="24"/>
          <w:highlight w:val="none"/>
        </w:rPr>
        <w:t>本项目</w:t>
      </w:r>
      <w:r>
        <w:rPr>
          <w:rFonts w:hint="eastAsia" w:ascii="Times New Roman" w:hAnsi="Times New Roman" w:eastAsia="宋体" w:cs="Times New Roman"/>
          <w:color w:val="auto"/>
          <w:sz w:val="24"/>
          <w:szCs w:val="24"/>
          <w:highlight w:val="none"/>
        </w:rPr>
        <w:t>占地面积约</w:t>
      </w:r>
      <w:r>
        <w:rPr>
          <w:rFonts w:hint="eastAsia" w:ascii="Times New Roman" w:hAnsi="Times New Roman" w:eastAsia="宋体" w:cs="Times New Roman"/>
          <w:color w:val="auto"/>
          <w:sz w:val="24"/>
          <w:szCs w:val="24"/>
          <w:highlight w:val="none"/>
          <w:lang w:val="en-US" w:eastAsia="zh-CN"/>
        </w:rPr>
        <w:t>512亩，</w:t>
      </w:r>
      <w:r>
        <w:rPr>
          <w:rFonts w:ascii="Times New Roman" w:hAnsi="Times New Roman" w:eastAsia="宋体" w:cs="Times New Roman"/>
          <w:color w:val="auto"/>
          <w:sz w:val="24"/>
          <w:szCs w:val="24"/>
          <w:highlight w:val="none"/>
        </w:rPr>
        <w:t>主要包括基础工程、主体工程、装饰工程、设备安装等工程建设</w:t>
      </w:r>
      <w:r>
        <w:rPr>
          <w:rFonts w:hint="eastAsia" w:ascii="Times New Roman" w:hAnsi="Times New Roman" w:eastAsia="宋体" w:cs="Times New Roman"/>
          <w:color w:val="auto"/>
          <w:sz w:val="24"/>
          <w:szCs w:val="24"/>
          <w:highlight w:val="none"/>
        </w:rPr>
        <w:t>等。施工期间对环境的影响主要是扬尘、废水、施工噪声、建筑垃圾及生态影响等，本次评价针对其影响提出相应的污染防治</w:t>
      </w:r>
      <w:r>
        <w:rPr>
          <w:rFonts w:ascii="Times New Roman" w:hAnsi="Times New Roman" w:eastAsia="宋体" w:cs="Times New Roman"/>
          <w:color w:val="auto"/>
          <w:sz w:val="24"/>
          <w:szCs w:val="24"/>
          <w:highlight w:val="none"/>
        </w:rPr>
        <w:t>措施。</w:t>
      </w:r>
    </w:p>
    <w:p>
      <w:pPr>
        <w:pStyle w:val="8"/>
        <w:spacing w:before="0" w:after="0" w:line="360" w:lineRule="auto"/>
        <w:ind w:left="0" w:firstLine="0"/>
        <w:rPr>
          <w:rFonts w:hint="default" w:cs="Times New Roman"/>
          <w:color w:val="auto"/>
          <w:highlight w:val="none"/>
          <w:lang w:val="en-US" w:eastAsia="zh-CN"/>
        </w:rPr>
      </w:pPr>
      <w:bookmarkStart w:id="275" w:name="_Toc19261"/>
      <w:r>
        <w:rPr>
          <w:rFonts w:hint="default" w:cs="Times New Roman"/>
          <w:color w:val="auto"/>
          <w:highlight w:val="none"/>
          <w:lang w:val="en-US" w:eastAsia="zh-CN"/>
        </w:rPr>
        <w:t>施工期废气防治措施论证</w:t>
      </w:r>
      <w:bookmarkEnd w:id="275"/>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施工期大气环境污染主要为：施工扬尘、施工车辆汽车尾气。场内扬尘量的大小与天气干燥程度、风速大小等诸因素有关；场外扬尘量与道路路况、车辆行驶速度等诸因素有关。评价提出相应的防治措施如下：</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（1）施工过程遇到连续晴好干燥天气时，对堆土表面洒水，防止起尘；</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（2）水泥、砂土堆放时遮盖、密闭；</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（3）对于运输水泥、砂石的车辆，应谨防运输车辆装载过满，并采取遮盖、密闭措施，减少其沿途抛洒，并及时清扫散落在路面的泥土和灰尘，冲洗轮胎，定时洒水压尘，减少运输过程中的扬尘；</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（4）开挖时，对作业面适当喷水，使其保持一定的湿度，以减少扬尘量；</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（5）施工现场要围栏或部分围栏，减少施工扬尘扩散范围；</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（6）风速过大时应停止施工作业，并对堆放的砂石等建筑材料进行遮盖处理；</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（7）对于运输车辆尾气，通过加强对施工机械的维护和保养，加强对施工机械施工进程的管理，提高使用效率，使用清洁能源等措施。</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评价认为上述大气污染防治措施有效可行，采取上述防治措施后，可以有效地减小施工期废气的污染影响。</w:t>
      </w:r>
    </w:p>
    <w:p>
      <w:pPr>
        <w:pStyle w:val="8"/>
        <w:spacing w:before="0" w:after="0" w:line="360" w:lineRule="auto"/>
        <w:ind w:left="0" w:firstLine="0"/>
        <w:rPr>
          <w:rFonts w:hint="eastAsia" w:cs="Times New Roman"/>
          <w:color w:val="auto"/>
          <w:highlight w:val="none"/>
          <w:lang w:val="en-US" w:eastAsia="zh-CN"/>
        </w:rPr>
      </w:pPr>
      <w:bookmarkStart w:id="276" w:name="_Toc4157"/>
      <w:r>
        <w:rPr>
          <w:rFonts w:hint="eastAsia" w:cs="Times New Roman"/>
          <w:color w:val="auto"/>
          <w:highlight w:val="none"/>
          <w:lang w:val="en-US" w:eastAsia="zh-CN"/>
        </w:rPr>
        <w:t>施工期废水防治措施论证</w:t>
      </w:r>
      <w:bookmarkEnd w:id="276"/>
    </w:p>
    <w:p>
      <w:pPr>
        <w:spacing w:line="440" w:lineRule="exact"/>
        <w:ind w:firstLine="480" w:firstLineChars="200"/>
        <w:rPr>
          <w:rFonts w:hint="eastAsia"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项目施工期产生的废水包括施工人员生活污水、施工作业废水和暴雨径流初期雨水</w:t>
      </w:r>
      <w:r>
        <w:rPr>
          <w:rFonts w:hint="eastAsia" w:ascii="Times New Roman" w:hAnsi="Times New Roman" w:eastAsia="宋体" w:cs="Times New Roman"/>
          <w:color w:val="auto"/>
          <w:sz w:val="24"/>
          <w:szCs w:val="24"/>
          <w:highlight w:val="none"/>
        </w:rPr>
        <w:t>，根据废水的不同性质，进行分类收集处理。</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施工过程中排放的各类作业废水如搅拌机清洗水、洗石冲灰废水以及车辆的冲洗水等。日产生量较小，主要污染成分为SS、石油类等，评价要求在施工场地内设置隔油池和沉淀池，施工作业废水经隔油沉淀后回用于施工建设。</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施工期生活污水产生量为4.0m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/d</w:t>
      </w:r>
      <w:r>
        <w:rPr>
          <w:rFonts w:ascii="Times New Roman" w:hAnsi="Times New Roman" w:eastAsia="宋体" w:cs="Times New Roman"/>
          <w:color w:val="auto"/>
          <w:sz w:val="24"/>
          <w:szCs w:val="24"/>
          <w:highlight w:val="none"/>
        </w:rPr>
        <w:t>，施工人员依托周边居民房屋食宿，仅在施工场地设1座临时简易</w:t>
      </w:r>
      <w:r>
        <w:rPr>
          <w:rFonts w:hint="eastAsia" w:ascii="Times New Roman" w:hAnsi="Times New Roman" w:eastAsia="宋体" w:cs="Times New Roman"/>
          <w:color w:val="auto"/>
          <w:sz w:val="24"/>
          <w:szCs w:val="24"/>
          <w:highlight w:val="none"/>
          <w:lang w:eastAsia="zh-CN"/>
        </w:rPr>
        <w:t>预处理池</w:t>
      </w:r>
      <w:r>
        <w:rPr>
          <w:rFonts w:ascii="Times New Roman" w:hAnsi="Times New Roman" w:eastAsia="宋体" w:cs="Times New Roman"/>
          <w:color w:val="auto"/>
          <w:sz w:val="24"/>
          <w:szCs w:val="24"/>
          <w:highlight w:val="none"/>
        </w:rPr>
        <w:t>（10m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）收集处理施工期间施工人员产生的生活污水，经收集处理后定期清掏用于周边耕地施肥，不外排。</w:t>
      </w:r>
    </w:p>
    <w:p>
      <w:pPr>
        <w:spacing w:line="44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雨季作业场面的地面径流水，含有一定量的泥土和高浓度的悬浮物，在施工场地周边设置截水沟和1个20m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的沉砂池，收集的初期雨水回用于项目洒水抑尘；开挖土方将作为回填土，回填土临时堆场周边设置截水沟，施工材料的临时堆场设置遮雨棚，下雨时不会受到雨水冲击而流失，不会影响周围地表水环境。</w:t>
      </w:r>
    </w:p>
    <w:p>
      <w:pPr>
        <w:widowControl w:val="0"/>
        <w:spacing w:line="460" w:lineRule="exact"/>
        <w:ind w:firstLine="480" w:firstLineChars="200"/>
        <w:jc w:val="both"/>
        <w:rPr>
          <w:rFonts w:ascii="Arial Unicode MS" w:hAnsi="Arial Unicode MS" w:eastAsia="宋体" w:cs="Times New Roman"/>
          <w:color w:val="auto"/>
          <w:kern w:val="2"/>
          <w:sz w:val="24"/>
          <w:szCs w:val="20"/>
          <w:highlight w:val="none"/>
          <w:lang w:val="en-US" w:eastAsia="zh-CN" w:bidi="ar-SA"/>
        </w:rPr>
      </w:pPr>
      <w:r>
        <w:rPr>
          <w:rFonts w:hint="eastAsia" w:ascii="Arial Unicode MS" w:hAnsi="Arial Unicode MS" w:eastAsia="宋体" w:cs="Times New Roman"/>
          <w:color w:val="auto"/>
          <w:kern w:val="2"/>
          <w:sz w:val="24"/>
          <w:szCs w:val="20"/>
          <w:highlight w:val="none"/>
          <w:lang w:val="en-US" w:eastAsia="zh-CN" w:bidi="ar-SA"/>
        </w:rPr>
        <w:t>评价认为上述施工期废水污染防治措施技术经济可行，采取上述防治措施后，可以有效地减小施工期废水的污染影响。</w:t>
      </w:r>
    </w:p>
    <w:p>
      <w:pPr>
        <w:pStyle w:val="8"/>
        <w:spacing w:before="0" w:after="0" w:line="360" w:lineRule="auto"/>
        <w:ind w:left="0" w:firstLine="0"/>
        <w:rPr>
          <w:rFonts w:hint="eastAsia" w:cs="Times New Roman"/>
          <w:color w:val="auto"/>
          <w:highlight w:val="none"/>
          <w:lang w:val="en-US" w:eastAsia="zh-CN"/>
        </w:rPr>
      </w:pPr>
      <w:bookmarkStart w:id="277" w:name="_Toc16638"/>
      <w:r>
        <w:rPr>
          <w:rFonts w:hint="eastAsia" w:cs="Times New Roman"/>
          <w:color w:val="auto"/>
          <w:highlight w:val="none"/>
          <w:lang w:val="en-US" w:eastAsia="zh-CN"/>
        </w:rPr>
        <w:t>施工期噪声防治措施论证</w:t>
      </w:r>
      <w:bookmarkEnd w:id="277"/>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目前的机械制造水平，施工噪声既不能避免，又不能从根本上采取措施予以消除，只能通过加强对施工设备的管理，合理组织施工、才能尽可能地减轻施工设备噪声对施工场地的周围环境的影响。为最大限度地降低施工噪声对区域的影响，施工方必须采取严格的措施：</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首先从噪声源强进行控制：建设单位在与施工单位签订合同时，应要求其使用的主要机械设备为低噪设备。尽量选低噪声液压施工机械替代气压机械；尽可能使用商品混凝土，不使用混凝土搅拌机。同时在施工过程中施工单位应设专人对设备进行定期保养和维护，并负责对现场工作人员进行培训，严格按操作规范使用各类机械。</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（2）作业时在高噪声设备周围设置屏蔽，不低于1.8m。</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（3）合理安排施工进度和作业时间，尽量避免高噪声设备同时作业，夜间（晚22点到次日早晨6点）禁止施工。</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（4）对人为的施工噪声应有管理制度和降噪措施，并进行严格控制：承担材料运输的车辆，进入施工现场避免鸣笛，并要减速慢行，装卸材料应做到轻拿轻放，最大限度地减少噪声影响。</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（5）建设管理部门应加强对施工场地的噪声管理，施工企业也应对施工噪声进行自律，文明施工，避免因施工噪声产生纠纷。</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评价认为采取上述措施后可大大降低施工期噪声对周围环境的影响，防治措施合理有效，技术经济可行。</w:t>
      </w:r>
    </w:p>
    <w:p>
      <w:pPr>
        <w:pStyle w:val="8"/>
        <w:spacing w:before="0" w:after="0" w:line="360" w:lineRule="auto"/>
        <w:ind w:left="0" w:firstLine="0"/>
        <w:rPr>
          <w:rFonts w:hint="eastAsia" w:cs="Times New Roman"/>
          <w:color w:val="auto"/>
          <w:highlight w:val="none"/>
          <w:lang w:val="en-US" w:eastAsia="zh-CN"/>
        </w:rPr>
      </w:pPr>
      <w:bookmarkStart w:id="278" w:name="_Toc14184"/>
      <w:r>
        <w:rPr>
          <w:rFonts w:hint="eastAsia" w:cs="Times New Roman"/>
          <w:color w:val="auto"/>
          <w:highlight w:val="none"/>
          <w:lang w:val="en-US" w:eastAsia="zh-CN"/>
        </w:rPr>
        <w:t>施工期固废处置措施论证</w:t>
      </w:r>
      <w:bookmarkEnd w:id="278"/>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本项目施工期固体废物主要来自施工人员的生活垃圾及各种建筑垃圾。</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生活垃圾：施工期产生的生活垃圾约</w:t>
      </w:r>
      <w:r>
        <w:rPr>
          <w:rFonts w:ascii="Times New Roman" w:hAnsi="Times New Roman" w:eastAsia="宋体" w:cs="Times New Roman"/>
          <w:color w:val="auto"/>
          <w:sz w:val="24"/>
          <w:szCs w:val="24"/>
          <w:highlight w:val="none"/>
        </w:rPr>
        <w:t>9</w:t>
      </w:r>
      <w:r>
        <w:rPr>
          <w:rFonts w:hint="eastAsia" w:ascii="Times New Roman" w:hAnsi="Times New Roman" w:eastAsia="宋体" w:cs="Times New Roman"/>
          <w:color w:val="auto"/>
          <w:sz w:val="24"/>
          <w:szCs w:val="24"/>
          <w:highlight w:val="none"/>
        </w:rPr>
        <w:t>.0t，施工场内设垃圾收集点，收集后清运至定点垃圾收集点交由环卫部门统一清运处置。</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建筑垃圾：本项目在建设过程中产生的建筑垃圾约</w:t>
      </w:r>
      <w:r>
        <w:rPr>
          <w:rFonts w:ascii="Times New Roman" w:hAnsi="Times New Roman" w:eastAsia="宋体" w:cs="Times New Roman"/>
          <w:color w:val="auto"/>
          <w:sz w:val="24"/>
          <w:szCs w:val="24"/>
          <w:highlight w:val="none"/>
        </w:rPr>
        <w:t>420.97</w:t>
      </w:r>
      <w:r>
        <w:rPr>
          <w:rFonts w:hint="eastAsia" w:ascii="Times New Roman" w:hAnsi="Times New Roman" w:eastAsia="宋体" w:cs="Times New Roman"/>
          <w:color w:val="auto"/>
          <w:sz w:val="24"/>
          <w:szCs w:val="24"/>
          <w:highlight w:val="none"/>
        </w:rPr>
        <w:t>t，其中如废金属、废钢筋、废铁丝、废砖块、废木料等应尽量回收利用，</w:t>
      </w:r>
      <w:r>
        <w:rPr>
          <w:rFonts w:ascii="Times New Roman" w:hAnsi="Times New Roman" w:eastAsia="宋体" w:cs="Times New Roman"/>
          <w:color w:val="auto"/>
          <w:sz w:val="24"/>
          <w:szCs w:val="24"/>
          <w:highlight w:val="none"/>
        </w:rPr>
        <w:t>其他不能回收利用的建筑垃圾清运至当地管理部门指定的的受纳场地堆放，严禁乱倾乱倒</w:t>
      </w:r>
      <w:r>
        <w:rPr>
          <w:rFonts w:hint="eastAsia" w:ascii="Times New Roman" w:hAnsi="Times New Roman" w:eastAsia="宋体" w:cs="Times New Roman"/>
          <w:color w:val="auto"/>
          <w:sz w:val="24"/>
          <w:szCs w:val="24"/>
          <w:highlight w:val="none"/>
        </w:rPr>
        <w:t>。</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弃土弃渣：施工期基础工程包括挖土方量与回填土方量，项目开挖表土暂存于表土临时堆场，用于后期绿化覆土。项目挖方量约为</w:t>
      </w:r>
      <w:r>
        <w:rPr>
          <w:rFonts w:ascii="Times New Roman" w:hAnsi="Times New Roman" w:eastAsia="宋体" w:cs="Times New Roman"/>
          <w:color w:val="auto"/>
          <w:sz w:val="24"/>
          <w:szCs w:val="24"/>
          <w:highlight w:val="none"/>
        </w:rPr>
        <w:t>18.6</w:t>
      </w:r>
      <w:r>
        <w:rPr>
          <w:rFonts w:hint="eastAsia" w:ascii="Times New Roman" w:hAnsi="Times New Roman" w:eastAsia="宋体" w:cs="Times New Roman"/>
          <w:color w:val="auto"/>
          <w:sz w:val="24"/>
          <w:szCs w:val="24"/>
          <w:highlight w:val="none"/>
        </w:rPr>
        <w:t>万m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，填方量约为</w:t>
      </w:r>
      <w:r>
        <w:rPr>
          <w:rFonts w:ascii="Times New Roman" w:hAnsi="Times New Roman" w:eastAsia="宋体" w:cs="Times New Roman"/>
          <w:color w:val="auto"/>
          <w:sz w:val="24"/>
          <w:szCs w:val="24"/>
          <w:highlight w:val="none"/>
        </w:rPr>
        <w:t>15.5</w:t>
      </w:r>
      <w:r>
        <w:rPr>
          <w:rFonts w:hint="eastAsia" w:ascii="Times New Roman" w:hAnsi="Times New Roman" w:eastAsia="宋体" w:cs="Times New Roman"/>
          <w:color w:val="auto"/>
          <w:sz w:val="24"/>
          <w:szCs w:val="24"/>
          <w:highlight w:val="none"/>
        </w:rPr>
        <w:t>万m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，剩余土方量约为</w:t>
      </w:r>
      <w:r>
        <w:rPr>
          <w:rFonts w:ascii="Times New Roman" w:hAnsi="Times New Roman" w:eastAsia="宋体" w:cs="Times New Roman"/>
          <w:color w:val="auto"/>
          <w:sz w:val="24"/>
          <w:szCs w:val="24"/>
          <w:highlight w:val="none"/>
        </w:rPr>
        <w:t>3.1</w:t>
      </w:r>
      <w:r>
        <w:rPr>
          <w:rFonts w:hint="eastAsia" w:ascii="Times New Roman" w:hAnsi="Times New Roman" w:eastAsia="宋体" w:cs="Times New Roman"/>
          <w:color w:val="auto"/>
          <w:sz w:val="24"/>
          <w:szCs w:val="24"/>
          <w:highlight w:val="none"/>
        </w:rPr>
        <w:t>万m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，用作修建周边道路的填方，工程不产生外运弃土。</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评价认为项目采取上述措施后，施工期固体废物可做到妥善处置，确保不对环境造成二次污染。固体废物污染防治措施合理有效，技术经济可行。</w:t>
      </w:r>
    </w:p>
    <w:p>
      <w:pPr>
        <w:pStyle w:val="8"/>
        <w:spacing w:before="0" w:after="0" w:line="360" w:lineRule="auto"/>
        <w:ind w:left="0" w:firstLine="0"/>
        <w:rPr>
          <w:rFonts w:hint="eastAsia" w:cs="Times New Roman"/>
          <w:color w:val="auto"/>
          <w:highlight w:val="none"/>
          <w:lang w:val="en-US" w:eastAsia="zh-CN"/>
        </w:rPr>
      </w:pPr>
      <w:bookmarkStart w:id="279" w:name="_Toc25173"/>
      <w:r>
        <w:rPr>
          <w:rFonts w:hint="eastAsia" w:cs="Times New Roman"/>
          <w:color w:val="auto"/>
          <w:highlight w:val="none"/>
          <w:lang w:val="en-US" w:eastAsia="zh-CN"/>
        </w:rPr>
        <w:t>施工期生态环境保护措施论证</w:t>
      </w:r>
      <w:bookmarkEnd w:id="279"/>
    </w:p>
    <w:p>
      <w:pPr>
        <w:pStyle w:val="9"/>
        <w:rPr>
          <w:rFonts w:hint="eastAsia" w:cs="Times New Roman"/>
          <w:color w:val="auto"/>
          <w:highlight w:val="none"/>
          <w:lang w:val="en-US" w:eastAsia="zh-CN"/>
        </w:rPr>
      </w:pPr>
      <w:r>
        <w:rPr>
          <w:rFonts w:hint="eastAsia" w:cs="Times New Roman"/>
          <w:color w:val="auto"/>
          <w:highlight w:val="none"/>
          <w:lang w:val="en-US" w:eastAsia="zh-CN"/>
        </w:rPr>
        <w:t>生态减缓补偿措施</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针对本项目的实际情况，本次评价建议采取以下生态减缓补偿措施：</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（1）严格控制施工线路，施工范围，避免对施工区外的生态环境造成破坏。</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（2）建设所需物料堆放在场区，可减少对土地的占用，减少对生态的影响。</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（3）禁止建筑垃圾乱堆乱放，占压施工场地以外土地。在加快施工进度的前提下，施工完毕后进行覆土绿化，破坏的植被进行及时恢复，不会对生态环境造成明显影响。</w:t>
      </w:r>
    </w:p>
    <w:p>
      <w:pPr>
        <w:pStyle w:val="9"/>
        <w:rPr>
          <w:rFonts w:hint="eastAsia" w:cs="Times New Roman"/>
          <w:color w:val="auto"/>
          <w:highlight w:val="none"/>
          <w:lang w:val="en-US" w:eastAsia="zh-CN"/>
        </w:rPr>
      </w:pPr>
      <w:r>
        <w:rPr>
          <w:rFonts w:hint="eastAsia" w:cs="Times New Roman"/>
          <w:color w:val="auto"/>
          <w:highlight w:val="none"/>
          <w:lang w:val="en-US" w:eastAsia="zh-CN"/>
        </w:rPr>
        <w:t>水土保持措施</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（1）设置导流系统</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及时做好排水导流工作，减轻水流对裸露地表的冲刷，应设置拦砂坝，在施工中应实施排水工程，以预防地面径流直接冲刷施工浮土，导致水土流失加剧。</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（2）施工时间选择</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在建设施工期间，有大面积的裸露地表，容易形成水土流失面。项目应合理安排施工，尽量将土石方开挖期避开大规模的降雨天气，并尽量缩短挖方时间，尽量在雨季到来之前完成挖方工程。若遇雨季，应对水土流失进行重点防护。</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（3）项目所在地挖方、填方应尽量平衡，剥离土石方就地消化为填土石方。对开挖的土壤分层堆放，分层回填，以保护植被生长层，恢复土壤生产力。</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评价认为在工程施工阶段采取上述防治措施后，可有效防止施工期生态环境的恶化，将施工期对生态环境的影响降至最低。生态保护措施有效，技术经济可行。</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280" w:name="_Toc32381"/>
      <w:bookmarkStart w:id="281" w:name="_Toc29221883"/>
      <w:r>
        <w:rPr>
          <w:rFonts w:hint="eastAsia" w:ascii="Times New Roman" w:hAnsi="Times New Roman" w:eastAsia="宋体" w:cs="Times New Roman"/>
          <w:color w:val="auto"/>
          <w:highlight w:val="none"/>
          <w:lang w:val="en-US" w:eastAsia="zh-CN"/>
        </w:rPr>
        <w:t>运营期环境保护措施及其可行性论证</w:t>
      </w:r>
      <w:bookmarkEnd w:id="280"/>
      <w:bookmarkEnd w:id="281"/>
    </w:p>
    <w:p>
      <w:pPr>
        <w:pStyle w:val="8"/>
        <w:spacing w:before="0" w:after="0" w:line="360" w:lineRule="auto"/>
        <w:ind w:left="0" w:firstLine="0"/>
        <w:rPr>
          <w:rFonts w:hint="default" w:cs="Times New Roman"/>
          <w:color w:val="auto"/>
          <w:highlight w:val="none"/>
          <w:lang w:val="en-US" w:eastAsia="zh-CN"/>
        </w:rPr>
      </w:pPr>
      <w:bookmarkStart w:id="282" w:name="_Toc15595"/>
      <w:r>
        <w:rPr>
          <w:rFonts w:hint="default" w:cs="Times New Roman"/>
          <w:color w:val="auto"/>
          <w:highlight w:val="none"/>
          <w:lang w:val="en-US" w:eastAsia="zh-CN"/>
        </w:rPr>
        <w:t>运营期废水治理措施论证</w:t>
      </w:r>
      <w:bookmarkEnd w:id="282"/>
    </w:p>
    <w:p>
      <w:pPr>
        <w:pStyle w:val="9"/>
        <w:rPr>
          <w:rFonts w:hint="eastAsia" w:cs="Times New Roman"/>
          <w:color w:val="auto"/>
          <w:highlight w:val="none"/>
          <w:lang w:val="en-US" w:eastAsia="zh-CN"/>
        </w:rPr>
      </w:pPr>
      <w:r>
        <w:rPr>
          <w:rFonts w:hint="eastAsia" w:cs="Times New Roman"/>
          <w:color w:val="auto"/>
          <w:highlight w:val="none"/>
          <w:lang w:val="en-US" w:eastAsia="zh-CN"/>
        </w:rPr>
        <w:t>废水处理工艺流程</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w:t>
      </w:r>
      <w:r>
        <w:rPr>
          <w:rFonts w:hint="eastAsia" w:ascii="Times New Roman" w:hAnsi="Times New Roman" w:eastAsia="宋体" w:cs="Times New Roman"/>
          <w:color w:val="auto"/>
          <w:sz w:val="24"/>
          <w:szCs w:val="24"/>
          <w:highlight w:val="none"/>
          <w:lang w:eastAsia="zh-CN"/>
        </w:rPr>
        <w:t>养殖</w:t>
      </w:r>
      <w:r>
        <w:rPr>
          <w:rFonts w:ascii="Times New Roman" w:hAnsi="Times New Roman" w:eastAsia="宋体" w:cs="Times New Roman"/>
          <w:color w:val="auto"/>
          <w:sz w:val="24"/>
          <w:szCs w:val="24"/>
          <w:highlight w:val="none"/>
        </w:rPr>
        <w:t>废水</w:t>
      </w:r>
      <w:r>
        <w:rPr>
          <w:rFonts w:hint="eastAsia" w:ascii="Times New Roman" w:hAnsi="Times New Roman" w:eastAsia="宋体" w:cs="Times New Roman"/>
          <w:color w:val="auto"/>
          <w:sz w:val="24"/>
          <w:szCs w:val="24"/>
          <w:highlight w:val="none"/>
          <w:lang w:eastAsia="zh-CN"/>
        </w:rPr>
        <w:t>主要为养殖场</w:t>
      </w:r>
      <w:r>
        <w:rPr>
          <w:rFonts w:ascii="Times New Roman" w:hAnsi="Times New Roman" w:eastAsia="宋体" w:cs="Times New Roman"/>
          <w:color w:val="auto"/>
          <w:sz w:val="24"/>
          <w:szCs w:val="24"/>
          <w:highlight w:val="none"/>
        </w:rPr>
        <w:t>粪污，这些废水中污染物含量较高，产生量也较大，对于养殖废水、粪污的处理方式，《畜禽养殖业污染治理工程技术规范》（HJ497-2009）推荐了三种方式：</w:t>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①</w:t>
      </w:r>
      <w:r>
        <w:rPr>
          <w:rFonts w:ascii="Times New Roman" w:hAnsi="Times New Roman" w:eastAsia="宋体" w:cs="Times New Roman"/>
          <w:color w:val="auto"/>
          <w:sz w:val="24"/>
          <w:szCs w:val="24"/>
          <w:highlight w:val="none"/>
        </w:rPr>
        <w:t>模式Ⅰ</w:t>
      </w:r>
    </w:p>
    <w:p>
      <w:pPr>
        <w:spacing w:before="120" w:beforeLines="50" w:after="120" w:afterLines="50" w:line="240" w:lineRule="auto"/>
        <w:ind w:firstLine="0" w:firstLineChars="0"/>
        <w:jc w:val="center"/>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position w:val="-47"/>
          <w:sz w:val="20"/>
          <w:szCs w:val="20"/>
          <w:highlight w:val="none"/>
        </w:rPr>
        <w:drawing>
          <wp:inline distT="0" distB="0" distL="114300" distR="114300">
            <wp:extent cx="4849495" cy="1376680"/>
            <wp:effectExtent l="0" t="0" r="8255" b="13970"/>
            <wp:docPr id="2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1"/>
                    <pic:cNvPicPr>
                      <a:picLocks noChangeAspect="1"/>
                    </pic:cNvPicPr>
                  </pic:nvPicPr>
                  <pic:blipFill>
                    <a:blip r:embed="rId67"/>
                    <a:stretch>
                      <a:fillRect/>
                    </a:stretch>
                  </pic:blipFill>
                  <pic:spPr>
                    <a:xfrm>
                      <a:off x="0" y="0"/>
                      <a:ext cx="4849495" cy="1376680"/>
                    </a:xfrm>
                    <a:prstGeom prst="rect">
                      <a:avLst/>
                    </a:prstGeom>
                    <a:noFill/>
                    <a:ln>
                      <a:noFill/>
                    </a:ln>
                  </pic:spPr>
                </pic:pic>
              </a:graphicData>
            </a:graphic>
          </wp:inline>
        </w:drawing>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②</w:t>
      </w:r>
      <w:r>
        <w:rPr>
          <w:rFonts w:ascii="Times New Roman" w:hAnsi="Times New Roman" w:eastAsia="宋体" w:cs="Times New Roman"/>
          <w:color w:val="auto"/>
          <w:sz w:val="24"/>
          <w:szCs w:val="24"/>
          <w:highlight w:val="none"/>
        </w:rPr>
        <w:t>模式Ⅱ</w:t>
      </w:r>
    </w:p>
    <w:p>
      <w:pPr>
        <w:spacing w:before="120" w:beforeLines="50" w:after="120" w:afterLines="50" w:line="240" w:lineRule="auto"/>
        <w:ind w:firstLine="0" w:firstLineChars="0"/>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position w:val="-41"/>
          <w:sz w:val="20"/>
          <w:szCs w:val="20"/>
          <w:highlight w:val="none"/>
        </w:rPr>
        <w:drawing>
          <wp:inline distT="0" distB="0" distL="114300" distR="114300">
            <wp:extent cx="5286375" cy="1160780"/>
            <wp:effectExtent l="0" t="0" r="9525" b="1270"/>
            <wp:docPr id="2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
                    <pic:cNvPicPr>
                      <a:picLocks noChangeAspect="1"/>
                    </pic:cNvPicPr>
                  </pic:nvPicPr>
                  <pic:blipFill>
                    <a:blip r:embed="rId68"/>
                    <a:stretch>
                      <a:fillRect/>
                    </a:stretch>
                  </pic:blipFill>
                  <pic:spPr>
                    <a:xfrm>
                      <a:off x="0" y="0"/>
                      <a:ext cx="5286375" cy="1160780"/>
                    </a:xfrm>
                    <a:prstGeom prst="rect">
                      <a:avLst/>
                    </a:prstGeom>
                    <a:noFill/>
                    <a:ln>
                      <a:noFill/>
                    </a:ln>
                  </pic:spPr>
                </pic:pic>
              </a:graphicData>
            </a:graphic>
          </wp:inline>
        </w:drawing>
      </w:r>
    </w:p>
    <w:p>
      <w:pPr>
        <w:spacing w:line="440" w:lineRule="exact"/>
        <w:ind w:firstLine="480" w:firstLineChars="200"/>
        <w:rPr>
          <w:rFonts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③</w:t>
      </w:r>
      <w:r>
        <w:rPr>
          <w:rFonts w:ascii="Times New Roman" w:hAnsi="Times New Roman" w:eastAsia="宋体" w:cs="Times New Roman"/>
          <w:color w:val="auto"/>
          <w:sz w:val="24"/>
          <w:szCs w:val="24"/>
          <w:highlight w:val="none"/>
        </w:rPr>
        <w:t>模式Ⅲ</w:t>
      </w:r>
    </w:p>
    <w:p>
      <w:pPr>
        <w:spacing w:before="120" w:beforeLines="50" w:after="120" w:afterLines="50" w:line="240" w:lineRule="auto"/>
        <w:ind w:firstLine="0" w:firstLineChars="0"/>
        <w:jc w:val="center"/>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position w:val="-52"/>
          <w:sz w:val="20"/>
          <w:szCs w:val="20"/>
          <w:highlight w:val="none"/>
        </w:rPr>
        <w:drawing>
          <wp:inline distT="0" distB="0" distL="114300" distR="114300">
            <wp:extent cx="5243830" cy="1536065"/>
            <wp:effectExtent l="0" t="0" r="13970" b="6985"/>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pic:cNvPicPr>
                  </pic:nvPicPr>
                  <pic:blipFill>
                    <a:blip r:embed="rId69"/>
                    <a:stretch>
                      <a:fillRect/>
                    </a:stretch>
                  </pic:blipFill>
                  <pic:spPr>
                    <a:xfrm>
                      <a:off x="0" y="0"/>
                      <a:ext cx="5243830" cy="1536065"/>
                    </a:xfrm>
                    <a:prstGeom prst="rect">
                      <a:avLst/>
                    </a:prstGeom>
                    <a:noFill/>
                    <a:ln>
                      <a:noFill/>
                    </a:ln>
                  </pic:spPr>
                </pic:pic>
              </a:graphicData>
            </a:graphic>
          </wp:inline>
        </w:drawing>
      </w:r>
    </w:p>
    <w:p>
      <w:pPr>
        <w:widowControl w:val="0"/>
        <w:spacing w:before="120" w:beforeLines="50" w:line="360" w:lineRule="auto"/>
        <w:ind w:firstLine="0" w:firstLineChars="0"/>
        <w:jc w:val="center"/>
        <w:rPr>
          <w:rFonts w:ascii="Times New Roman" w:hAnsi="Times New Roman" w:eastAsia="宋体" w:cs="Times New Roman"/>
          <w:b/>
          <w:color w:val="auto"/>
          <w:kern w:val="2"/>
          <w:sz w:val="21"/>
          <w:szCs w:val="24"/>
          <w:highlight w:val="none"/>
          <w:lang w:val="en-US" w:eastAsia="zh-CN" w:bidi="ar-SA"/>
        </w:rPr>
      </w:pPr>
      <w:r>
        <w:rPr>
          <w:rFonts w:ascii="Times New Roman" w:hAnsi="Times New Roman" w:eastAsia="宋体" w:cs="Times New Roman"/>
          <w:b/>
          <w:color w:val="auto"/>
          <w:kern w:val="2"/>
          <w:sz w:val="21"/>
          <w:szCs w:val="24"/>
          <w:highlight w:val="none"/>
          <w:lang w:val="en-US" w:eastAsia="zh-CN" w:bidi="ar-SA"/>
        </w:rPr>
        <w:t>图7.2-1    畜禽养殖污水处理的三种工艺</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三种模式中，模式Ⅰ和Ⅱ，其立足点均为将废水处理为沼液后，用于施肥或其它用途；在《畜禽养殖业污染治理工程技术规范》编制说明（征求意见稿）中将以上两大类处理工艺归结为：一种为</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达标排放</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模式，一种为</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综合利用</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模式，这两种处理模式与我国《大中型畜禽养殖场能源环境工程建设规划》确立的畜禽粪污治理模式也是相符合的。</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模式Ⅰ工艺以能源利用与综合利用为主要目的，适用于当地有较大的能源需求，沼气能完全利用，同时周边有足够土地消纳沼液、沼渣，并有一倍以上的土地轮作面积，使整个养殖场（区）的畜禽排泄物在小区域范围内全部达到循环利用的情况。</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模式Ⅱ工艺适用于能源需求不大，主要以进行污染物无害化处理、降低有机物浓度、减少沼液和沼渣消纳所需配套的土地面积为目的，且养殖场周围具有足够土地面积全部消纳低浓度沼液，并且有一定的土地轮作面积的情况。</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val="0"/>
          <w:caps w:val="0"/>
          <w:color w:val="auto"/>
          <w:spacing w:val="0"/>
          <w:sz w:val="24"/>
          <w:szCs w:val="24"/>
          <w:highlight w:val="none"/>
          <w:shd w:val="clear" w:fill="FFFFFF"/>
        </w:rPr>
        <w:t>模式Ⅲ主要是基于受当地沼气能源供求实际情况的限制，周边又没有足够的可供消纳沼液、沼渣的土地，其厌氧出水（沼液）必须再经过进一步处理，</w:t>
      </w:r>
      <w:r>
        <w:rPr>
          <w:rFonts w:hint="default" w:ascii="Times New Roman" w:hAnsi="Times New Roman" w:eastAsia="宋体" w:cs="Times New Roman"/>
          <w:color w:val="auto"/>
          <w:sz w:val="24"/>
          <w:szCs w:val="24"/>
          <w:highlight w:val="none"/>
        </w:rPr>
        <w:t>废水必须经处理后达标排放或回用的情况。</w:t>
      </w:r>
    </w:p>
    <w:p>
      <w:pPr>
        <w:pStyle w:val="114"/>
        <w:rPr>
          <w:rFonts w:hint="eastAsia" w:eastAsia="宋体"/>
          <w:b/>
          <w:bCs/>
          <w:color w:val="auto"/>
          <w:highlight w:val="none"/>
          <w:lang w:eastAsia="zh-CN"/>
        </w:rPr>
      </w:pPr>
      <w:r>
        <w:rPr>
          <w:rFonts w:hint="eastAsia" w:ascii="Arial" w:hAnsi="Arial" w:eastAsia="Arial" w:cs="Arial"/>
          <w:b/>
          <w:bCs/>
          <w:i w:val="0"/>
          <w:caps w:val="0"/>
          <w:color w:val="auto"/>
          <w:spacing w:val="0"/>
          <w:sz w:val="24"/>
          <w:szCs w:val="24"/>
          <w:highlight w:val="none"/>
          <w:shd w:val="clear" w:fill="FFFFFF"/>
        </w:rPr>
        <w:t>处理模式选择</w:t>
      </w:r>
      <w:r>
        <w:rPr>
          <w:rFonts w:hint="eastAsia" w:ascii="Arial" w:hAnsi="Arial" w:eastAsia="宋体" w:cs="Arial"/>
          <w:b/>
          <w:bCs/>
          <w:i w:val="0"/>
          <w:caps w:val="0"/>
          <w:color w:val="auto"/>
          <w:spacing w:val="0"/>
          <w:sz w:val="24"/>
          <w:szCs w:val="24"/>
          <w:highlight w:val="none"/>
          <w:shd w:val="clear" w:fill="FFFFFF"/>
          <w:lang w:eastAsia="zh-CN"/>
        </w:rPr>
        <w:t>：</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1）模式Ⅰ、模式Ⅱ强调种养结合，在获取沼气能源的同时，沼液、沼渣应完全得到消纳，实现粪污“零排放”。当所在地区不具备全部消纳粪污资源的条件时，应选择模式Ⅲ工艺。</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2）从环保的角度考虑，干清粪工艺的养殖场不宜采用模式Ⅰ（即粪尿全进）处理工艺，固体粪便宜采用好氧堆肥等技术单独进行无害化处理。</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从技术经济条件综合考虑，养殖规模在存栏（以猪计）2000头及以下的，应尽可能采用模式Ⅰ或模式Ⅱ处理工艺。而当存栏（以猪计）在1万头及以上的，应采取模式Ⅲ处理工艺。这是因为，从环境安全、二次环境污染防治角度考虑，存栏（以猪计）1万头及以上的养殖场区，其周边通常不会具有如此大面积的可供利用的土地资源来消纳沼液、沼渣，并且这种大规模综合利用工程，一旦发生紧急事故会产生巨大的环境隐患，因此，这种大规模的养殖场区应有相应的环保达标处理设施。</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污水处理站采用“固液分离+UASB厌氧+絮凝沉淀+两级A/O系统+混凝絮凝沉淀+消毒”处理工艺，与《畜禽养殖业污染治理工程技术规范》（GBHJ497-2009）中规定的“粪污处理基本工艺模式—模式Ⅲ”处理工艺基本相符。</w:t>
      </w:r>
      <w:r>
        <w:rPr>
          <w:rFonts w:hint="eastAsia" w:ascii="Times New Roman" w:hAnsi="Times New Roman" w:eastAsia="宋体" w:cs="Times New Roman"/>
          <w:color w:val="auto"/>
          <w:sz w:val="24"/>
          <w:szCs w:val="24"/>
          <w:highlight w:val="none"/>
          <w:lang w:eastAsia="zh-CN"/>
        </w:rPr>
        <w:t>且本项目存栏量为</w:t>
      </w:r>
      <w:r>
        <w:rPr>
          <w:rFonts w:hint="eastAsia" w:ascii="Times New Roman" w:hAnsi="Times New Roman" w:eastAsia="宋体" w:cs="Times New Roman"/>
          <w:color w:val="auto"/>
          <w:sz w:val="24"/>
          <w:szCs w:val="24"/>
          <w:highlight w:val="none"/>
          <w:lang w:val="en-US" w:eastAsia="zh-CN"/>
        </w:rPr>
        <w:t>12500头肉牛（</w:t>
      </w:r>
      <w:r>
        <w:rPr>
          <w:rFonts w:hint="default" w:ascii="Times New Roman" w:hAnsi="Times New Roman" w:eastAsia="宋体" w:cs="Times New Roman"/>
          <w:b w:val="0"/>
          <w:bCs/>
          <w:color w:val="auto"/>
          <w:sz w:val="24"/>
          <w:szCs w:val="24"/>
          <w:highlight w:val="none"/>
          <w:lang w:eastAsia="zh-CN"/>
        </w:rPr>
        <w:t>折合标准生猪计</w:t>
      </w:r>
      <w:r>
        <w:rPr>
          <w:rFonts w:hint="default" w:ascii="Times New Roman" w:hAnsi="Times New Roman" w:eastAsia="宋体" w:cs="Times New Roman"/>
          <w:b w:val="0"/>
          <w:bCs/>
          <w:color w:val="auto"/>
          <w:sz w:val="24"/>
          <w:szCs w:val="24"/>
          <w:highlight w:val="none"/>
          <w:lang w:val="en-US" w:eastAsia="zh-CN"/>
        </w:rPr>
        <w:t>62500头</w:t>
      </w:r>
      <w:r>
        <w:rPr>
          <w:rFonts w:hint="eastAsia" w:ascii="Times New Roman" w:hAnsi="Times New Roman" w:eastAsia="宋体" w:cs="Times New Roman"/>
          <w:color w:val="auto"/>
          <w:sz w:val="24"/>
          <w:szCs w:val="24"/>
          <w:highlight w:val="none"/>
          <w:lang w:val="en-US" w:eastAsia="zh-CN"/>
        </w:rPr>
        <w:t>），存栏量较大，适合</w:t>
      </w:r>
      <w:r>
        <w:rPr>
          <w:rFonts w:hint="default" w:ascii="Times New Roman" w:hAnsi="Times New Roman" w:eastAsia="宋体" w:cs="Times New Roman"/>
          <w:color w:val="auto"/>
          <w:sz w:val="24"/>
          <w:szCs w:val="24"/>
          <w:highlight w:val="none"/>
        </w:rPr>
        <w:t>模式Ⅲ处理工艺</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因此，本项目污水处理站处理工艺可行。</w:t>
      </w:r>
      <w:r>
        <w:rPr>
          <w:rFonts w:ascii="Times New Roman" w:hAnsi="Times New Roman" w:eastAsia="宋体" w:cs="Times New Roman"/>
          <w:color w:val="auto"/>
          <w:sz w:val="24"/>
          <w:szCs w:val="24"/>
          <w:highlight w:val="none"/>
        </w:rPr>
        <w:t>养殖废水经处理后产生的沼气经收集后</w:t>
      </w:r>
      <w:r>
        <w:rPr>
          <w:rFonts w:hint="eastAsia" w:ascii="Times New Roman" w:hAnsi="Times New Roman" w:eastAsia="宋体" w:cs="Times New Roman"/>
          <w:color w:val="auto"/>
          <w:sz w:val="24"/>
          <w:szCs w:val="24"/>
          <w:highlight w:val="none"/>
        </w:rPr>
        <w:t>部分</w:t>
      </w:r>
      <w:r>
        <w:rPr>
          <w:rFonts w:ascii="Times New Roman" w:hAnsi="Times New Roman" w:eastAsia="宋体" w:cs="Times New Roman"/>
          <w:color w:val="auto"/>
          <w:sz w:val="24"/>
          <w:szCs w:val="24"/>
          <w:highlight w:val="none"/>
        </w:rPr>
        <w:t>用作燃料</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污泥收集后</w:t>
      </w:r>
      <w:r>
        <w:rPr>
          <w:rFonts w:hint="default" w:ascii="Times New Roman" w:hAnsi="Times New Roman" w:eastAsia="宋体" w:cs="Times New Roman"/>
          <w:color w:val="auto"/>
          <w:sz w:val="24"/>
          <w:szCs w:val="24"/>
          <w:highlight w:val="none"/>
          <w:lang w:val="en-US" w:eastAsia="zh-CN"/>
        </w:rPr>
        <w:t>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ascii="Times New Roman" w:hAnsi="Times New Roman" w:eastAsia="宋体" w:cs="Times New Roman"/>
          <w:color w:val="auto"/>
          <w:sz w:val="24"/>
          <w:szCs w:val="24"/>
          <w:highlight w:val="none"/>
        </w:rPr>
        <w:t>；废水经处理后，用管网输送至</w:t>
      </w:r>
      <w:r>
        <w:rPr>
          <w:rFonts w:hint="eastAsia" w:ascii="Times New Roman" w:hAnsi="Times New Roman" w:eastAsia="宋体" w:cs="Times New Roman"/>
          <w:color w:val="auto"/>
          <w:sz w:val="24"/>
          <w:szCs w:val="24"/>
          <w:highlight w:val="none"/>
          <w:lang w:eastAsia="zh-CN"/>
        </w:rPr>
        <w:t>本项目及</w:t>
      </w:r>
      <w:r>
        <w:rPr>
          <w:rFonts w:hint="eastAsia" w:ascii="Times New Roman" w:hAnsi="Times New Roman" w:eastAsia="宋体" w:cs="Times New Roman"/>
          <w:color w:val="auto"/>
          <w:sz w:val="24"/>
          <w:szCs w:val="24"/>
          <w:highlight w:val="none"/>
        </w:rPr>
        <w:t>周</w:t>
      </w:r>
      <w:r>
        <w:rPr>
          <w:rFonts w:ascii="Times New Roman" w:hAnsi="Times New Roman" w:eastAsia="宋体" w:cs="Times New Roman"/>
          <w:color w:val="auto"/>
          <w:sz w:val="24"/>
          <w:szCs w:val="24"/>
          <w:highlight w:val="none"/>
        </w:rPr>
        <w:t>边耕地作为农灌用水，不外排。</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w:t>
      </w:r>
      <w:r>
        <w:rPr>
          <w:rFonts w:ascii="Times New Roman" w:hAnsi="Times New Roman" w:eastAsia="宋体" w:cs="Times New Roman"/>
          <w:color w:val="auto"/>
          <w:sz w:val="24"/>
          <w:szCs w:val="24"/>
          <w:highlight w:val="none"/>
        </w:rPr>
        <w:t>项目采取的废水处理工艺实现了</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场自身产粪（污）的全部消化和资源综合利用，使粪便和废水变废为宝，取得了良好的经济效益与生态效益。</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雨污分流：项目厂区位于山顶，厂区内雨水通过建构筑物四周的雨水沟收集后就近排出厂外，或通过场地一定的坡度散排进入厂外的雨水沟；养殖废水在</w:t>
      </w:r>
      <w:r>
        <w:rPr>
          <w:rFonts w:hint="eastAsia" w:ascii="Times New Roman" w:hAnsi="Times New Roman" w:eastAsia="宋体" w:cs="Times New Roman"/>
          <w:color w:val="auto"/>
          <w:sz w:val="24"/>
          <w:szCs w:val="24"/>
          <w:highlight w:val="none"/>
          <w:lang w:eastAsia="zh-CN"/>
        </w:rPr>
        <w:t>牛舍</w:t>
      </w:r>
      <w:r>
        <w:rPr>
          <w:rFonts w:ascii="Times New Roman" w:hAnsi="Times New Roman" w:eastAsia="宋体" w:cs="Times New Roman"/>
          <w:color w:val="auto"/>
          <w:sz w:val="24"/>
          <w:szCs w:val="24"/>
          <w:highlight w:val="none"/>
        </w:rPr>
        <w:t>内通过粪沟收集后，通过埋地管道运输至</w:t>
      </w:r>
      <w:r>
        <w:rPr>
          <w:rFonts w:hint="eastAsia" w:ascii="Times New Roman" w:hAnsi="Times New Roman" w:eastAsia="宋体" w:cs="Times New Roman"/>
          <w:color w:val="auto"/>
          <w:sz w:val="24"/>
          <w:szCs w:val="24"/>
          <w:highlight w:val="none"/>
        </w:rPr>
        <w:t>污</w:t>
      </w:r>
      <w:r>
        <w:rPr>
          <w:rFonts w:ascii="Times New Roman" w:hAnsi="Times New Roman" w:eastAsia="宋体" w:cs="Times New Roman"/>
          <w:color w:val="auto"/>
          <w:sz w:val="24"/>
          <w:szCs w:val="24"/>
          <w:highlight w:val="none"/>
        </w:rPr>
        <w:t>水处理站进行处理，处理后进入</w:t>
      </w:r>
      <w:r>
        <w:rPr>
          <w:rFonts w:hint="eastAsia" w:ascii="Times New Roman" w:hAnsi="Times New Roman" w:eastAsia="宋体" w:cs="Times New Roman"/>
          <w:color w:val="auto"/>
          <w:sz w:val="24"/>
          <w:szCs w:val="24"/>
          <w:highlight w:val="none"/>
        </w:rPr>
        <w:t>储</w:t>
      </w:r>
      <w:r>
        <w:rPr>
          <w:rFonts w:ascii="Times New Roman" w:hAnsi="Times New Roman" w:eastAsia="宋体" w:cs="Times New Roman"/>
          <w:color w:val="auto"/>
          <w:sz w:val="24"/>
          <w:szCs w:val="24"/>
          <w:highlight w:val="none"/>
        </w:rPr>
        <w:t>存池暂存，不外排。粪污处理建构筑物均做好防洪设计，使雨水不能进入粪污处理构筑物，减少粪污处理设备负荷，同时，废水处理建构筑物做好液位控制和管理，使各建构筑物废水不溢流。</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综上分析，废水经“固液分离+UASB厌氧+絮凝沉淀+两级A/O系统+混凝絮凝沉淀+消毒”处理后，废水用</w:t>
      </w:r>
      <w:r>
        <w:rPr>
          <w:rFonts w:hint="eastAsia" w:ascii="Times New Roman" w:hAnsi="Times New Roman" w:eastAsia="宋体" w:cs="Times New Roman"/>
          <w:color w:val="auto"/>
          <w:sz w:val="24"/>
          <w:szCs w:val="24"/>
          <w:highlight w:val="none"/>
          <w:lang w:eastAsia="zh-CN"/>
        </w:rPr>
        <w:t>作本项目及</w:t>
      </w:r>
      <w:r>
        <w:rPr>
          <w:rFonts w:hint="eastAsia" w:ascii="Times New Roman" w:hAnsi="Times New Roman" w:eastAsia="宋体" w:cs="Times New Roman"/>
          <w:color w:val="auto"/>
          <w:sz w:val="24"/>
          <w:szCs w:val="24"/>
          <w:highlight w:val="none"/>
        </w:rPr>
        <w:t>周边耕地的农灌，可实现资源的综合利用，项目废水处理工艺技术经济可行。</w:t>
      </w:r>
    </w:p>
    <w:p>
      <w:pPr>
        <w:pStyle w:val="9"/>
        <w:rPr>
          <w:rFonts w:hint="eastAsia" w:cs="Times New Roman"/>
          <w:color w:val="auto"/>
          <w:highlight w:val="none"/>
          <w:lang w:val="en-US" w:eastAsia="zh-CN"/>
        </w:rPr>
      </w:pPr>
      <w:r>
        <w:rPr>
          <w:rFonts w:hint="eastAsia" w:cs="Times New Roman"/>
          <w:color w:val="auto"/>
          <w:highlight w:val="none"/>
          <w:lang w:val="en-US" w:eastAsia="zh-CN"/>
        </w:rPr>
        <w:t>废水处理站处理能力可行性论证</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本项目废水量为</w:t>
      </w:r>
      <w:r>
        <w:rPr>
          <w:rFonts w:hint="eastAsia" w:ascii="Times New Roman" w:hAnsi="Times New Roman" w:eastAsia="宋体" w:cs="Times New Roman"/>
          <w:color w:val="auto"/>
          <w:sz w:val="24"/>
          <w:szCs w:val="24"/>
          <w:highlight w:val="none"/>
          <w:lang w:val="en-US" w:eastAsia="zh-CN"/>
        </w:rPr>
        <w:t>248.76</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 xml:space="preserve">/d，本项目拟建污水处理站日处理设计方案为 </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00m³/d，可以满足本项目营运期废水处理规模。</w:t>
      </w:r>
    </w:p>
    <w:p>
      <w:pPr>
        <w:pStyle w:val="9"/>
        <w:rPr>
          <w:rFonts w:hint="default" w:cs="Times New Roman"/>
          <w:color w:val="auto"/>
          <w:highlight w:val="none"/>
          <w:lang w:val="en-US" w:eastAsia="zh-CN"/>
        </w:rPr>
      </w:pPr>
      <w:r>
        <w:rPr>
          <w:rFonts w:hint="eastAsia" w:cs="Times New Roman"/>
          <w:color w:val="auto"/>
          <w:highlight w:val="none"/>
          <w:lang w:val="en-US" w:eastAsia="zh-CN"/>
        </w:rPr>
        <w:t>水质达标可行性分析</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根据对比国内相同处理工艺污水处理厂污染物去除效率的调研结果，本项目</w:t>
      </w:r>
    </w:p>
    <w:p>
      <w:pP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各工艺单位污染物去除效率见下表。</w:t>
      </w:r>
    </w:p>
    <w:p>
      <w:pPr>
        <w:pStyle w:val="2504"/>
        <w:numPr>
          <w:ilvl w:val="0"/>
          <w:numId w:val="45"/>
        </w:numPr>
        <w:spacing w:before="120"/>
        <w:ind w:left="425" w:leftChars="0" w:hanging="425" w:firstLineChars="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 xml:space="preserve">   </w:t>
      </w:r>
      <w:r>
        <w:rPr>
          <w:rFonts w:hint="default" w:ascii="Times New Roman" w:hAnsi="Times New Roman" w:eastAsia="宋体" w:cs="Times New Roman"/>
          <w:color w:val="auto"/>
          <w:highlight w:val="none"/>
          <w:lang w:eastAsia="zh-CN"/>
        </w:rPr>
        <w:t>工程出水水质达标可行性分析</w:t>
      </w:r>
    </w:p>
    <w:tbl>
      <w:tblPr>
        <w:tblStyle w:val="91"/>
        <w:tblW w:w="4995"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225"/>
        <w:gridCol w:w="1646"/>
        <w:gridCol w:w="1000"/>
        <w:gridCol w:w="887"/>
        <w:gridCol w:w="887"/>
        <w:gridCol w:w="887"/>
        <w:gridCol w:w="883"/>
        <w:gridCol w:w="883"/>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noWrap w:val="0"/>
            <w:vAlign w:val="center"/>
          </w:tcPr>
          <w:p>
            <w:pPr>
              <w:pStyle w:val="167"/>
              <w:keepNext w:val="0"/>
              <w:keepLines w:val="0"/>
              <w:suppressLineNumbers w:val="0"/>
              <w:kinsoku w:val="0"/>
              <w:overflowPunct w:val="0"/>
              <w:spacing w:before="0" w:beforeAutospacing="0" w:after="0" w:afterAutospacing="0" w:line="240" w:lineRule="exact"/>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阶段</w:t>
            </w:r>
          </w:p>
        </w:tc>
        <w:tc>
          <w:tcPr>
            <w:tcW w:w="991" w:type="pct"/>
            <w:noWrap w:val="0"/>
            <w:vAlign w:val="center"/>
          </w:tcPr>
          <w:p>
            <w:pPr>
              <w:pStyle w:val="167"/>
              <w:keepNext w:val="0"/>
              <w:keepLines w:val="0"/>
              <w:suppressLineNumbers w:val="0"/>
              <w:kinsoku w:val="0"/>
              <w:overflowPunct w:val="0"/>
              <w:spacing w:before="0" w:beforeAutospacing="0" w:after="0" w:afterAutospacing="0" w:line="240" w:lineRule="exact"/>
              <w:ind w:left="0" w:right="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指标</w:t>
            </w:r>
          </w:p>
        </w:tc>
        <w:tc>
          <w:tcPr>
            <w:tcW w:w="602" w:type="pct"/>
            <w:noWrap w:val="0"/>
            <w:vAlign w:val="center"/>
          </w:tcPr>
          <w:p>
            <w:pPr>
              <w:pStyle w:val="167"/>
              <w:keepNext w:val="0"/>
              <w:keepLines w:val="0"/>
              <w:suppressLineNumbers w:val="0"/>
              <w:kinsoku w:val="0"/>
              <w:overflowPunct w:val="0"/>
              <w:spacing w:before="14"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CODcr</w:t>
            </w:r>
          </w:p>
        </w:tc>
        <w:tc>
          <w:tcPr>
            <w:tcW w:w="534" w:type="pct"/>
            <w:noWrap w:val="0"/>
            <w:vAlign w:val="center"/>
          </w:tcPr>
          <w:p>
            <w:pPr>
              <w:pStyle w:val="167"/>
              <w:keepNext w:val="0"/>
              <w:keepLines w:val="0"/>
              <w:suppressLineNumbers w:val="0"/>
              <w:kinsoku w:val="0"/>
              <w:overflowPunct w:val="0"/>
              <w:spacing w:before="1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BOD</w:t>
            </w:r>
            <w:r>
              <w:rPr>
                <w:rFonts w:hint="default" w:ascii="Times New Roman" w:hAnsi="Times New Roman" w:eastAsia="宋体" w:cs="Times New Roman"/>
                <w:b/>
                <w:color w:val="auto"/>
                <w:sz w:val="21"/>
                <w:szCs w:val="21"/>
                <w:highlight w:val="none"/>
                <w:vertAlign w:val="subscript"/>
              </w:rPr>
              <w:t>5</w:t>
            </w:r>
          </w:p>
        </w:tc>
        <w:tc>
          <w:tcPr>
            <w:tcW w:w="534" w:type="pct"/>
            <w:noWrap w:val="0"/>
            <w:vAlign w:val="center"/>
          </w:tcPr>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SS</w:t>
            </w:r>
          </w:p>
        </w:tc>
        <w:tc>
          <w:tcPr>
            <w:tcW w:w="534" w:type="pct"/>
            <w:noWrap w:val="0"/>
            <w:vAlign w:val="center"/>
          </w:tcPr>
          <w:p>
            <w:pPr>
              <w:pStyle w:val="167"/>
              <w:keepNext w:val="0"/>
              <w:keepLines w:val="0"/>
              <w:suppressLineNumbers w:val="0"/>
              <w:kinsoku w:val="0"/>
              <w:overflowPunct w:val="0"/>
              <w:spacing w:before="1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NH</w:t>
            </w:r>
            <w:r>
              <w:rPr>
                <w:rFonts w:hint="default" w:ascii="Times New Roman" w:hAnsi="Times New Roman" w:eastAsia="宋体" w:cs="Times New Roman"/>
                <w:b/>
                <w:color w:val="auto"/>
                <w:position w:val="2"/>
                <w:sz w:val="21"/>
                <w:szCs w:val="21"/>
                <w:highlight w:val="none"/>
                <w:vertAlign w:val="subscript"/>
              </w:rPr>
              <w:t>3</w:t>
            </w:r>
            <w:r>
              <w:rPr>
                <w:rFonts w:hint="default" w:ascii="Times New Roman" w:hAnsi="Times New Roman" w:eastAsia="宋体" w:cs="Times New Roman"/>
                <w:b/>
                <w:color w:val="auto"/>
                <w:position w:val="2"/>
                <w:sz w:val="21"/>
                <w:szCs w:val="21"/>
                <w:highlight w:val="none"/>
              </w:rPr>
              <w:t>-N</w:t>
            </w:r>
          </w:p>
        </w:tc>
        <w:tc>
          <w:tcPr>
            <w:tcW w:w="532" w:type="pct"/>
            <w:noWrap w:val="0"/>
            <w:vAlign w:val="center"/>
          </w:tcPr>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TP</w:t>
            </w:r>
          </w:p>
        </w:tc>
        <w:tc>
          <w:tcPr>
            <w:tcW w:w="532" w:type="pct"/>
            <w:noWrap w:val="0"/>
            <w:vAlign w:val="center"/>
          </w:tcPr>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粪大肠</w:t>
            </w:r>
          </w:p>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菌群</w:t>
            </w:r>
          </w:p>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（个</w:t>
            </w:r>
          </w:p>
          <w:p>
            <w:pPr>
              <w:pStyle w:val="167"/>
              <w:keepNext w:val="0"/>
              <w:keepLines w:val="0"/>
              <w:suppressLineNumbers w:val="0"/>
              <w:kinsoku w:val="0"/>
              <w:overflowPunct w:val="0"/>
              <w:spacing w:before="14" w:beforeAutospacing="0" w:after="0" w:afterAutospacing="0"/>
              <w:ind w:left="0" w:right="1"/>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/mL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restart"/>
            <w:noWrap w:val="0"/>
            <w:vAlign w:val="center"/>
          </w:tcPr>
          <w:p>
            <w:pPr>
              <w:pStyle w:val="167"/>
              <w:keepNext w:val="0"/>
              <w:keepLines w:val="0"/>
              <w:suppressLineNumbers w:val="0"/>
              <w:kinsoku w:val="0"/>
              <w:overflowPunct w:val="0"/>
              <w:spacing w:before="34" w:beforeAutospacing="0" w:after="0" w:afterAutospacing="0"/>
              <w:ind w:left="0" w:right="243"/>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预处理（固液分离、格栅、调节池</w:t>
            </w: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进水</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862.8</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260.69</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393.18</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22.25</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5.18</w:t>
            </w:r>
          </w:p>
        </w:tc>
        <w:tc>
          <w:tcPr>
            <w:tcW w:w="532"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cs="Times New Roman"/>
                <w:b w:val="0"/>
                <w:bCs/>
                <w:color w:val="auto"/>
                <w:sz w:val="21"/>
                <w:szCs w:val="21"/>
                <w:highlight w:val="none"/>
                <w:lang w:val="en-US" w:eastAsia="zh-CN"/>
              </w:rPr>
              <w:t>20000个/mL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continue"/>
            <w:noWrap w:val="0"/>
            <w:vAlign w:val="center"/>
          </w:tcPr>
          <w:p>
            <w:pPr>
              <w:pStyle w:val="167"/>
              <w:keepNext w:val="0"/>
              <w:keepLines w:val="0"/>
              <w:suppressLineNumbers w:val="0"/>
              <w:kinsoku w:val="0"/>
              <w:overflowPunct w:val="0"/>
              <w:spacing w:before="34" w:beforeAutospacing="0" w:after="0" w:afterAutospacing="0"/>
              <w:ind w:left="0" w:right="243"/>
              <w:jc w:val="center"/>
              <w:rPr>
                <w:rFonts w:hint="default" w:ascii="Times New Roman" w:hAnsi="Times New Roman" w:eastAsia="宋体" w:cs="Times New Roman"/>
                <w:color w:val="auto"/>
                <w:sz w:val="21"/>
                <w:szCs w:val="21"/>
                <w:highlight w:val="none"/>
              </w:rPr>
            </w:pP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去除率</w:t>
            </w:r>
            <w:r>
              <w:rPr>
                <w:rFonts w:hint="default" w:ascii="Times New Roman" w:hAnsi="Times New Roman" w:eastAsia="宋体" w:cs="Times New Roman"/>
                <w:color w:val="auto"/>
                <w:sz w:val="21"/>
                <w:szCs w:val="21"/>
                <w:highlight w:val="none"/>
                <w:lang w:val="en-US" w:eastAsia="zh-CN"/>
              </w:rPr>
              <w:t>%</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w w:val="99"/>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continue"/>
            <w:noWrap w:val="0"/>
            <w:vAlign w:val="center"/>
          </w:tcPr>
          <w:p>
            <w:pPr>
              <w:pStyle w:val="167"/>
              <w:keepNext w:val="0"/>
              <w:keepLines w:val="0"/>
              <w:suppressLineNumbers w:val="0"/>
              <w:kinsoku w:val="0"/>
              <w:overflowPunct w:val="0"/>
              <w:spacing w:before="15" w:beforeAutospacing="0" w:after="0" w:afterAutospacing="0"/>
              <w:ind w:left="0" w:right="0" w:firstLine="480"/>
              <w:jc w:val="center"/>
              <w:rPr>
                <w:rFonts w:hint="default" w:ascii="Times New Roman" w:hAnsi="Times New Roman" w:eastAsia="宋体" w:cs="Times New Roman"/>
                <w:color w:val="auto"/>
                <w:sz w:val="21"/>
                <w:szCs w:val="21"/>
                <w:highlight w:val="none"/>
              </w:rPr>
            </w:pP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出水</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690.24</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234.621</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117.954</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22.25</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5.18</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b w:val="0"/>
                <w:bCs/>
                <w:color w:val="auto"/>
                <w:sz w:val="21"/>
                <w:szCs w:val="21"/>
                <w:highlight w:val="none"/>
                <w:lang w:val="en-US" w:eastAsia="zh-CN"/>
              </w:rPr>
              <w:t>20000个/mL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restar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USB厌氧反应</w:t>
            </w: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去除率</w:t>
            </w:r>
            <w:r>
              <w:rPr>
                <w:rFonts w:hint="default" w:ascii="Times New Roman" w:hAnsi="Times New Roman" w:eastAsia="宋体" w:cs="Times New Roman"/>
                <w:color w:val="auto"/>
                <w:sz w:val="21"/>
                <w:szCs w:val="21"/>
                <w:highlight w:val="none"/>
                <w:lang w:val="en-US" w:eastAsia="zh-CN"/>
              </w:rPr>
              <w:t>%</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continue"/>
            <w:noWrap w:val="0"/>
            <w:vAlign w:val="center"/>
          </w:tcPr>
          <w:p>
            <w:pPr>
              <w:pStyle w:val="167"/>
              <w:keepNext w:val="0"/>
              <w:keepLines w:val="0"/>
              <w:suppressLineNumbers w:val="0"/>
              <w:kinsoku w:val="0"/>
              <w:overflowPunct w:val="0"/>
              <w:spacing w:before="15" w:beforeAutospacing="0" w:after="0" w:afterAutospacing="0"/>
              <w:ind w:left="0" w:right="0" w:firstLine="480"/>
              <w:jc w:val="center"/>
              <w:rPr>
                <w:rFonts w:hint="default" w:ascii="Times New Roman" w:hAnsi="Times New Roman" w:eastAsia="宋体" w:cs="Times New Roman"/>
                <w:color w:val="auto"/>
                <w:sz w:val="21"/>
                <w:szCs w:val="21"/>
                <w:highlight w:val="none"/>
              </w:rPr>
            </w:pP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出水</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138.048</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46.9242</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90.80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22.25</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5.18</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b w:val="0"/>
                <w:bCs/>
                <w:color w:val="auto"/>
                <w:sz w:val="21"/>
                <w:szCs w:val="21"/>
                <w:highlight w:val="none"/>
                <w:lang w:val="en-US" w:eastAsia="zh-CN"/>
              </w:rPr>
              <w:t>20000个/mL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restar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二级AO工艺</w:t>
            </w: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z w:val="21"/>
                <w:szCs w:val="21"/>
                <w:highlight w:val="none"/>
                <w:lang w:eastAsia="zh-CN"/>
              </w:rPr>
              <w:t>去除率</w:t>
            </w:r>
            <w:r>
              <w:rPr>
                <w:rFonts w:hint="default" w:ascii="Times New Roman" w:hAnsi="Times New Roman" w:eastAsia="宋体" w:cs="Times New Roman"/>
                <w:color w:val="auto"/>
                <w:sz w:val="21"/>
                <w:szCs w:val="21"/>
                <w:highlight w:val="none"/>
                <w:lang w:val="en-US" w:eastAsia="zh-CN"/>
              </w:rPr>
              <w:t>%</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93</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81</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94</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70</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continue"/>
            <w:noWrap w:val="0"/>
            <w:vAlign w:val="center"/>
          </w:tcPr>
          <w:p>
            <w:pPr>
              <w:pStyle w:val="167"/>
              <w:keepNext w:val="0"/>
              <w:keepLines w:val="0"/>
              <w:suppressLineNumbers w:val="0"/>
              <w:kinsoku w:val="0"/>
              <w:overflowPunct w:val="0"/>
              <w:spacing w:before="15" w:beforeAutospacing="0" w:after="0" w:afterAutospacing="0"/>
              <w:ind w:left="0" w:right="0" w:firstLine="480"/>
              <w:jc w:val="center"/>
              <w:rPr>
                <w:rFonts w:hint="default" w:ascii="Times New Roman" w:hAnsi="Times New Roman" w:eastAsia="宋体" w:cs="Times New Roman"/>
                <w:color w:val="auto"/>
                <w:sz w:val="21"/>
                <w:szCs w:val="21"/>
                <w:highlight w:val="none"/>
              </w:rPr>
            </w:pP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z w:val="21"/>
                <w:szCs w:val="21"/>
                <w:highlight w:val="none"/>
                <w:lang w:eastAsia="zh-CN"/>
              </w:rPr>
              <w:t>出水</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22.7</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9.08</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90.8</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1.36</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1.554</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b w:val="0"/>
                <w:bCs/>
                <w:color w:val="auto"/>
                <w:sz w:val="21"/>
                <w:szCs w:val="21"/>
                <w:highlight w:val="none"/>
                <w:lang w:val="en-US" w:eastAsia="zh-CN"/>
              </w:rPr>
              <w:t>20000个/mL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restar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絮凝沉淀</w:t>
            </w: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z w:val="21"/>
                <w:szCs w:val="21"/>
                <w:highlight w:val="none"/>
                <w:lang w:eastAsia="zh-CN"/>
              </w:rPr>
              <w:t>去除率</w:t>
            </w:r>
            <w:r>
              <w:rPr>
                <w:rFonts w:hint="default" w:ascii="Times New Roman" w:hAnsi="Times New Roman" w:eastAsia="宋体" w:cs="Times New Roman"/>
                <w:color w:val="auto"/>
                <w:sz w:val="21"/>
                <w:szCs w:val="21"/>
                <w:highlight w:val="none"/>
                <w:lang w:val="en-US" w:eastAsia="zh-CN"/>
              </w:rPr>
              <w:t>%</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94</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53</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continue"/>
            <w:noWrap w:val="0"/>
            <w:vAlign w:val="center"/>
          </w:tcPr>
          <w:p>
            <w:pPr>
              <w:pStyle w:val="167"/>
              <w:keepNext w:val="0"/>
              <w:keepLines w:val="0"/>
              <w:suppressLineNumbers w:val="0"/>
              <w:kinsoku w:val="0"/>
              <w:overflowPunct w:val="0"/>
              <w:spacing w:before="15" w:beforeAutospacing="0" w:after="0" w:afterAutospacing="0"/>
              <w:ind w:left="0" w:right="0" w:firstLine="480"/>
              <w:jc w:val="center"/>
              <w:rPr>
                <w:rFonts w:hint="default" w:ascii="Times New Roman" w:hAnsi="Times New Roman" w:eastAsia="宋体" w:cs="Times New Roman"/>
                <w:color w:val="auto"/>
                <w:sz w:val="21"/>
                <w:szCs w:val="21"/>
                <w:highlight w:val="none"/>
              </w:rPr>
            </w:pP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z w:val="21"/>
                <w:szCs w:val="21"/>
                <w:highlight w:val="none"/>
                <w:lang w:eastAsia="zh-CN"/>
              </w:rPr>
              <w:t>出水</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9.08</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3.63</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5.45</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1.36</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0.73</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b w:val="0"/>
                <w:bCs/>
                <w:color w:val="auto"/>
                <w:sz w:val="21"/>
                <w:szCs w:val="21"/>
                <w:highlight w:val="none"/>
                <w:lang w:val="en-US" w:eastAsia="zh-CN"/>
              </w:rPr>
              <w:t>20000个/mL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restar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消毒</w:t>
            </w: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z w:val="21"/>
                <w:szCs w:val="21"/>
                <w:highlight w:val="none"/>
                <w:lang w:eastAsia="zh-CN"/>
              </w:rPr>
              <w:t>去除率</w:t>
            </w:r>
            <w:r>
              <w:rPr>
                <w:rFonts w:hint="default" w:ascii="Times New Roman" w:hAnsi="Times New Roman" w:eastAsia="宋体" w:cs="Times New Roman"/>
                <w:color w:val="auto"/>
                <w:sz w:val="21"/>
                <w:szCs w:val="21"/>
                <w:highlight w:val="none"/>
                <w:lang w:val="en-US" w:eastAsia="zh-CN"/>
              </w:rPr>
              <w:t>%</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99.90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continue"/>
            <w:noWrap w:val="0"/>
            <w:vAlign w:val="center"/>
          </w:tcPr>
          <w:p>
            <w:pPr>
              <w:pStyle w:val="167"/>
              <w:keepNext w:val="0"/>
              <w:keepLines w:val="0"/>
              <w:suppressLineNumbers w:val="0"/>
              <w:kinsoku w:val="0"/>
              <w:overflowPunct w:val="0"/>
              <w:spacing w:before="15" w:beforeAutospacing="0" w:after="0" w:afterAutospacing="0"/>
              <w:ind w:left="0" w:right="0" w:firstLine="480"/>
              <w:jc w:val="center"/>
              <w:rPr>
                <w:rFonts w:hint="default" w:ascii="Times New Roman" w:hAnsi="Times New Roman" w:eastAsia="宋体" w:cs="Times New Roman"/>
                <w:color w:val="auto"/>
                <w:sz w:val="21"/>
                <w:szCs w:val="21"/>
                <w:highlight w:val="none"/>
              </w:rPr>
            </w:pP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z w:val="21"/>
                <w:szCs w:val="21"/>
                <w:highlight w:val="none"/>
                <w:lang w:eastAsia="zh-CN"/>
              </w:rPr>
              <w:t>出水</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9.08</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3.63</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5.45</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1.36</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0.73</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restart"/>
            <w:noWrap w:val="0"/>
            <w:vAlign w:val="center"/>
          </w:tcPr>
          <w:p>
            <w:pPr>
              <w:pStyle w:val="167"/>
              <w:keepNext w:val="0"/>
              <w:keepLines w:val="0"/>
              <w:suppressLineNumbers w:val="0"/>
              <w:kinsoku w:val="0"/>
              <w:overflowPunct w:val="0"/>
              <w:spacing w:before="15"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暂存池</w:t>
            </w: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z w:val="21"/>
                <w:szCs w:val="21"/>
                <w:highlight w:val="none"/>
                <w:lang w:eastAsia="zh-CN"/>
              </w:rPr>
              <w:t>去除率</w:t>
            </w:r>
            <w:r>
              <w:rPr>
                <w:rFonts w:hint="default" w:ascii="Times New Roman" w:hAnsi="Times New Roman" w:eastAsia="宋体" w:cs="Times New Roman"/>
                <w:color w:val="auto"/>
                <w:sz w:val="21"/>
                <w:szCs w:val="21"/>
                <w:highlight w:val="none"/>
                <w:lang w:val="en-US" w:eastAsia="zh-CN"/>
              </w:rPr>
              <w:t>%</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38" w:type="pct"/>
            <w:vMerge w:val="continue"/>
            <w:noWrap w:val="0"/>
            <w:vAlign w:val="center"/>
          </w:tcPr>
          <w:p>
            <w:pPr>
              <w:pStyle w:val="167"/>
              <w:keepNext w:val="0"/>
              <w:keepLines w:val="0"/>
              <w:suppressLineNumbers w:val="0"/>
              <w:kinsoku w:val="0"/>
              <w:overflowPunct w:val="0"/>
              <w:spacing w:before="15" w:beforeAutospacing="0" w:after="0" w:afterAutospacing="0"/>
              <w:ind w:left="0" w:right="0" w:firstLine="480"/>
              <w:jc w:val="center"/>
              <w:rPr>
                <w:rFonts w:hint="default" w:ascii="Times New Roman" w:hAnsi="Times New Roman" w:eastAsia="宋体" w:cs="Times New Roman"/>
                <w:color w:val="auto"/>
                <w:sz w:val="21"/>
                <w:szCs w:val="21"/>
                <w:highlight w:val="none"/>
              </w:rPr>
            </w:pPr>
          </w:p>
        </w:tc>
        <w:tc>
          <w:tcPr>
            <w:tcW w:w="991" w:type="pct"/>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z w:val="21"/>
                <w:szCs w:val="21"/>
                <w:highlight w:val="none"/>
                <w:lang w:eastAsia="zh-CN"/>
              </w:rPr>
              <w:t>出水</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9.08</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3.63</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5.45</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1.36</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0.73</w:t>
            </w:r>
          </w:p>
        </w:tc>
        <w:tc>
          <w:tcPr>
            <w:tcW w:w="532"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729" w:type="pct"/>
            <w:gridSpan w:val="2"/>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总去除率</w:t>
            </w:r>
            <w:r>
              <w:rPr>
                <w:rFonts w:hint="default" w:ascii="Times New Roman" w:hAnsi="Times New Roman" w:eastAsia="宋体" w:cs="Times New Roman"/>
                <w:color w:val="auto"/>
                <w:sz w:val="21"/>
                <w:szCs w:val="21"/>
                <w:highlight w:val="none"/>
                <w:lang w:val="en-US" w:eastAsia="zh-CN"/>
              </w:rPr>
              <w:t>%</w:t>
            </w:r>
          </w:p>
        </w:tc>
        <w:tc>
          <w:tcPr>
            <w:tcW w:w="60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88</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85</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85</w:t>
            </w:r>
          </w:p>
        </w:tc>
        <w:tc>
          <w:tcPr>
            <w:tcW w:w="53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94</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86</w:t>
            </w:r>
          </w:p>
        </w:tc>
        <w:tc>
          <w:tcPr>
            <w:tcW w:w="532"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99.9</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729" w:type="pct"/>
            <w:gridSpan w:val="2"/>
            <w:noWrap w:val="0"/>
            <w:vAlign w:val="center"/>
          </w:tcPr>
          <w:p>
            <w:pPr>
              <w:pStyle w:val="167"/>
              <w:keepNext w:val="0"/>
              <w:keepLines w:val="0"/>
              <w:suppressLineNumbers w:val="0"/>
              <w:kinsoku w:val="0"/>
              <w:overflowPunct w:val="0"/>
              <w:spacing w:before="0" w:beforeAutospacing="0" w:after="0" w:afterAutospacing="0" w:line="257" w:lineRule="exact"/>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出水要求</w:t>
            </w:r>
          </w:p>
        </w:tc>
        <w:tc>
          <w:tcPr>
            <w:tcW w:w="602"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100</w:t>
            </w:r>
          </w:p>
        </w:tc>
        <w:tc>
          <w:tcPr>
            <w:tcW w:w="534"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40</w:t>
            </w:r>
          </w:p>
        </w:tc>
        <w:tc>
          <w:tcPr>
            <w:tcW w:w="534"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60</w:t>
            </w:r>
          </w:p>
        </w:tc>
        <w:tc>
          <w:tcPr>
            <w:tcW w:w="534"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c>
          <w:tcPr>
            <w:tcW w:w="532"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0.73</w:t>
            </w:r>
          </w:p>
        </w:tc>
        <w:tc>
          <w:tcPr>
            <w:tcW w:w="532"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4000个/ml</w:t>
            </w:r>
          </w:p>
        </w:tc>
      </w:tr>
    </w:tbl>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根据本工程进水水质和前述对主体工艺、絮凝沉淀工艺、消毒工艺的可行性及可靠性论证，结合上表的分析，可知本项目排水水质可以满足《农田灌溉水质标准（GB5084-20</w:t>
      </w:r>
      <w:r>
        <w:rPr>
          <w:rFonts w:hint="eastAsia" w:ascii="Times New Roman" w:hAnsi="Times New Roman" w:eastAsia="宋体"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）》，其中总磷执行《畜禽养殖业污染物排放标准》（GB18596-2001）</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氨氮</w:t>
      </w:r>
      <w:r>
        <w:rPr>
          <w:rFonts w:hint="eastAsia" w:ascii="Times New Roman" w:hAnsi="Times New Roman" w:eastAsia="宋体" w:cs="Times New Roman"/>
          <w:color w:val="auto"/>
          <w:sz w:val="24"/>
          <w:szCs w:val="24"/>
          <w:highlight w:val="none"/>
          <w:lang w:val="en-US" w:eastAsia="zh-CN"/>
        </w:rPr>
        <w:t>低于</w:t>
      </w:r>
      <w:r>
        <w:rPr>
          <w:rFonts w:hint="default" w:ascii="Times New Roman" w:hAnsi="Times New Roman" w:eastAsia="宋体" w:cs="Times New Roman"/>
          <w:color w:val="auto"/>
          <w:sz w:val="24"/>
          <w:szCs w:val="24"/>
          <w:highlight w:val="none"/>
        </w:rPr>
        <w:t>《畜禽养殖业污染物排放标准》（GB18596-2001）</w:t>
      </w:r>
      <w:r>
        <w:rPr>
          <w:rFonts w:hint="eastAsia" w:ascii="Times New Roman" w:hAnsi="Times New Roman" w:eastAsia="宋体" w:cs="Times New Roman"/>
          <w:color w:val="auto"/>
          <w:sz w:val="24"/>
          <w:szCs w:val="24"/>
          <w:highlight w:val="none"/>
          <w:lang w:eastAsia="zh-CN"/>
        </w:rPr>
        <w:t>标准</w:t>
      </w:r>
      <w:r>
        <w:rPr>
          <w:rFonts w:hint="default" w:ascii="Times New Roman" w:hAnsi="Times New Roman" w:eastAsia="宋体" w:cs="Times New Roman"/>
          <w:color w:val="auto"/>
          <w:sz w:val="24"/>
          <w:szCs w:val="24"/>
          <w:highlight w:val="none"/>
        </w:rPr>
        <w:t>。</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农业部办公厅2018年1月5日印发关于《畜禽规模养殖场粪污资源化利用设施建设规范（试行）》的通知，液体或全量粪污采用完全混合式厌氧反应器、上流式厌氧污泥床反应器等处理的，配套调节池、厌氧发酵罐、固液分离机、贮气设施、沼渣沼液储存池等设施设备，相关建设要求依据（NY/T1220）执行。沼液贮存池容积依据第九条确定</w:t>
      </w:r>
      <w:r>
        <w:rPr>
          <w:rFonts w:hint="default" w:ascii="Times New Roman" w:hAnsi="Times New Roman" w:eastAsia="宋体" w:cs="Times New Roman"/>
          <w:b w:val="0"/>
          <w:bCs w:val="0"/>
          <w:color w:val="auto"/>
          <w:sz w:val="24"/>
          <w:szCs w:val="24"/>
          <w:highlight w:val="none"/>
        </w:rPr>
        <w:t>（液体或全量粪污通过氧化塘、沉淀池等进行无害化处理的，氧化塘、贮存池容积不小于单位畜禽日粪污产生量（m</w:t>
      </w:r>
      <w:r>
        <w:rPr>
          <w:rFonts w:hint="default" w:ascii="Times New Roman" w:hAnsi="Times New Roman" w:eastAsia="宋体" w:cs="Times New Roman"/>
          <w:b w:val="0"/>
          <w:bCs w:val="0"/>
          <w:color w:val="auto"/>
          <w:sz w:val="24"/>
          <w:szCs w:val="24"/>
          <w:highlight w:val="none"/>
          <w:vertAlign w:val="superscript"/>
        </w:rPr>
        <w:t>3</w:t>
      </w:r>
      <w:r>
        <w:rPr>
          <w:rFonts w:hint="default" w:ascii="Times New Roman" w:hAnsi="Times New Roman" w:eastAsia="宋体" w:cs="Times New Roman"/>
          <w:b w:val="0"/>
          <w:bCs w:val="0"/>
          <w:color w:val="auto"/>
          <w:sz w:val="24"/>
          <w:szCs w:val="24"/>
          <w:highlight w:val="none"/>
        </w:rPr>
        <w:t>）×贮存周期(天)×设计存栏量(头)。单位畜禽粪污日产生量推荐值为：生猪0.01m</w:t>
      </w:r>
      <w:r>
        <w:rPr>
          <w:rFonts w:hint="default" w:ascii="Times New Roman" w:hAnsi="Times New Roman" w:eastAsia="宋体" w:cs="Times New Roman"/>
          <w:b w:val="0"/>
          <w:bCs w:val="0"/>
          <w:color w:val="auto"/>
          <w:sz w:val="24"/>
          <w:szCs w:val="24"/>
          <w:highlight w:val="none"/>
          <w:vertAlign w:val="superscript"/>
        </w:rPr>
        <w:t>3</w:t>
      </w:r>
      <w:r>
        <w:rPr>
          <w:rFonts w:hint="default" w:ascii="Times New Roman" w:hAnsi="Times New Roman" w:eastAsia="宋体" w:cs="Times New Roman"/>
          <w:b w:val="0"/>
          <w:bCs w:val="0"/>
          <w:color w:val="auto"/>
          <w:sz w:val="24"/>
          <w:szCs w:val="24"/>
          <w:highlight w:val="none"/>
        </w:rPr>
        <w:t>，奶牛0.045m</w:t>
      </w:r>
      <w:r>
        <w:rPr>
          <w:rFonts w:hint="default" w:ascii="Times New Roman" w:hAnsi="Times New Roman" w:eastAsia="宋体" w:cs="Times New Roman"/>
          <w:b w:val="0"/>
          <w:bCs w:val="0"/>
          <w:color w:val="auto"/>
          <w:sz w:val="24"/>
          <w:szCs w:val="24"/>
          <w:highlight w:val="none"/>
          <w:vertAlign w:val="superscript"/>
        </w:rPr>
        <w:t>3</w:t>
      </w:r>
      <w:r>
        <w:rPr>
          <w:rFonts w:hint="default" w:ascii="Times New Roman" w:hAnsi="Times New Roman" w:eastAsia="宋体" w:cs="Times New Roman"/>
          <w:b w:val="0"/>
          <w:bCs w:val="0"/>
          <w:color w:val="auto"/>
          <w:sz w:val="24"/>
          <w:szCs w:val="24"/>
          <w:highlight w:val="none"/>
        </w:rPr>
        <w:t>，肉牛0.017m</w:t>
      </w:r>
      <w:r>
        <w:rPr>
          <w:rFonts w:hint="default" w:ascii="Times New Roman" w:hAnsi="Times New Roman" w:eastAsia="宋体" w:cs="Times New Roman"/>
          <w:b w:val="0"/>
          <w:bCs w:val="0"/>
          <w:color w:val="auto"/>
          <w:sz w:val="24"/>
          <w:szCs w:val="24"/>
          <w:highlight w:val="none"/>
          <w:vertAlign w:val="superscript"/>
        </w:rPr>
        <w:t>3</w:t>
      </w:r>
      <w:r>
        <w:rPr>
          <w:rFonts w:hint="default" w:ascii="Times New Roman" w:hAnsi="Times New Roman" w:eastAsia="宋体" w:cs="Times New Roman"/>
          <w:b w:val="0"/>
          <w:bCs w:val="0"/>
          <w:color w:val="auto"/>
          <w:sz w:val="24"/>
          <w:szCs w:val="24"/>
          <w:highlight w:val="none"/>
        </w:rPr>
        <w:t>，家禽0.0002m</w:t>
      </w:r>
      <w:r>
        <w:rPr>
          <w:rFonts w:hint="default" w:ascii="Times New Roman" w:hAnsi="Times New Roman" w:eastAsia="宋体" w:cs="Times New Roman"/>
          <w:b w:val="0"/>
          <w:bCs w:val="0"/>
          <w:color w:val="auto"/>
          <w:sz w:val="24"/>
          <w:szCs w:val="24"/>
          <w:highlight w:val="none"/>
          <w:vertAlign w:val="superscript"/>
        </w:rPr>
        <w:t>3</w:t>
      </w:r>
      <w:r>
        <w:rPr>
          <w:rFonts w:hint="default" w:ascii="Times New Roman" w:hAnsi="Times New Roman" w:eastAsia="宋体" w:cs="Times New Roman"/>
          <w:b w:val="0"/>
          <w:bCs w:val="0"/>
          <w:color w:val="auto"/>
          <w:sz w:val="24"/>
          <w:szCs w:val="24"/>
          <w:highlight w:val="none"/>
        </w:rPr>
        <w:t>，具体可根据养殖场实际情况核定）</w:t>
      </w:r>
      <w:r>
        <w:rPr>
          <w:rFonts w:hint="default" w:ascii="Times New Roman" w:hAnsi="Times New Roman" w:eastAsia="宋体" w:cs="Times New Roman"/>
          <w:color w:val="auto"/>
          <w:sz w:val="24"/>
          <w:szCs w:val="24"/>
          <w:highlight w:val="none"/>
        </w:rPr>
        <w:t>。本项目最大年存栏量为</w:t>
      </w:r>
      <w:r>
        <w:rPr>
          <w:rFonts w:hint="eastAsia" w:ascii="Times New Roman" w:hAnsi="Times New Roman" w:eastAsia="宋体" w:cs="Times New Roman"/>
          <w:color w:val="auto"/>
          <w:sz w:val="24"/>
          <w:szCs w:val="24"/>
          <w:highlight w:val="none"/>
          <w:lang w:val="en-US" w:eastAsia="zh-CN"/>
        </w:rPr>
        <w:t>12500</w:t>
      </w:r>
      <w:r>
        <w:rPr>
          <w:rFonts w:hint="default" w:ascii="Times New Roman" w:hAnsi="Times New Roman" w:eastAsia="宋体" w:cs="Times New Roman"/>
          <w:color w:val="auto"/>
          <w:sz w:val="24"/>
          <w:szCs w:val="24"/>
          <w:highlight w:val="none"/>
        </w:rPr>
        <w:t>头</w:t>
      </w:r>
      <w:r>
        <w:rPr>
          <w:rFonts w:hint="eastAsia" w:ascii="Times New Roman" w:hAnsi="Times New Roman" w:eastAsia="宋体" w:cs="Times New Roman"/>
          <w:color w:val="auto"/>
          <w:sz w:val="24"/>
          <w:szCs w:val="24"/>
          <w:highlight w:val="none"/>
          <w:lang w:eastAsia="zh-CN"/>
        </w:rPr>
        <w:t>肉牛</w:t>
      </w:r>
      <w:r>
        <w:rPr>
          <w:rFonts w:hint="default" w:ascii="Times New Roman" w:hAnsi="Times New Roman" w:eastAsia="宋体" w:cs="Times New Roman"/>
          <w:color w:val="auto"/>
          <w:sz w:val="24"/>
          <w:szCs w:val="24"/>
          <w:highlight w:val="none"/>
        </w:rPr>
        <w:t>，营运期废水产生总量</w:t>
      </w:r>
      <w:r>
        <w:rPr>
          <w:rFonts w:hint="eastAsia" w:ascii="Times New Roman" w:hAnsi="Times New Roman" w:eastAsia="宋体" w:cs="Times New Roman"/>
          <w:color w:val="auto"/>
          <w:sz w:val="24"/>
          <w:szCs w:val="24"/>
          <w:highlight w:val="none"/>
          <w:lang w:val="en-US" w:eastAsia="zh-CN"/>
        </w:rPr>
        <w:t>248.76</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/d，污水储存池设计贮存周期为</w:t>
      </w:r>
      <w:r>
        <w:rPr>
          <w:rFonts w:hint="eastAsia" w:ascii="Times New Roman" w:hAnsi="Times New Roman" w:eastAsia="宋体"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rPr>
        <w:t>天，则本项目污水储存池贮存周期容积不应小于</w:t>
      </w:r>
      <w:r>
        <w:rPr>
          <w:rFonts w:hint="eastAsia" w:ascii="Times New Roman" w:hAnsi="Times New Roman" w:eastAsia="宋体" w:cs="Times New Roman"/>
          <w:color w:val="auto"/>
          <w:sz w:val="24"/>
          <w:szCs w:val="24"/>
          <w:highlight w:val="none"/>
          <w:lang w:val="en-US" w:eastAsia="zh-CN"/>
        </w:rPr>
        <w:t>7462.8</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。故</w:t>
      </w:r>
      <w:r>
        <w:rPr>
          <w:rFonts w:hint="eastAsia" w:ascii="Times New Roman" w:hAnsi="Times New Roman" w:eastAsia="宋体" w:cs="Times New Roman"/>
          <w:color w:val="auto"/>
          <w:sz w:val="24"/>
          <w:szCs w:val="24"/>
          <w:highlight w:val="none"/>
        </w:rPr>
        <w:t>本本项目处理后的废水经厂区内管道输送至拟建贮存池内暂存（总容积8000m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rPr>
        <w:t>处理负荷能满足要求。</w:t>
      </w:r>
    </w:p>
    <w:p>
      <w:pPr>
        <w:pStyle w:val="9"/>
        <w:rPr>
          <w:rFonts w:hint="eastAsia" w:cs="Times New Roman"/>
          <w:color w:val="auto"/>
          <w:highlight w:val="none"/>
          <w:lang w:val="en-US" w:eastAsia="zh-CN"/>
        </w:rPr>
      </w:pPr>
      <w:r>
        <w:rPr>
          <w:rFonts w:hint="eastAsia" w:cs="Times New Roman"/>
          <w:color w:val="auto"/>
          <w:highlight w:val="none"/>
          <w:lang w:val="en-US" w:eastAsia="zh-CN"/>
        </w:rPr>
        <w:t>废水土地消纳可行性分析</w:t>
      </w:r>
    </w:p>
    <w:p>
      <w:pPr>
        <w:ind w:firstLine="480" w:firstLineChars="200"/>
        <w:rPr>
          <w:rFonts w:hint="eastAsia" w:ascii="Times New Roman" w:cs="Times New Roman"/>
          <w:color w:val="auto"/>
          <w:sz w:val="24"/>
          <w:szCs w:val="24"/>
          <w:highlight w:val="none"/>
        </w:rPr>
      </w:pPr>
      <w:r>
        <w:rPr>
          <w:rFonts w:hint="eastAsia" w:ascii="Times New Roman" w:cs="Times New Roman"/>
          <w:color w:val="auto"/>
          <w:sz w:val="24"/>
          <w:szCs w:val="24"/>
          <w:highlight w:val="none"/>
        </w:rPr>
        <w:t>根据现场调查，项目周边均为</w:t>
      </w:r>
      <w:r>
        <w:rPr>
          <w:rFonts w:hint="eastAsia" w:ascii="Times New Roman" w:cs="Times New Roman"/>
          <w:color w:val="auto"/>
          <w:sz w:val="24"/>
          <w:szCs w:val="24"/>
          <w:highlight w:val="none"/>
          <w:lang w:eastAsia="zh-CN"/>
        </w:rPr>
        <w:t>林地、</w:t>
      </w:r>
      <w:r>
        <w:rPr>
          <w:rFonts w:hint="eastAsia" w:ascii="Times New Roman" w:cs="Times New Roman"/>
          <w:color w:val="auto"/>
          <w:sz w:val="24"/>
          <w:szCs w:val="24"/>
          <w:highlight w:val="none"/>
        </w:rPr>
        <w:t>农田、蔬菜地。本项目采用种养结合的方式，本项目配套建设农灌系统，农灌系统主要由废水储存池、恒压供水系统、阀门、</w:t>
      </w:r>
      <w:r>
        <w:rPr>
          <w:rFonts w:hint="eastAsia" w:ascii="Times New Roman" w:cs="Times New Roman"/>
          <w:color w:val="auto"/>
          <w:sz w:val="24"/>
          <w:szCs w:val="24"/>
          <w:highlight w:val="none"/>
          <w:lang w:eastAsia="zh-CN"/>
        </w:rPr>
        <w:t>田</w:t>
      </w:r>
      <w:r>
        <w:rPr>
          <w:rFonts w:hint="eastAsia" w:ascii="Times New Roman" w:cs="Times New Roman"/>
          <w:color w:val="auto"/>
          <w:sz w:val="24"/>
          <w:szCs w:val="24"/>
          <w:highlight w:val="none"/>
        </w:rPr>
        <w:t>间管道等组成。本项目废水储存池采用PE材质dn</w:t>
      </w:r>
      <w:r>
        <w:rPr>
          <w:rFonts w:hint="eastAsia" w:ascii="Times New Roman" w:cs="Times New Roman"/>
          <w:color w:val="auto"/>
          <w:sz w:val="24"/>
          <w:szCs w:val="24"/>
          <w:highlight w:val="none"/>
          <w:lang w:val="en-US" w:eastAsia="zh-CN"/>
        </w:rPr>
        <w:t>200</w:t>
      </w:r>
      <w:r>
        <w:rPr>
          <w:rFonts w:hint="eastAsia" w:ascii="Times New Roman" w:cs="Times New Roman"/>
          <w:color w:val="auto"/>
          <w:sz w:val="24"/>
          <w:szCs w:val="24"/>
          <w:highlight w:val="none"/>
        </w:rPr>
        <w:t>管道作为主管，田间支管采用PE材质dn50和dn32管道。本项目</w:t>
      </w:r>
      <w:r>
        <w:rPr>
          <w:rFonts w:hint="eastAsia" w:ascii="Times New Roman" w:cs="Times New Roman"/>
          <w:color w:val="auto"/>
          <w:sz w:val="24"/>
          <w:szCs w:val="24"/>
          <w:highlight w:val="none"/>
          <w:lang w:eastAsia="zh-CN"/>
        </w:rPr>
        <w:t>消纳</w:t>
      </w:r>
      <w:r>
        <w:rPr>
          <w:rFonts w:hint="eastAsia" w:ascii="Times New Roman" w:cs="Times New Roman"/>
          <w:color w:val="auto"/>
          <w:sz w:val="24"/>
          <w:szCs w:val="24"/>
          <w:highlight w:val="none"/>
        </w:rPr>
        <w:t>的</w:t>
      </w:r>
      <w:r>
        <w:rPr>
          <w:rFonts w:hint="eastAsia" w:ascii="Times New Roman" w:cs="Times New Roman"/>
          <w:color w:val="auto"/>
          <w:sz w:val="24"/>
          <w:szCs w:val="24"/>
          <w:highlight w:val="none"/>
          <w:lang w:eastAsia="zh-CN"/>
        </w:rPr>
        <w:t>农田</w:t>
      </w:r>
      <w:r>
        <w:rPr>
          <w:rFonts w:hint="eastAsia" w:ascii="Times New Roman" w:cs="Times New Roman"/>
          <w:color w:val="auto"/>
          <w:sz w:val="24"/>
          <w:szCs w:val="24"/>
          <w:highlight w:val="none"/>
        </w:rPr>
        <w:t>用户打开浇灌系统阀门，恒压供水系统自动运行，将储存池废水输送至</w:t>
      </w:r>
      <w:r>
        <w:rPr>
          <w:rFonts w:hint="eastAsia" w:ascii="Times New Roman" w:cs="Times New Roman"/>
          <w:color w:val="auto"/>
          <w:sz w:val="24"/>
          <w:szCs w:val="24"/>
          <w:highlight w:val="none"/>
          <w:lang w:eastAsia="zh-CN"/>
        </w:rPr>
        <w:t>农田</w:t>
      </w:r>
      <w:r>
        <w:rPr>
          <w:rFonts w:hint="eastAsia" w:ascii="Times New Roman" w:cs="Times New Roman"/>
          <w:color w:val="auto"/>
          <w:sz w:val="24"/>
          <w:szCs w:val="24"/>
          <w:highlight w:val="none"/>
        </w:rPr>
        <w:t>浇灌。</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（1）水量可行性</w:t>
      </w:r>
    </w:p>
    <w:p>
      <w:pPr>
        <w:pStyle w:val="24"/>
        <w:spacing w:line="360" w:lineRule="auto"/>
        <w:ind w:firstLine="480"/>
        <w:rPr>
          <w:rFonts w:hint="eastAsia" w:ascii="Times New Roman" w:hAnsi="Times New Roman" w:eastAsia="宋体"/>
          <w:color w:val="auto"/>
          <w:highlight w:val="none"/>
          <w:lang w:eastAsia="zh-CN"/>
        </w:rPr>
      </w:pPr>
      <w:r>
        <w:rPr>
          <w:rFonts w:hint="eastAsia" w:ascii="Times New Roman" w:hAnsi="Times New Roman"/>
          <w:color w:val="auto"/>
          <w:highlight w:val="none"/>
        </w:rPr>
        <w:t>根据</w:t>
      </w:r>
      <w:r>
        <w:rPr>
          <w:rFonts w:hint="eastAsia"/>
          <w:color w:val="auto"/>
          <w:highlight w:val="none"/>
          <w:lang w:eastAsia="zh-CN"/>
        </w:rPr>
        <w:t>农灌可行性分析章节计算，</w:t>
      </w:r>
      <w:r>
        <w:rPr>
          <w:rFonts w:hint="eastAsia" w:ascii="Times New Roman" w:hAnsi="Times New Roman" w:eastAsia="宋体" w:cs="Times New Roman"/>
          <w:color w:val="auto"/>
          <w:sz w:val="24"/>
          <w:szCs w:val="24"/>
          <w:highlight w:val="none"/>
          <w:lang w:eastAsia="zh-CN"/>
        </w:rPr>
        <w:t>本项目实际</w:t>
      </w:r>
      <w:r>
        <w:rPr>
          <w:rFonts w:hint="eastAsia" w:ascii="Times New Roman" w:hAnsi="Times New Roman" w:eastAsia="宋体" w:cs="Times New Roman"/>
          <w:color w:val="auto"/>
          <w:sz w:val="24"/>
          <w:szCs w:val="24"/>
          <w:highlight w:val="none"/>
        </w:rPr>
        <w:t>消纳区面积约为</w:t>
      </w:r>
      <w:r>
        <w:rPr>
          <w:rFonts w:hint="eastAsia" w:cs="Times New Roman"/>
          <w:color w:val="auto"/>
          <w:sz w:val="24"/>
          <w:szCs w:val="24"/>
          <w:highlight w:val="none"/>
          <w:lang w:val="en-US" w:eastAsia="zh-CN"/>
        </w:rPr>
        <w:t>2800</w:t>
      </w:r>
      <w:r>
        <w:rPr>
          <w:rFonts w:hint="eastAsia" w:ascii="Times New Roman" w:hAnsi="Times New Roman" w:eastAsia="宋体" w:cs="Times New Roman"/>
          <w:color w:val="auto"/>
          <w:sz w:val="24"/>
          <w:szCs w:val="24"/>
          <w:highlight w:val="none"/>
        </w:rPr>
        <w:t>亩，可满足本项目的需要</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废水经处理后全部循环回用，不外排，不会对周边地表水环境造成明显不利影响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（2）养分可行性</w:t>
      </w:r>
    </w:p>
    <w:p>
      <w:pPr>
        <w:spacing w:line="360" w:lineRule="auto"/>
        <w:ind w:firstLine="480" w:firstLineChars="200"/>
        <w:jc w:val="both"/>
        <w:rPr>
          <w:rFonts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rPr>
        <w:t>根据农灌可行性分析章节计算，</w:t>
      </w:r>
      <w:r>
        <w:rPr>
          <w:rFonts w:hint="eastAsia" w:ascii="Times New Roman" w:hAnsi="Times New Roman" w:eastAsia="宋体" w:cs="Times New Roman"/>
          <w:color w:val="auto"/>
          <w:sz w:val="24"/>
          <w:szCs w:val="24"/>
          <w:highlight w:val="none"/>
          <w:lang w:eastAsia="zh-CN"/>
        </w:rPr>
        <w:t>本项目</w:t>
      </w:r>
      <w:r>
        <w:rPr>
          <w:rFonts w:ascii="Times New Roman" w:hAnsi="Times New Roman" w:eastAsia="宋体" w:cs="Times New Roman"/>
          <w:color w:val="auto"/>
          <w:sz w:val="24"/>
          <w:szCs w:val="24"/>
          <w:highlight w:val="none"/>
          <w:lang w:eastAsia="zh-CN"/>
        </w:rPr>
        <w:t>粪污经处理后产生的废水</w:t>
      </w:r>
      <w:r>
        <w:rPr>
          <w:rFonts w:hint="eastAsia" w:ascii="Times New Roman" w:hAnsi="Times New Roman" w:eastAsia="宋体" w:cs="Times New Roman"/>
          <w:color w:val="auto"/>
          <w:sz w:val="24"/>
          <w:szCs w:val="24"/>
          <w:highlight w:val="none"/>
          <w:lang w:eastAsia="zh-CN"/>
        </w:rPr>
        <w:t>中N、P供给量低于区域植物粪肥中N、P养分需求量，因此，项目所产生废水可全部用于还田，</w:t>
      </w:r>
      <w:r>
        <w:rPr>
          <w:rFonts w:ascii="Times New Roman" w:hAnsi="Times New Roman" w:eastAsia="宋体" w:cs="Times New Roman"/>
          <w:color w:val="auto"/>
          <w:sz w:val="24"/>
          <w:szCs w:val="24"/>
          <w:highlight w:val="none"/>
          <w:lang w:eastAsia="zh-CN"/>
        </w:rPr>
        <w:t>可完全满足项目废水消纳需求。</w:t>
      </w:r>
      <w:r>
        <w:rPr>
          <w:rFonts w:hint="eastAsia" w:ascii="Times New Roman" w:hAnsi="Times New Roman" w:eastAsia="宋体" w:cs="Times New Roman"/>
          <w:color w:val="auto"/>
          <w:sz w:val="24"/>
          <w:szCs w:val="24"/>
          <w:highlight w:val="none"/>
          <w:lang w:eastAsia="zh-CN"/>
        </w:rPr>
        <w:t>项目粪污的处理和土壤肥力、作物生长之间是趋于平衡的，不会超过土壤负荷。</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因此，本项目消纳区完全有能力消纳本项目产生的废水，从养分消纳角度分析可行。</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非灌溉期</w:t>
      </w:r>
      <w:r>
        <w:rPr>
          <w:rFonts w:hint="eastAsia" w:ascii="Times New Roman" w:hAnsi="Times New Roman" w:eastAsia="宋体" w:cs="Times New Roman"/>
          <w:color w:val="auto"/>
          <w:sz w:val="24"/>
          <w:szCs w:val="24"/>
          <w:highlight w:val="none"/>
          <w:lang w:val="en-US" w:eastAsia="zh-CN"/>
        </w:rPr>
        <w:t>/雨期废水</w:t>
      </w:r>
      <w:r>
        <w:rPr>
          <w:rFonts w:hint="eastAsia" w:ascii="Times New Roman" w:hAnsi="Times New Roman" w:eastAsia="宋体" w:cs="Times New Roman"/>
          <w:color w:val="auto"/>
          <w:sz w:val="24"/>
          <w:szCs w:val="24"/>
          <w:highlight w:val="none"/>
          <w:lang w:eastAsia="zh-CN"/>
        </w:rPr>
        <w:t>存储</w:t>
      </w:r>
      <w:r>
        <w:rPr>
          <w:rFonts w:hint="eastAsia" w:ascii="Times New Roman" w:hAnsi="Times New Roman" w:eastAsia="宋体" w:cs="Times New Roman"/>
          <w:color w:val="auto"/>
          <w:sz w:val="24"/>
          <w:szCs w:val="24"/>
          <w:highlight w:val="none"/>
        </w:rPr>
        <w:t>可行性</w:t>
      </w:r>
    </w:p>
    <w:p>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rPr>
        <w:t>本项目废水经收集至收集池后泵至污水处理设施处理后，处理达标的废水经厂区内管道输送至场</w:t>
      </w:r>
      <w:r>
        <w:rPr>
          <w:rFonts w:hint="eastAsia" w:ascii="Times New Roman" w:hAnsi="Times New Roman" w:eastAsia="宋体" w:cs="Times New Roman"/>
          <w:color w:val="auto"/>
          <w:sz w:val="24"/>
          <w:szCs w:val="24"/>
          <w:highlight w:val="none"/>
          <w:lang w:eastAsia="zh-CN"/>
        </w:rPr>
        <w:t>内</w:t>
      </w:r>
      <w:r>
        <w:rPr>
          <w:rFonts w:hint="eastAsia" w:ascii="Times New Roman" w:hAnsi="Times New Roman" w:eastAsia="宋体" w:cs="Times New Roman"/>
          <w:color w:val="auto"/>
          <w:sz w:val="24"/>
          <w:szCs w:val="24"/>
          <w:highlight w:val="none"/>
        </w:rPr>
        <w:t>废水储存池暂存。本项目</w:t>
      </w:r>
      <w:r>
        <w:rPr>
          <w:rFonts w:hint="eastAsia" w:ascii="Times New Roman" w:hAnsi="Times New Roman" w:eastAsia="宋体" w:cs="Times New Roman"/>
          <w:color w:val="auto"/>
          <w:sz w:val="24"/>
          <w:szCs w:val="24"/>
          <w:highlight w:val="none"/>
          <w:lang w:eastAsia="zh-CN"/>
        </w:rPr>
        <w:t>林地及</w:t>
      </w:r>
      <w:r>
        <w:rPr>
          <w:rFonts w:hint="eastAsia" w:ascii="Times New Roman" w:hAnsi="Times New Roman" w:eastAsia="宋体" w:cs="Times New Roman"/>
          <w:color w:val="auto"/>
          <w:sz w:val="24"/>
          <w:szCs w:val="24"/>
          <w:highlight w:val="none"/>
        </w:rPr>
        <w:t>农田消纳区位于养殖场周边，共</w:t>
      </w:r>
      <w:r>
        <w:rPr>
          <w:rFonts w:hint="eastAsia" w:ascii="Times New Roman" w:hAnsi="Times New Roman" w:eastAsia="宋体" w:cs="Times New Roman"/>
          <w:color w:val="auto"/>
          <w:sz w:val="24"/>
          <w:szCs w:val="24"/>
          <w:highlight w:val="none"/>
          <w:lang w:val="en-US" w:eastAsia="zh-CN"/>
        </w:rPr>
        <w:t>2800</w:t>
      </w:r>
      <w:r>
        <w:rPr>
          <w:rFonts w:hint="eastAsia" w:ascii="Times New Roman" w:hAnsi="Times New Roman" w:eastAsia="宋体" w:cs="Times New Roman"/>
          <w:color w:val="auto"/>
          <w:sz w:val="24"/>
          <w:szCs w:val="24"/>
          <w:highlight w:val="none"/>
        </w:rPr>
        <w:t>亩</w:t>
      </w:r>
      <w:r>
        <w:rPr>
          <w:rFonts w:hint="eastAsia" w:ascii="Times New Roman" w:hAnsi="Times New Roman" w:eastAsia="宋体" w:cs="Times New Roman"/>
          <w:color w:val="auto"/>
          <w:sz w:val="24"/>
          <w:szCs w:val="24"/>
          <w:highlight w:val="none"/>
          <w:lang w:eastAsia="zh-CN"/>
        </w:rPr>
        <w:t>。</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按照《畜禽养殖业污染治理工程技术规范》（HJ497-2009）中 6.1.2.3“不得小于30d”的要求，确定本项目废水储存池容积不得低于</w:t>
      </w:r>
      <w:r>
        <w:rPr>
          <w:rFonts w:hint="eastAsia" w:ascii="Times New Roman" w:hAnsi="Times New Roman" w:eastAsia="宋体" w:cs="Times New Roman"/>
          <w:color w:val="auto"/>
          <w:sz w:val="24"/>
          <w:szCs w:val="24"/>
          <w:highlight w:val="none"/>
          <w:lang w:val="en-US" w:eastAsia="zh-CN"/>
        </w:rPr>
        <w:t>7462.8</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。本项目拟在厂区</w:t>
      </w:r>
      <w:r>
        <w:rPr>
          <w:rFonts w:hint="eastAsia" w:ascii="Times New Roman" w:hAnsi="Times New Roman" w:eastAsia="宋体" w:cs="Times New Roman"/>
          <w:color w:val="auto"/>
          <w:sz w:val="24"/>
          <w:szCs w:val="24"/>
          <w:highlight w:val="none"/>
          <w:lang w:eastAsia="zh-CN"/>
        </w:rPr>
        <w:t>南</w:t>
      </w:r>
      <w:r>
        <w:rPr>
          <w:rFonts w:hint="eastAsia" w:ascii="Times New Roman" w:hAnsi="Times New Roman" w:eastAsia="宋体" w:cs="Times New Roman"/>
          <w:color w:val="auto"/>
          <w:sz w:val="24"/>
          <w:szCs w:val="24"/>
          <w:highlight w:val="none"/>
        </w:rPr>
        <w:t>部设置容积为</w:t>
      </w:r>
      <w:r>
        <w:rPr>
          <w:rFonts w:hint="eastAsia" w:ascii="Times New Roman" w:hAnsi="Times New Roman" w:eastAsia="宋体" w:cs="Times New Roman"/>
          <w:color w:val="auto"/>
          <w:sz w:val="24"/>
          <w:szCs w:val="24"/>
          <w:highlight w:val="none"/>
          <w:lang w:val="en-US" w:eastAsia="zh-CN"/>
        </w:rPr>
        <w:t>80</w:t>
      </w:r>
      <w:r>
        <w:rPr>
          <w:rFonts w:hint="eastAsia" w:ascii="Times New Roman" w:hAnsi="Times New Roman" w:eastAsia="宋体" w:cs="Times New Roman"/>
          <w:color w:val="auto"/>
          <w:sz w:val="24"/>
          <w:szCs w:val="24"/>
          <w:highlight w:val="none"/>
        </w:rPr>
        <w:t>00m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的暂存池，顶部加盖防雨</w:t>
      </w:r>
      <w:r>
        <w:rPr>
          <w:rFonts w:hint="eastAsia" w:ascii="Times New Roman" w:hAnsi="Times New Roman" w:eastAsia="宋体" w:cs="Times New Roman"/>
          <w:color w:val="auto"/>
          <w:sz w:val="24"/>
          <w:szCs w:val="24"/>
          <w:highlight w:val="none"/>
          <w:lang w:eastAsia="zh-CN"/>
        </w:rPr>
        <w:t>，并</w:t>
      </w:r>
      <w:r>
        <w:rPr>
          <w:rFonts w:hint="eastAsia" w:ascii="Times New Roman" w:hAnsi="Times New Roman" w:eastAsia="宋体" w:cs="Times New Roman"/>
          <w:color w:val="auto"/>
          <w:sz w:val="24"/>
          <w:szCs w:val="24"/>
          <w:highlight w:val="none"/>
        </w:rPr>
        <w:t>铺设PE管道及终端灌溉软管，购买安装管道配件</w:t>
      </w:r>
      <w:r>
        <w:rPr>
          <w:rFonts w:hint="eastAsia" w:ascii="Times New Roman" w:hAnsi="Times New Roman" w:eastAsia="宋体" w:cs="Times New Roman"/>
          <w:color w:val="auto"/>
          <w:sz w:val="24"/>
          <w:szCs w:val="24"/>
          <w:highlight w:val="none"/>
          <w:lang w:eastAsia="zh-CN"/>
        </w:rPr>
        <w:t>若干</w:t>
      </w:r>
      <w:r>
        <w:rPr>
          <w:rFonts w:hint="eastAsia" w:ascii="Times New Roman" w:hAnsi="Times New Roman" w:eastAsia="宋体" w:cs="Times New Roman"/>
          <w:color w:val="auto"/>
          <w:sz w:val="24"/>
          <w:szCs w:val="24"/>
          <w:highlight w:val="none"/>
        </w:rPr>
        <w:t>套</w:t>
      </w:r>
      <w:r>
        <w:rPr>
          <w:rFonts w:hint="eastAsia" w:ascii="Times New Roman" w:hAnsi="Times New Roman" w:eastAsia="宋体" w:cs="Times New Roman"/>
          <w:color w:val="auto"/>
          <w:sz w:val="24"/>
          <w:szCs w:val="24"/>
          <w:highlight w:val="none"/>
          <w:vertAlign w:val="baseline"/>
          <w:lang w:eastAsia="zh-CN"/>
        </w:rPr>
        <w:t>，</w:t>
      </w:r>
      <w:r>
        <w:rPr>
          <w:rFonts w:hint="eastAsia" w:ascii="Times New Roman" w:hAnsi="Times New Roman" w:eastAsia="宋体" w:cs="Times New Roman"/>
          <w:color w:val="auto"/>
          <w:sz w:val="24"/>
          <w:szCs w:val="24"/>
          <w:highlight w:val="none"/>
        </w:rPr>
        <w:t>能够满足HJ497-2009要求。</w:t>
      </w:r>
    </w:p>
    <w:p>
      <w:pPr>
        <w:pStyle w:val="9"/>
        <w:rPr>
          <w:rFonts w:hint="eastAsia" w:cs="Times New Roman"/>
          <w:color w:val="auto"/>
          <w:highlight w:val="none"/>
          <w:lang w:val="en-US" w:eastAsia="zh-CN"/>
        </w:rPr>
      </w:pPr>
      <w:r>
        <w:rPr>
          <w:rFonts w:hint="eastAsia" w:cs="Times New Roman"/>
          <w:color w:val="auto"/>
          <w:highlight w:val="none"/>
          <w:lang w:val="en-US" w:eastAsia="zh-CN"/>
        </w:rPr>
        <w:t>废水处理措施可行性分析</w:t>
      </w:r>
    </w:p>
    <w:p>
      <w:pPr>
        <w:pStyle w:val="114"/>
        <w:spacing w:line="360" w:lineRule="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1、技术可行性</w:t>
      </w:r>
    </w:p>
    <w:p>
      <w:pPr>
        <w:pStyle w:val="114"/>
        <w:spacing w:line="36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本项目废水处理措施根据设计进水水质和出水水质要求，选择合适的污水处理工艺。对进水水质，重点考虑其规模（设计规模为</w:t>
      </w:r>
      <w:r>
        <w:rPr>
          <w:rFonts w:hint="eastAsia" w:ascii="Times New Roman" w:hAnsi="Times New Roman" w:cs="Times New Roman"/>
          <w:color w:val="auto"/>
          <w:highlight w:val="none"/>
          <w:lang w:val="en-US" w:eastAsia="zh-CN"/>
        </w:rPr>
        <w:t>3</w:t>
      </w:r>
      <w:r>
        <w:rPr>
          <w:rFonts w:hint="eastAsia" w:ascii="Times New Roman" w:hAnsi="Times New Roman" w:eastAsia="宋体" w:cs="Times New Roman"/>
          <w:color w:val="auto"/>
          <w:highlight w:val="none"/>
          <w:lang w:val="en-US" w:eastAsia="zh-CN"/>
        </w:rPr>
        <w:t>00</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/d），有机物负荷；对出水水质，重点考虑对氨氮、有机物等相关指标的去除率。本方案处理方法主要采用“</w:t>
      </w:r>
      <w:r>
        <w:rPr>
          <w:rFonts w:hint="eastAsia" w:ascii="Times New Roman" w:hAnsi="Times New Roman" w:eastAsia="宋体" w:cs="Times New Roman"/>
          <w:color w:val="auto"/>
          <w:sz w:val="24"/>
          <w:szCs w:val="24"/>
          <w:highlight w:val="none"/>
        </w:rPr>
        <w:t>固液分离+UASB厌氧+絮凝沉淀+两级A/O系统+混凝絮凝沉淀+消毒</w:t>
      </w:r>
      <w:r>
        <w:rPr>
          <w:rFonts w:hint="default" w:ascii="Times New Roman" w:hAnsi="Times New Roman" w:eastAsia="宋体" w:cs="Times New Roman"/>
          <w:color w:val="auto"/>
          <w:highlight w:val="none"/>
        </w:rPr>
        <w:t>”的处理工艺进行治理。该处理工艺经实际工程反复验证，设备运行稳定、出水水质稳定。</w:t>
      </w:r>
    </w:p>
    <w:p>
      <w:pPr>
        <w:pStyle w:val="114"/>
        <w:spacing w:line="36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根据第5.2.</w:t>
      </w:r>
      <w:r>
        <w:rPr>
          <w:rFonts w:hint="eastAsia"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rPr>
        <w:t>章节地表水环境影响预测评价控制，</w:t>
      </w:r>
      <w:r>
        <w:rPr>
          <w:rFonts w:hint="eastAsia" w:ascii="Times New Roman" w:hAnsi="Times New Roman" w:eastAsia="宋体" w:cs="Times New Roman"/>
          <w:color w:val="auto"/>
          <w:sz w:val="24"/>
          <w:szCs w:val="24"/>
          <w:highlight w:val="none"/>
        </w:rPr>
        <w:t>本项目废水用于</w:t>
      </w:r>
      <w:r>
        <w:rPr>
          <w:rFonts w:hint="eastAsia" w:ascii="Times New Roman" w:hAnsi="Times New Roman" w:cs="Times New Roman"/>
          <w:color w:val="auto"/>
          <w:sz w:val="24"/>
          <w:szCs w:val="24"/>
          <w:highlight w:val="none"/>
          <w:lang w:eastAsia="zh-CN"/>
        </w:rPr>
        <w:t>农田</w:t>
      </w:r>
      <w:r>
        <w:rPr>
          <w:rFonts w:hint="eastAsia" w:ascii="Times New Roman" w:hAnsi="Times New Roman" w:eastAsia="宋体" w:cs="Times New Roman"/>
          <w:color w:val="auto"/>
          <w:sz w:val="24"/>
          <w:szCs w:val="24"/>
          <w:highlight w:val="none"/>
        </w:rPr>
        <w:t>灌溉后，N、P元素可被植物吸收</w:t>
      </w:r>
      <w:r>
        <w:rPr>
          <w:rFonts w:hint="default" w:ascii="Times New Roman" w:hAnsi="Times New Roman" w:eastAsia="宋体" w:cs="Times New Roman"/>
          <w:color w:val="auto"/>
          <w:highlight w:val="none"/>
        </w:rPr>
        <w:t>。环评要求企业应制定科学合理的施肥制度，严格按照当地土壤承纳能力实施施肥，防治任意施肥造成的磷素污染地下水和土壤，造成土壤盐碱化。</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按照《畜禽养殖业污染治理工程技术规范》（HJ497-2009）中 6.1.2.3“不得小于30d”的要求，确定本项目废水储存池容积不得低于</w:t>
      </w:r>
      <w:r>
        <w:rPr>
          <w:rFonts w:hint="eastAsia" w:ascii="Times New Roman" w:hAnsi="Times New Roman" w:eastAsia="宋体" w:cs="Times New Roman"/>
          <w:color w:val="auto"/>
          <w:sz w:val="24"/>
          <w:szCs w:val="24"/>
          <w:highlight w:val="none"/>
          <w:lang w:val="en-US" w:eastAsia="zh-CN"/>
        </w:rPr>
        <w:t>7462.8</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。非灌溉期污水处理站出水暂存该池子内，待灌溉期来临进入继续用于灌溉。本项目拟在厂区</w:t>
      </w:r>
      <w:r>
        <w:rPr>
          <w:rFonts w:hint="eastAsia" w:ascii="Times New Roman" w:hAnsi="Times New Roman" w:eastAsia="宋体" w:cs="Times New Roman"/>
          <w:color w:val="auto"/>
          <w:sz w:val="24"/>
          <w:szCs w:val="24"/>
          <w:highlight w:val="none"/>
          <w:lang w:eastAsia="zh-CN"/>
        </w:rPr>
        <w:t>南</w:t>
      </w:r>
      <w:r>
        <w:rPr>
          <w:rFonts w:hint="eastAsia" w:ascii="Times New Roman" w:hAnsi="Times New Roman" w:eastAsia="宋体" w:cs="Times New Roman"/>
          <w:color w:val="auto"/>
          <w:sz w:val="24"/>
          <w:szCs w:val="24"/>
          <w:highlight w:val="none"/>
        </w:rPr>
        <w:t>部设置容积为</w:t>
      </w:r>
      <w:r>
        <w:rPr>
          <w:rFonts w:hint="eastAsia" w:ascii="Times New Roman" w:hAnsi="Times New Roman" w:eastAsia="宋体" w:cs="Times New Roman"/>
          <w:color w:val="auto"/>
          <w:sz w:val="24"/>
          <w:szCs w:val="24"/>
          <w:highlight w:val="none"/>
          <w:lang w:val="en-US" w:eastAsia="zh-CN"/>
        </w:rPr>
        <w:t>80</w:t>
      </w:r>
      <w:r>
        <w:rPr>
          <w:rFonts w:hint="eastAsia" w:ascii="Times New Roman" w:hAnsi="Times New Roman" w:eastAsia="宋体" w:cs="Times New Roman"/>
          <w:color w:val="auto"/>
          <w:sz w:val="24"/>
          <w:szCs w:val="24"/>
          <w:highlight w:val="none"/>
        </w:rPr>
        <w:t>00m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的暂存池，顶部加盖防雨</w:t>
      </w:r>
      <w:r>
        <w:rPr>
          <w:rFonts w:hint="eastAsia" w:ascii="Times New Roman" w:hAnsi="Times New Roman" w:eastAsia="宋体" w:cs="Times New Roman"/>
          <w:color w:val="auto"/>
          <w:sz w:val="24"/>
          <w:szCs w:val="24"/>
          <w:highlight w:val="none"/>
          <w:lang w:eastAsia="zh-CN"/>
        </w:rPr>
        <w:t>，并</w:t>
      </w:r>
      <w:r>
        <w:rPr>
          <w:rFonts w:hint="eastAsia" w:ascii="Times New Roman" w:hAnsi="Times New Roman" w:eastAsia="宋体" w:cs="Times New Roman"/>
          <w:color w:val="auto"/>
          <w:sz w:val="24"/>
          <w:szCs w:val="24"/>
          <w:highlight w:val="none"/>
        </w:rPr>
        <w:t>铺设PE管道及终端灌溉软管，购买安装管道配件</w:t>
      </w:r>
      <w:r>
        <w:rPr>
          <w:rFonts w:hint="eastAsia" w:ascii="Times New Roman" w:hAnsi="Times New Roman" w:eastAsia="宋体" w:cs="Times New Roman"/>
          <w:color w:val="auto"/>
          <w:sz w:val="24"/>
          <w:szCs w:val="24"/>
          <w:highlight w:val="none"/>
          <w:lang w:eastAsia="zh-CN"/>
        </w:rPr>
        <w:t>若干</w:t>
      </w:r>
      <w:r>
        <w:rPr>
          <w:rFonts w:hint="eastAsia" w:ascii="Times New Roman" w:hAnsi="Times New Roman" w:eastAsia="宋体" w:cs="Times New Roman"/>
          <w:color w:val="auto"/>
          <w:sz w:val="24"/>
          <w:szCs w:val="24"/>
          <w:highlight w:val="none"/>
        </w:rPr>
        <w:t>套</w:t>
      </w:r>
      <w:r>
        <w:rPr>
          <w:rFonts w:hint="eastAsia" w:ascii="Times New Roman" w:hAnsi="Times New Roman" w:eastAsia="宋体" w:cs="Times New Roman"/>
          <w:color w:val="auto"/>
          <w:sz w:val="24"/>
          <w:szCs w:val="24"/>
          <w:highlight w:val="none"/>
          <w:vertAlign w:val="baseline"/>
          <w:lang w:eastAsia="zh-CN"/>
        </w:rPr>
        <w:t>，</w:t>
      </w:r>
      <w:r>
        <w:rPr>
          <w:rFonts w:hint="eastAsia" w:ascii="Times New Roman" w:hAnsi="Times New Roman" w:eastAsia="宋体" w:cs="Times New Roman"/>
          <w:color w:val="auto"/>
          <w:sz w:val="24"/>
          <w:szCs w:val="24"/>
          <w:highlight w:val="none"/>
        </w:rPr>
        <w:t>能够满足HJ497-2009要求。</w:t>
      </w:r>
    </w:p>
    <w:p>
      <w:pPr>
        <w:pStyle w:val="114"/>
        <w:spacing w:line="36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综上所述养殖场粪污全部实现综合利用，不会对周围地表水环境造成影响。</w:t>
      </w:r>
    </w:p>
    <w:p>
      <w:pPr>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2、经济可行性</w:t>
      </w:r>
    </w:p>
    <w:p>
      <w:pPr>
        <w:pStyle w:val="114"/>
        <w:spacing w:line="360" w:lineRule="auto"/>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本项目水处理工程竣工运行后，主要为社会效益，厂区养殖废水中含有大量有害物，对人类和动物会造成直接或间接危害。通过对原废水的治理后，大大减少对土资源、水资源和大气资源的污染，清除疾病传播源，有利于人民对土资源、水资源的利用，更有利于人们的身心健康，促进社会的文明进步，间接的产生巨大的社会效益。同时可减少污染赔偿费及超标排污费，并可产生大量沼气能源和生物肥原料，节约施肥成本。</w:t>
      </w:r>
    </w:p>
    <w:p>
      <w:pPr>
        <w:pStyle w:val="114"/>
        <w:spacing w:line="360" w:lineRule="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rPr>
        <w:t>综上所述，项目废水污染防治措施有效，一次性投资后运行费用较低，技术经济可行。</w:t>
      </w:r>
    </w:p>
    <w:p>
      <w:pPr>
        <w:pStyle w:val="8"/>
        <w:spacing w:before="0" w:after="0" w:line="360" w:lineRule="auto"/>
        <w:ind w:left="0" w:firstLine="0"/>
        <w:rPr>
          <w:rFonts w:hint="default" w:cs="Times New Roman"/>
          <w:color w:val="auto"/>
          <w:highlight w:val="none"/>
          <w:lang w:val="en-US" w:eastAsia="zh-CN"/>
        </w:rPr>
      </w:pPr>
      <w:bookmarkStart w:id="283" w:name="_Toc19427"/>
      <w:r>
        <w:rPr>
          <w:rFonts w:hint="default" w:cs="Times New Roman"/>
          <w:color w:val="auto"/>
          <w:highlight w:val="none"/>
          <w:lang w:val="en-US" w:eastAsia="zh-CN"/>
        </w:rPr>
        <w:t>地下水污染防治措施论证</w:t>
      </w:r>
      <w:bookmarkEnd w:id="283"/>
    </w:p>
    <w:p>
      <w:pPr>
        <w:tabs>
          <w:tab w:val="left" w:pos="1220"/>
        </w:tabs>
        <w:spacing w:line="360" w:lineRule="auto"/>
        <w:ind w:firstLine="475" w:firstLineChars="198"/>
        <w:rPr>
          <w:rStyle w:val="2506"/>
          <w:rFonts w:hint="eastAsia" w:ascii="Times New Roman" w:hAnsi="Times New Roman" w:eastAsia="宋体"/>
          <w:color w:val="auto"/>
          <w:highlight w:val="none"/>
          <w:lang w:eastAsia="zh-CN"/>
        </w:rPr>
      </w:pPr>
      <w:r>
        <w:rPr>
          <w:rStyle w:val="2506"/>
          <w:rFonts w:hint="default" w:ascii="Times New Roman" w:hAnsi="Times New Roman"/>
          <w:color w:val="auto"/>
          <w:highlight w:val="none"/>
        </w:rPr>
        <w:t>本项目产生的废水中有机物含量高，且含有大量粪大肠菌群，为防止废水传输过程中以及处理过程中跑、冒、滴、漏等对项目区地下水及土壤的污染，项目采取分区防渗措施，设重点防渗区、一般防渗区、简单防渗区</w:t>
      </w:r>
      <w:r>
        <w:rPr>
          <w:rStyle w:val="2506"/>
          <w:rFonts w:hint="eastAsia" w:ascii="Times New Roman" w:hAnsi="Times New Roman" w:eastAsia="宋体"/>
          <w:color w:val="auto"/>
          <w:highlight w:val="none"/>
          <w:lang w:eastAsia="zh-CN"/>
        </w:rPr>
        <w:t>。</w:t>
      </w:r>
    </w:p>
    <w:p>
      <w:pPr>
        <w:tabs>
          <w:tab w:val="left" w:pos="1220"/>
        </w:tabs>
        <w:spacing w:line="360" w:lineRule="auto"/>
        <w:ind w:firstLine="475" w:firstLineChars="198"/>
        <w:rPr>
          <w:rStyle w:val="2506"/>
          <w:rFonts w:hint="default" w:ascii="Times New Roman" w:hAnsi="Times New Roman"/>
          <w:color w:val="auto"/>
          <w:highlight w:val="none"/>
        </w:rPr>
      </w:pPr>
      <w:r>
        <w:rPr>
          <w:rFonts w:hint="eastAsia" w:ascii="Times New Roman" w:hAnsi="Times New Roman" w:cs="Times New Roman"/>
          <w:color w:val="auto"/>
          <w:sz w:val="24"/>
          <w:szCs w:val="24"/>
          <w:highlight w:val="none"/>
        </w:rPr>
        <w:t>根据《畜禽养殖污水贮存设施设计要求》（GB/T 26624-2011），污水贮存设施内壁和底面应做防渗处理，具体参见GB50069相关规定执行。根据《给水排水工程构筑物结构设计规范》（GB50069-2002）规定：①贮水或水处理构筑物、地下构筑物，一般宜采用钢筋混凝土结构；当容量较小且容量较小且安全等级低于二级时，可采用砖石结构。②贮水或水处理构筑物、地下构筑物的混凝土强度等级不应低于C25。</w:t>
      </w:r>
      <w:r>
        <w:rPr>
          <w:rFonts w:hint="eastAsia" w:ascii="宋体" w:hAnsi="宋体" w:eastAsia="宋体" w:cs="宋体"/>
          <w:color w:val="auto"/>
          <w:sz w:val="24"/>
          <w:szCs w:val="24"/>
          <w:highlight w:val="none"/>
        </w:rPr>
        <w:t>③贮水或水处理构筑物、地下构筑物的砖石砌体材料，应符合下列要求：砖应采用普通黏土机制砖，其强度等级不应低于MU10；石材强度等级不应低于MU30；砌筑砂浆应采用水泥砂浆，并不应低于M10。</w:t>
      </w:r>
    </w:p>
    <w:p>
      <w:pPr>
        <w:spacing w:line="360" w:lineRule="auto"/>
        <w:ind w:firstLine="480"/>
        <w:rPr>
          <w:rStyle w:val="2506"/>
          <w:rFonts w:hint="default" w:ascii="Times New Roman" w:hAnsi="Times New Roman"/>
          <w:color w:val="auto"/>
          <w:highlight w:val="none"/>
        </w:rPr>
      </w:pPr>
      <w:r>
        <w:rPr>
          <w:rStyle w:val="2506"/>
          <w:rFonts w:hint="default" w:ascii="Times New Roman" w:hAnsi="Times New Roman"/>
          <w:color w:val="auto"/>
          <w:highlight w:val="none"/>
        </w:rPr>
        <w:t>具体措施如下：</w:t>
      </w:r>
    </w:p>
    <w:p>
      <w:pPr>
        <w:pStyle w:val="2504"/>
        <w:numPr>
          <w:ilvl w:val="0"/>
          <w:numId w:val="45"/>
        </w:numPr>
        <w:spacing w:before="120"/>
        <w:ind w:left="425" w:leftChars="0" w:hanging="425"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  项目分区建议防渗方案一览表</w:t>
      </w:r>
    </w:p>
    <w:tbl>
      <w:tblPr>
        <w:tblStyle w:val="91"/>
        <w:tblW w:w="4998"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25"/>
        <w:gridCol w:w="1588"/>
        <w:gridCol w:w="1188"/>
        <w:gridCol w:w="4902"/>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序号</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2"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名称</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防渗级别</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防渗要求</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1588" w:type="dxa"/>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粪污管道及周边粪水收集沟</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粪污输送全部采用管道输送，管道材料应视输送介质的</w:t>
            </w:r>
          </w:p>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101"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不同选择合适材质并做表面的防腐、防锈蚀处理，减轻 管道腐蚀造成的渗漏，并进行定期检查，防止跑冒漏滴 的现象发生。</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1588" w:type="dxa"/>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污水处理设施</w:t>
            </w:r>
            <w:r>
              <w:rPr>
                <w:rFonts w:hint="eastAsia" w:ascii="Times New Roman" w:hAnsi="Times New Roman" w:eastAsia="宋体" w:cs="Times New Roman"/>
                <w:color w:val="auto"/>
                <w:kern w:val="2"/>
                <w:sz w:val="21"/>
                <w:szCs w:val="21"/>
                <w:highlight w:val="none"/>
                <w:lang w:val="en-US" w:eastAsia="zh-CN" w:bidi="ar-SA"/>
              </w:rPr>
              <w:t>（含集污池）、粪便脱水间、</w:t>
            </w:r>
            <w:r>
              <w:rPr>
                <w:rFonts w:hint="eastAsia" w:ascii="Times New Roman" w:hAnsi="Times New Roman" w:cs="Times New Roman"/>
                <w:color w:val="auto"/>
                <w:highlight w:val="none"/>
                <w:lang w:eastAsia="zh-CN"/>
              </w:rPr>
              <w:t>尾水暂存池、</w:t>
            </w:r>
            <w:r>
              <w:rPr>
                <w:rFonts w:hint="eastAsia" w:ascii="Times New Roman" w:hAnsi="Times New Roman" w:eastAsia="宋体" w:cs="Times New Roman"/>
                <w:color w:val="auto"/>
                <w:kern w:val="2"/>
                <w:sz w:val="21"/>
                <w:szCs w:val="21"/>
                <w:highlight w:val="none"/>
                <w:lang w:val="en-US" w:eastAsia="zh-CN" w:bidi="ar-SA"/>
              </w:rPr>
              <w:t>事故应急池、隔油池</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池体、地面采用钢筋混凝土加防渗剂的防渗地坪+人工</w:t>
            </w:r>
          </w:p>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材料（HDPE）防渗层，确保等效黏土防渗层Mb≥6.0m，K≤1×10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1588" w:type="dxa"/>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13"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干粪棚</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地面采用钢筋混凝土加防渗剂的防渗地坪+人工材料</w:t>
            </w:r>
          </w:p>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98"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（HDPE）防渗层，确保等效黏土防渗层Mb≥6.0m， K≤1×10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2"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危险废物暂存间</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混凝土地面加铺防渗剂和人工材料（HDPE）防渗层，</w:t>
            </w:r>
          </w:p>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确保K≤1×10</w:t>
            </w:r>
            <w:r>
              <w:rPr>
                <w:rFonts w:hint="default" w:ascii="Times New Roman" w:hAnsi="Times New Roman" w:eastAsia="宋体" w:cs="Times New Roman"/>
                <w:color w:val="auto"/>
                <w:kern w:val="2"/>
                <w:sz w:val="21"/>
                <w:szCs w:val="21"/>
                <w:highlight w:val="none"/>
                <w:vertAlign w:val="superscript"/>
                <w:lang w:val="en-US" w:eastAsia="zh-CN" w:bidi="ar-SA"/>
              </w:rPr>
              <w:t>-10</w:t>
            </w:r>
            <w:r>
              <w:rPr>
                <w:rFonts w:hint="default" w:ascii="Times New Roman" w:hAnsi="Times New Roman" w:eastAsia="宋体" w:cs="Times New Roman"/>
                <w:color w:val="auto"/>
                <w:kern w:val="2"/>
                <w:sz w:val="21"/>
                <w:szCs w:val="21"/>
                <w:highlight w:val="none"/>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11"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发电机房及储油间及机修车间</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柴油储存于发电机房油缸间的液压油缸内，油缸为防渗油缸，地面采用钢筋混凝土+人工材料（HDPE）防渗层， 确保等效黏土防渗层Mb≥6.0m，K≤1×10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兽医室</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重点防渗区</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混凝土地面加铺防渗剂和人工材料（HDPE）防渗层，</w:t>
            </w:r>
          </w:p>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确保等效黏土防渗层Mb≥6.0m，K≤1×10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2"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牛舍</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一般防渗区</w:t>
            </w:r>
          </w:p>
        </w:tc>
        <w:tc>
          <w:tcPr>
            <w:tcW w:w="2951" w:type="pct"/>
            <w:vMerge w:val="restar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101" w:rightChars="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地面采取钢筋混凝土并涂覆防渗涂料，可使一般防渗区域的等效黏土防渗层Mb≥1.5m，K≤1×10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生活垃圾暂存间</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一般防渗区</w:t>
            </w:r>
          </w:p>
        </w:tc>
        <w:tc>
          <w:tcPr>
            <w:tcW w:w="2951" w:type="pct"/>
            <w:vMerge w:val="continue"/>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7"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w:t>
            </w:r>
          </w:p>
        </w:tc>
        <w:tc>
          <w:tcPr>
            <w:tcW w:w="1588" w:type="dxa"/>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预处理池</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一般防渗区</w:t>
            </w:r>
          </w:p>
        </w:tc>
        <w:tc>
          <w:tcPr>
            <w:tcW w:w="2951" w:type="pct"/>
            <w:vMerge w:val="continue"/>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7"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饲料库</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一般防渗区</w:t>
            </w:r>
          </w:p>
        </w:tc>
        <w:tc>
          <w:tcPr>
            <w:tcW w:w="2951" w:type="pct"/>
            <w:vMerge w:val="continue"/>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7"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37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11</w:t>
            </w:r>
          </w:p>
        </w:tc>
        <w:tc>
          <w:tcPr>
            <w:tcW w:w="95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办公区、食堂地面、门卫室以及站内道路路</w:t>
            </w:r>
          </w:p>
        </w:tc>
        <w:tc>
          <w:tcPr>
            <w:tcW w:w="715"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简单防渗</w:t>
            </w:r>
          </w:p>
        </w:tc>
        <w:tc>
          <w:tcPr>
            <w:tcW w:w="295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07"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一般地面硬化</w:t>
            </w:r>
          </w:p>
        </w:tc>
      </w:tr>
    </w:tbl>
    <w:p>
      <w:pPr>
        <w:tabs>
          <w:tab w:val="left" w:pos="1220"/>
        </w:tabs>
        <w:ind w:firstLine="475" w:firstLineChars="198"/>
        <w:rPr>
          <w:rFonts w:hint="default" w:ascii="Times New Roman" w:hAnsi="Times New Roman" w:eastAsia="宋体" w:cs="Times New Roman"/>
          <w:color w:val="auto"/>
          <w:highlight w:val="none"/>
        </w:rPr>
      </w:pPr>
      <w:r>
        <w:rPr>
          <w:rStyle w:val="2506"/>
          <w:rFonts w:hint="default" w:ascii="Times New Roman" w:hAnsi="Times New Roman"/>
          <w:color w:val="auto"/>
          <w:highlight w:val="none"/>
        </w:rPr>
        <w:t>采取上述措施后，可有效防止地下水污染，不会对区域地下水造成明显影响。项目地下水污染防治措施有效，经济技术可行。</w:t>
      </w:r>
    </w:p>
    <w:p>
      <w:pPr>
        <w:pStyle w:val="8"/>
        <w:spacing w:before="0" w:after="0" w:line="360" w:lineRule="auto"/>
        <w:ind w:left="0" w:firstLine="0"/>
        <w:rPr>
          <w:rFonts w:hint="default" w:cs="Times New Roman"/>
          <w:color w:val="auto"/>
          <w:highlight w:val="none"/>
          <w:lang w:val="en-US" w:eastAsia="zh-CN"/>
        </w:rPr>
      </w:pPr>
      <w:bookmarkStart w:id="284" w:name="_Toc30560"/>
      <w:r>
        <w:rPr>
          <w:rFonts w:hint="default" w:cs="Times New Roman"/>
          <w:color w:val="auto"/>
          <w:highlight w:val="none"/>
          <w:lang w:val="en-US" w:eastAsia="zh-CN"/>
        </w:rPr>
        <w:t>废气治理措施论证</w:t>
      </w:r>
      <w:bookmarkEnd w:id="284"/>
    </w:p>
    <w:p>
      <w:pPr>
        <w:pStyle w:val="9"/>
        <w:rPr>
          <w:rFonts w:hint="eastAsia" w:cs="Times New Roman"/>
          <w:color w:val="auto"/>
          <w:highlight w:val="none"/>
          <w:lang w:val="en-US" w:eastAsia="zh-CN"/>
        </w:rPr>
      </w:pPr>
      <w:r>
        <w:rPr>
          <w:rFonts w:hint="eastAsia" w:cs="Times New Roman"/>
          <w:color w:val="auto"/>
          <w:highlight w:val="none"/>
          <w:lang w:val="en-US" w:eastAsia="zh-CN"/>
        </w:rPr>
        <w:t>恶臭治理措施分析论证</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1、恶臭污染防治措施技术可行性</w:t>
      </w:r>
    </w:p>
    <w:p>
      <w:pPr>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eastAsia="zh-CN"/>
        </w:rPr>
        <w:t>（</w:t>
      </w:r>
      <w:r>
        <w:rPr>
          <w:rFonts w:hint="eastAsia" w:ascii="Times New Roman" w:hAnsi="Times New Roman" w:eastAsia="宋体" w:cs="Times New Roman"/>
          <w:b/>
          <w:bCs/>
          <w:color w:val="auto"/>
          <w:sz w:val="24"/>
          <w:szCs w:val="24"/>
          <w:highlight w:val="none"/>
          <w:lang w:val="en-US" w:eastAsia="zh-CN"/>
        </w:rPr>
        <w:t>1）牛舍恶臭</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畜禽养殖业污染治理工程技术规范》（HJ497-2009）及《畜禽养殖业污染技术规范》（HJ/T81-2001）中相关要求，并结合项目实际情况，以集中收集处理为主，辅以预防及管理措施。本项目牛舍恶臭治理措施如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科学设计日粮，提高饲料利用率，合理使用饲料添加剂。项目采用全混日粮饲喂（TMR）新工艺喂养，饲料营养均衡，提高饲料的消化率，牛采食饲料后，饲料在消化道消化过程中，因微生物腐败分解而产生臭气；同时，没有消化吸收部分在体外被微生物降解，也产生恶臭。产生的粪污越多，臭气就越多。提高日粮的消化率，减少干物质（特别是蛋白质）排出量，既减少肠道臭气的产生，又可减少粪便排出后臭气的产生，这是减少恶臭污染物来源的有效措施。试验证明，日粮消化率由85%提高至90%，粪便干物质排出量就减少三分之一；日粮蛋白质减少2%，粪便排泄量就降低20%。项目拟在日粮中添加活性碳、沙皂素等除臭剂，并调控饲粮（添加合成的氨基酸、增加饲料中非淀粉多糖含量等），以上措施可从源头降低恶臭排污量，有效降低牛舍内气味。</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②加强圈舍管理。项目采用干清粪工艺，及时清除粪便，每日刮除粪便2次，做到粪污日产日清，保持牛舍环境卫生，粪便的清除是非常有效的污染物减排措施，一般认为刮板能减少80%。</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③对牛舍周边定期喷洒生物除臭剂进行除臭，以减少恶臭污染物的排放量，恶臭气体的产生可以得到有效控制。</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④加强牛舍消毒措施，配备消毒设备，定期喷洒消毒液，牛舍安装排气扇，加强牛舍空气流通，降低臭气浓度。</w:t>
      </w:r>
    </w:p>
    <w:p>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rPr>
        <w:t>⑤合理种植绿化隔离带。种植夹竹桃、冬青、速生杨等除臭绿化带，通过光合作用吸收部分二氧化碳，并吸收部分空气中的有毒有害气体，达到净化空气的目的。绿化植物具有一定吸收恶臭气体的能力，减轻恶臭异味的作用。此外，场内还应尽可能多种花草。各季的花卉香味可以降低或减轻恶臭味在空气中的浓度，达到防护的目的。据调查，有害气体经过绿化地区后，至少有25%被吸收，恶臭可减少50%。在养殖场内及其周围种植高大树木及林带，还能净化、澄清大气中的粉尘（35%~67%）；与此同时，也减少了空气中的微生物，细菌总数可减少22%~79%，甚至某些树木的花、叶能分泌杀菌物质，可杀死细菌、真菌等</w:t>
      </w:r>
      <w:r>
        <w:rPr>
          <w:rFonts w:hint="eastAsia"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eastAsia="zh-CN"/>
        </w:rPr>
        <w:t>（</w:t>
      </w:r>
      <w:r>
        <w:rPr>
          <w:rFonts w:hint="eastAsia" w:ascii="Times New Roman" w:hAnsi="Times New Roman" w:eastAsia="宋体" w:cs="Times New Roman"/>
          <w:b/>
          <w:bCs/>
          <w:color w:val="auto"/>
          <w:sz w:val="24"/>
          <w:szCs w:val="24"/>
          <w:highlight w:val="none"/>
          <w:lang w:val="en-US" w:eastAsia="zh-CN"/>
        </w:rPr>
        <w:t>2）污水处理站恶臭</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①污水处理装置选取合适设备，并进行密闭，不能完全密闭的污水处理池，如集污池等，尽量利用污水处理站周边原有植被与养殖场其他区域进行隔离；确保安装的污水收集和处理系统正常运转。</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②污水处理系统设置于项目场地地势较低处，废水利用地势高差自流进入集污池，然后进入污水处理系统进行处理，减少废水在圈舍及集污池的停留时间，进而减少恶臭产生。</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③在产生臭气污染源处投放吸附剂（沸石、锯末、膨润土、蛭石），除臭剂等减少恶臭污染。定期进行杀虫灭蝇工作，防止蚊蝇孳生及其带来的疾病，维持污水处理站周边卫生环境。</w:t>
      </w:r>
    </w:p>
    <w:p>
      <w:pPr>
        <w:pStyle w:val="9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④加强污水处理系统周边的绿化，既可美化环境，又可净化空气。绿色植物进行光合作用，能吸收二氧化碳，放出氧，同时植物可以吸收空气中的氨和微粒，减少空气中国氨的含量和微粒。</w:t>
      </w:r>
    </w:p>
    <w:p>
      <w:pPr>
        <w:pStyle w:val="9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⑤</w:t>
      </w:r>
      <w:r>
        <w:rPr>
          <w:rFonts w:hint="default" w:ascii="Times New Roman" w:hAnsi="Times New Roman" w:eastAsia="宋体" w:cs="Times New Roman"/>
          <w:color w:val="auto"/>
          <w:kern w:val="2"/>
          <w:sz w:val="24"/>
          <w:szCs w:val="24"/>
          <w:highlight w:val="none"/>
          <w:lang w:val="en-US" w:eastAsia="zh-CN" w:bidi="ar-SA"/>
        </w:rPr>
        <w:t>对污水处理设施恶臭产生较大的部位：预处理阶段、污泥处理区封闭，通过“碱液喷淋+生物过滤法”处理达标后通过15m高排气筒</w:t>
      </w:r>
      <w:r>
        <w:rPr>
          <w:rFonts w:hint="eastAsia" w:ascii="Times New Roman" w:hAnsi="Times New Roman" w:eastAsia="宋体" w:cs="Times New Roman"/>
          <w:color w:val="auto"/>
          <w:kern w:val="2"/>
          <w:sz w:val="24"/>
          <w:szCs w:val="24"/>
          <w:highlight w:val="none"/>
          <w:lang w:val="en-US" w:eastAsia="zh-CN" w:bidi="ar-SA"/>
        </w:rPr>
        <w:t>（DA002）</w:t>
      </w:r>
      <w:r>
        <w:rPr>
          <w:rFonts w:hint="default" w:ascii="Times New Roman" w:hAnsi="Times New Roman" w:eastAsia="宋体" w:cs="Times New Roman"/>
          <w:color w:val="auto"/>
          <w:kern w:val="2"/>
          <w:sz w:val="24"/>
          <w:szCs w:val="24"/>
          <w:highlight w:val="none"/>
          <w:lang w:val="en-US" w:eastAsia="zh-CN" w:bidi="ar-SA"/>
        </w:rPr>
        <w:t>排放。收集效率95%，处理效率不低于90%。</w:t>
      </w:r>
      <w:r>
        <w:rPr>
          <w:rFonts w:hint="eastAsia" w:ascii="Times New Roman" w:hAnsi="Times New Roman" w:eastAsia="宋体" w:cs="Times New Roman"/>
          <w:color w:val="auto"/>
          <w:kern w:val="2"/>
          <w:sz w:val="24"/>
          <w:szCs w:val="24"/>
          <w:highlight w:val="none"/>
          <w:lang w:val="en-US" w:eastAsia="zh-CN" w:bidi="ar-SA"/>
        </w:rPr>
        <w:t>同时在</w:t>
      </w:r>
      <w:r>
        <w:rPr>
          <w:rFonts w:hint="default" w:ascii="Times New Roman" w:hAnsi="Times New Roman" w:eastAsia="宋体" w:cs="Times New Roman"/>
          <w:color w:val="auto"/>
          <w:kern w:val="2"/>
          <w:sz w:val="24"/>
          <w:szCs w:val="24"/>
          <w:highlight w:val="none"/>
          <w:lang w:val="en-US" w:eastAsia="zh-CN" w:bidi="ar-SA"/>
        </w:rPr>
        <w:t>在设施周边或固液分离区喷洒除臭剂</w:t>
      </w:r>
      <w:r>
        <w:rPr>
          <w:rFonts w:hint="eastAsia" w:ascii="Times New Roman" w:hAnsi="Times New Roman" w:eastAsia="宋体" w:cs="Times New Roman"/>
          <w:color w:val="auto"/>
          <w:kern w:val="2"/>
          <w:sz w:val="24"/>
          <w:szCs w:val="24"/>
          <w:highlight w:val="none"/>
          <w:lang w:val="en-US" w:eastAsia="zh-CN" w:bidi="ar-SA"/>
        </w:rPr>
        <w:t>。</w:t>
      </w:r>
    </w:p>
    <w:p>
      <w:pPr>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本项目恶臭收集后采用“碱液喷淋+生物滤池”处理。其原理如下所示：</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碱液喷淋法原理：</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喷淋洗涤塔是一种效率高、压力损失较低的吸收设备，该净化装置由净化液贮槽、自动加药泵和主体部分组成。其工作原理为，在主体部分中装有填料，废气通过引风机作用在管箱中上升，采用的吸收液从喷淋装置分配到填料上形成薄膜层，产生较大的气液接触面。废气中污染物在填料表面被传质、吸收，随着填料层逐级下降，最后进入气液分离箱，未吸收气体进入下一级，液体由管道排入净化液贮槽，贮槽中采用pH值显示控制自动加药泵配置吸收液，吸收液可循环使用，定期排放的废水进入污水处理系统。喷淋洗涤塔具有耐腐蚀性能优异、传质性能良好、不易结垢和安装维护简便等特点，且价格适中，经济可行。主要运行参数：材质：玻璃钢净化塔，每套净化塔系统配套风机、水泵各一台，风机采用耐腐蚀离心风机，水泵采用耐腐蚀液下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生物滤池法原理：</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生物滤池除臭设施法除臭工艺是一种安全可靠的处理方法，除臭效率大于80%。其原理是将工序中所产生的臭气经收集系统收集后集中送至生物滤池除臭设施除臭装置处理，臭气通过湿润、多孔和充满活性微生物的滤层，利用微生物细胞对恶臭物质的吸附、吸收和降解功能，微生物的细胞个体小、表面积大、吸附性强、代谢类型多样的特点，将恶臭物质吸附后分解成C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、H</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O、H</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SO</w:t>
      </w:r>
      <w:r>
        <w:rPr>
          <w:rFonts w:hint="default" w:ascii="Times New Roman" w:hAnsi="Times New Roman" w:eastAsia="宋体" w:cs="Times New Roman"/>
          <w:color w:val="auto"/>
          <w:kern w:val="2"/>
          <w:sz w:val="24"/>
          <w:szCs w:val="24"/>
          <w:highlight w:val="none"/>
          <w:vertAlign w:val="subscript"/>
          <w:lang w:val="en-US" w:eastAsia="zh-CN" w:bidi="ar-SA"/>
        </w:rPr>
        <w:t>4</w:t>
      </w:r>
      <w:r>
        <w:rPr>
          <w:rFonts w:hint="default" w:ascii="Times New Roman" w:hAnsi="Times New Roman" w:eastAsia="宋体" w:cs="Times New Roman"/>
          <w:color w:val="auto"/>
          <w:kern w:val="2"/>
          <w:sz w:val="24"/>
          <w:szCs w:val="24"/>
          <w:highlight w:val="none"/>
          <w:lang w:val="en-US" w:eastAsia="zh-CN" w:bidi="ar-SA"/>
        </w:rPr>
        <w:t>、HNO</w:t>
      </w:r>
      <w:r>
        <w:rPr>
          <w:rFonts w:hint="default" w:ascii="Times New Roman" w:hAnsi="Times New Roman" w:eastAsia="宋体" w:cs="Times New Roman"/>
          <w:color w:val="auto"/>
          <w:kern w:val="2"/>
          <w:sz w:val="24"/>
          <w:szCs w:val="24"/>
          <w:highlight w:val="none"/>
          <w:vertAlign w:val="sub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等简单无机物。</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致臭物质＋O</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→细胞物质＋CO 2＋H 2 O等</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生物除臭过程主要以三个步骤进行：（1）水溶渗透；（2）生物吸收；（3）生物氧化。</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水溶渗透过程是生物除臭的第一步。滤料表面覆盖有水层，臭气中的化学物质与滤料接触后在表层溶解，并从气相转化为水相，以利于滤料中的细菌作进一步的吸收和分解。另外，滤料的多孔性使其具有超大的比表面积，使气、水两相有更大的接触面积，有效增大了气相化学物质在水相中的传送扩散速率（经实验测试所得，其产生的瞬时效应是化学清洗的好几百倍）。所以，水溶渗透过程其实是一物理作用过程，高速的传送扩散意味着滤料可迅速将臭气的浓度降至极低的水平。</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第二步是水溶液中的恶臭成分被微生物吸附、吸收，恶臭成分从水中转移至微生物体内；</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第三步是通过生物氧化来降解污染物的过程。滤料中的专性细菌（根据臭源的类型筛选而得到的处理菌种）将以污染物为食，把污染物转化为自身的营养物质，使碳、氢、氧、氮、硫等元素从化合物的形式转化为游离态，进入微生物的自身循环过程，从而达到降解的目的。与此同时，专性细菌等微生物又可实现自身的繁殖过程。当作为食物的污染化合物与专性细菌的营养需要达到平衡，而水分、温度、酸碱程度等条件均符合微生物所需时，专性细菌的代谢繁殖将会达到一稳定的平衡，而最终的产物是无污染的二氧化碳、水和盐。从而使污染物得以去除。</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★生物菌种</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用于臭气处理的微生物为生物滤池除臭设施除臭系统的核心部分，微生物的质量直接决定了除臭效果。常用于除臭工程的菌种种类有：硫化细菌、氨氧化细菌、芽孢菌、假单胞菌等20余种。</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★生物填料</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生物滤池除臭设施除臭装置填料采用以天然植物骸体或火山岩为主的多种级配的有机和无机混合填料，其通透性和结构稳定性良好，具有吸附污染物和微生物生长的最佳环境，有运行费用低，维护简单等优势。选用的生物填料适宜于处理5℃～40℃的废气。</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混合填料不易腐烂，具有良好的保湿性和透气性，载体表面为亲水性。为了优化填料性能，在填料中添加少部分无机混合物，这些物质可以提高填料的通透性、吸水性，并起到防止板结、均衡营养、缓冲酸性防止酸化等作用。微生物适宜的环境pH值为6～8，但微生物在分解致臭物质时会产生酸性物质，运行时间一长，往往会导致滤池pH值下降，出现酸化现象影响微生物的生长，降低除臭效果。针对此情况，需对填料采用特别措施，使填料具有自动调节pH值的能力，可保证pH值为长期保持在6～8。</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由于填料本身存在大量的可供利用的碳源、木质素、纤维素等，运行过程中无需添加营养液，运行的浓度负荷范围较宽，相对较容易维护。尤其是长时间停机后，生物滤池除臭设施无需特殊的操作，再启动到正常运行所需的时间较短。</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在生物滤池除臭设施启用前，该填料需要用含有专用微生物的溶液进行处理。在运行过程中无需添加任何营养液。</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生物滤池除臭设施将致臭污染物降解成二氧化碳和水，不产生二次污染。</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根据国内外案例可知，该方法对H</w:t>
      </w:r>
      <w:r>
        <w:rPr>
          <w:rFonts w:hint="default" w:ascii="Times New Roman" w:hAnsi="Times New Roman" w:eastAsia="宋体" w:cs="Times New Roman"/>
          <w:color w:val="auto"/>
          <w:kern w:val="2"/>
          <w:sz w:val="24"/>
          <w:szCs w:val="24"/>
          <w:highlight w:val="none"/>
          <w:vertAlign w:val="sub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S、NH</w:t>
      </w:r>
      <w:r>
        <w:rPr>
          <w:rFonts w:hint="default" w:ascii="Times New Roman" w:hAnsi="Times New Roman" w:eastAsia="宋体" w:cs="Times New Roman"/>
          <w:color w:val="auto"/>
          <w:kern w:val="2"/>
          <w:sz w:val="24"/>
          <w:szCs w:val="24"/>
          <w:highlight w:val="none"/>
          <w:vertAlign w:val="sub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处理效率能够达到95%以上。处理后恶臭气体可满足相应的排放标准，通过15米高排气筒排放</w:t>
      </w:r>
      <w:r>
        <w:rPr>
          <w:rFonts w:hint="eastAsia" w:ascii="Times New Roman" w:hAnsi="Times New Roman" w:eastAsia="宋体" w:cs="Times New Roman"/>
          <w:color w:val="auto"/>
          <w:kern w:val="2"/>
          <w:sz w:val="24"/>
          <w:szCs w:val="24"/>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eastAsia="zh-CN"/>
        </w:rPr>
        <w:t>（</w:t>
      </w:r>
      <w:r>
        <w:rPr>
          <w:rFonts w:hint="eastAsia" w:ascii="Times New Roman" w:hAnsi="Times New Roman" w:eastAsia="宋体" w:cs="Times New Roman"/>
          <w:b/>
          <w:bCs/>
          <w:color w:val="auto"/>
          <w:sz w:val="24"/>
          <w:szCs w:val="24"/>
          <w:highlight w:val="none"/>
          <w:lang w:val="en-US" w:eastAsia="zh-CN"/>
        </w:rPr>
        <w:t>3）干粪棚恶臭</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项目采用干清粪工艺收集牛粪后暂存于干粪棚，并及时运输至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eastAsia" w:ascii="Times New Roman" w:hAnsi="Times New Roman" w:eastAsia="宋体" w:cs="Times New Roman"/>
          <w:color w:val="auto"/>
          <w:kern w:val="2"/>
          <w:sz w:val="24"/>
          <w:szCs w:val="24"/>
          <w:highlight w:val="none"/>
          <w:lang w:val="en-US" w:eastAsia="zh-CN" w:bidi="ar-SA"/>
        </w:rPr>
        <w:t>用作生产有机肥原料，粪便在干粪棚暂存过程中将产生恶臭气体，本项目干粪棚恶臭治理拟采取以下防治措施：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①干粪棚设置为封闭区域，投洒除臭剂除臭，以减少恶臭无组织排放。</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②产生的干粪及时清理，日产日清，保持干粪棚的清洁和干燥，注意棚内防潮。</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③加强干粪棚消毒措施，需配备地面消毒设备。</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④夏季在干粪棚内投放吸附剂（沸石、锯末、膨润土、蛭石），除臭剂等减少恶臭污染。</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⑤对不能及时清运的干粪，投洒除臭剂、EM 菌液抑制恶臭的产生。</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⑥加强干粪棚周边的绿化措施，选择抗污能力强，净化空气好的植物，利用绿色植物吸收恶臭等物质，减轻臭气的影响。</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（4）</w:t>
      </w:r>
      <w:r>
        <w:rPr>
          <w:rFonts w:hint="default" w:ascii="Times New Roman" w:hAnsi="Times New Roman" w:eastAsia="宋体" w:cs="Times New Roman"/>
          <w:b/>
          <w:bCs/>
          <w:color w:val="auto"/>
          <w:kern w:val="2"/>
          <w:sz w:val="24"/>
          <w:szCs w:val="24"/>
          <w:highlight w:val="none"/>
          <w:lang w:val="en-US" w:eastAsia="zh-CN" w:bidi="ar-SA"/>
        </w:rPr>
        <w:t>病死</w:t>
      </w:r>
      <w:r>
        <w:rPr>
          <w:rFonts w:hint="eastAsia" w:ascii="Times New Roman" w:hAnsi="Times New Roman" w:eastAsia="宋体" w:cs="Times New Roman"/>
          <w:b/>
          <w:bCs/>
          <w:color w:val="auto"/>
          <w:kern w:val="2"/>
          <w:sz w:val="24"/>
          <w:szCs w:val="24"/>
          <w:highlight w:val="none"/>
          <w:lang w:val="en-US" w:eastAsia="zh-CN" w:bidi="ar-SA"/>
        </w:rPr>
        <w:t>牛</w:t>
      </w:r>
      <w:r>
        <w:rPr>
          <w:rFonts w:hint="default" w:ascii="Times New Roman" w:hAnsi="Times New Roman" w:eastAsia="宋体" w:cs="Times New Roman"/>
          <w:b/>
          <w:bCs/>
          <w:color w:val="auto"/>
          <w:kern w:val="2"/>
          <w:sz w:val="24"/>
          <w:szCs w:val="24"/>
          <w:highlight w:val="none"/>
          <w:lang w:val="en-US" w:eastAsia="zh-CN" w:bidi="ar-SA"/>
        </w:rPr>
        <w:t>处理车间废气</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color w:val="auto"/>
          <w:highlight w:val="none"/>
        </w:rPr>
      </w:pPr>
      <w:r>
        <w:rPr>
          <w:rFonts w:hint="default" w:ascii="Times New Roman" w:hAnsi="Times New Roman" w:eastAsia="宋体" w:cs="Times New Roman"/>
          <w:color w:val="auto"/>
          <w:kern w:val="2"/>
          <w:sz w:val="24"/>
          <w:szCs w:val="24"/>
          <w:highlight w:val="none"/>
          <w:lang w:val="en-US" w:eastAsia="zh-CN" w:bidi="ar-SA"/>
        </w:rPr>
        <w:t>本项目无害化降解处理机处理病死</w:t>
      </w:r>
      <w:r>
        <w:rPr>
          <w:rFonts w:hint="eastAsia" w:ascii="Times New Roman" w:hAnsi="Times New Roman" w:eastAsia="宋体" w:cs="Times New Roman"/>
          <w:color w:val="auto"/>
          <w:kern w:val="2"/>
          <w:sz w:val="24"/>
          <w:szCs w:val="24"/>
          <w:highlight w:val="none"/>
          <w:lang w:val="en-US" w:eastAsia="zh-CN" w:bidi="ar-SA"/>
        </w:rPr>
        <w:t>牛</w:t>
      </w:r>
      <w:r>
        <w:rPr>
          <w:rFonts w:hint="default" w:ascii="Times New Roman" w:hAnsi="Times New Roman" w:eastAsia="宋体" w:cs="Times New Roman"/>
          <w:color w:val="auto"/>
          <w:kern w:val="2"/>
          <w:sz w:val="24"/>
          <w:szCs w:val="24"/>
          <w:highlight w:val="none"/>
          <w:lang w:val="en-US" w:eastAsia="zh-CN" w:bidi="ar-SA"/>
        </w:rPr>
        <w:t>时，该处理机会产生废气（主要为恶臭气体），该废气经自带净化装置处理后外排</w:t>
      </w:r>
      <w:r>
        <w:rPr>
          <w:rFonts w:hint="eastAsia" w:ascii="Times New Roman" w:hAnsi="Times New Roman" w:eastAsia="宋体" w:cs="Times New Roman"/>
          <w:color w:val="auto"/>
          <w:kern w:val="2"/>
          <w:sz w:val="24"/>
          <w:szCs w:val="24"/>
          <w:highlight w:val="none"/>
          <w:lang w:val="en-US" w:eastAsia="zh-CN" w:bidi="ar-SA"/>
        </w:rPr>
        <w:t>（无组织，排气筒高度为8m）</w:t>
      </w:r>
      <w:r>
        <w:rPr>
          <w:rFonts w:hint="default" w:ascii="Times New Roman" w:hAnsi="Times New Roman" w:eastAsia="宋体" w:cs="Times New Roman"/>
          <w:color w:val="auto"/>
          <w:kern w:val="2"/>
          <w:sz w:val="24"/>
          <w:szCs w:val="24"/>
          <w:highlight w:val="none"/>
          <w:lang w:val="en-US" w:eastAsia="zh-CN" w:bidi="ar-SA"/>
        </w:rPr>
        <w:t>，同时无害化降解处理机几乎密闭环境下，完成破碎、加热、搅拌、发酵和烘干工序。根据中国广州分析测试中心对该专利产品废气排放口及其下风向5m监测报告数据可知，该专利产品无组织排放的废气在下风向5m就能够达标排放</w:t>
      </w:r>
    </w:p>
    <w:p>
      <w:pPr>
        <w:pStyle w:val="2504"/>
        <w:numPr>
          <w:ilvl w:val="0"/>
          <w:numId w:val="45"/>
        </w:numPr>
        <w:spacing w:before="120"/>
        <w:ind w:left="425" w:leftChars="0" w:hanging="425"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   工程废气污染防治措施一览表</w:t>
      </w:r>
    </w:p>
    <w:tbl>
      <w:tblPr>
        <w:tblStyle w:val="91"/>
        <w:tblW w:w="4998" w:type="pct"/>
        <w:tblInd w:w="0" w:type="dxa"/>
        <w:tblLayout w:type="autofit"/>
        <w:tblCellMar>
          <w:top w:w="0" w:type="dxa"/>
          <w:left w:w="0" w:type="dxa"/>
          <w:bottom w:w="0" w:type="dxa"/>
          <w:right w:w="0" w:type="dxa"/>
        </w:tblCellMar>
      </w:tblPr>
      <w:tblGrid>
        <w:gridCol w:w="1123"/>
        <w:gridCol w:w="1791"/>
        <w:gridCol w:w="2972"/>
        <w:gridCol w:w="2417"/>
      </w:tblGrid>
      <w:tr>
        <w:tblPrEx>
          <w:tblCellMar>
            <w:top w:w="0" w:type="dxa"/>
            <w:left w:w="0" w:type="dxa"/>
            <w:bottom w:w="0" w:type="dxa"/>
            <w:right w:w="0" w:type="dxa"/>
          </w:tblCellMar>
        </w:tblPrEx>
        <w:tc>
          <w:tcPr>
            <w:tcW w:w="676" w:type="pct"/>
            <w:tcBorders>
              <w:top w:val="single" w:color="auto" w:sz="12"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b/>
                <w:color w:val="auto"/>
                <w:sz w:val="21"/>
                <w:szCs w:val="21"/>
                <w:highlight w:val="none"/>
              </w:rPr>
            </w:pPr>
            <w:r>
              <w:rPr>
                <w:rFonts w:hint="eastAsia"/>
                <w:b/>
                <w:color w:val="auto"/>
                <w:sz w:val="21"/>
                <w:szCs w:val="21"/>
                <w:highlight w:val="none"/>
              </w:rPr>
              <w:t>序号</w:t>
            </w:r>
          </w:p>
        </w:tc>
        <w:tc>
          <w:tcPr>
            <w:tcW w:w="1078" w:type="pct"/>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b/>
                <w:color w:val="auto"/>
                <w:sz w:val="21"/>
                <w:szCs w:val="21"/>
                <w:highlight w:val="none"/>
              </w:rPr>
            </w:pPr>
            <w:r>
              <w:rPr>
                <w:rFonts w:hint="eastAsia"/>
                <w:b/>
                <w:color w:val="auto"/>
                <w:sz w:val="21"/>
                <w:szCs w:val="21"/>
                <w:highlight w:val="none"/>
              </w:rPr>
              <w:t>排放源</w:t>
            </w:r>
          </w:p>
        </w:tc>
        <w:tc>
          <w:tcPr>
            <w:tcW w:w="1789" w:type="pct"/>
            <w:tcBorders>
              <w:top w:val="single" w:color="auto" w:sz="12"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b/>
                <w:color w:val="auto"/>
                <w:sz w:val="21"/>
                <w:szCs w:val="21"/>
                <w:highlight w:val="none"/>
              </w:rPr>
            </w:pPr>
            <w:r>
              <w:rPr>
                <w:rFonts w:hint="eastAsia"/>
                <w:b/>
                <w:color w:val="auto"/>
                <w:sz w:val="21"/>
                <w:szCs w:val="21"/>
                <w:highlight w:val="none"/>
              </w:rPr>
              <w:t>防治措施</w:t>
            </w:r>
          </w:p>
        </w:tc>
        <w:tc>
          <w:tcPr>
            <w:tcW w:w="1455" w:type="pct"/>
            <w:tcBorders>
              <w:top w:val="single" w:color="auto" w:sz="12" w:space="0"/>
              <w:left w:val="single" w:color="000000" w:sz="4" w:space="0"/>
              <w:bottom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b/>
                <w:color w:val="auto"/>
                <w:sz w:val="21"/>
                <w:szCs w:val="21"/>
                <w:highlight w:val="none"/>
              </w:rPr>
            </w:pPr>
            <w:r>
              <w:rPr>
                <w:rFonts w:hint="eastAsia"/>
                <w:b/>
                <w:color w:val="auto"/>
                <w:sz w:val="21"/>
                <w:szCs w:val="21"/>
                <w:highlight w:val="none"/>
              </w:rPr>
              <w:t>治理目标</w:t>
            </w:r>
          </w:p>
        </w:tc>
      </w:tr>
      <w:tr>
        <w:tblPrEx>
          <w:tblCellMar>
            <w:top w:w="0" w:type="dxa"/>
            <w:left w:w="0" w:type="dxa"/>
            <w:bottom w:w="0" w:type="dxa"/>
            <w:right w:w="0" w:type="dxa"/>
          </w:tblCellMar>
        </w:tblPrEx>
        <w:tc>
          <w:tcPr>
            <w:tcW w:w="676" w:type="pct"/>
            <w:tcBorders>
              <w:top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1" w:right="1"/>
              <w:jc w:val="center"/>
              <w:rPr>
                <w:rFonts w:hint="default"/>
                <w:color w:val="auto"/>
                <w:sz w:val="21"/>
                <w:szCs w:val="21"/>
                <w:highlight w:val="none"/>
              </w:rPr>
            </w:pPr>
            <w:r>
              <w:rPr>
                <w:rFonts w:hint="default"/>
                <w:color w:val="auto"/>
                <w:sz w:val="21"/>
                <w:szCs w:val="21"/>
                <w:highlight w:val="none"/>
              </w:rPr>
              <w:t>1</w:t>
            </w:r>
          </w:p>
        </w:tc>
        <w:tc>
          <w:tcPr>
            <w:tcW w:w="1078" w:type="pct"/>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eastAsia"/>
                <w:color w:val="auto"/>
                <w:sz w:val="21"/>
                <w:szCs w:val="21"/>
                <w:highlight w:val="none"/>
                <w:lang w:eastAsia="zh-CN"/>
              </w:rPr>
              <w:t>牛舍</w:t>
            </w:r>
          </w:p>
        </w:tc>
        <w:tc>
          <w:tcPr>
            <w:tcW w:w="1789" w:type="pct"/>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科学设计日粮，提高饲料利用率，合理使用饲料添加剂；②加强圈舍管理，采用干清粪工艺；③对牛舍定期喷洒除臭剂；④加强牛舍消毒措施；⑤合理种植绿化隔离带。</w:t>
            </w:r>
          </w:p>
        </w:tc>
        <w:tc>
          <w:tcPr>
            <w:tcW w:w="1455" w:type="pct"/>
            <w:vMerge w:val="restart"/>
            <w:tcBorders>
              <w:top w:val="single" w:color="000000" w:sz="4" w:space="0"/>
              <w:left w:val="single" w:color="000000" w:sz="4" w:space="0"/>
              <w:bottom w:val="single" w:color="000000" w:sz="10"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eastAsia"/>
                <w:color w:val="auto"/>
                <w:sz w:val="21"/>
                <w:szCs w:val="21"/>
                <w:highlight w:val="none"/>
              </w:rPr>
              <w:t>满足《恶臭污染物排放标准》表</w:t>
            </w:r>
            <w:r>
              <w:rPr>
                <w:rFonts w:hint="default"/>
                <w:color w:val="auto"/>
                <w:sz w:val="21"/>
                <w:szCs w:val="21"/>
                <w:highlight w:val="none"/>
              </w:rPr>
              <w:t>1</w:t>
            </w:r>
            <w:r>
              <w:rPr>
                <w:rFonts w:hint="eastAsia"/>
                <w:color w:val="auto"/>
                <w:sz w:val="21"/>
                <w:szCs w:val="21"/>
                <w:highlight w:val="none"/>
              </w:rPr>
              <w:t>中二级标准要求</w:t>
            </w:r>
          </w:p>
        </w:tc>
      </w:tr>
      <w:tr>
        <w:tblPrEx>
          <w:tblCellMar>
            <w:top w:w="0" w:type="dxa"/>
            <w:left w:w="0" w:type="dxa"/>
            <w:bottom w:w="0" w:type="dxa"/>
            <w:right w:w="0" w:type="dxa"/>
          </w:tblCellMar>
        </w:tblPrEx>
        <w:tc>
          <w:tcPr>
            <w:tcW w:w="676" w:type="pct"/>
            <w:tcBorders>
              <w:top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default"/>
                <w:color w:val="auto"/>
                <w:sz w:val="21"/>
                <w:szCs w:val="21"/>
                <w:highlight w:val="none"/>
              </w:rPr>
              <w:t>2</w:t>
            </w:r>
          </w:p>
        </w:tc>
        <w:tc>
          <w:tcPr>
            <w:tcW w:w="1078" w:type="pct"/>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eastAsia" w:eastAsia="宋体"/>
                <w:color w:val="auto"/>
                <w:sz w:val="21"/>
                <w:szCs w:val="21"/>
                <w:highlight w:val="none"/>
                <w:lang w:eastAsia="zh-CN"/>
              </w:rPr>
            </w:pPr>
            <w:r>
              <w:rPr>
                <w:rFonts w:hint="eastAsia"/>
                <w:color w:val="auto"/>
                <w:sz w:val="21"/>
                <w:szCs w:val="21"/>
                <w:highlight w:val="none"/>
                <w:lang w:eastAsia="zh-CN"/>
              </w:rPr>
              <w:t>干粪棚</w:t>
            </w:r>
          </w:p>
        </w:tc>
        <w:tc>
          <w:tcPr>
            <w:tcW w:w="1789" w:type="pct"/>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①产生的干粪日产日清，保持干粪棚的清洁和干燥；②加强消毒；③夏季在干粪棚内投放吸附剂、除臭剂；④对不能及时清运的干粪，投洒除臭剂、EM菌液；⑤加强周边绿化等。</w:t>
            </w:r>
            <w:r>
              <w:rPr>
                <w:rFonts w:hint="eastAsia" w:ascii="Times New Roman" w:hAnsi="Times New Roman" w:eastAsia="宋体" w:cs="Times New Roman"/>
                <w:color w:val="auto"/>
                <w:kern w:val="0"/>
                <w:sz w:val="21"/>
                <w:szCs w:val="21"/>
                <w:highlight w:val="none"/>
                <w:lang w:val="en-US" w:eastAsia="zh-CN" w:bidi="ar-SA"/>
              </w:rPr>
              <w:t>⑥</w:t>
            </w:r>
            <w:r>
              <w:rPr>
                <w:rFonts w:hint="default" w:ascii="Times New Roman" w:hAnsi="Times New Roman" w:eastAsia="宋体" w:cs="Times New Roman"/>
                <w:color w:val="auto"/>
                <w:sz w:val="21"/>
                <w:szCs w:val="21"/>
                <w:highlight w:val="none"/>
                <w:lang w:val="en-US" w:eastAsia="zh-CN"/>
              </w:rPr>
              <w:t>负压收集后的废气经生物滤池处理后经15m高排气筒</w:t>
            </w:r>
            <w:r>
              <w:rPr>
                <w:rFonts w:hint="default" w:ascii="Times New Roman" w:hAnsi="Times New Roman" w:eastAsia="宋体" w:cs="Times New Roman"/>
                <w:color w:val="auto"/>
                <w:sz w:val="21"/>
                <w:szCs w:val="21"/>
                <w:highlight w:val="none"/>
                <w:lang w:eastAsia="zh-CN"/>
              </w:rPr>
              <w:t>（DA00</w:t>
            </w:r>
            <w:r>
              <w:rPr>
                <w:rFonts w:hint="default" w:ascii="Times New Roman" w:hAnsi="Times New Roman" w:eastAsia="宋体" w:cs="Times New Roman"/>
                <w:color w:val="auto"/>
                <w:sz w:val="21"/>
                <w:szCs w:val="21"/>
                <w:highlight w:val="none"/>
                <w:lang w:val="en-US" w:eastAsia="zh-CN"/>
              </w:rPr>
              <w:t>1）排放</w:t>
            </w:r>
          </w:p>
        </w:tc>
        <w:tc>
          <w:tcPr>
            <w:tcW w:w="1455" w:type="pct"/>
            <w:vMerge w:val="continue"/>
            <w:tcBorders>
              <w:top w:val="single" w:color="000000" w:sz="4" w:space="0"/>
              <w:left w:val="single" w:color="000000" w:sz="4" w:space="0"/>
              <w:bottom w:val="single" w:color="000000" w:sz="10" w:space="0"/>
            </w:tcBorders>
            <w:noWrap w:val="0"/>
            <w:vAlign w:val="center"/>
          </w:tcPr>
          <w:p>
            <w:pPr>
              <w:pStyle w:val="167"/>
              <w:keepNext w:val="0"/>
              <w:keepLines w:val="0"/>
              <w:suppressLineNumbers w:val="0"/>
              <w:kinsoku w:val="0"/>
              <w:overflowPunct w:val="0"/>
              <w:spacing w:before="0" w:beforeAutospacing="0" w:after="0" w:afterAutospacing="0"/>
              <w:ind w:left="346" w:right="0"/>
              <w:jc w:val="center"/>
              <w:rPr>
                <w:rFonts w:hint="default"/>
                <w:color w:val="auto"/>
                <w:highlight w:val="none"/>
              </w:rPr>
            </w:pPr>
          </w:p>
        </w:tc>
      </w:tr>
      <w:tr>
        <w:tblPrEx>
          <w:tblCellMar>
            <w:top w:w="0" w:type="dxa"/>
            <w:left w:w="0" w:type="dxa"/>
            <w:bottom w:w="0" w:type="dxa"/>
            <w:right w:w="0" w:type="dxa"/>
          </w:tblCellMar>
        </w:tblPrEx>
        <w:tc>
          <w:tcPr>
            <w:tcW w:w="676" w:type="pct"/>
            <w:tcBorders>
              <w:top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1" w:right="1"/>
              <w:jc w:val="center"/>
              <w:rPr>
                <w:rFonts w:hint="default"/>
                <w:color w:val="auto"/>
                <w:sz w:val="21"/>
                <w:szCs w:val="21"/>
                <w:highlight w:val="none"/>
              </w:rPr>
            </w:pPr>
            <w:r>
              <w:rPr>
                <w:rFonts w:hint="default"/>
                <w:color w:val="auto"/>
                <w:sz w:val="21"/>
                <w:szCs w:val="21"/>
                <w:highlight w:val="none"/>
              </w:rPr>
              <w:t>3</w:t>
            </w:r>
          </w:p>
        </w:tc>
        <w:tc>
          <w:tcPr>
            <w:tcW w:w="1078" w:type="pct"/>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eastAsia"/>
                <w:color w:val="auto"/>
                <w:sz w:val="21"/>
                <w:szCs w:val="21"/>
                <w:highlight w:val="none"/>
              </w:rPr>
              <w:t>污水处理站</w:t>
            </w:r>
          </w:p>
        </w:tc>
        <w:tc>
          <w:tcPr>
            <w:tcW w:w="1789" w:type="pct"/>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①选用合适设备，并进行密闭；②设置于场地地势较低处，利用地势高差减少废水在圈舍及集污池的停留时间；③投放吸附剂、除臭剂，定期进行杀虫灭蝇工作；④加强污水处理系统周边的绿化</w:t>
            </w:r>
            <w:r>
              <w:rPr>
                <w:rFonts w:hint="eastAsia" w:ascii="Times New Roman" w:hAnsi="Times New Roman" w:eastAsia="宋体" w:cs="Times New Roman"/>
                <w:color w:val="auto"/>
                <w:kern w:val="0"/>
                <w:sz w:val="21"/>
                <w:szCs w:val="21"/>
                <w:highlight w:val="none"/>
                <w:lang w:val="en-US" w:eastAsia="zh-CN" w:bidi="ar-SA"/>
              </w:rPr>
              <w:t>⑤</w:t>
            </w:r>
            <w:r>
              <w:rPr>
                <w:rFonts w:hint="default" w:ascii="Times New Roman" w:hAnsi="Times New Roman" w:eastAsia="宋体" w:cs="Times New Roman"/>
                <w:color w:val="auto"/>
                <w:sz w:val="21"/>
                <w:szCs w:val="21"/>
                <w:highlight w:val="none"/>
              </w:rPr>
              <w:t>“碱液喷淋+生物过滤法”处理后经15m高排气筒</w:t>
            </w:r>
            <w:r>
              <w:rPr>
                <w:rFonts w:hint="default" w:ascii="Times New Roman" w:hAnsi="Times New Roman" w:eastAsia="宋体" w:cs="Times New Roman"/>
                <w:color w:val="auto"/>
                <w:sz w:val="21"/>
                <w:szCs w:val="21"/>
                <w:highlight w:val="none"/>
                <w:lang w:eastAsia="zh-CN"/>
              </w:rPr>
              <w:t>（DA002</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排放</w:t>
            </w:r>
          </w:p>
        </w:tc>
        <w:tc>
          <w:tcPr>
            <w:tcW w:w="1455" w:type="pct"/>
            <w:vMerge w:val="continue"/>
            <w:tcBorders>
              <w:top w:val="single" w:color="000000" w:sz="4" w:space="0"/>
              <w:left w:val="single" w:color="000000" w:sz="4" w:space="0"/>
              <w:bottom w:val="single" w:color="000000" w:sz="10" w:space="0"/>
            </w:tcBorders>
            <w:noWrap w:val="0"/>
            <w:vAlign w:val="center"/>
          </w:tcPr>
          <w:p>
            <w:pPr>
              <w:pStyle w:val="167"/>
              <w:keepNext w:val="0"/>
              <w:keepLines w:val="0"/>
              <w:suppressLineNumbers w:val="0"/>
              <w:kinsoku w:val="0"/>
              <w:overflowPunct w:val="0"/>
              <w:spacing w:before="0" w:beforeAutospacing="0" w:after="0" w:afterAutospacing="0"/>
              <w:ind w:left="661" w:right="-1"/>
              <w:jc w:val="center"/>
              <w:rPr>
                <w:rFonts w:hint="default"/>
                <w:color w:val="auto"/>
                <w:highlight w:val="none"/>
              </w:rPr>
            </w:pPr>
          </w:p>
        </w:tc>
      </w:tr>
      <w:tr>
        <w:tblPrEx>
          <w:tblCellMar>
            <w:top w:w="0" w:type="dxa"/>
            <w:left w:w="0" w:type="dxa"/>
            <w:bottom w:w="0" w:type="dxa"/>
            <w:right w:w="0" w:type="dxa"/>
          </w:tblCellMar>
        </w:tblPrEx>
        <w:tc>
          <w:tcPr>
            <w:tcW w:w="676" w:type="pct"/>
            <w:tcBorders>
              <w:top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1" w:right="1"/>
              <w:jc w:val="center"/>
              <w:rPr>
                <w:rFonts w:hint="default"/>
                <w:color w:val="auto"/>
                <w:sz w:val="21"/>
                <w:szCs w:val="21"/>
                <w:highlight w:val="none"/>
              </w:rPr>
            </w:pPr>
            <w:r>
              <w:rPr>
                <w:rFonts w:hint="default"/>
                <w:color w:val="auto"/>
                <w:sz w:val="21"/>
                <w:szCs w:val="21"/>
                <w:highlight w:val="none"/>
              </w:rPr>
              <w:t>4</w:t>
            </w:r>
          </w:p>
        </w:tc>
        <w:tc>
          <w:tcPr>
            <w:tcW w:w="1078" w:type="pct"/>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default" w:ascii="Times New Roman" w:hAnsi="Times New Roman" w:eastAsia="宋体" w:cs="Times New Roman"/>
                <w:color w:val="auto"/>
                <w:kern w:val="2"/>
                <w:sz w:val="24"/>
                <w:szCs w:val="24"/>
                <w:highlight w:val="none"/>
                <w:lang w:val="en-US" w:eastAsia="zh-CN" w:bidi="ar-SA"/>
              </w:rPr>
              <w:t>无害化降解处理机</w:t>
            </w:r>
          </w:p>
        </w:tc>
        <w:tc>
          <w:tcPr>
            <w:tcW w:w="1789" w:type="pct"/>
            <w:tcBorders>
              <w:top w:val="single" w:color="000000" w:sz="4" w:space="0"/>
              <w:left w:val="single" w:color="000000" w:sz="4" w:space="0"/>
              <w:bottom w:val="single" w:color="000000" w:sz="4"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eastAsia"/>
                <w:color w:val="auto"/>
                <w:sz w:val="21"/>
                <w:szCs w:val="21"/>
                <w:highlight w:val="none"/>
              </w:rPr>
              <w:t>该设备为密闭设备，配套的废气处理系统，车间密闭生产，周边绿化</w:t>
            </w:r>
          </w:p>
        </w:tc>
        <w:tc>
          <w:tcPr>
            <w:tcW w:w="1455" w:type="pct"/>
            <w:vMerge w:val="continue"/>
            <w:tcBorders>
              <w:top w:val="single" w:color="000000" w:sz="4" w:space="0"/>
              <w:left w:val="single" w:color="000000" w:sz="4" w:space="0"/>
              <w:bottom w:val="single" w:color="000000" w:sz="10" w:space="0"/>
            </w:tcBorders>
            <w:noWrap w:val="0"/>
            <w:vAlign w:val="center"/>
          </w:tcPr>
          <w:p>
            <w:pPr>
              <w:pStyle w:val="167"/>
              <w:keepNext w:val="0"/>
              <w:keepLines w:val="0"/>
              <w:suppressLineNumbers w:val="0"/>
              <w:kinsoku w:val="0"/>
              <w:overflowPunct w:val="0"/>
              <w:spacing w:before="0" w:beforeAutospacing="0" w:after="0" w:afterAutospacing="0"/>
              <w:ind w:left="138" w:right="136"/>
              <w:jc w:val="center"/>
              <w:rPr>
                <w:rFonts w:hint="default"/>
                <w:color w:val="auto"/>
                <w:highlight w:val="none"/>
              </w:rPr>
            </w:pPr>
          </w:p>
        </w:tc>
      </w:tr>
      <w:tr>
        <w:tblPrEx>
          <w:tblCellMar>
            <w:top w:w="0" w:type="dxa"/>
            <w:left w:w="0" w:type="dxa"/>
            <w:bottom w:w="0" w:type="dxa"/>
            <w:right w:w="0" w:type="dxa"/>
          </w:tblCellMar>
        </w:tblPrEx>
        <w:tc>
          <w:tcPr>
            <w:tcW w:w="676" w:type="pct"/>
            <w:tcBorders>
              <w:top w:val="single" w:color="000000" w:sz="4" w:space="0"/>
              <w:bottom w:val="single" w:color="auto" w:sz="12"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default"/>
                <w:color w:val="auto"/>
                <w:sz w:val="21"/>
                <w:szCs w:val="21"/>
                <w:highlight w:val="none"/>
              </w:rPr>
              <w:t>5</w:t>
            </w:r>
          </w:p>
        </w:tc>
        <w:tc>
          <w:tcPr>
            <w:tcW w:w="1078" w:type="pct"/>
            <w:tcBorders>
              <w:top w:val="single" w:color="000000" w:sz="4" w:space="0"/>
              <w:left w:val="single" w:color="000000" w:sz="4" w:space="0"/>
              <w:bottom w:val="single" w:color="auto" w:sz="12"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eastAsia"/>
                <w:color w:val="auto"/>
                <w:sz w:val="21"/>
                <w:szCs w:val="21"/>
                <w:highlight w:val="none"/>
              </w:rPr>
              <w:t>全场</w:t>
            </w:r>
          </w:p>
        </w:tc>
        <w:tc>
          <w:tcPr>
            <w:tcW w:w="1789" w:type="pct"/>
            <w:tcBorders>
              <w:top w:val="single" w:color="000000" w:sz="4" w:space="0"/>
              <w:left w:val="single" w:color="000000" w:sz="4" w:space="0"/>
              <w:bottom w:val="single" w:color="auto" w:sz="12" w:space="0"/>
              <w:right w:val="single" w:color="000000" w:sz="4"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sz w:val="21"/>
                <w:szCs w:val="21"/>
                <w:highlight w:val="none"/>
              </w:rPr>
            </w:pPr>
            <w:r>
              <w:rPr>
                <w:rFonts w:hint="eastAsia"/>
                <w:color w:val="auto"/>
                <w:sz w:val="21"/>
                <w:szCs w:val="21"/>
                <w:highlight w:val="none"/>
              </w:rPr>
              <w:t>周边绿化</w:t>
            </w:r>
          </w:p>
        </w:tc>
        <w:tc>
          <w:tcPr>
            <w:tcW w:w="1455" w:type="pct"/>
            <w:vMerge w:val="continue"/>
            <w:tcBorders>
              <w:top w:val="single" w:color="000000" w:sz="4" w:space="0"/>
              <w:left w:val="single" w:color="000000" w:sz="4" w:space="0"/>
              <w:bottom w:val="single" w:color="auto" w:sz="12" w:space="0"/>
            </w:tcBorders>
            <w:noWrap w:val="0"/>
            <w:vAlign w:val="center"/>
          </w:tcPr>
          <w:p>
            <w:pPr>
              <w:pStyle w:val="167"/>
              <w:keepNext w:val="0"/>
              <w:keepLines w:val="0"/>
              <w:suppressLineNumbers w:val="0"/>
              <w:kinsoku w:val="0"/>
              <w:overflowPunct w:val="0"/>
              <w:spacing w:before="0" w:beforeAutospacing="0" w:after="0" w:afterAutospacing="0"/>
              <w:ind w:left="0" w:right="1"/>
              <w:jc w:val="center"/>
              <w:rPr>
                <w:rFonts w:hint="default"/>
                <w:color w:val="auto"/>
                <w:highlight w:val="none"/>
              </w:rPr>
            </w:pPr>
          </w:p>
        </w:tc>
      </w:tr>
    </w:tbl>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2、恶臭污染防治措施经济可行性</w:t>
      </w:r>
    </w:p>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项目恶臭治理购置EM菌剂、除臭剂等措施，运营期运行费用估算如下：</w:t>
      </w:r>
    </w:p>
    <w:p>
      <w:pPr>
        <w:pStyle w:val="2504"/>
        <w:numPr>
          <w:ilvl w:val="0"/>
          <w:numId w:val="45"/>
        </w:numPr>
        <w:spacing w:before="120" w:line="360" w:lineRule="auto"/>
        <w:ind w:left="425" w:leftChars="0" w:hanging="425"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  恶臭气体污染防治年运行费用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2074"/>
        <w:gridCol w:w="2075"/>
        <w:gridCol w:w="3"/>
        <w:gridCol w:w="2071"/>
        <w:gridCol w:w="2080"/>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124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b/>
                <w:color w:val="auto"/>
                <w:sz w:val="21"/>
                <w:szCs w:val="21"/>
                <w:highlight w:val="none"/>
              </w:rPr>
            </w:pPr>
            <w:r>
              <w:rPr>
                <w:rFonts w:hint="eastAsia"/>
                <w:b/>
                <w:color w:val="auto"/>
                <w:sz w:val="21"/>
                <w:szCs w:val="21"/>
                <w:highlight w:val="none"/>
              </w:rPr>
              <w:t>序号</w:t>
            </w:r>
          </w:p>
        </w:tc>
        <w:tc>
          <w:tcPr>
            <w:tcW w:w="124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b/>
                <w:color w:val="auto"/>
                <w:sz w:val="21"/>
                <w:szCs w:val="21"/>
                <w:highlight w:val="none"/>
              </w:rPr>
            </w:pPr>
            <w:r>
              <w:rPr>
                <w:rFonts w:hint="eastAsia"/>
                <w:b/>
                <w:color w:val="auto"/>
                <w:sz w:val="21"/>
                <w:szCs w:val="21"/>
                <w:highlight w:val="none"/>
              </w:rPr>
              <w:t>费用名称</w:t>
            </w:r>
          </w:p>
        </w:tc>
        <w:tc>
          <w:tcPr>
            <w:tcW w:w="1249" w:type="pct"/>
            <w:gridSpan w:val="2"/>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b/>
                <w:color w:val="auto"/>
                <w:sz w:val="21"/>
                <w:szCs w:val="21"/>
                <w:highlight w:val="none"/>
              </w:rPr>
            </w:pPr>
            <w:r>
              <w:rPr>
                <w:rFonts w:hint="eastAsia"/>
                <w:b/>
                <w:color w:val="auto"/>
                <w:sz w:val="21"/>
                <w:szCs w:val="21"/>
                <w:highlight w:val="none"/>
              </w:rPr>
              <w:t>说明</w:t>
            </w:r>
          </w:p>
        </w:tc>
        <w:tc>
          <w:tcPr>
            <w:tcW w:w="1251"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b/>
                <w:color w:val="auto"/>
                <w:sz w:val="21"/>
                <w:szCs w:val="21"/>
                <w:highlight w:val="none"/>
              </w:rPr>
            </w:pPr>
            <w:r>
              <w:rPr>
                <w:rFonts w:hint="eastAsia"/>
                <w:b/>
                <w:color w:val="auto"/>
                <w:sz w:val="21"/>
                <w:szCs w:val="21"/>
                <w:highlight w:val="none"/>
              </w:rPr>
              <w:t>费用（万元）</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124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1</w:t>
            </w:r>
          </w:p>
        </w:tc>
        <w:tc>
          <w:tcPr>
            <w:tcW w:w="1249" w:type="pct"/>
            <w:noWrap w:val="0"/>
            <w:vAlign w:val="center"/>
          </w:tcPr>
          <w:p>
            <w:pPr>
              <w:pStyle w:val="167"/>
              <w:keepNext w:val="0"/>
              <w:keepLines w:val="0"/>
              <w:suppressLineNumbers w:val="0"/>
              <w:kinsoku w:val="0"/>
              <w:overflowPunct w:val="0"/>
              <w:spacing w:before="0" w:beforeAutospacing="0" w:after="0" w:afterAutospacing="0" w:line="273" w:lineRule="exact"/>
              <w:ind w:left="0" w:right="2"/>
              <w:jc w:val="center"/>
              <w:rPr>
                <w:rFonts w:hint="default"/>
                <w:color w:val="auto"/>
                <w:sz w:val="21"/>
                <w:szCs w:val="21"/>
                <w:highlight w:val="none"/>
              </w:rPr>
            </w:pPr>
            <w:r>
              <w:rPr>
                <w:rFonts w:hint="eastAsia"/>
                <w:color w:val="auto"/>
                <w:sz w:val="21"/>
                <w:szCs w:val="21"/>
                <w:highlight w:val="none"/>
              </w:rPr>
              <w:t>电费</w:t>
            </w:r>
          </w:p>
        </w:tc>
        <w:tc>
          <w:tcPr>
            <w:tcW w:w="1249" w:type="pct"/>
            <w:gridSpan w:val="2"/>
            <w:noWrap w:val="0"/>
            <w:vAlign w:val="center"/>
          </w:tcPr>
          <w:p>
            <w:pPr>
              <w:pStyle w:val="167"/>
              <w:keepNext w:val="0"/>
              <w:keepLines w:val="0"/>
              <w:suppressLineNumbers w:val="0"/>
              <w:kinsoku w:val="0"/>
              <w:overflowPunct w:val="0"/>
              <w:spacing w:before="0" w:beforeAutospacing="0" w:after="0" w:afterAutospacing="0" w:line="289" w:lineRule="exact"/>
              <w:ind w:left="0" w:right="0"/>
              <w:jc w:val="center"/>
              <w:rPr>
                <w:rFonts w:hint="default"/>
                <w:color w:val="auto"/>
                <w:sz w:val="21"/>
                <w:szCs w:val="21"/>
                <w:highlight w:val="none"/>
              </w:rPr>
            </w:pPr>
            <w:r>
              <w:rPr>
                <w:rFonts w:hint="eastAsia"/>
                <w:color w:val="auto"/>
                <w:sz w:val="21"/>
                <w:szCs w:val="21"/>
                <w:highlight w:val="none"/>
              </w:rPr>
              <w:t>污水处理站年用电量</w:t>
            </w:r>
            <w:r>
              <w:rPr>
                <w:rFonts w:hint="default"/>
                <w:color w:val="auto"/>
                <w:sz w:val="21"/>
                <w:szCs w:val="21"/>
                <w:highlight w:val="none"/>
              </w:rPr>
              <w:t>17000</w:t>
            </w:r>
            <w:r>
              <w:rPr>
                <w:rFonts w:hint="eastAsia"/>
                <w:color w:val="auto"/>
                <w:sz w:val="21"/>
                <w:szCs w:val="21"/>
                <w:highlight w:val="none"/>
              </w:rPr>
              <w:t>度</w:t>
            </w:r>
            <w:r>
              <w:rPr>
                <w:rFonts w:hint="default"/>
                <w:color w:val="auto"/>
                <w:sz w:val="21"/>
                <w:szCs w:val="21"/>
                <w:highlight w:val="none"/>
              </w:rPr>
              <w:t>/a</w:t>
            </w:r>
          </w:p>
        </w:tc>
        <w:tc>
          <w:tcPr>
            <w:tcW w:w="1251" w:type="pct"/>
            <w:noWrap w:val="0"/>
            <w:vAlign w:val="center"/>
          </w:tcPr>
          <w:p>
            <w:pPr>
              <w:pStyle w:val="167"/>
              <w:keepNext w:val="0"/>
              <w:keepLines w:val="0"/>
              <w:suppressLineNumbers w:val="0"/>
              <w:kinsoku w:val="0"/>
              <w:overflowPunct w:val="0"/>
              <w:spacing w:before="0" w:beforeAutospacing="0" w:after="0" w:afterAutospacing="0"/>
              <w:ind w:left="0" w:right="2"/>
              <w:jc w:val="center"/>
              <w:rPr>
                <w:rFonts w:hint="default"/>
                <w:color w:val="auto"/>
                <w:sz w:val="21"/>
                <w:szCs w:val="21"/>
                <w:highlight w:val="none"/>
              </w:rPr>
            </w:pPr>
            <w:r>
              <w:rPr>
                <w:rFonts w:hint="default"/>
                <w:color w:val="auto"/>
                <w:sz w:val="21"/>
                <w:szCs w:val="21"/>
                <w:highlight w:val="none"/>
              </w:rPr>
              <w:t>2.7</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124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2</w:t>
            </w:r>
          </w:p>
        </w:tc>
        <w:tc>
          <w:tcPr>
            <w:tcW w:w="1249" w:type="pct"/>
            <w:noWrap w:val="0"/>
            <w:vAlign w:val="center"/>
          </w:tcPr>
          <w:p>
            <w:pPr>
              <w:pStyle w:val="167"/>
              <w:keepNext w:val="0"/>
              <w:keepLines w:val="0"/>
              <w:suppressLineNumbers w:val="0"/>
              <w:kinsoku w:val="0"/>
              <w:overflowPunct w:val="0"/>
              <w:spacing w:before="0" w:beforeAutospacing="0" w:after="0" w:afterAutospacing="0" w:line="289" w:lineRule="exact"/>
              <w:ind w:left="0" w:right="0"/>
              <w:jc w:val="center"/>
              <w:rPr>
                <w:rFonts w:hint="default"/>
                <w:color w:val="auto"/>
                <w:sz w:val="21"/>
                <w:szCs w:val="21"/>
                <w:highlight w:val="none"/>
              </w:rPr>
            </w:pPr>
            <w:r>
              <w:rPr>
                <w:rFonts w:hint="default"/>
                <w:color w:val="auto"/>
                <w:sz w:val="21"/>
                <w:szCs w:val="21"/>
                <w:highlight w:val="none"/>
              </w:rPr>
              <w:t>EM</w:t>
            </w:r>
            <w:r>
              <w:rPr>
                <w:rFonts w:hint="eastAsia"/>
                <w:color w:val="auto"/>
                <w:sz w:val="21"/>
                <w:szCs w:val="21"/>
                <w:highlight w:val="none"/>
              </w:rPr>
              <w:t>菌剂</w:t>
            </w:r>
          </w:p>
        </w:tc>
        <w:tc>
          <w:tcPr>
            <w:tcW w:w="1249" w:type="pct"/>
            <w:gridSpan w:val="2"/>
            <w:noWrap w:val="0"/>
            <w:vAlign w:val="center"/>
          </w:tcPr>
          <w:p>
            <w:pPr>
              <w:pStyle w:val="167"/>
              <w:keepNext w:val="0"/>
              <w:keepLines w:val="0"/>
              <w:suppressLineNumbers w:val="0"/>
              <w:kinsoku w:val="0"/>
              <w:overflowPunct w:val="0"/>
              <w:spacing w:before="0" w:beforeAutospacing="0" w:after="0" w:afterAutospacing="0" w:line="289" w:lineRule="exact"/>
              <w:ind w:left="0" w:right="0"/>
              <w:jc w:val="center"/>
              <w:rPr>
                <w:rFonts w:hint="default"/>
                <w:color w:val="auto"/>
                <w:sz w:val="21"/>
                <w:szCs w:val="21"/>
                <w:highlight w:val="none"/>
              </w:rPr>
            </w:pPr>
            <w:r>
              <w:rPr>
                <w:rFonts w:hint="eastAsia"/>
                <w:color w:val="auto"/>
                <w:sz w:val="21"/>
                <w:szCs w:val="21"/>
                <w:highlight w:val="none"/>
              </w:rPr>
              <w:t>年耗用量</w:t>
            </w:r>
            <w:r>
              <w:rPr>
                <w:rFonts w:hint="default"/>
                <w:color w:val="auto"/>
                <w:sz w:val="21"/>
                <w:szCs w:val="21"/>
                <w:highlight w:val="none"/>
              </w:rPr>
              <w:t>2t</w:t>
            </w:r>
            <w:r>
              <w:rPr>
                <w:rFonts w:hint="eastAsia"/>
                <w:color w:val="auto"/>
                <w:sz w:val="21"/>
                <w:szCs w:val="21"/>
                <w:highlight w:val="none"/>
              </w:rPr>
              <w:t>，</w:t>
            </w:r>
            <w:r>
              <w:rPr>
                <w:rFonts w:hint="default"/>
                <w:color w:val="auto"/>
                <w:sz w:val="21"/>
                <w:szCs w:val="21"/>
                <w:highlight w:val="none"/>
              </w:rPr>
              <w:t>30000</w:t>
            </w:r>
            <w:r>
              <w:rPr>
                <w:rFonts w:hint="eastAsia"/>
                <w:color w:val="auto"/>
                <w:sz w:val="21"/>
                <w:szCs w:val="21"/>
                <w:highlight w:val="none"/>
              </w:rPr>
              <w:t>元</w:t>
            </w:r>
            <w:r>
              <w:rPr>
                <w:rFonts w:hint="default"/>
                <w:color w:val="auto"/>
                <w:sz w:val="21"/>
                <w:szCs w:val="21"/>
                <w:highlight w:val="none"/>
              </w:rPr>
              <w:t>/t</w:t>
            </w:r>
          </w:p>
        </w:tc>
        <w:tc>
          <w:tcPr>
            <w:tcW w:w="1251" w:type="pct"/>
            <w:noWrap w:val="0"/>
            <w:vAlign w:val="center"/>
          </w:tcPr>
          <w:p>
            <w:pPr>
              <w:pStyle w:val="167"/>
              <w:keepNext w:val="0"/>
              <w:keepLines w:val="0"/>
              <w:suppressLineNumbers w:val="0"/>
              <w:kinsoku w:val="0"/>
              <w:overflowPunct w:val="0"/>
              <w:spacing w:before="0" w:beforeAutospacing="0" w:after="0" w:afterAutospacing="0"/>
              <w:ind w:left="0" w:right="2"/>
              <w:jc w:val="center"/>
              <w:rPr>
                <w:rFonts w:hint="default"/>
                <w:color w:val="auto"/>
                <w:sz w:val="21"/>
                <w:szCs w:val="21"/>
                <w:highlight w:val="none"/>
              </w:rPr>
            </w:pPr>
            <w:r>
              <w:rPr>
                <w:rFonts w:hint="default"/>
                <w:color w:val="auto"/>
                <w:sz w:val="21"/>
                <w:szCs w:val="21"/>
                <w:highlight w:val="none"/>
              </w:rPr>
              <w:t>6.0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c>
          <w:tcPr>
            <w:tcW w:w="124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3</w:t>
            </w:r>
          </w:p>
        </w:tc>
        <w:tc>
          <w:tcPr>
            <w:tcW w:w="1249" w:type="pct"/>
            <w:noWrap w:val="0"/>
            <w:vAlign w:val="center"/>
          </w:tcPr>
          <w:p>
            <w:pPr>
              <w:pStyle w:val="167"/>
              <w:keepNext w:val="0"/>
              <w:keepLines w:val="0"/>
              <w:suppressLineNumbers w:val="0"/>
              <w:kinsoku w:val="0"/>
              <w:overflowPunct w:val="0"/>
              <w:spacing w:before="0" w:beforeAutospacing="0" w:after="0" w:afterAutospacing="0" w:line="273" w:lineRule="exact"/>
              <w:ind w:left="0" w:right="0"/>
              <w:jc w:val="center"/>
              <w:rPr>
                <w:rFonts w:hint="default"/>
                <w:color w:val="auto"/>
                <w:sz w:val="21"/>
                <w:szCs w:val="21"/>
                <w:highlight w:val="none"/>
              </w:rPr>
            </w:pPr>
            <w:r>
              <w:rPr>
                <w:rFonts w:hint="eastAsia"/>
                <w:color w:val="auto"/>
                <w:sz w:val="21"/>
                <w:szCs w:val="21"/>
                <w:highlight w:val="none"/>
              </w:rPr>
              <w:t>除臭剂</w:t>
            </w:r>
          </w:p>
        </w:tc>
        <w:tc>
          <w:tcPr>
            <w:tcW w:w="1249" w:type="pct"/>
            <w:gridSpan w:val="2"/>
            <w:noWrap w:val="0"/>
            <w:vAlign w:val="center"/>
          </w:tcPr>
          <w:p>
            <w:pPr>
              <w:pStyle w:val="167"/>
              <w:keepNext w:val="0"/>
              <w:keepLines w:val="0"/>
              <w:suppressLineNumbers w:val="0"/>
              <w:kinsoku w:val="0"/>
              <w:overflowPunct w:val="0"/>
              <w:spacing w:before="0" w:beforeAutospacing="0" w:after="0" w:afterAutospacing="0" w:line="289" w:lineRule="exact"/>
              <w:ind w:left="0" w:right="0"/>
              <w:jc w:val="center"/>
              <w:rPr>
                <w:rFonts w:hint="default"/>
                <w:color w:val="auto"/>
                <w:sz w:val="21"/>
                <w:szCs w:val="21"/>
                <w:highlight w:val="none"/>
              </w:rPr>
            </w:pPr>
            <w:r>
              <w:rPr>
                <w:rFonts w:hint="eastAsia"/>
                <w:color w:val="auto"/>
                <w:sz w:val="21"/>
                <w:szCs w:val="21"/>
                <w:highlight w:val="none"/>
              </w:rPr>
              <w:t>年耗用量</w:t>
            </w:r>
            <w:r>
              <w:rPr>
                <w:rFonts w:hint="default"/>
                <w:color w:val="auto"/>
                <w:sz w:val="21"/>
                <w:szCs w:val="21"/>
                <w:highlight w:val="none"/>
              </w:rPr>
              <w:t>1.5t</w:t>
            </w:r>
            <w:r>
              <w:rPr>
                <w:rFonts w:hint="eastAsia"/>
                <w:color w:val="auto"/>
                <w:sz w:val="21"/>
                <w:szCs w:val="21"/>
                <w:highlight w:val="none"/>
              </w:rPr>
              <w:t>，</w:t>
            </w:r>
            <w:r>
              <w:rPr>
                <w:rFonts w:hint="default"/>
                <w:color w:val="auto"/>
                <w:sz w:val="21"/>
                <w:szCs w:val="21"/>
                <w:highlight w:val="none"/>
              </w:rPr>
              <w:t>5000</w:t>
            </w:r>
            <w:r>
              <w:rPr>
                <w:rFonts w:hint="eastAsia"/>
                <w:color w:val="auto"/>
                <w:sz w:val="21"/>
                <w:szCs w:val="21"/>
                <w:highlight w:val="none"/>
              </w:rPr>
              <w:t>元</w:t>
            </w:r>
            <w:r>
              <w:rPr>
                <w:rFonts w:hint="default"/>
                <w:color w:val="auto"/>
                <w:sz w:val="21"/>
                <w:szCs w:val="21"/>
                <w:highlight w:val="none"/>
              </w:rPr>
              <w:t>/t</w:t>
            </w:r>
          </w:p>
        </w:tc>
        <w:tc>
          <w:tcPr>
            <w:tcW w:w="1251" w:type="pct"/>
            <w:noWrap w:val="0"/>
            <w:vAlign w:val="center"/>
          </w:tcPr>
          <w:p>
            <w:pPr>
              <w:pStyle w:val="167"/>
              <w:keepNext w:val="0"/>
              <w:keepLines w:val="0"/>
              <w:suppressLineNumbers w:val="0"/>
              <w:kinsoku w:val="0"/>
              <w:overflowPunct w:val="0"/>
              <w:spacing w:before="0" w:beforeAutospacing="0" w:after="0" w:afterAutospacing="0"/>
              <w:ind w:left="0" w:right="5"/>
              <w:jc w:val="center"/>
              <w:rPr>
                <w:rFonts w:hint="default"/>
                <w:color w:val="auto"/>
                <w:sz w:val="21"/>
                <w:szCs w:val="21"/>
                <w:highlight w:val="none"/>
              </w:rPr>
            </w:pPr>
            <w:r>
              <w:rPr>
                <w:rFonts w:hint="default"/>
                <w:color w:val="auto"/>
                <w:sz w:val="21"/>
                <w:szCs w:val="21"/>
                <w:highlight w:val="none"/>
              </w:rPr>
              <w:t>0.75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124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4</w:t>
            </w:r>
          </w:p>
        </w:tc>
        <w:tc>
          <w:tcPr>
            <w:tcW w:w="1249" w:type="pct"/>
            <w:noWrap w:val="0"/>
            <w:vAlign w:val="center"/>
          </w:tcPr>
          <w:p>
            <w:pPr>
              <w:pStyle w:val="167"/>
              <w:keepNext w:val="0"/>
              <w:keepLines w:val="0"/>
              <w:suppressLineNumbers w:val="0"/>
              <w:kinsoku w:val="0"/>
              <w:overflowPunct w:val="0"/>
              <w:spacing w:before="0" w:beforeAutospacing="0" w:after="0" w:afterAutospacing="0" w:line="273" w:lineRule="exact"/>
              <w:ind w:left="0" w:right="0"/>
              <w:jc w:val="center"/>
              <w:rPr>
                <w:rFonts w:hint="default"/>
                <w:color w:val="auto"/>
                <w:sz w:val="21"/>
                <w:szCs w:val="21"/>
                <w:highlight w:val="none"/>
              </w:rPr>
            </w:pPr>
            <w:r>
              <w:rPr>
                <w:rFonts w:hint="eastAsia"/>
                <w:color w:val="auto"/>
                <w:sz w:val="21"/>
                <w:szCs w:val="21"/>
                <w:highlight w:val="none"/>
              </w:rPr>
              <w:t>设备折旧及维修费用</w:t>
            </w:r>
          </w:p>
        </w:tc>
        <w:tc>
          <w:tcPr>
            <w:tcW w:w="1249" w:type="pct"/>
            <w:gridSpan w:val="2"/>
            <w:noWrap w:val="0"/>
            <w:vAlign w:val="center"/>
          </w:tcPr>
          <w:p>
            <w:pPr>
              <w:pStyle w:val="167"/>
              <w:keepNext w:val="0"/>
              <w:keepLines w:val="0"/>
              <w:suppressLineNumbers w:val="0"/>
              <w:kinsoku w:val="0"/>
              <w:overflowPunct w:val="0"/>
              <w:spacing w:before="0" w:beforeAutospacing="0" w:after="0" w:afterAutospacing="0" w:line="289" w:lineRule="exact"/>
              <w:ind w:left="0" w:right="0"/>
              <w:jc w:val="center"/>
              <w:rPr>
                <w:rFonts w:hint="default"/>
                <w:color w:val="auto"/>
                <w:sz w:val="21"/>
                <w:szCs w:val="21"/>
                <w:highlight w:val="none"/>
              </w:rPr>
            </w:pPr>
            <w:r>
              <w:rPr>
                <w:rFonts w:hint="eastAsia"/>
                <w:color w:val="auto"/>
                <w:sz w:val="21"/>
                <w:szCs w:val="21"/>
                <w:highlight w:val="none"/>
              </w:rPr>
              <w:t>按</w:t>
            </w:r>
            <w:r>
              <w:rPr>
                <w:rFonts w:hint="default"/>
                <w:color w:val="auto"/>
                <w:sz w:val="21"/>
                <w:szCs w:val="21"/>
                <w:highlight w:val="none"/>
              </w:rPr>
              <w:t>10</w:t>
            </w:r>
            <w:r>
              <w:rPr>
                <w:rFonts w:hint="eastAsia"/>
                <w:color w:val="auto"/>
                <w:sz w:val="21"/>
                <w:szCs w:val="21"/>
                <w:highlight w:val="none"/>
              </w:rPr>
              <w:t>年寿命计</w:t>
            </w:r>
          </w:p>
        </w:tc>
        <w:tc>
          <w:tcPr>
            <w:tcW w:w="1251" w:type="pct"/>
            <w:noWrap w:val="0"/>
            <w:vAlign w:val="center"/>
          </w:tcPr>
          <w:p>
            <w:pPr>
              <w:pStyle w:val="167"/>
              <w:keepNext w:val="0"/>
              <w:keepLines w:val="0"/>
              <w:suppressLineNumbers w:val="0"/>
              <w:kinsoku w:val="0"/>
              <w:overflowPunct w:val="0"/>
              <w:spacing w:before="0" w:beforeAutospacing="0" w:after="0" w:afterAutospacing="0"/>
              <w:ind w:left="0" w:right="2"/>
              <w:jc w:val="center"/>
              <w:rPr>
                <w:rFonts w:hint="default"/>
                <w:color w:val="auto"/>
                <w:sz w:val="21"/>
                <w:szCs w:val="21"/>
                <w:highlight w:val="none"/>
              </w:rPr>
            </w:pPr>
            <w:r>
              <w:rPr>
                <w:rFonts w:hint="default"/>
                <w:color w:val="auto"/>
                <w:sz w:val="21"/>
                <w:szCs w:val="21"/>
                <w:highlight w:val="none"/>
              </w:rPr>
              <w:t>0.5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1249"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5</w:t>
            </w:r>
          </w:p>
        </w:tc>
        <w:tc>
          <w:tcPr>
            <w:tcW w:w="1249" w:type="pct"/>
            <w:noWrap w:val="0"/>
            <w:vAlign w:val="center"/>
          </w:tcPr>
          <w:p>
            <w:pPr>
              <w:pStyle w:val="167"/>
              <w:keepNext w:val="0"/>
              <w:keepLines w:val="0"/>
              <w:suppressLineNumbers w:val="0"/>
              <w:kinsoku w:val="0"/>
              <w:overflowPunct w:val="0"/>
              <w:spacing w:before="0" w:beforeAutospacing="0" w:after="0" w:afterAutospacing="0" w:line="274" w:lineRule="exact"/>
              <w:ind w:left="0" w:right="2"/>
              <w:jc w:val="center"/>
              <w:rPr>
                <w:rFonts w:hint="default"/>
                <w:color w:val="auto"/>
                <w:sz w:val="21"/>
                <w:szCs w:val="21"/>
                <w:highlight w:val="none"/>
              </w:rPr>
            </w:pPr>
            <w:r>
              <w:rPr>
                <w:rFonts w:hint="eastAsia"/>
                <w:color w:val="auto"/>
                <w:sz w:val="21"/>
                <w:szCs w:val="21"/>
                <w:highlight w:val="none"/>
              </w:rPr>
              <w:t>人员</w:t>
            </w:r>
          </w:p>
        </w:tc>
        <w:tc>
          <w:tcPr>
            <w:tcW w:w="1249" w:type="pct"/>
            <w:gridSpan w:val="2"/>
            <w:noWrap w:val="0"/>
            <w:vAlign w:val="center"/>
          </w:tcPr>
          <w:p>
            <w:pPr>
              <w:pStyle w:val="167"/>
              <w:keepNext w:val="0"/>
              <w:keepLines w:val="0"/>
              <w:suppressLineNumbers w:val="0"/>
              <w:kinsoku w:val="0"/>
              <w:overflowPunct w:val="0"/>
              <w:spacing w:before="0" w:beforeAutospacing="0" w:after="0" w:afterAutospacing="0" w:line="289" w:lineRule="exact"/>
              <w:ind w:left="0" w:right="1"/>
              <w:jc w:val="center"/>
              <w:rPr>
                <w:rFonts w:hint="default"/>
                <w:color w:val="auto"/>
                <w:sz w:val="21"/>
                <w:szCs w:val="21"/>
                <w:highlight w:val="none"/>
              </w:rPr>
            </w:pPr>
            <w:r>
              <w:rPr>
                <w:rFonts w:hint="default"/>
                <w:color w:val="auto"/>
                <w:sz w:val="21"/>
                <w:szCs w:val="21"/>
                <w:highlight w:val="none"/>
              </w:rPr>
              <w:t>2</w:t>
            </w:r>
            <w:r>
              <w:rPr>
                <w:rFonts w:hint="eastAsia"/>
                <w:color w:val="auto"/>
                <w:sz w:val="21"/>
                <w:szCs w:val="21"/>
                <w:highlight w:val="none"/>
              </w:rPr>
              <w:t>人</w:t>
            </w:r>
          </w:p>
        </w:tc>
        <w:tc>
          <w:tcPr>
            <w:tcW w:w="1251" w:type="pct"/>
            <w:noWrap w:val="0"/>
            <w:vAlign w:val="center"/>
          </w:tcPr>
          <w:p>
            <w:pPr>
              <w:pStyle w:val="167"/>
              <w:keepNext w:val="0"/>
              <w:keepLines w:val="0"/>
              <w:suppressLineNumbers w:val="0"/>
              <w:kinsoku w:val="0"/>
              <w:overflowPunct w:val="0"/>
              <w:spacing w:before="0" w:beforeAutospacing="0" w:after="0" w:afterAutospacing="0"/>
              <w:ind w:left="0" w:right="5"/>
              <w:jc w:val="center"/>
              <w:rPr>
                <w:rFonts w:hint="default"/>
                <w:color w:val="auto"/>
                <w:sz w:val="21"/>
                <w:szCs w:val="21"/>
                <w:highlight w:val="none"/>
              </w:rPr>
            </w:pPr>
            <w:r>
              <w:rPr>
                <w:rFonts w:hint="default"/>
                <w:color w:val="auto"/>
                <w:sz w:val="21"/>
                <w:szCs w:val="21"/>
                <w:highlight w:val="none"/>
              </w:rPr>
              <w:t>3.0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2500" w:type="pct"/>
            <w:gridSpan w:val="3"/>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合计</w:t>
            </w:r>
          </w:p>
        </w:tc>
        <w:tc>
          <w:tcPr>
            <w:tcW w:w="2499" w:type="pct"/>
            <w:gridSpan w:val="2"/>
            <w:noWrap w:val="0"/>
            <w:vAlign w:val="center"/>
          </w:tcPr>
          <w:p>
            <w:pPr>
              <w:pStyle w:val="167"/>
              <w:keepNext w:val="0"/>
              <w:keepLines w:val="0"/>
              <w:suppressLineNumbers w:val="0"/>
              <w:kinsoku w:val="0"/>
              <w:overflowPunct w:val="0"/>
              <w:spacing w:before="48" w:beforeAutospacing="0" w:after="0" w:afterAutospacing="0"/>
              <w:ind w:left="0" w:right="2"/>
              <w:jc w:val="center"/>
              <w:rPr>
                <w:rFonts w:hint="default"/>
                <w:color w:val="auto"/>
                <w:sz w:val="21"/>
                <w:szCs w:val="21"/>
                <w:highlight w:val="none"/>
              </w:rPr>
            </w:pPr>
            <w:r>
              <w:rPr>
                <w:rFonts w:hint="default"/>
                <w:color w:val="auto"/>
                <w:sz w:val="21"/>
                <w:szCs w:val="21"/>
                <w:highlight w:val="none"/>
              </w:rPr>
              <w:t>12.95</w:t>
            </w:r>
          </w:p>
        </w:tc>
      </w:tr>
    </w:tbl>
    <w:p>
      <w:pPr>
        <w:spacing w:line="360" w:lineRule="auto"/>
        <w:ind w:firstLine="480" w:firstLineChars="20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综上所述，项目恶臭污染防治措施技术程度，有效可行，投资费用较低，运行费用适中，技术经济可行。</w:t>
      </w:r>
    </w:p>
    <w:p>
      <w:pPr>
        <w:pStyle w:val="9"/>
        <w:rPr>
          <w:rFonts w:hint="eastAsia" w:cs="Times New Roman"/>
          <w:color w:val="auto"/>
          <w:highlight w:val="none"/>
          <w:lang w:val="en-US" w:eastAsia="zh-CN"/>
        </w:rPr>
      </w:pPr>
      <w:r>
        <w:rPr>
          <w:rFonts w:hint="eastAsia" w:cs="Times New Roman"/>
          <w:color w:val="auto"/>
          <w:highlight w:val="none"/>
          <w:lang w:val="en-US" w:eastAsia="zh-CN"/>
        </w:rPr>
        <w:t>食堂油烟治理措施分析</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1、食堂油烟治理措施技术可行性分析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项目食堂拟设有2个灶头，油烟产生量约为</w:t>
      </w:r>
      <w:r>
        <w:rPr>
          <w:rFonts w:hint="eastAsia" w:ascii="Times New Roman" w:hAnsi="Times New Roman" w:eastAsia="宋体" w:cs="Times New Roman"/>
          <w:color w:val="auto"/>
          <w:sz w:val="24"/>
          <w:szCs w:val="24"/>
          <w:highlight w:val="none"/>
          <w:lang w:val="en-US" w:eastAsia="zh-CN"/>
        </w:rPr>
        <w:t>26.28</w:t>
      </w:r>
      <w:r>
        <w:rPr>
          <w:rFonts w:ascii="Times New Roman" w:hAnsi="Times New Roman" w:eastAsia="宋体" w:cs="Times New Roman"/>
          <w:color w:val="auto"/>
          <w:sz w:val="24"/>
          <w:szCs w:val="24"/>
          <w:highlight w:val="none"/>
        </w:rPr>
        <w:t>kg/a（</w:t>
      </w:r>
      <w:r>
        <w:rPr>
          <w:rFonts w:hint="eastAsia" w:ascii="Times New Roman" w:hAnsi="Times New Roman" w:eastAsia="宋体" w:cs="Times New Roman"/>
          <w:color w:val="auto"/>
          <w:sz w:val="24"/>
          <w:szCs w:val="24"/>
          <w:highlight w:val="none"/>
          <w:lang w:val="en-US" w:eastAsia="zh-CN"/>
        </w:rPr>
        <w:t>0.072</w:t>
      </w:r>
      <w:r>
        <w:rPr>
          <w:rFonts w:ascii="Times New Roman" w:hAnsi="Times New Roman" w:eastAsia="宋体" w:cs="Times New Roman"/>
          <w:color w:val="auto"/>
          <w:sz w:val="24"/>
          <w:szCs w:val="24"/>
          <w:highlight w:val="none"/>
        </w:rPr>
        <w:t>kg/d，0.0</w:t>
      </w:r>
      <w:r>
        <w:rPr>
          <w:rFonts w:hint="eastAsia" w:ascii="Times New Roman" w:hAnsi="Times New Roman" w:eastAsia="宋体" w:cs="Times New Roman"/>
          <w:color w:val="auto"/>
          <w:sz w:val="24"/>
          <w:szCs w:val="24"/>
          <w:highlight w:val="none"/>
          <w:lang w:val="en-US" w:eastAsia="zh-CN"/>
        </w:rPr>
        <w:t>03</w:t>
      </w:r>
      <w:r>
        <w:rPr>
          <w:rFonts w:ascii="Times New Roman" w:hAnsi="Times New Roman" w:eastAsia="宋体" w:cs="Times New Roman"/>
          <w:color w:val="auto"/>
          <w:sz w:val="24"/>
          <w:szCs w:val="24"/>
          <w:highlight w:val="none"/>
        </w:rPr>
        <w:t>kg/h）</w:t>
      </w:r>
      <w:r>
        <w:rPr>
          <w:rFonts w:hint="eastAsia" w:ascii="Times New Roman" w:hAnsi="Times New Roman" w:eastAsia="宋体" w:cs="Times New Roman"/>
          <w:color w:val="auto"/>
          <w:sz w:val="24"/>
          <w:szCs w:val="24"/>
          <w:highlight w:val="none"/>
        </w:rPr>
        <w:t>。根据《饮食业油烟排放标准》（GB18483-2001）标准的要求食堂安装一台排风量为5000m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/h，处理效率大于75%的油烟净化器，处理后其油烟量为9.855kg/a（0.027kg/d，0.0045kg/h），排放浓度为0.</w:t>
      </w:r>
      <w:r>
        <w:rPr>
          <w:rFonts w:hint="eastAsia" w:ascii="Times New Roman" w:hAnsi="Times New Roman" w:eastAsia="宋体" w:cs="Times New Roman"/>
          <w:color w:val="auto"/>
          <w:sz w:val="24"/>
          <w:szCs w:val="24"/>
          <w:highlight w:val="none"/>
          <w:lang w:val="en-US" w:eastAsia="zh-CN"/>
        </w:rPr>
        <w:t>15</w:t>
      </w:r>
      <w:r>
        <w:rPr>
          <w:rFonts w:hint="eastAsia" w:ascii="Times New Roman" w:hAnsi="Times New Roman" w:eastAsia="宋体" w:cs="Times New Roman"/>
          <w:color w:val="auto"/>
          <w:sz w:val="24"/>
          <w:szCs w:val="24"/>
          <w:highlight w:val="none"/>
        </w:rPr>
        <w:t>mg/m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，满足《饮食业油烟排放标准》（GB18483-2001）标准要求，处理后油烟经烟道引至屋顶排放。</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油烟净化器分为机械式、湿式、静电式和复合式：</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（1）机械式油烟净化设备</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机械式油烟净化设备的主要特点是简单、易于制造、造价低、施工快、便于维护，技术关键是滤料的选取与布置方式、空塔流速的确定。这种方法对油粒的净化效率较高，但对恶臭物质没有去除能力。因此，此法实用性较差，在油烟治理上通常作为预处理，而不作为一种独立的治理设备使用。</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（2）湿式油烟净化设备</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湿式油烟净化设备的优点是价格适中，净化效率高，可同时部分去除SO</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、CO、NO</w:t>
      </w:r>
      <w:r>
        <w:rPr>
          <w:rFonts w:ascii="Times New Roman" w:hAnsi="Times New Roman" w:eastAsia="宋体" w:cs="Times New Roman"/>
          <w:color w:val="auto"/>
          <w:sz w:val="24"/>
          <w:szCs w:val="24"/>
          <w:highlight w:val="none"/>
        </w:rPr>
        <w:t>x</w:t>
      </w:r>
      <w:r>
        <w:rPr>
          <w:rFonts w:hint="eastAsia" w:ascii="Times New Roman" w:hAnsi="Times New Roman" w:eastAsia="宋体" w:cs="Times New Roman"/>
          <w:color w:val="auto"/>
          <w:sz w:val="24"/>
          <w:szCs w:val="24"/>
          <w:highlight w:val="none"/>
        </w:rPr>
        <w:t>等，对醛类、芳烃类等气态污染物也有一定的去除效果。缺点是安装繁琐、耗水量大，循环吸收液如不经过处理直接排放，还会造成二次污染。另外，吸收液循环箱安装在室外，由于在北方地区，管路及箱体需做保温处理，增加了安装费用及制造难度，因此，该类设备目前在我国广东等南方地区应用比较广泛，而在北方地区，越来越受到来自于静电式、复合式油烟净化设备的竞争压力。</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（3）静电式油烟净化设备</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静电式油烟净化设备是利用电力作用清除气体中固体或液体以达到净化的目的。具有如下优点；净化效率高、结构简单、气流速度低、压力损失小、能量消耗低、安装方便，产品分卧式、挂壁式、管道式、立柜式多种，不受现场安装位置限制，目前在大型和中高档餐饮单位中应用多。</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（4）复合式油烟净化设备</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复合式油烟净化设备是使用机械式、湿式、静电式中任何两种或两种以上净化方式组合去除油烟的净化设备。设备兼顾了各种处理方法的优点。根据油烟粒子粒径分布进行合理组合，故具有较高的净化效率；再由于机械式、湿式、静电式油烟净化设备取得的技术进步，都可迅速应用到复合式上，所以复合式油烟净化设备将是未来一定时期油烟净化设备研究、开发、生产的重点。</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四类油烟净化设备性能比较见表</w:t>
      </w:r>
      <w:r>
        <w:rPr>
          <w:rFonts w:ascii="Times New Roman" w:hAnsi="Times New Roman" w:eastAsia="宋体" w:cs="Times New Roman"/>
          <w:color w:val="auto"/>
          <w:sz w:val="24"/>
          <w:szCs w:val="24"/>
          <w:highlight w:val="none"/>
        </w:rPr>
        <w:t>7</w:t>
      </w:r>
      <w:r>
        <w:rPr>
          <w:rFonts w:hint="eastAsia"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rPr>
        <w:t>。</w:t>
      </w:r>
    </w:p>
    <w:p>
      <w:pPr>
        <w:pStyle w:val="2504"/>
        <w:numPr>
          <w:ilvl w:val="0"/>
          <w:numId w:val="45"/>
        </w:numPr>
        <w:spacing w:before="120" w:line="360" w:lineRule="auto"/>
        <w:ind w:left="425" w:leftChars="0" w:hanging="425"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   四类油烟净化设备性能比较表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038"/>
        <w:gridCol w:w="1191"/>
        <w:gridCol w:w="5074"/>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122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设备类型</w:t>
            </w:r>
          </w:p>
        </w:tc>
        <w:tc>
          <w:tcPr>
            <w:tcW w:w="71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去除率（%）</w:t>
            </w:r>
          </w:p>
        </w:tc>
        <w:tc>
          <w:tcPr>
            <w:tcW w:w="305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日常维护要求</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122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机械式油烟净化器</w:t>
            </w:r>
          </w:p>
        </w:tc>
        <w:tc>
          <w:tcPr>
            <w:tcW w:w="71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75~80</w:t>
            </w:r>
          </w:p>
        </w:tc>
        <w:tc>
          <w:tcPr>
            <w:tcW w:w="305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每月更换一次滤网或更换吸附材料</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c>
          <w:tcPr>
            <w:tcW w:w="122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湿式油烟净化器</w:t>
            </w:r>
          </w:p>
        </w:tc>
        <w:tc>
          <w:tcPr>
            <w:tcW w:w="71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75~80</w:t>
            </w:r>
          </w:p>
        </w:tc>
        <w:tc>
          <w:tcPr>
            <w:tcW w:w="305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定期收集油污，添加药剂</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122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静电式油烟净化器</w:t>
            </w:r>
          </w:p>
        </w:tc>
        <w:tc>
          <w:tcPr>
            <w:tcW w:w="71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75~80</w:t>
            </w:r>
          </w:p>
        </w:tc>
        <w:tc>
          <w:tcPr>
            <w:tcW w:w="305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每半年清洗一次极板</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c>
          <w:tcPr>
            <w:tcW w:w="122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复合式油烟净化器</w:t>
            </w:r>
          </w:p>
        </w:tc>
        <w:tc>
          <w:tcPr>
            <w:tcW w:w="71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80~90</w:t>
            </w:r>
          </w:p>
        </w:tc>
        <w:tc>
          <w:tcPr>
            <w:tcW w:w="3054"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每半年清洗一次极板，需经常清洗滤网或更换吸附材料</w:t>
            </w:r>
          </w:p>
        </w:tc>
      </w:tr>
    </w:tbl>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从经济、效率、结构、能耗、安装等各个方面考虑，建设单位选择静电式油烟净化器，另外需要注意油烟净化设施应尽量设置在进口端，避免设于出口端。因为进入净化装置的油烟温度越高净化的效果越好，尤其在冬季影响更为明显；另外，净化设施后置会使大量未经处理的油烟聚集在管道内壁，成为火险隐患，因此要尽量避免。</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2、食堂油烟治理措施经济可行性分析</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本项目食堂油烟净化器购置费用为1万元，年运行费用为0.392万元，运行费用见表7</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lang w:val="en-US" w:eastAsia="zh-CN"/>
        </w:rPr>
        <w:t>6</w:t>
      </w:r>
      <w:r>
        <w:rPr>
          <w:rFonts w:hint="eastAsia" w:ascii="Times New Roman" w:hAnsi="Times New Roman" w:eastAsia="宋体" w:cs="Times New Roman"/>
          <w:color w:val="auto"/>
          <w:sz w:val="24"/>
          <w:szCs w:val="24"/>
          <w:highlight w:val="none"/>
        </w:rPr>
        <w:t>：</w:t>
      </w:r>
    </w:p>
    <w:p>
      <w:pPr>
        <w:pStyle w:val="2504"/>
        <w:numPr>
          <w:ilvl w:val="0"/>
          <w:numId w:val="45"/>
        </w:numPr>
        <w:spacing w:before="120" w:line="360" w:lineRule="auto"/>
        <w:ind w:left="425" w:leftChars="0" w:hanging="425"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  食堂油烟污染防治年运行费用</w:t>
      </w:r>
    </w:p>
    <w:tbl>
      <w:tblPr>
        <w:tblStyle w:val="91"/>
        <w:tblW w:w="4998" w:type="pct"/>
        <w:tblInd w:w="0" w:type="dxa"/>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776"/>
        <w:gridCol w:w="2196"/>
        <w:gridCol w:w="3698"/>
        <w:gridCol w:w="1633"/>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46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序号</w:t>
            </w:r>
          </w:p>
        </w:tc>
        <w:tc>
          <w:tcPr>
            <w:tcW w:w="132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费用名称</w:t>
            </w:r>
          </w:p>
        </w:tc>
        <w:tc>
          <w:tcPr>
            <w:tcW w:w="222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说明</w:t>
            </w:r>
          </w:p>
        </w:tc>
        <w:tc>
          <w:tcPr>
            <w:tcW w:w="983"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费用（万元）</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46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1</w:t>
            </w:r>
          </w:p>
        </w:tc>
        <w:tc>
          <w:tcPr>
            <w:tcW w:w="132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电费</w:t>
            </w:r>
          </w:p>
        </w:tc>
        <w:tc>
          <w:tcPr>
            <w:tcW w:w="222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2度/h，2920度/a，电的单价1元/度</w:t>
            </w:r>
          </w:p>
        </w:tc>
        <w:tc>
          <w:tcPr>
            <w:tcW w:w="983"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0.292</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c>
          <w:tcPr>
            <w:tcW w:w="46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2</w:t>
            </w:r>
          </w:p>
        </w:tc>
        <w:tc>
          <w:tcPr>
            <w:tcW w:w="1321"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设备折旧及维修费用</w:t>
            </w:r>
          </w:p>
        </w:tc>
        <w:tc>
          <w:tcPr>
            <w:tcW w:w="2226"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按10年寿命计</w:t>
            </w:r>
          </w:p>
        </w:tc>
        <w:tc>
          <w:tcPr>
            <w:tcW w:w="983"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0.1</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1789" w:type="pct"/>
            <w:gridSpan w:val="2"/>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合计</w:t>
            </w:r>
          </w:p>
        </w:tc>
        <w:tc>
          <w:tcPr>
            <w:tcW w:w="222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rPr>
            </w:pPr>
          </w:p>
        </w:tc>
        <w:tc>
          <w:tcPr>
            <w:tcW w:w="983"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0.392</w:t>
            </w:r>
          </w:p>
        </w:tc>
      </w:tr>
    </w:tbl>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综上所述，项目废气污染防治措施技术有效可行，投资费用较低，运行费用较低，技术经济可行。</w:t>
      </w:r>
    </w:p>
    <w:p>
      <w:pPr>
        <w:pStyle w:val="9"/>
        <w:rPr>
          <w:rFonts w:hint="eastAsia" w:cs="Times New Roman"/>
          <w:color w:val="auto"/>
          <w:highlight w:val="none"/>
          <w:lang w:val="en-US" w:eastAsia="zh-CN"/>
        </w:rPr>
      </w:pPr>
      <w:r>
        <w:rPr>
          <w:rFonts w:hint="eastAsia" w:cs="Times New Roman"/>
          <w:color w:val="auto"/>
          <w:highlight w:val="none"/>
          <w:lang w:val="en-US" w:eastAsia="zh-CN"/>
        </w:rPr>
        <w:t>沼气燃烧废气</w:t>
      </w:r>
    </w:p>
    <w:p>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1、沼气干法脱硫可行性分析</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本项目沼气脱硫采用干法脱硫，干法脱硫是在圆柱状脱硫塔内装填一定高度的脱硫剂，沼气自下而上通过脱硫剂，H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S被去除，实现脱硫过程。一般干法脱硫常用的脱硫剂为氧化铁，其粒状为圆柱状。氧化铁干法脱硫的化学反应分为两步：</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第一步：Fe</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O</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O+3H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 =Fe</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+4H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O（脱硫）</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第二步：Fe</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+3/2O</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+3H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O=Fe</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O</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O+2H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O+3S（再生）</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含有硫化氢的沼气首先与底部入口处荷载相对高的脱硫剂反应，反应器上部是负载低的脱硫剂层，通过设计良好的沼气空速和线速，干式脱硫能到达良好的精脱硫效果。</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在沼气进入干式脱硫塔之前，应设置有冷凝水罐或沼气颗粒过滤器。该装置可以消除沼气中夹杂的颗粒杂质，并使得沼气在进入脱硫前含有一定湿度。</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当观察到脱硫剂变色，或系统压力损失过大时，应交替使用另一个脱硫塔。当前的脱硫塔在沼气放空后，进行自然通风，对脱硫剂进行再生。当再生效果不佳时，应从塔体底部将废弃的脱硫剂排除，在底部排放废弃填料的同时，相同体积的新鲜脱硫填料加入反应器中。</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2、脱硫效率</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有机物发酵时，由于微生物对蛋白质的分解会产生一定量的H</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S气体进入沼气，其浓度范围一般在1~12g/m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，本项目采用干法脱硫工艺，类比国内同类工程可知，沼气干法脱硫工艺其脱硫效率达到99%以上，工艺结构简单、技术成熟可靠，造价低，经脱硫处理后，沼气中H</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S浓度小于20mg/m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，满足《规模化畜禽养殖场沼气工程设计规范》（NY/T1222-2006）的规定。</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3、沼气利用</w:t>
      </w:r>
    </w:p>
    <w:p>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rPr>
        <w:t>建设单位针对沼气资源的综合利用，考察了部分同类企业的沼气利用模式，主要的沼气利用去向是生活用能。根据建设单位提供方案，本项目沼气主要用于沼气食堂燃料，沼气经过脱硫装置脱硫，其目的是净化沼气，之后进入</w:t>
      </w:r>
      <w:r>
        <w:rPr>
          <w:rFonts w:hint="eastAsia" w:ascii="Times New Roman" w:hAnsi="Times New Roman" w:eastAsia="宋体" w:cs="Times New Roman"/>
          <w:color w:val="auto"/>
          <w:sz w:val="24"/>
          <w:szCs w:val="24"/>
          <w:highlight w:val="none"/>
          <w:lang w:eastAsia="zh-CN"/>
        </w:rPr>
        <w:t>双膜储气袋</w:t>
      </w:r>
      <w:r>
        <w:rPr>
          <w:rFonts w:hint="eastAsia" w:ascii="Times New Roman" w:hAnsi="Times New Roman" w:eastAsia="宋体" w:cs="Times New Roman"/>
          <w:color w:val="auto"/>
          <w:sz w:val="24"/>
          <w:szCs w:val="24"/>
          <w:highlight w:val="none"/>
        </w:rPr>
        <w:t>，净化后的沼气用于食堂燃气或沼气发电等，其设计由建设单位委托专业单位进行，购置相应设备，必须实现沼气完全燃烧，不可直接向大气环境排放</w:t>
      </w:r>
      <w:r>
        <w:rPr>
          <w:rFonts w:hint="eastAsia" w:ascii="Times New Roman" w:hAnsi="Times New Roman" w:eastAsia="宋体" w:cs="Times New Roman"/>
          <w:color w:val="auto"/>
          <w:sz w:val="24"/>
          <w:szCs w:val="24"/>
          <w:highlight w:val="none"/>
          <w:lang w:eastAsia="zh-CN"/>
        </w:rPr>
        <w:t>。</w:t>
      </w:r>
    </w:p>
    <w:p>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rPr>
        <w:t>综合以上分析，本项目沼气脱硫工艺合理可行</w:t>
      </w:r>
      <w:r>
        <w:rPr>
          <w:rFonts w:hint="eastAsia" w:ascii="Times New Roman" w:hAnsi="Times New Roman" w:eastAsia="宋体" w:cs="Times New Roman"/>
          <w:color w:val="auto"/>
          <w:sz w:val="24"/>
          <w:szCs w:val="24"/>
          <w:highlight w:val="none"/>
          <w:lang w:eastAsia="zh-CN"/>
        </w:rPr>
        <w:t>，处理方式可行。</w:t>
      </w:r>
    </w:p>
    <w:p>
      <w:pPr>
        <w:pStyle w:val="9"/>
        <w:rPr>
          <w:rFonts w:hint="eastAsia" w:cs="Times New Roman"/>
          <w:color w:val="auto"/>
          <w:highlight w:val="none"/>
          <w:lang w:val="en-US" w:eastAsia="zh-CN"/>
        </w:rPr>
      </w:pPr>
      <w:r>
        <w:rPr>
          <w:rFonts w:hint="eastAsia" w:cs="Times New Roman"/>
          <w:color w:val="auto"/>
          <w:highlight w:val="none"/>
          <w:lang w:val="en-US" w:eastAsia="zh-CN"/>
        </w:rPr>
        <w:t>柴油发电机废气</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本项目配备1台</w:t>
      </w:r>
      <w:r>
        <w:rPr>
          <w:rFonts w:hint="eastAsia" w:ascii="Times New Roman" w:hAnsi="Times New Roman" w:eastAsia="宋体" w:cs="Times New Roman"/>
          <w:color w:val="auto"/>
          <w:sz w:val="24"/>
          <w:szCs w:val="24"/>
          <w:highlight w:val="none"/>
          <w:lang w:val="en-US" w:eastAsia="zh-CN"/>
        </w:rPr>
        <w:t>8</w:t>
      </w:r>
      <w:r>
        <w:rPr>
          <w:rFonts w:ascii="Times New Roman" w:hAnsi="Times New Roman" w:eastAsia="宋体" w:cs="Times New Roman"/>
          <w:color w:val="auto"/>
          <w:sz w:val="24"/>
          <w:szCs w:val="24"/>
          <w:highlight w:val="none"/>
        </w:rPr>
        <w:t>00kW的备用柴油发电机作为厂区的应急电源，当出现突发性停电，可自行发电供给养殖场使用。柴油发电机在使用过程中会产生废气，其主要成分为CO、HC、NOx。发电机房采用机械送、排风的形式，发电机房内保持着良好的通风性，柴油发电机产生的废气先由自身携带的废气净化装置处理，处理后经抽排风系统抽至排风口处排放。由于柴油发电机产生的废气量很小，采用上述措施后完全能够做到达标排放。</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备用发电机只有在停电时使用，备用发电机使用的频率很小，废气的排放间断性强，加上废气通过自由扩散后，浓度很小，对周围环境影响很小。同时，</w:t>
      </w:r>
      <w:r>
        <w:rPr>
          <w:rFonts w:ascii="Times New Roman" w:hAnsi="Times New Roman" w:eastAsia="宋体" w:cs="Times New Roman"/>
          <w:b/>
          <w:color w:val="auto"/>
          <w:sz w:val="24"/>
          <w:szCs w:val="24"/>
          <w:highlight w:val="none"/>
        </w:rPr>
        <w:t>环评建议项目使用0#号柴油，</w:t>
      </w:r>
      <w:r>
        <w:rPr>
          <w:rFonts w:ascii="Times New Roman" w:hAnsi="Times New Roman" w:eastAsia="宋体" w:cs="Times New Roman"/>
          <w:color w:val="auto"/>
          <w:sz w:val="24"/>
          <w:szCs w:val="24"/>
          <w:highlight w:val="none"/>
        </w:rPr>
        <w:t>0#柴油属于清洁能源，其燃烧产生的废气污染物较少，可进一步降低对外环境的不良影响。</w:t>
      </w:r>
    </w:p>
    <w:p>
      <w:pPr>
        <w:spacing w:line="360" w:lineRule="auto"/>
        <w:ind w:firstLine="482" w:firstLineChars="200"/>
        <w:rPr>
          <w:color w:val="auto"/>
          <w:highlight w:val="none"/>
        </w:rPr>
      </w:pPr>
      <w:r>
        <w:rPr>
          <w:rFonts w:ascii="Times New Roman" w:hAnsi="Times New Roman" w:eastAsia="宋体" w:cs="Times New Roman"/>
          <w:b/>
          <w:color w:val="auto"/>
          <w:sz w:val="24"/>
          <w:szCs w:val="24"/>
          <w:highlight w:val="none"/>
        </w:rPr>
        <w:t>综上所述，项目运营期拟采取的废气治理措施技术成熟可靠，不会对周围大气环境造成</w:t>
      </w:r>
      <w:r>
        <w:rPr>
          <w:rFonts w:hint="eastAsia" w:ascii="Times New Roman" w:hAnsi="Times New Roman" w:eastAsia="宋体" w:cs="Times New Roman"/>
          <w:b/>
          <w:color w:val="auto"/>
          <w:sz w:val="24"/>
          <w:szCs w:val="24"/>
          <w:highlight w:val="none"/>
        </w:rPr>
        <w:t>明显</w:t>
      </w:r>
      <w:r>
        <w:rPr>
          <w:rFonts w:ascii="Times New Roman" w:hAnsi="Times New Roman" w:eastAsia="宋体" w:cs="Times New Roman"/>
          <w:b/>
          <w:color w:val="auto"/>
          <w:sz w:val="24"/>
          <w:szCs w:val="24"/>
          <w:highlight w:val="none"/>
        </w:rPr>
        <w:t>不利影响。</w:t>
      </w:r>
    </w:p>
    <w:p>
      <w:pPr>
        <w:pStyle w:val="8"/>
        <w:spacing w:before="0" w:after="0" w:line="360" w:lineRule="auto"/>
        <w:ind w:left="0" w:firstLine="0"/>
        <w:rPr>
          <w:rFonts w:hint="default" w:cs="Times New Roman"/>
          <w:color w:val="auto"/>
          <w:highlight w:val="none"/>
          <w:lang w:val="en-US" w:eastAsia="zh-CN"/>
        </w:rPr>
      </w:pPr>
      <w:bookmarkStart w:id="285" w:name="_Toc1582"/>
      <w:r>
        <w:rPr>
          <w:rFonts w:hint="default" w:cs="Times New Roman"/>
          <w:color w:val="auto"/>
          <w:highlight w:val="none"/>
          <w:lang w:val="en-US" w:eastAsia="zh-CN"/>
        </w:rPr>
        <w:t>噪声防治措施论证分析</w:t>
      </w:r>
      <w:bookmarkEnd w:id="285"/>
    </w:p>
    <w:p>
      <w:pPr>
        <w:ind w:firstLine="482"/>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结合项目性质，营运期噪声主要为牛叫声、风机、柴油发电机、污水处理系统配套设施等设备噪声以及进出车辆噪声等。主要采取以下治理措施：</w:t>
      </w:r>
    </w:p>
    <w:p>
      <w:pPr>
        <w:ind w:firstLine="482"/>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（1）采用科学饲养方式，加强对牛舍的日常管理，合理安排饲养时间，定时投食；禁止非工作人员随意进场，减少多牛舍的干扰；将</w:t>
      </w:r>
      <w:r>
        <w:rPr>
          <w:rFonts w:hint="eastAsia" w:ascii="Times New Roman" w:hAnsi="Times New Roman" w:eastAsia="宋体" w:cs="Times New Roman"/>
          <w:color w:val="auto"/>
          <w:sz w:val="24"/>
          <w:szCs w:val="24"/>
          <w:highlight w:val="none"/>
          <w:lang w:eastAsia="zh-CN"/>
        </w:rPr>
        <w:t>肉</w:t>
      </w:r>
      <w:r>
        <w:rPr>
          <w:rFonts w:hint="eastAsia" w:ascii="Times New Roman" w:hAnsi="Times New Roman" w:eastAsia="宋体" w:cs="Times New Roman"/>
          <w:color w:val="auto"/>
          <w:sz w:val="24"/>
          <w:szCs w:val="24"/>
          <w:highlight w:val="none"/>
        </w:rPr>
        <w:t>牛运进和运出的时间安排在昼间，尽可能的减少牛叫声对周围居民的影响。</w:t>
      </w:r>
    </w:p>
    <w:p>
      <w:pPr>
        <w:ind w:firstLine="482"/>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（2）柴油发电机置于密闭砖混结构的发电机房内，优先选用性能较好和自带消声器的设备，同时利用建筑隔声。</w:t>
      </w:r>
    </w:p>
    <w:p>
      <w:pPr>
        <w:ind w:firstLine="482"/>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（3）通风设备采用低噪声型，且其吊装设备采用减振吊装、落地式安装设备采用弹簧减振器或橡胶减振垫，进出口设软接头，风机进出口风管处安装消声设备，四周设置隔声墙。</w:t>
      </w:r>
    </w:p>
    <w:p>
      <w:pPr>
        <w:ind w:firstLine="482"/>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（4）应急柴油发电机，采用低噪声设备，对发电机组采取减震措施，发电机房采取隔声、吸声等降噪措施，出风口设置消声器。</w:t>
      </w:r>
    </w:p>
    <w:p>
      <w:pPr>
        <w:ind w:firstLine="482"/>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（5）水泵、污泥泵选用低噪声型，加装减振器，安装于污水处理区所需池体内，均设置于水下，减小噪声影响。</w:t>
      </w:r>
    </w:p>
    <w:p>
      <w:pPr>
        <w:ind w:firstLine="482"/>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（6）场内对车辆采取限速、禁鸣的要求，可以有效降低车辆运输带来的噪声；另外，运输车辆沿途必须按规范操作，尽量少鸣笛，以免对周围村民生活造成影响或因鸣笛使牛受到惊吓而鸣叫，从而产生扰民。</w:t>
      </w:r>
    </w:p>
    <w:p>
      <w:pPr>
        <w:ind w:firstLine="482"/>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（7）加强场区内绿化，四周种植乔木及灌木，充分利用建筑物、绿化带阻隔声波传播。</w:t>
      </w:r>
    </w:p>
    <w:p>
      <w:pPr>
        <w:ind w:firstLine="482"/>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rPr>
        <w:t>综上所述，项目营运期采取上述噪声治理措施后，厂界噪声可满足《工业企业厂界环境噪声排放标准》（GB12348-2008）中 2 类标准，实现达标排放；且设备进场后，日常运行维护费用较低。因此，评价认为项目营运期噪声治理措施技术经济可行。</w:t>
      </w:r>
    </w:p>
    <w:p>
      <w:pPr>
        <w:pStyle w:val="8"/>
        <w:spacing w:before="0" w:after="0" w:line="360" w:lineRule="auto"/>
        <w:ind w:left="0" w:firstLine="0"/>
        <w:rPr>
          <w:rFonts w:ascii="Times New Roman" w:hAnsi="Times New Roman" w:eastAsia="宋体" w:cs="Times New Roman"/>
          <w:color w:val="auto"/>
          <w:sz w:val="24"/>
          <w:szCs w:val="24"/>
          <w:highlight w:val="none"/>
        </w:rPr>
      </w:pPr>
      <w:bookmarkStart w:id="286" w:name="_Toc5799"/>
      <w:r>
        <w:rPr>
          <w:rFonts w:hint="default" w:cs="Times New Roman"/>
          <w:color w:val="auto"/>
          <w:highlight w:val="none"/>
          <w:lang w:val="en-US" w:eastAsia="zh-CN"/>
        </w:rPr>
        <w:t>固废处置措施论证分析</w:t>
      </w:r>
      <w:bookmarkEnd w:id="286"/>
    </w:p>
    <w:p>
      <w:pPr>
        <w:pStyle w:val="9"/>
        <w:rPr>
          <w:rFonts w:hint="eastAsia" w:cs="Times New Roman"/>
          <w:color w:val="auto"/>
          <w:highlight w:val="none"/>
          <w:lang w:val="en-US" w:eastAsia="zh-CN"/>
        </w:rPr>
      </w:pPr>
      <w:r>
        <w:rPr>
          <w:rFonts w:hint="eastAsia" w:cs="Times New Roman"/>
          <w:color w:val="auto"/>
          <w:highlight w:val="none"/>
          <w:lang w:val="en-US" w:eastAsia="zh-CN"/>
        </w:rPr>
        <w:t>固体废物污染防治措施可行性分析</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本项目固体废物处理处置将遵循环境健康风险预防、安全无害以及固体废物“减量化、资源化、无害化及生态化”的原则，有效的解决集约化养殖场的环境污染问题。达到变废为宝、化害为利、综合利用的目的。</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项目营运期固体废物包括一般固体废物和危险废物。其中一般固废包括为职工生活垃圾、餐厨垃圾（含隔油池油脂）、预处理池污泥、牛粪、污水处理站产生的沼渣、病死牛、废脱硫剂、废包装材料；危险废物为卫生防疫产生的畜禽医疗废物。</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（1）粪渣防治措施技术可行性</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1）清粪工艺</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本项目采用机械清粪工艺，经固液分离出的固体粪渣暂存于干粪棚，外售有资质的有机肥公司消纳。养殖场内不进行粪便堆肥，分离出的污水经处理后用于周围农田灌溉。该清粪工艺具备干清粪工艺基本特征，符合相关技术规范要求。</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2）粪渣资源化</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牛粪中含有大量农作物生长所必需的氮、磷、钾等营养元素和大量有机质，本项目场内不涉及厂内堆肥及有机肥制造。建设单位已同</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eastAsia" w:ascii="Times New Roman" w:hAnsi="Times New Roman" w:eastAsia="宋体" w:cs="Times New Roman"/>
          <w:color w:val="auto"/>
          <w:sz w:val="24"/>
          <w:szCs w:val="24"/>
          <w:highlight w:val="none"/>
          <w:lang w:val="zh-CN"/>
        </w:rPr>
        <w:t>签订合作协议（详见附件</w:t>
      </w:r>
      <w:r>
        <w:rPr>
          <w:rFonts w:hint="eastAsia" w:ascii="Times New Roman" w:hAnsi="Times New Roman" w:eastAsia="宋体" w:cs="Times New Roman"/>
          <w:color w:val="auto"/>
          <w:sz w:val="24"/>
          <w:szCs w:val="24"/>
          <w:highlight w:val="none"/>
          <w:lang w:val="en-US" w:eastAsia="zh-CN"/>
        </w:rPr>
        <w:t>7）</w:t>
      </w:r>
      <w:r>
        <w:rPr>
          <w:rFonts w:hint="eastAsia" w:ascii="Times New Roman" w:hAnsi="Times New Roman" w:eastAsia="宋体" w:cs="Times New Roman"/>
          <w:color w:val="auto"/>
          <w:sz w:val="24"/>
          <w:szCs w:val="24"/>
          <w:highlight w:val="none"/>
          <w:lang w:val="zh-CN"/>
        </w:rPr>
        <w:t>。</w:t>
      </w:r>
    </w:p>
    <w:p>
      <w:pPr>
        <w:spacing w:line="360" w:lineRule="auto"/>
        <w:ind w:firstLine="482" w:firstLineChars="200"/>
        <w:rPr>
          <w:rFonts w:hint="eastAsia" w:ascii="Times New Roman" w:hAnsi="Times New Roman" w:eastAsia="宋体" w:cs="Times New Roman"/>
          <w:b/>
          <w:bCs/>
          <w:color w:val="auto"/>
          <w:sz w:val="24"/>
          <w:szCs w:val="24"/>
          <w:highlight w:val="none"/>
          <w:lang w:val="zh-CN"/>
        </w:rPr>
      </w:pPr>
      <w:r>
        <w:rPr>
          <w:rFonts w:hint="eastAsia" w:ascii="Times New Roman" w:hAnsi="Times New Roman" w:eastAsia="宋体" w:cs="Times New Roman"/>
          <w:b/>
          <w:bCs/>
          <w:color w:val="auto"/>
          <w:sz w:val="24"/>
          <w:szCs w:val="24"/>
          <w:highlight w:val="none"/>
          <w:lang w:val="zh-CN"/>
        </w:rPr>
        <w:t>南江县万事康生物科技有限公司位于南江县关门镇擦耳岩村，公司总共拥有</w:t>
      </w:r>
      <w:r>
        <w:rPr>
          <w:rFonts w:hint="eastAsia" w:ascii="Times New Roman" w:hAnsi="Times New Roman" w:eastAsia="宋体" w:cs="Times New Roman"/>
          <w:b/>
          <w:bCs/>
          <w:color w:val="auto"/>
          <w:sz w:val="24"/>
          <w:szCs w:val="24"/>
          <w:highlight w:val="none"/>
          <w:lang w:val="en-US" w:eastAsia="zh-CN"/>
        </w:rPr>
        <w:t>8</w:t>
      </w:r>
      <w:r>
        <w:rPr>
          <w:rFonts w:hint="eastAsia" w:ascii="Times New Roman" w:hAnsi="Times New Roman" w:eastAsia="宋体" w:cs="Times New Roman"/>
          <w:b/>
          <w:bCs/>
          <w:color w:val="auto"/>
          <w:sz w:val="24"/>
          <w:szCs w:val="24"/>
          <w:highlight w:val="none"/>
          <w:lang w:val="zh-CN"/>
        </w:rPr>
        <w:t>万吨有机肥生产线，其中一期项目于</w:t>
      </w:r>
      <w:r>
        <w:rPr>
          <w:rFonts w:hint="eastAsia" w:ascii="Times New Roman" w:hAnsi="Times New Roman" w:eastAsia="宋体" w:cs="Times New Roman"/>
          <w:b/>
          <w:bCs/>
          <w:color w:val="auto"/>
          <w:sz w:val="24"/>
          <w:szCs w:val="24"/>
          <w:highlight w:val="none"/>
          <w:lang w:val="en-US" w:eastAsia="zh-CN"/>
        </w:rPr>
        <w:t>2015年2月取得</w:t>
      </w:r>
      <w:r>
        <w:rPr>
          <w:rFonts w:hint="eastAsia" w:ascii="Times New Roman" w:hAnsi="Times New Roman" w:eastAsia="宋体" w:cs="Times New Roman"/>
          <w:b/>
          <w:bCs/>
          <w:color w:val="auto"/>
          <w:sz w:val="24"/>
          <w:szCs w:val="24"/>
          <w:highlight w:val="none"/>
          <w:lang w:val="zh-CN"/>
        </w:rPr>
        <w:t>环评批复（南环审[20</w:t>
      </w:r>
      <w:r>
        <w:rPr>
          <w:rFonts w:hint="eastAsia" w:ascii="Times New Roman" w:hAnsi="Times New Roman" w:eastAsia="宋体" w:cs="Times New Roman"/>
          <w:b/>
          <w:bCs/>
          <w:color w:val="auto"/>
          <w:sz w:val="24"/>
          <w:szCs w:val="24"/>
          <w:highlight w:val="none"/>
          <w:lang w:val="en-US" w:eastAsia="zh-CN"/>
        </w:rPr>
        <w:t>15</w:t>
      </w:r>
      <w:r>
        <w:rPr>
          <w:rFonts w:hint="eastAsia" w:ascii="Times New Roman" w:hAnsi="Times New Roman" w:eastAsia="宋体" w:cs="Times New Roman"/>
          <w:b/>
          <w:bCs/>
          <w:color w:val="auto"/>
          <w:sz w:val="24"/>
          <w:szCs w:val="24"/>
          <w:highlight w:val="none"/>
          <w:lang w:val="zh-CN"/>
        </w:rPr>
        <w:t>]</w:t>
      </w:r>
      <w:r>
        <w:rPr>
          <w:rFonts w:hint="eastAsia" w:ascii="Times New Roman" w:hAnsi="Times New Roman" w:eastAsia="宋体" w:cs="Times New Roman"/>
          <w:b/>
          <w:bCs/>
          <w:color w:val="auto"/>
          <w:sz w:val="24"/>
          <w:szCs w:val="24"/>
          <w:highlight w:val="none"/>
          <w:lang w:val="en-US" w:eastAsia="zh-CN"/>
        </w:rPr>
        <w:t>12</w:t>
      </w:r>
      <w:r>
        <w:rPr>
          <w:rFonts w:hint="eastAsia" w:ascii="Times New Roman" w:hAnsi="Times New Roman" w:eastAsia="宋体" w:cs="Times New Roman"/>
          <w:b/>
          <w:bCs/>
          <w:color w:val="auto"/>
          <w:sz w:val="24"/>
          <w:szCs w:val="24"/>
          <w:highlight w:val="none"/>
          <w:lang w:val="zh-CN"/>
        </w:rPr>
        <w:t>号）</w:t>
      </w:r>
      <w:r>
        <w:rPr>
          <w:rFonts w:hint="eastAsia" w:ascii="Times New Roman" w:hAnsi="Times New Roman" w:eastAsia="宋体" w:cs="Times New Roman"/>
          <w:b/>
          <w:bCs/>
          <w:color w:val="auto"/>
          <w:sz w:val="24"/>
          <w:szCs w:val="24"/>
          <w:highlight w:val="none"/>
          <w:lang w:val="en-US" w:eastAsia="zh-CN"/>
        </w:rPr>
        <w:t>，年产能5万吨，二期</w:t>
      </w:r>
      <w:r>
        <w:rPr>
          <w:rFonts w:hint="eastAsia" w:ascii="Times New Roman" w:hAnsi="Times New Roman" w:eastAsia="宋体" w:cs="Times New Roman"/>
          <w:b/>
          <w:bCs/>
          <w:color w:val="auto"/>
          <w:sz w:val="24"/>
          <w:szCs w:val="24"/>
          <w:highlight w:val="none"/>
          <w:lang w:val="zh-CN"/>
        </w:rPr>
        <w:t>项目于</w:t>
      </w:r>
      <w:r>
        <w:rPr>
          <w:rFonts w:hint="eastAsia" w:ascii="Times New Roman" w:hAnsi="Times New Roman" w:eastAsia="宋体" w:cs="Times New Roman"/>
          <w:b/>
          <w:bCs/>
          <w:color w:val="auto"/>
          <w:sz w:val="24"/>
          <w:szCs w:val="24"/>
          <w:highlight w:val="none"/>
          <w:lang w:val="en-US" w:eastAsia="zh-CN"/>
        </w:rPr>
        <w:t>2019</w:t>
      </w:r>
      <w:r>
        <w:rPr>
          <w:rFonts w:hint="eastAsia" w:ascii="Times New Roman" w:hAnsi="Times New Roman" w:eastAsia="宋体" w:cs="Times New Roman"/>
          <w:b/>
          <w:bCs/>
          <w:color w:val="auto"/>
          <w:sz w:val="24"/>
          <w:szCs w:val="24"/>
          <w:highlight w:val="none"/>
          <w:lang w:val="zh-CN"/>
        </w:rPr>
        <w:t>年</w:t>
      </w:r>
      <w:r>
        <w:rPr>
          <w:rFonts w:hint="eastAsia" w:ascii="Times New Roman" w:hAnsi="Times New Roman" w:eastAsia="宋体" w:cs="Times New Roman"/>
          <w:b/>
          <w:bCs/>
          <w:color w:val="auto"/>
          <w:sz w:val="24"/>
          <w:szCs w:val="24"/>
          <w:highlight w:val="none"/>
          <w:lang w:val="en-US" w:eastAsia="zh-CN"/>
        </w:rPr>
        <w:t>7</w:t>
      </w:r>
      <w:r>
        <w:rPr>
          <w:rFonts w:hint="eastAsia" w:ascii="Times New Roman" w:hAnsi="Times New Roman" w:eastAsia="宋体" w:cs="Times New Roman"/>
          <w:b/>
          <w:bCs/>
          <w:color w:val="auto"/>
          <w:sz w:val="24"/>
          <w:szCs w:val="24"/>
          <w:highlight w:val="none"/>
          <w:lang w:val="zh-CN"/>
        </w:rPr>
        <w:t>月取得环评批复（南环审[20</w:t>
      </w:r>
      <w:r>
        <w:rPr>
          <w:rFonts w:hint="eastAsia" w:ascii="Times New Roman" w:hAnsi="Times New Roman" w:eastAsia="宋体" w:cs="Times New Roman"/>
          <w:b/>
          <w:bCs/>
          <w:color w:val="auto"/>
          <w:sz w:val="24"/>
          <w:szCs w:val="24"/>
          <w:highlight w:val="none"/>
          <w:lang w:val="en-US" w:eastAsia="zh-CN"/>
        </w:rPr>
        <w:t>19</w:t>
      </w:r>
      <w:r>
        <w:rPr>
          <w:rFonts w:hint="eastAsia" w:ascii="Times New Roman" w:hAnsi="Times New Roman" w:eastAsia="宋体" w:cs="Times New Roman"/>
          <w:b/>
          <w:bCs/>
          <w:color w:val="auto"/>
          <w:sz w:val="24"/>
          <w:szCs w:val="24"/>
          <w:highlight w:val="none"/>
          <w:lang w:val="zh-CN"/>
        </w:rPr>
        <w:t>]</w:t>
      </w:r>
      <w:r>
        <w:rPr>
          <w:rFonts w:hint="eastAsia" w:ascii="Times New Roman" w:hAnsi="Times New Roman" w:eastAsia="宋体" w:cs="Times New Roman"/>
          <w:b/>
          <w:bCs/>
          <w:color w:val="auto"/>
          <w:sz w:val="24"/>
          <w:szCs w:val="24"/>
          <w:highlight w:val="none"/>
          <w:lang w:val="en-US" w:eastAsia="zh-CN"/>
        </w:rPr>
        <w:t>24</w:t>
      </w:r>
      <w:r>
        <w:rPr>
          <w:rFonts w:hint="eastAsia" w:ascii="Times New Roman" w:hAnsi="Times New Roman" w:eastAsia="宋体" w:cs="Times New Roman"/>
          <w:b/>
          <w:bCs/>
          <w:color w:val="auto"/>
          <w:sz w:val="24"/>
          <w:szCs w:val="24"/>
          <w:highlight w:val="none"/>
          <w:lang w:val="zh-CN"/>
        </w:rPr>
        <w:t>号），年产能</w:t>
      </w:r>
      <w:r>
        <w:rPr>
          <w:rFonts w:hint="eastAsia" w:ascii="Times New Roman" w:hAnsi="Times New Roman" w:eastAsia="宋体" w:cs="Times New Roman"/>
          <w:b/>
          <w:bCs/>
          <w:color w:val="auto"/>
          <w:sz w:val="24"/>
          <w:szCs w:val="24"/>
          <w:highlight w:val="none"/>
          <w:lang w:val="en-US" w:eastAsia="zh-CN"/>
        </w:rPr>
        <w:t>3万吨，</w:t>
      </w:r>
      <w:r>
        <w:rPr>
          <w:rFonts w:hint="eastAsia" w:ascii="Times New Roman" w:hAnsi="Times New Roman" w:eastAsia="宋体" w:cs="Times New Roman"/>
          <w:b/>
          <w:bCs/>
          <w:color w:val="auto"/>
          <w:sz w:val="24"/>
          <w:szCs w:val="24"/>
          <w:highlight w:val="none"/>
          <w:lang w:val="zh-CN"/>
        </w:rPr>
        <w:t>目前两项目均已建成投产，</w:t>
      </w:r>
      <w:r>
        <w:rPr>
          <w:rFonts w:hint="eastAsia" w:ascii="Times New Roman" w:hAnsi="Times New Roman" w:eastAsia="宋体" w:cs="Times New Roman"/>
          <w:b/>
          <w:bCs/>
          <w:color w:val="auto"/>
          <w:sz w:val="24"/>
          <w:szCs w:val="24"/>
          <w:highlight w:val="none"/>
          <w:lang w:val="en-US" w:eastAsia="zh-CN"/>
        </w:rPr>
        <w:t>现该公司2期项目总共已接纳5万吨粪便，还余量3万吨的处理能力，</w:t>
      </w:r>
      <w:r>
        <w:rPr>
          <w:rFonts w:hint="eastAsia" w:ascii="Times New Roman" w:hAnsi="Times New Roman" w:eastAsia="宋体" w:cs="Times New Roman"/>
          <w:b/>
          <w:bCs/>
          <w:color w:val="auto"/>
          <w:sz w:val="24"/>
          <w:szCs w:val="24"/>
          <w:highlight w:val="none"/>
          <w:lang w:val="zh-CN"/>
        </w:rPr>
        <w:t>本项目牛粪产生量约</w:t>
      </w:r>
      <w:r>
        <w:rPr>
          <w:rFonts w:hint="eastAsia" w:ascii="Times New Roman" w:hAnsi="Times New Roman" w:eastAsia="宋体" w:cs="Times New Roman"/>
          <w:b/>
          <w:bCs/>
          <w:color w:val="auto"/>
          <w:sz w:val="24"/>
          <w:szCs w:val="24"/>
          <w:highlight w:val="none"/>
          <w:lang w:val="en-US" w:eastAsia="zh-CN"/>
        </w:rPr>
        <w:t>2.68万吨，能够满足本项目处理需求（详见附件8-2）</w:t>
      </w:r>
      <w:r>
        <w:rPr>
          <w:rFonts w:hint="eastAsia" w:ascii="Times New Roman" w:hAnsi="Times New Roman" w:eastAsia="宋体" w:cs="Times New Roman"/>
          <w:b/>
          <w:bCs/>
          <w:color w:val="auto"/>
          <w:sz w:val="24"/>
          <w:szCs w:val="24"/>
          <w:highlight w:val="none"/>
          <w:lang w:val="zh-CN"/>
        </w:rPr>
        <w:t>。</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3）粪渣的运输</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运输车辆以及费用由双方协商处理。在运输过程中同样会存在一些环境问题，必须采取相应的措施。</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①粪便在运输过程中必须采用专用罐车，防止沿途泄漏；</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②加盖运输，防止恶臭气体的逸散，以及粉尘污染、病菌传播；</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③装载不可过高，安全运输。</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对于场内的粪便处理，按资源化、无害化的原则进行，本项目场内不涉及厂内堆肥及有机肥制造。建设单位将固体粪便和沼渣收集后暂时堆放于干粪棚中，并与有资质且有能力消纳固体粪便和沼渣的单位签订协议，将其外售协议单位处理处置，既可以避免污染环境，又能使资源得到合理利用，可解决环境污染问题，以上处置措施可行。</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（2）污水处理设施沼渣防治措施技术可行性</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沼渣与粪便一起外运至协议公司处理。</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3</w:t>
      </w:r>
      <w:r>
        <w:rPr>
          <w:rFonts w:hint="eastAsia" w:ascii="Times New Roman" w:hAnsi="Times New Roman" w:eastAsia="宋体" w:cs="Times New Roman"/>
          <w:color w:val="auto"/>
          <w:sz w:val="24"/>
          <w:szCs w:val="24"/>
          <w:highlight w:val="none"/>
          <w:lang w:val="zh-CN"/>
        </w:rPr>
        <w:t>）病死牛防治措施技术可行性</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根据《病死及病害动物无害化处理技术规范》（农医发【2017】25号附件）中无害化处理的定义，本项目采用高温法处理，本项目采用云浮市益康生环保科技有限公司专利产品（专利证书详见附件）无害化降解处理机处理病死牛。目前该专利已在50余单位成功应用，取得优异的处理效果。处置后的废物用于肥料出售，且不产生二次污染。</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1）技术原理</w:t>
      </w:r>
    </w:p>
    <w:p>
      <w:pPr>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采用高温生物发酵技术原理,利用设备产生的连续24h的高温(100PC)环境实现灭活病原体，利用芽孢杆菌分解的脂肪酶、蛋白质酶降解有机物的特性，实现动物尸体无害化降解处理。同时该设备综合分切、绞碎、发酵、杀菌、干燥等多个同步环节，把畜禽尸体等废弃物快速降解处理为有机肥原料。</w:t>
      </w:r>
    </w:p>
    <w:p>
      <w:pPr>
        <w:pStyle w:val="114"/>
        <w:rPr>
          <w:rFonts w:hint="eastAsia"/>
          <w:color w:val="auto"/>
          <w:highlight w:val="none"/>
          <w:lang w:val="en-US" w:eastAsia="zh-CN"/>
        </w:rPr>
      </w:pPr>
      <w:r>
        <w:rPr>
          <w:rFonts w:hint="eastAsia"/>
          <w:color w:val="auto"/>
          <w:highlight w:val="none"/>
          <w:lang w:val="en-US" w:eastAsia="zh-CN"/>
        </w:rPr>
        <w:t>降解益生菌工作原理：菌种主要是通过自身分泌高活性的蛋白酶及脂肪酶等酶系，释放到细胞外部，并与动物尸体接触后发生酶解作用，将动物尸体中的主要成分：蛋白质、脂肪等高分子物质逐步酶解成为低分子物质如短肽及脂肪酸，并通过多次循环作用将短肽及脂肪酸进一步降解为氨基酸、乙酰辅酶 A 等单体。这些单体物质进入菌种体内，被菌种体内的三羧酸循环等代谢途径彻底分解为二氧化碳、水等物质，从而实现动物尸体的降解。</w:t>
      </w:r>
    </w:p>
    <w:p>
      <w:pPr>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害化降解处理机与传统处理方法对比见下表。</w:t>
      </w:r>
    </w:p>
    <w:p>
      <w:pPr>
        <w:pStyle w:val="2504"/>
        <w:numPr>
          <w:ilvl w:val="0"/>
          <w:numId w:val="45"/>
        </w:numPr>
        <w:spacing w:before="120" w:line="360" w:lineRule="auto"/>
        <w:ind w:left="425" w:leftChars="0" w:hanging="425" w:firstLine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eastAsia="zh-CN"/>
        </w:rPr>
        <w:t>无害化降解处理机与传统方法对比</w:t>
      </w:r>
    </w:p>
    <w:tbl>
      <w:tblPr>
        <w:tblStyle w:val="91"/>
        <w:tblW w:w="4998" w:type="pct"/>
        <w:tblInd w:w="0" w:type="dxa"/>
        <w:tblLayout w:type="autofit"/>
        <w:tblCellMar>
          <w:top w:w="0" w:type="dxa"/>
          <w:left w:w="0" w:type="dxa"/>
          <w:bottom w:w="0" w:type="dxa"/>
          <w:right w:w="0" w:type="dxa"/>
        </w:tblCellMar>
      </w:tblPr>
      <w:tblGrid>
        <w:gridCol w:w="993"/>
        <w:gridCol w:w="1566"/>
        <w:gridCol w:w="1584"/>
        <w:gridCol w:w="1584"/>
        <w:gridCol w:w="1584"/>
        <w:gridCol w:w="992"/>
      </w:tblGrid>
      <w:tr>
        <w:tblPrEx>
          <w:tblCellMar>
            <w:top w:w="0" w:type="dxa"/>
            <w:left w:w="0" w:type="dxa"/>
            <w:bottom w:w="0" w:type="dxa"/>
            <w:right w:w="0" w:type="dxa"/>
          </w:tblCellMar>
        </w:tblPrEx>
        <w:tc>
          <w:tcPr>
            <w:tcW w:w="598" w:type="pct"/>
            <w:tcBorders>
              <w:top w:val="single" w:color="auto" w:sz="12"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3" w:beforeAutospacing="0" w:after="0" w:afterAutospacing="0"/>
              <w:ind w:left="0" w:right="0"/>
              <w:jc w:val="center"/>
              <w:rPr>
                <w:rFonts w:hint="default"/>
                <w:b/>
                <w:color w:val="auto"/>
                <w:highlight w:val="none"/>
              </w:rPr>
            </w:pPr>
            <w:r>
              <w:rPr>
                <w:rFonts w:hint="default"/>
                <w:b/>
                <w:color w:val="auto"/>
                <w:sz w:val="21"/>
                <w:szCs w:val="21"/>
                <w:highlight w:val="none"/>
              </w:rPr>
              <w:t>处理方法</w:t>
            </w:r>
          </w:p>
        </w:tc>
        <w:tc>
          <w:tcPr>
            <w:tcW w:w="942" w:type="pct"/>
            <w:tcBorders>
              <w:top w:val="single" w:color="auto" w:sz="12"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3" w:beforeAutospacing="0" w:after="0" w:afterAutospacing="0"/>
              <w:ind w:left="0" w:right="0"/>
              <w:jc w:val="center"/>
              <w:rPr>
                <w:rFonts w:hint="default"/>
                <w:b/>
                <w:color w:val="auto"/>
                <w:highlight w:val="none"/>
              </w:rPr>
            </w:pPr>
            <w:r>
              <w:rPr>
                <w:rFonts w:hint="default"/>
                <w:b/>
                <w:color w:val="auto"/>
                <w:sz w:val="21"/>
                <w:szCs w:val="21"/>
                <w:highlight w:val="none"/>
              </w:rPr>
              <w:t>高温生物降解法</w:t>
            </w:r>
          </w:p>
        </w:tc>
        <w:tc>
          <w:tcPr>
            <w:tcW w:w="953" w:type="pct"/>
            <w:tcBorders>
              <w:top w:val="single" w:color="auto" w:sz="12"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3" w:beforeAutospacing="0" w:after="0" w:afterAutospacing="0"/>
              <w:ind w:left="0" w:right="0"/>
              <w:jc w:val="center"/>
              <w:rPr>
                <w:rFonts w:hint="default"/>
                <w:b/>
                <w:color w:val="auto"/>
                <w:sz w:val="21"/>
                <w:szCs w:val="21"/>
                <w:highlight w:val="none"/>
              </w:rPr>
            </w:pPr>
            <w:r>
              <w:rPr>
                <w:rFonts w:hint="default"/>
                <w:b/>
                <w:color w:val="auto"/>
                <w:sz w:val="21"/>
                <w:szCs w:val="21"/>
                <w:highlight w:val="none"/>
              </w:rPr>
              <w:t>填埋法</w:t>
            </w:r>
          </w:p>
        </w:tc>
        <w:tc>
          <w:tcPr>
            <w:tcW w:w="953" w:type="pct"/>
            <w:tcBorders>
              <w:top w:val="single" w:color="auto" w:sz="12"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3" w:beforeAutospacing="0" w:after="0" w:afterAutospacing="0"/>
              <w:ind w:left="0" w:right="0"/>
              <w:jc w:val="center"/>
              <w:rPr>
                <w:rFonts w:hint="default"/>
                <w:b/>
                <w:color w:val="auto"/>
                <w:sz w:val="21"/>
                <w:szCs w:val="21"/>
                <w:highlight w:val="none"/>
              </w:rPr>
            </w:pPr>
            <w:r>
              <w:rPr>
                <w:rFonts w:hint="default"/>
                <w:b/>
                <w:color w:val="auto"/>
                <w:sz w:val="21"/>
                <w:szCs w:val="21"/>
                <w:highlight w:val="none"/>
              </w:rPr>
              <w:t xml:space="preserve">焚烧法 </w:t>
            </w:r>
          </w:p>
        </w:tc>
        <w:tc>
          <w:tcPr>
            <w:tcW w:w="953" w:type="pct"/>
            <w:tcBorders>
              <w:top w:val="single" w:color="auto" w:sz="12"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3" w:beforeAutospacing="0" w:after="0" w:afterAutospacing="0"/>
              <w:ind w:left="0" w:right="0"/>
              <w:jc w:val="center"/>
              <w:rPr>
                <w:rFonts w:hint="default"/>
                <w:b/>
                <w:color w:val="auto"/>
                <w:highlight w:val="none"/>
              </w:rPr>
            </w:pPr>
            <w:r>
              <w:rPr>
                <w:rFonts w:hint="default"/>
                <w:b/>
                <w:color w:val="auto"/>
                <w:sz w:val="21"/>
                <w:szCs w:val="21"/>
                <w:highlight w:val="none"/>
              </w:rPr>
              <w:t>化制法</w:t>
            </w:r>
          </w:p>
        </w:tc>
        <w:tc>
          <w:tcPr>
            <w:tcW w:w="597" w:type="pct"/>
            <w:tcBorders>
              <w:top w:val="single" w:color="auto" w:sz="12" w:space="0"/>
              <w:left w:val="single" w:color="000000" w:sz="6" w:space="0"/>
              <w:bottom w:val="single" w:color="000000" w:sz="4" w:space="0"/>
            </w:tcBorders>
            <w:noWrap w:val="0"/>
            <w:vAlign w:val="center"/>
          </w:tcPr>
          <w:p>
            <w:pPr>
              <w:pStyle w:val="167"/>
              <w:keepNext w:val="0"/>
              <w:keepLines w:val="0"/>
              <w:suppressLineNumbers w:val="0"/>
              <w:kinsoku w:val="0"/>
              <w:overflowPunct w:val="0"/>
              <w:spacing w:before="43" w:beforeAutospacing="0" w:after="0" w:afterAutospacing="0"/>
              <w:ind w:left="0" w:right="0"/>
              <w:jc w:val="center"/>
              <w:rPr>
                <w:rFonts w:hint="default"/>
                <w:b/>
                <w:color w:val="auto"/>
                <w:highlight w:val="none"/>
              </w:rPr>
            </w:pPr>
            <w:r>
              <w:rPr>
                <w:rFonts w:hint="default"/>
                <w:b/>
                <w:color w:val="auto"/>
                <w:sz w:val="21"/>
                <w:szCs w:val="21"/>
                <w:highlight w:val="none"/>
              </w:rPr>
              <w:t>化尸池</w:t>
            </w:r>
          </w:p>
        </w:tc>
      </w:tr>
      <w:tr>
        <w:tblPrEx>
          <w:tblCellMar>
            <w:top w:w="0" w:type="dxa"/>
            <w:left w:w="0" w:type="dxa"/>
            <w:bottom w:w="0" w:type="dxa"/>
            <w:right w:w="0" w:type="dxa"/>
          </w:tblCellMar>
        </w:tblPrEx>
        <w:tc>
          <w:tcPr>
            <w:tcW w:w="598" w:type="pct"/>
            <w:tcBorders>
              <w:top w:val="single" w:color="000000" w:sz="4"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2" w:beforeAutospacing="0" w:after="0" w:afterAutospacing="0"/>
              <w:ind w:left="0" w:right="0"/>
              <w:jc w:val="center"/>
              <w:rPr>
                <w:rFonts w:hint="default"/>
                <w:color w:val="auto"/>
                <w:highlight w:val="none"/>
              </w:rPr>
            </w:pPr>
            <w:r>
              <w:rPr>
                <w:rFonts w:hint="default"/>
                <w:color w:val="auto"/>
                <w:sz w:val="21"/>
                <w:szCs w:val="21"/>
                <w:highlight w:val="none"/>
              </w:rPr>
              <w:t>原理</w:t>
            </w:r>
          </w:p>
        </w:tc>
        <w:tc>
          <w:tcPr>
            <w:tcW w:w="942"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2" w:beforeAutospacing="0" w:after="0" w:afterAutospacing="0"/>
              <w:ind w:left="0" w:right="0"/>
              <w:jc w:val="center"/>
              <w:rPr>
                <w:rFonts w:hint="default"/>
                <w:color w:val="auto"/>
                <w:sz w:val="21"/>
                <w:szCs w:val="21"/>
                <w:highlight w:val="none"/>
              </w:rPr>
            </w:pPr>
            <w:r>
              <w:rPr>
                <w:rFonts w:hint="default"/>
                <w:color w:val="auto"/>
                <w:sz w:val="21"/>
                <w:szCs w:val="21"/>
                <w:highlight w:val="none"/>
              </w:rPr>
              <w:t>机械设备中微</w:t>
            </w:r>
          </w:p>
          <w:p>
            <w:pPr>
              <w:pStyle w:val="167"/>
              <w:keepNext w:val="0"/>
              <w:keepLines w:val="0"/>
              <w:suppressLineNumbers w:val="0"/>
              <w:kinsoku w:val="0"/>
              <w:overflowPunct w:val="0"/>
              <w:spacing w:before="42" w:beforeAutospacing="0" w:after="0" w:afterAutospacing="0"/>
              <w:ind w:left="0" w:right="0"/>
              <w:jc w:val="center"/>
              <w:rPr>
                <w:rFonts w:hint="default"/>
                <w:color w:val="auto"/>
                <w:highlight w:val="none"/>
              </w:rPr>
            </w:pPr>
            <w:r>
              <w:rPr>
                <w:rFonts w:hint="default"/>
                <w:color w:val="auto"/>
                <w:sz w:val="21"/>
                <w:szCs w:val="21"/>
                <w:highlight w:val="none"/>
              </w:rPr>
              <w:t>生物分解</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2" w:beforeAutospacing="0" w:after="0" w:afterAutospacing="0"/>
              <w:ind w:left="0" w:right="0"/>
              <w:jc w:val="center"/>
              <w:rPr>
                <w:rFonts w:hint="default"/>
                <w:color w:val="auto"/>
                <w:sz w:val="21"/>
                <w:szCs w:val="21"/>
                <w:highlight w:val="none"/>
              </w:rPr>
            </w:pPr>
            <w:r>
              <w:rPr>
                <w:rFonts w:hint="default"/>
                <w:color w:val="auto"/>
                <w:sz w:val="21"/>
                <w:szCs w:val="21"/>
                <w:highlight w:val="none"/>
              </w:rPr>
              <w:t>土壤微生物分</w:t>
            </w:r>
          </w:p>
          <w:p>
            <w:pPr>
              <w:pStyle w:val="167"/>
              <w:keepNext w:val="0"/>
              <w:keepLines w:val="0"/>
              <w:suppressLineNumbers w:val="0"/>
              <w:kinsoku w:val="0"/>
              <w:overflowPunct w:val="0"/>
              <w:spacing w:before="42" w:beforeAutospacing="0" w:after="0" w:afterAutospacing="0"/>
              <w:ind w:left="0" w:right="0"/>
              <w:jc w:val="center"/>
              <w:rPr>
                <w:rFonts w:hint="default"/>
                <w:color w:val="auto"/>
                <w:sz w:val="21"/>
                <w:szCs w:val="21"/>
                <w:highlight w:val="none"/>
              </w:rPr>
            </w:pPr>
            <w:r>
              <w:rPr>
                <w:rFonts w:hint="default"/>
                <w:color w:val="auto"/>
                <w:sz w:val="21"/>
                <w:szCs w:val="21"/>
                <w:highlight w:val="none"/>
              </w:rPr>
              <w:t>解</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2" w:beforeAutospacing="0" w:after="0" w:afterAutospacing="0"/>
              <w:ind w:left="0" w:right="0"/>
              <w:jc w:val="center"/>
              <w:rPr>
                <w:rFonts w:hint="default"/>
                <w:color w:val="auto"/>
                <w:sz w:val="21"/>
                <w:szCs w:val="21"/>
                <w:highlight w:val="none"/>
              </w:rPr>
            </w:pPr>
            <w:r>
              <w:rPr>
                <w:rFonts w:hint="default"/>
                <w:color w:val="auto"/>
                <w:sz w:val="21"/>
                <w:szCs w:val="21"/>
                <w:highlight w:val="none"/>
              </w:rPr>
              <w:t xml:space="preserve">高温焚烧 </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2" w:beforeAutospacing="0" w:after="0" w:afterAutospacing="0"/>
              <w:ind w:left="0" w:right="0"/>
              <w:jc w:val="center"/>
              <w:rPr>
                <w:rFonts w:hint="default"/>
                <w:color w:val="auto"/>
                <w:highlight w:val="none"/>
              </w:rPr>
            </w:pPr>
            <w:r>
              <w:rPr>
                <w:rFonts w:hint="default"/>
                <w:color w:val="auto"/>
                <w:sz w:val="21"/>
                <w:szCs w:val="21"/>
                <w:highlight w:val="none"/>
              </w:rPr>
              <w:t xml:space="preserve">湿热高温高压 </w:t>
            </w:r>
          </w:p>
        </w:tc>
        <w:tc>
          <w:tcPr>
            <w:tcW w:w="597" w:type="pct"/>
            <w:tcBorders>
              <w:top w:val="single" w:color="000000" w:sz="4" w:space="0"/>
              <w:left w:val="single" w:color="000000" w:sz="6" w:space="0"/>
              <w:bottom w:val="single" w:color="000000" w:sz="4"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default"/>
                <w:color w:val="auto"/>
                <w:highlight w:val="none"/>
              </w:rPr>
            </w:pPr>
            <w:r>
              <w:rPr>
                <w:rFonts w:hint="default"/>
                <w:color w:val="auto"/>
                <w:sz w:val="21"/>
                <w:szCs w:val="21"/>
                <w:highlight w:val="none"/>
              </w:rPr>
              <w:t>微生物发酵</w:t>
            </w:r>
          </w:p>
        </w:tc>
      </w:tr>
      <w:tr>
        <w:tblPrEx>
          <w:tblCellMar>
            <w:top w:w="0" w:type="dxa"/>
            <w:left w:w="0" w:type="dxa"/>
            <w:bottom w:w="0" w:type="dxa"/>
            <w:right w:w="0" w:type="dxa"/>
          </w:tblCellMar>
        </w:tblPrEx>
        <w:tc>
          <w:tcPr>
            <w:tcW w:w="598" w:type="pct"/>
            <w:tcBorders>
              <w:top w:val="single" w:color="000000" w:sz="4"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2" w:beforeAutospacing="0" w:after="0" w:afterAutospacing="0"/>
              <w:ind w:left="0" w:right="0"/>
              <w:jc w:val="center"/>
              <w:rPr>
                <w:rFonts w:hint="default"/>
                <w:color w:val="auto"/>
                <w:highlight w:val="none"/>
              </w:rPr>
            </w:pPr>
            <w:r>
              <w:rPr>
                <w:rFonts w:hint="default"/>
                <w:color w:val="auto"/>
                <w:sz w:val="21"/>
                <w:szCs w:val="21"/>
                <w:highlight w:val="none"/>
              </w:rPr>
              <w:t>初始投资</w:t>
            </w:r>
          </w:p>
        </w:tc>
        <w:tc>
          <w:tcPr>
            <w:tcW w:w="942"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default"/>
                <w:color w:val="auto"/>
                <w:highlight w:val="none"/>
              </w:rPr>
            </w:pPr>
            <w:r>
              <w:rPr>
                <w:rFonts w:hint="default"/>
                <w:color w:val="auto"/>
                <w:sz w:val="21"/>
                <w:szCs w:val="21"/>
                <w:highlight w:val="none"/>
              </w:rPr>
              <w:t>中</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低</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中</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2" w:beforeAutospacing="0" w:after="0" w:afterAutospacing="0"/>
              <w:ind w:left="0" w:right="0"/>
              <w:jc w:val="center"/>
              <w:rPr>
                <w:rFonts w:hint="eastAsia" w:eastAsia="宋体"/>
                <w:color w:val="auto"/>
                <w:highlight w:val="none"/>
                <w:lang w:eastAsia="zh-CN"/>
              </w:rPr>
            </w:pPr>
            <w:r>
              <w:rPr>
                <w:rFonts w:hint="eastAsia"/>
                <w:color w:val="auto"/>
                <w:sz w:val="21"/>
                <w:szCs w:val="21"/>
                <w:highlight w:val="none"/>
                <w:lang w:eastAsia="zh-CN"/>
              </w:rPr>
              <w:t>较高</w:t>
            </w:r>
          </w:p>
        </w:tc>
        <w:tc>
          <w:tcPr>
            <w:tcW w:w="597" w:type="pct"/>
            <w:tcBorders>
              <w:top w:val="single" w:color="000000" w:sz="4" w:space="0"/>
              <w:left w:val="single" w:color="000000" w:sz="6" w:space="0"/>
              <w:bottom w:val="single" w:color="000000" w:sz="4"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highlight w:val="none"/>
                <w:lang w:eastAsia="zh-CN"/>
              </w:rPr>
            </w:pPr>
            <w:r>
              <w:rPr>
                <w:rFonts w:hint="eastAsia"/>
                <w:color w:val="auto"/>
                <w:sz w:val="21"/>
                <w:szCs w:val="21"/>
                <w:highlight w:val="none"/>
                <w:lang w:eastAsia="zh-CN"/>
              </w:rPr>
              <w:t>较高</w:t>
            </w:r>
          </w:p>
        </w:tc>
      </w:tr>
      <w:tr>
        <w:tc>
          <w:tcPr>
            <w:tcW w:w="598" w:type="pct"/>
            <w:tcBorders>
              <w:top w:val="single" w:color="000000" w:sz="4"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1" w:beforeAutospacing="0" w:after="0" w:afterAutospacing="0"/>
              <w:ind w:left="0" w:right="0"/>
              <w:jc w:val="center"/>
              <w:rPr>
                <w:rFonts w:hint="default"/>
                <w:color w:val="auto"/>
                <w:highlight w:val="none"/>
              </w:rPr>
            </w:pPr>
            <w:r>
              <w:rPr>
                <w:rFonts w:hint="default"/>
                <w:color w:val="auto"/>
                <w:sz w:val="21"/>
                <w:szCs w:val="21"/>
                <w:highlight w:val="none"/>
              </w:rPr>
              <w:t>无害化程度</w:t>
            </w:r>
          </w:p>
        </w:tc>
        <w:tc>
          <w:tcPr>
            <w:tcW w:w="942"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highlight w:val="none"/>
                <w:lang w:eastAsia="zh-CN"/>
              </w:rPr>
            </w:pPr>
            <w:r>
              <w:rPr>
                <w:rFonts w:hint="eastAsia"/>
                <w:color w:val="auto"/>
                <w:sz w:val="21"/>
                <w:szCs w:val="21"/>
                <w:highlight w:val="none"/>
                <w:lang w:eastAsia="zh-CN"/>
              </w:rPr>
              <w:t>好</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差</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好</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1" w:beforeAutospacing="0" w:after="0" w:afterAutospacing="0"/>
              <w:ind w:left="0" w:right="0"/>
              <w:jc w:val="center"/>
              <w:rPr>
                <w:rFonts w:hint="eastAsia" w:eastAsia="宋体"/>
                <w:color w:val="auto"/>
                <w:highlight w:val="none"/>
                <w:lang w:eastAsia="zh-CN"/>
              </w:rPr>
            </w:pPr>
            <w:r>
              <w:rPr>
                <w:rFonts w:hint="eastAsia"/>
                <w:color w:val="auto"/>
                <w:sz w:val="21"/>
                <w:szCs w:val="21"/>
                <w:highlight w:val="none"/>
                <w:lang w:eastAsia="zh-CN"/>
              </w:rPr>
              <w:t>较快</w:t>
            </w:r>
          </w:p>
        </w:tc>
        <w:tc>
          <w:tcPr>
            <w:tcW w:w="597" w:type="pct"/>
            <w:tcBorders>
              <w:top w:val="single" w:color="000000" w:sz="4" w:space="0"/>
              <w:left w:val="single" w:color="000000" w:sz="6" w:space="0"/>
              <w:bottom w:val="single" w:color="000000" w:sz="4"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highlight w:val="none"/>
                <w:lang w:eastAsia="zh-CN"/>
              </w:rPr>
            </w:pPr>
            <w:r>
              <w:rPr>
                <w:rFonts w:hint="eastAsia"/>
                <w:color w:val="auto"/>
                <w:sz w:val="21"/>
                <w:szCs w:val="21"/>
                <w:highlight w:val="none"/>
                <w:lang w:eastAsia="zh-CN"/>
              </w:rPr>
              <w:t>差</w:t>
            </w:r>
          </w:p>
        </w:tc>
      </w:tr>
      <w:tr>
        <w:tblPrEx>
          <w:tblCellMar>
            <w:top w:w="0" w:type="dxa"/>
            <w:left w:w="0" w:type="dxa"/>
            <w:bottom w:w="0" w:type="dxa"/>
            <w:right w:w="0" w:type="dxa"/>
          </w:tblCellMar>
        </w:tblPrEx>
        <w:tc>
          <w:tcPr>
            <w:tcW w:w="598" w:type="pct"/>
            <w:tcBorders>
              <w:top w:val="single" w:color="000000" w:sz="4"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1" w:beforeAutospacing="0" w:after="0" w:afterAutospacing="0"/>
              <w:ind w:left="0" w:right="0"/>
              <w:jc w:val="center"/>
              <w:rPr>
                <w:rFonts w:hint="default"/>
                <w:color w:val="auto"/>
                <w:sz w:val="21"/>
                <w:szCs w:val="21"/>
                <w:highlight w:val="none"/>
              </w:rPr>
            </w:pPr>
            <w:r>
              <w:rPr>
                <w:rFonts w:hint="default"/>
                <w:color w:val="auto"/>
                <w:sz w:val="21"/>
                <w:szCs w:val="21"/>
                <w:highlight w:val="none"/>
              </w:rPr>
              <w:t>处理周期</w:t>
            </w:r>
          </w:p>
        </w:tc>
        <w:tc>
          <w:tcPr>
            <w:tcW w:w="942"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较快</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长</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快</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较快</w:t>
            </w:r>
          </w:p>
        </w:tc>
        <w:tc>
          <w:tcPr>
            <w:tcW w:w="597" w:type="pct"/>
            <w:tcBorders>
              <w:top w:val="single" w:color="000000" w:sz="4" w:space="0"/>
              <w:left w:val="single" w:color="000000" w:sz="6" w:space="0"/>
              <w:bottom w:val="single" w:color="000000" w:sz="4"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较长</w:t>
            </w:r>
          </w:p>
        </w:tc>
      </w:tr>
      <w:tr>
        <w:tblPrEx>
          <w:tblCellMar>
            <w:top w:w="0" w:type="dxa"/>
            <w:left w:w="0" w:type="dxa"/>
            <w:bottom w:w="0" w:type="dxa"/>
            <w:right w:w="0" w:type="dxa"/>
          </w:tblCellMar>
        </w:tblPrEx>
        <w:tc>
          <w:tcPr>
            <w:tcW w:w="598" w:type="pct"/>
            <w:tcBorders>
              <w:top w:val="single" w:color="000000" w:sz="4"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1" w:beforeAutospacing="0" w:after="0" w:afterAutospacing="0"/>
              <w:ind w:left="0" w:right="0"/>
              <w:jc w:val="center"/>
              <w:rPr>
                <w:rFonts w:hint="default"/>
                <w:color w:val="auto"/>
                <w:sz w:val="21"/>
                <w:szCs w:val="21"/>
                <w:highlight w:val="none"/>
              </w:rPr>
            </w:pPr>
            <w:r>
              <w:rPr>
                <w:rFonts w:hint="default"/>
                <w:color w:val="auto"/>
                <w:sz w:val="21"/>
                <w:szCs w:val="21"/>
                <w:highlight w:val="none"/>
              </w:rPr>
              <w:t>运行费用</w:t>
            </w:r>
          </w:p>
        </w:tc>
        <w:tc>
          <w:tcPr>
            <w:tcW w:w="942"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中</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default"/>
                <w:color w:val="auto"/>
                <w:sz w:val="21"/>
                <w:szCs w:val="21"/>
                <w:highlight w:val="none"/>
              </w:rPr>
              <w:t>较高（人工及挖坑机械费</w:t>
            </w:r>
            <w:r>
              <w:rPr>
                <w:rFonts w:hint="eastAsia"/>
                <w:color w:val="auto"/>
                <w:sz w:val="21"/>
                <w:szCs w:val="21"/>
                <w:highlight w:val="none"/>
                <w:lang w:eastAsia="zh-CN"/>
              </w:rPr>
              <w:t>用）</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高</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高</w:t>
            </w:r>
          </w:p>
        </w:tc>
        <w:tc>
          <w:tcPr>
            <w:tcW w:w="597" w:type="pct"/>
            <w:tcBorders>
              <w:top w:val="single" w:color="000000" w:sz="4" w:space="0"/>
              <w:left w:val="single" w:color="000000" w:sz="6" w:space="0"/>
              <w:bottom w:val="single" w:color="000000" w:sz="4"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低</w:t>
            </w:r>
          </w:p>
        </w:tc>
      </w:tr>
      <w:tr>
        <w:tblPrEx>
          <w:tblCellMar>
            <w:top w:w="0" w:type="dxa"/>
            <w:left w:w="0" w:type="dxa"/>
            <w:bottom w:w="0" w:type="dxa"/>
            <w:right w:w="0" w:type="dxa"/>
          </w:tblCellMar>
        </w:tblPrEx>
        <w:tc>
          <w:tcPr>
            <w:tcW w:w="598" w:type="pct"/>
            <w:tcBorders>
              <w:top w:val="single" w:color="000000" w:sz="4"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1" w:beforeAutospacing="0" w:after="0" w:afterAutospacing="0"/>
              <w:ind w:left="0" w:right="0"/>
              <w:jc w:val="center"/>
              <w:rPr>
                <w:rFonts w:hint="default"/>
                <w:color w:val="auto"/>
                <w:sz w:val="21"/>
                <w:szCs w:val="21"/>
                <w:highlight w:val="none"/>
              </w:rPr>
            </w:pPr>
            <w:r>
              <w:rPr>
                <w:rFonts w:hint="default"/>
                <w:color w:val="auto"/>
                <w:sz w:val="21"/>
                <w:szCs w:val="21"/>
                <w:highlight w:val="none"/>
              </w:rPr>
              <w:t>经济收益</w:t>
            </w:r>
          </w:p>
        </w:tc>
        <w:tc>
          <w:tcPr>
            <w:tcW w:w="942"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肥料</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无</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无</w:t>
            </w:r>
          </w:p>
        </w:tc>
        <w:tc>
          <w:tcPr>
            <w:tcW w:w="953" w:type="pct"/>
            <w:tcBorders>
              <w:top w:val="single" w:color="000000" w:sz="4" w:space="0"/>
              <w:left w:val="single" w:color="000000" w:sz="6" w:space="0"/>
              <w:bottom w:val="single" w:color="000000" w:sz="4" w:space="0"/>
              <w:right w:val="single" w:color="000000" w:sz="6" w:space="0"/>
            </w:tcBorders>
            <w:noWrap w:val="0"/>
            <w:vAlign w:val="center"/>
          </w:tcPr>
          <w:p>
            <w:pPr>
              <w:pStyle w:val="167"/>
              <w:keepNext w:val="0"/>
              <w:keepLines w:val="0"/>
              <w:suppressLineNumbers w:val="0"/>
              <w:kinsoku w:val="0"/>
              <w:overflowPunct w:val="0"/>
              <w:spacing w:before="4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油、骨粉</w:t>
            </w:r>
          </w:p>
        </w:tc>
        <w:tc>
          <w:tcPr>
            <w:tcW w:w="597" w:type="pct"/>
            <w:tcBorders>
              <w:top w:val="single" w:color="000000" w:sz="4" w:space="0"/>
              <w:left w:val="single" w:color="000000" w:sz="6" w:space="0"/>
              <w:bottom w:val="single" w:color="000000" w:sz="4"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无</w:t>
            </w:r>
          </w:p>
        </w:tc>
      </w:tr>
      <w:tr>
        <w:tc>
          <w:tcPr>
            <w:tcW w:w="598" w:type="pct"/>
            <w:tcBorders>
              <w:top w:val="single" w:color="000000" w:sz="4" w:space="0"/>
              <w:bottom w:val="single" w:color="auto" w:sz="12" w:space="0"/>
              <w:right w:val="single" w:color="000000" w:sz="6" w:space="0"/>
            </w:tcBorders>
            <w:noWrap w:val="0"/>
            <w:vAlign w:val="center"/>
          </w:tcPr>
          <w:p>
            <w:pPr>
              <w:pStyle w:val="167"/>
              <w:keepNext w:val="0"/>
              <w:keepLines w:val="0"/>
              <w:suppressLineNumbers w:val="0"/>
              <w:kinsoku w:val="0"/>
              <w:overflowPunct w:val="0"/>
              <w:spacing w:before="41" w:beforeAutospacing="0" w:after="0" w:afterAutospacing="0"/>
              <w:ind w:left="0" w:right="0"/>
              <w:jc w:val="center"/>
              <w:rPr>
                <w:rFonts w:hint="default"/>
                <w:color w:val="auto"/>
                <w:sz w:val="21"/>
                <w:szCs w:val="21"/>
                <w:highlight w:val="none"/>
              </w:rPr>
            </w:pPr>
            <w:r>
              <w:rPr>
                <w:rFonts w:hint="default"/>
                <w:color w:val="auto"/>
                <w:sz w:val="21"/>
                <w:szCs w:val="21"/>
                <w:highlight w:val="none"/>
              </w:rPr>
              <w:t>运营风险</w:t>
            </w:r>
          </w:p>
        </w:tc>
        <w:tc>
          <w:tcPr>
            <w:tcW w:w="942" w:type="pct"/>
            <w:tcBorders>
              <w:top w:val="single" w:color="000000" w:sz="4" w:space="0"/>
              <w:left w:val="single" w:color="000000" w:sz="6" w:space="0"/>
              <w:bottom w:val="single" w:color="auto" w:sz="12"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低</w:t>
            </w:r>
          </w:p>
        </w:tc>
        <w:tc>
          <w:tcPr>
            <w:tcW w:w="953" w:type="pct"/>
            <w:tcBorders>
              <w:top w:val="single" w:color="000000" w:sz="4" w:space="0"/>
              <w:left w:val="single" w:color="000000" w:sz="6" w:space="0"/>
              <w:bottom w:val="single" w:color="auto" w:sz="12"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default"/>
                <w:color w:val="auto"/>
                <w:sz w:val="21"/>
                <w:szCs w:val="21"/>
                <w:highlight w:val="none"/>
              </w:rPr>
            </w:pPr>
            <w:r>
              <w:rPr>
                <w:rFonts w:hint="default"/>
                <w:color w:val="auto"/>
                <w:sz w:val="21"/>
                <w:szCs w:val="21"/>
                <w:highlight w:val="none"/>
              </w:rPr>
              <w:t>高（监管不便）</w:t>
            </w:r>
          </w:p>
        </w:tc>
        <w:tc>
          <w:tcPr>
            <w:tcW w:w="953" w:type="pct"/>
            <w:tcBorders>
              <w:top w:val="single" w:color="000000" w:sz="4" w:space="0"/>
              <w:left w:val="single" w:color="000000" w:sz="6" w:space="0"/>
              <w:bottom w:val="single" w:color="auto" w:sz="12" w:space="0"/>
              <w:right w:val="single" w:color="000000" w:sz="6"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default"/>
                <w:color w:val="auto"/>
                <w:sz w:val="21"/>
                <w:szCs w:val="21"/>
                <w:highlight w:val="none"/>
              </w:rPr>
            </w:pPr>
            <w:r>
              <w:rPr>
                <w:rFonts w:hint="default"/>
                <w:color w:val="auto"/>
                <w:sz w:val="21"/>
                <w:szCs w:val="21"/>
                <w:highlight w:val="none"/>
              </w:rPr>
              <w:t>高（环保）</w:t>
            </w:r>
          </w:p>
        </w:tc>
        <w:tc>
          <w:tcPr>
            <w:tcW w:w="953" w:type="pct"/>
            <w:tcBorders>
              <w:top w:val="single" w:color="000000" w:sz="4" w:space="0"/>
              <w:left w:val="single" w:color="000000" w:sz="6" w:space="0"/>
              <w:bottom w:val="single" w:color="auto" w:sz="12" w:space="0"/>
              <w:right w:val="single" w:color="000000" w:sz="6" w:space="0"/>
            </w:tcBorders>
            <w:noWrap w:val="0"/>
            <w:vAlign w:val="center"/>
          </w:tcPr>
          <w:p>
            <w:pPr>
              <w:pStyle w:val="167"/>
              <w:keepNext w:val="0"/>
              <w:keepLines w:val="0"/>
              <w:suppressLineNumbers w:val="0"/>
              <w:kinsoku w:val="0"/>
              <w:overflowPunct w:val="0"/>
              <w:spacing w:before="41" w:beforeAutospacing="0" w:after="0" w:afterAutospacing="0"/>
              <w:ind w:left="0" w:right="0"/>
              <w:jc w:val="center"/>
              <w:rPr>
                <w:rFonts w:hint="default"/>
                <w:color w:val="auto"/>
                <w:sz w:val="21"/>
                <w:szCs w:val="21"/>
                <w:highlight w:val="none"/>
              </w:rPr>
            </w:pPr>
            <w:r>
              <w:rPr>
                <w:rFonts w:hint="default"/>
                <w:color w:val="auto"/>
                <w:sz w:val="21"/>
                <w:szCs w:val="21"/>
                <w:highlight w:val="none"/>
              </w:rPr>
              <w:t>高（食品安全、卫生安全等）</w:t>
            </w:r>
          </w:p>
        </w:tc>
        <w:tc>
          <w:tcPr>
            <w:tcW w:w="597" w:type="pct"/>
            <w:tcBorders>
              <w:top w:val="single" w:color="000000" w:sz="4" w:space="0"/>
              <w:left w:val="single" w:color="000000" w:sz="6" w:space="0"/>
              <w:bottom w:val="single" w:color="auto" w:sz="12" w:space="0"/>
            </w:tcBorders>
            <w:noWrap w:val="0"/>
            <w:vAlign w:val="center"/>
          </w:tcPr>
          <w:p>
            <w:pPr>
              <w:pStyle w:val="167"/>
              <w:keepNext w:val="0"/>
              <w:keepLines w:val="0"/>
              <w:suppressLineNumbers w:val="0"/>
              <w:kinsoku w:val="0"/>
              <w:overflowPunct w:val="0"/>
              <w:spacing w:before="91" w:beforeAutospacing="0" w:after="0" w:afterAutospacing="0"/>
              <w:ind w:left="0" w:right="0"/>
              <w:jc w:val="center"/>
              <w:rPr>
                <w:rFonts w:hint="default"/>
                <w:color w:val="auto"/>
                <w:sz w:val="21"/>
                <w:szCs w:val="21"/>
                <w:highlight w:val="none"/>
              </w:rPr>
            </w:pPr>
            <w:r>
              <w:rPr>
                <w:rFonts w:hint="default"/>
                <w:color w:val="auto"/>
                <w:sz w:val="21"/>
                <w:szCs w:val="21"/>
                <w:highlight w:val="none"/>
              </w:rPr>
              <w:t>高（环保）</w:t>
            </w:r>
          </w:p>
        </w:tc>
      </w:tr>
    </w:tbl>
    <w:p>
      <w:pPr>
        <w:pStyle w:val="114"/>
        <w:spacing w:line="36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本项目采取无害化降解处理机</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高温生物降解法</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处理成本约为0.3元/kg，年处理量约为</w:t>
      </w:r>
      <w:r>
        <w:rPr>
          <w:rFonts w:hint="eastAsia" w:ascii="Times New Roman" w:hAnsi="Times New Roman" w:cs="Times New Roman"/>
          <w:color w:val="auto"/>
          <w:highlight w:val="none"/>
          <w:lang w:val="en-US" w:eastAsia="zh-CN"/>
        </w:rPr>
        <w:t>787.69</w:t>
      </w:r>
      <w:r>
        <w:rPr>
          <w:rFonts w:hint="default" w:ascii="Times New Roman" w:hAnsi="Times New Roman" w:cs="Times New Roman"/>
          <w:color w:val="auto"/>
          <w:highlight w:val="none"/>
          <w:lang w:val="en-US" w:eastAsia="zh-CN"/>
        </w:rPr>
        <w:t>t/a。因此，本项目无害化降解处理机产生的废气达到《禽畜养殖业污染物排放标准》（GB18596-2001）和《恶臭污染物排放标准》（GB14554-93）标准要求，治理措施可行。</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（4）畜禽医疗废物防治措施技术可行性</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防疫、消毒会产生废疫苗瓶、废消毒剂瓶、针头等医疗废物，场区内应临时贮存（危废暂存间），产生量约</w:t>
      </w:r>
      <w:r>
        <w:rPr>
          <w:rFonts w:hint="eastAsia" w:ascii="Times New Roman" w:hAnsi="Times New Roman" w:eastAsia="宋体" w:cs="Times New Roman"/>
          <w:color w:val="auto"/>
          <w:sz w:val="24"/>
          <w:szCs w:val="24"/>
          <w:highlight w:val="none"/>
          <w:lang w:val="en-US" w:eastAsia="zh-CN"/>
        </w:rPr>
        <w:t>1</w:t>
      </w:r>
      <w:r>
        <w:rPr>
          <w:rFonts w:ascii="Times New Roman" w:hAnsi="Times New Roman" w:eastAsia="宋体" w:cs="Times New Roman"/>
          <w:color w:val="auto"/>
          <w:sz w:val="24"/>
          <w:szCs w:val="24"/>
          <w:highlight w:val="none"/>
          <w:lang w:val="zh-CN"/>
        </w:rPr>
        <w:t>t/a，定期交由</w:t>
      </w:r>
      <w:r>
        <w:rPr>
          <w:rFonts w:ascii="Times New Roman" w:hAnsi="Times New Roman" w:eastAsia="宋体" w:cs="Times New Roman"/>
          <w:color w:val="auto"/>
          <w:sz w:val="24"/>
          <w:szCs w:val="24"/>
          <w:highlight w:val="none"/>
        </w:rPr>
        <w:t>具有相应资质类别的危险废物处置单位处置</w:t>
      </w:r>
      <w:r>
        <w:rPr>
          <w:rFonts w:ascii="Times New Roman" w:hAnsi="Times New Roman" w:eastAsia="宋体" w:cs="Times New Roman"/>
          <w:color w:val="auto"/>
          <w:sz w:val="24"/>
          <w:szCs w:val="24"/>
          <w:highlight w:val="none"/>
          <w:lang w:val="zh-CN"/>
        </w:rPr>
        <w:t>。</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 xml:space="preserve">厂区设置单独的危废暂存间，危废暂存间的设置应按照《危险废物贮存污染控制标准》（GB18597-2001）3.3中贮存设施的标准，执行重点防渗（等效黏土防渗层 </w:t>
      </w:r>
      <w:r>
        <w:rPr>
          <w:rFonts w:hint="eastAsia" w:ascii="Times New Roman" w:hAnsi="Times New Roman" w:eastAsia="宋体" w:cs="Times New Roman"/>
          <w:color w:val="auto"/>
          <w:sz w:val="24"/>
          <w:szCs w:val="24"/>
          <w:highlight w:val="none"/>
        </w:rPr>
        <w:t>K</w:t>
      </w:r>
      <w:r>
        <w:rPr>
          <w:rFonts w:ascii="Times New Roman" w:hAnsi="Times New Roman" w:eastAsia="宋体" w:cs="Times New Roman"/>
          <w:color w:val="auto"/>
          <w:sz w:val="24"/>
          <w:szCs w:val="24"/>
          <w:highlight w:val="none"/>
          <w:lang w:val="zh-CN"/>
        </w:rPr>
        <w:t>≤10</w:t>
      </w:r>
      <w:r>
        <w:rPr>
          <w:rFonts w:ascii="Times New Roman" w:hAnsi="Times New Roman" w:eastAsia="宋体" w:cs="Times New Roman"/>
          <w:color w:val="auto"/>
          <w:sz w:val="24"/>
          <w:szCs w:val="24"/>
          <w:highlight w:val="none"/>
          <w:vertAlign w:val="superscript"/>
          <w:lang w:val="zh-CN"/>
        </w:rPr>
        <w:t>-</w:t>
      </w:r>
      <w:r>
        <w:rPr>
          <w:rFonts w:hint="eastAsia" w:ascii="Times New Roman" w:hAnsi="Times New Roman" w:eastAsia="宋体" w:cs="Times New Roman"/>
          <w:color w:val="auto"/>
          <w:sz w:val="24"/>
          <w:szCs w:val="24"/>
          <w:highlight w:val="none"/>
          <w:vertAlign w:val="superscript"/>
        </w:rPr>
        <w:t>10</w:t>
      </w:r>
      <w:r>
        <w:rPr>
          <w:rFonts w:ascii="Times New Roman" w:hAnsi="Times New Roman" w:eastAsia="宋体" w:cs="Times New Roman"/>
          <w:color w:val="auto"/>
          <w:sz w:val="24"/>
          <w:szCs w:val="24"/>
          <w:highlight w:val="none"/>
          <w:lang w:val="zh-CN"/>
        </w:rPr>
        <w:t>cm/s）。该工艺处理医疗废物，措施可行。</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（5）生活垃圾防治措施技术可行性</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生活垃圾的产生量为</w:t>
      </w:r>
      <w:r>
        <w:rPr>
          <w:rFonts w:ascii="Times New Roman" w:hAnsi="Times New Roman" w:eastAsia="宋体" w:cs="Times New Roman"/>
          <w:color w:val="auto"/>
          <w:sz w:val="24"/>
          <w:szCs w:val="24"/>
          <w:highlight w:val="none"/>
          <w:lang w:val="zh-CN"/>
        </w:rPr>
        <w:t>21.9</w:t>
      </w:r>
      <w:r>
        <w:rPr>
          <w:rFonts w:hint="eastAsia" w:ascii="Times New Roman" w:hAnsi="Times New Roman" w:eastAsia="宋体" w:cs="Times New Roman"/>
          <w:color w:val="auto"/>
          <w:sz w:val="24"/>
          <w:szCs w:val="24"/>
          <w:highlight w:val="none"/>
          <w:lang w:val="zh-CN"/>
        </w:rPr>
        <w:t>t/a，</w:t>
      </w:r>
      <w:r>
        <w:rPr>
          <w:rFonts w:ascii="Times New Roman" w:hAnsi="Times New Roman" w:eastAsia="宋体" w:cs="Times New Roman"/>
          <w:color w:val="auto"/>
          <w:sz w:val="24"/>
          <w:szCs w:val="24"/>
          <w:highlight w:val="none"/>
        </w:rPr>
        <w:t>生活垃圾袋装收集后暂存于生活垃圾暂存间，并及时运往垃圾中转站，由环卫部门统一清运处置</w:t>
      </w:r>
      <w:r>
        <w:rPr>
          <w:rFonts w:hint="eastAsia" w:ascii="Times New Roman" w:hAnsi="Times New Roman" w:eastAsia="宋体" w:cs="Times New Roman"/>
          <w:color w:val="auto"/>
          <w:sz w:val="24"/>
          <w:szCs w:val="24"/>
          <w:highlight w:val="none"/>
          <w:lang w:val="zh-CN"/>
        </w:rPr>
        <w:t>，对外环境影响较小。项目生活垃圾收集处置措施可行。</w:t>
      </w:r>
    </w:p>
    <w:p>
      <w:pPr>
        <w:spacing w:line="360" w:lineRule="auto"/>
        <w:ind w:firstLine="480" w:firstLineChars="200"/>
        <w:rPr>
          <w:rFonts w:hint="eastAsia" w:ascii="Times New Roman" w:hAnsi="Times New Roman" w:eastAsia="宋体" w:cs="Times New Roman"/>
          <w:color w:val="auto"/>
          <w:sz w:val="24"/>
          <w:szCs w:val="24"/>
          <w:highlight w:val="none"/>
          <w:lang w:val="zh-CN" w:eastAsia="zh-CN"/>
        </w:rPr>
      </w:pPr>
      <w:r>
        <w:rPr>
          <w:rFonts w:hint="eastAsia" w:ascii="Times New Roman" w:hAnsi="Times New Roman" w:eastAsia="宋体" w:cs="Times New Roman"/>
          <w:color w:val="auto"/>
          <w:sz w:val="24"/>
          <w:szCs w:val="24"/>
          <w:highlight w:val="none"/>
          <w:lang w:val="zh-CN"/>
        </w:rPr>
        <w:t>（</w:t>
      </w:r>
      <w:r>
        <w:rPr>
          <w:rFonts w:hint="eastAsia" w:ascii="Times New Roman" w:hAnsi="Times New Roman" w:eastAsia="宋体" w:cs="Times New Roman"/>
          <w:color w:val="auto"/>
          <w:sz w:val="24"/>
          <w:szCs w:val="24"/>
          <w:highlight w:val="none"/>
          <w:lang w:val="en-US" w:eastAsia="zh-CN"/>
        </w:rPr>
        <w:t>6）</w:t>
      </w:r>
      <w:r>
        <w:rPr>
          <w:rFonts w:hint="eastAsia" w:ascii="Times New Roman" w:hAnsi="Times New Roman" w:eastAsia="宋体" w:cs="Times New Roman"/>
          <w:color w:val="auto"/>
          <w:sz w:val="24"/>
          <w:szCs w:val="24"/>
          <w:highlight w:val="none"/>
          <w:lang w:val="zh-CN"/>
        </w:rPr>
        <w:t>餐厨垃圾（含隔油池油脂）</w:t>
      </w:r>
      <w:r>
        <w:rPr>
          <w:rFonts w:ascii="Times New Roman" w:hAnsi="Times New Roman" w:eastAsia="宋体" w:cs="Times New Roman"/>
          <w:color w:val="auto"/>
          <w:sz w:val="24"/>
          <w:szCs w:val="24"/>
          <w:highlight w:val="none"/>
          <w:lang w:val="zh-CN"/>
        </w:rPr>
        <w:t>防治措施技术可行性</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eastAsia="zh-CN"/>
        </w:rPr>
        <w:t>本项目餐厨垃圾产生量为</w:t>
      </w:r>
      <w:r>
        <w:rPr>
          <w:rFonts w:hint="eastAsia" w:ascii="Times New Roman" w:hAnsi="Times New Roman" w:eastAsia="宋体" w:cs="Times New Roman"/>
          <w:color w:val="auto"/>
          <w:sz w:val="24"/>
          <w:szCs w:val="24"/>
          <w:highlight w:val="none"/>
          <w:lang w:val="en-US" w:eastAsia="zh-CN"/>
        </w:rPr>
        <w:t>2.92t/a，</w:t>
      </w:r>
      <w:r>
        <w:rPr>
          <w:rFonts w:hint="eastAsia" w:ascii="Times New Roman" w:hAnsi="Times New Roman" w:eastAsia="宋体" w:cs="Times New Roman"/>
          <w:color w:val="auto"/>
          <w:sz w:val="24"/>
          <w:szCs w:val="24"/>
          <w:highlight w:val="none"/>
          <w:lang w:val="zh-CN"/>
        </w:rPr>
        <w:t>食堂内设立密闭收集桶，餐厨垃圾（含隔油池油脂）与生活垃圾需单独收集，餐厨垃圾收集桶应设立明显警示装置，收集后交由餐厨垃圾收运单位清运处置，对外环境影响较小。项目餐厨垃圾收集处置措施可行。</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w:t>
      </w:r>
      <w:r>
        <w:rPr>
          <w:rFonts w:hint="eastAsia" w:ascii="Times New Roman" w:hAnsi="Times New Roman" w:eastAsia="宋体" w:cs="Times New Roman"/>
          <w:color w:val="auto"/>
          <w:sz w:val="24"/>
          <w:szCs w:val="24"/>
          <w:highlight w:val="none"/>
          <w:lang w:val="en-US" w:eastAsia="zh-CN"/>
        </w:rPr>
        <w:t>7</w:t>
      </w:r>
      <w:r>
        <w:rPr>
          <w:rFonts w:hint="eastAsia" w:ascii="Times New Roman" w:hAnsi="Times New Roman" w:eastAsia="宋体" w:cs="Times New Roman"/>
          <w:color w:val="auto"/>
          <w:sz w:val="24"/>
          <w:szCs w:val="24"/>
          <w:highlight w:val="none"/>
          <w:lang w:val="zh-CN"/>
        </w:rPr>
        <w:t>）废脱硫剂防治措施技术可行性</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沼气中所含水及硫化氢拟采用干式脱硫塔处理，吸附剂为Fe</w:t>
      </w:r>
      <w:r>
        <w:rPr>
          <w:rFonts w:hint="eastAsia" w:ascii="Times New Roman" w:hAnsi="Times New Roman" w:eastAsia="宋体" w:cs="Times New Roman"/>
          <w:color w:val="auto"/>
          <w:sz w:val="24"/>
          <w:szCs w:val="24"/>
          <w:highlight w:val="none"/>
          <w:vertAlign w:val="subscript"/>
          <w:lang w:val="zh-CN"/>
        </w:rPr>
        <w:t>2</w:t>
      </w:r>
      <w:r>
        <w:rPr>
          <w:rFonts w:hint="eastAsia" w:ascii="Times New Roman" w:hAnsi="Times New Roman" w:eastAsia="宋体" w:cs="Times New Roman"/>
          <w:color w:val="auto"/>
          <w:sz w:val="24"/>
          <w:szCs w:val="24"/>
          <w:highlight w:val="none"/>
          <w:lang w:val="zh-CN"/>
        </w:rPr>
        <w:t>O</w:t>
      </w:r>
      <w:r>
        <w:rPr>
          <w:rFonts w:hint="eastAsia" w:ascii="Times New Roman" w:hAnsi="Times New Roman" w:eastAsia="宋体" w:cs="Times New Roman"/>
          <w:color w:val="auto"/>
          <w:sz w:val="24"/>
          <w:szCs w:val="24"/>
          <w:highlight w:val="none"/>
          <w:vertAlign w:val="subscript"/>
          <w:lang w:val="zh-CN"/>
        </w:rPr>
        <w:t>3</w:t>
      </w:r>
      <w:r>
        <w:rPr>
          <w:rFonts w:hint="eastAsia" w:ascii="Times New Roman" w:hAnsi="Times New Roman" w:eastAsia="宋体" w:cs="Times New Roman"/>
          <w:color w:val="auto"/>
          <w:sz w:val="24"/>
          <w:szCs w:val="24"/>
          <w:highlight w:val="none"/>
          <w:lang w:val="zh-CN"/>
        </w:rPr>
        <w:t>，干式脱硫塔处理过程中产生的废脱硫剂由原厂家回收再利用，不会产生二次污染物，措施可行。</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w:t>
      </w:r>
      <w:r>
        <w:rPr>
          <w:rFonts w:hint="eastAsia" w:ascii="Times New Roman" w:hAnsi="Times New Roman" w:eastAsia="宋体" w:cs="Times New Roman"/>
          <w:color w:val="auto"/>
          <w:sz w:val="24"/>
          <w:szCs w:val="24"/>
          <w:highlight w:val="none"/>
          <w:lang w:val="en-US" w:eastAsia="zh-CN"/>
        </w:rPr>
        <w:t>8</w:t>
      </w:r>
      <w:r>
        <w:rPr>
          <w:rFonts w:hint="eastAsia" w:ascii="Times New Roman" w:hAnsi="Times New Roman" w:eastAsia="宋体" w:cs="Times New Roman"/>
          <w:color w:val="auto"/>
          <w:sz w:val="24"/>
          <w:szCs w:val="24"/>
          <w:highlight w:val="none"/>
          <w:lang w:val="zh-CN"/>
        </w:rPr>
        <w:t>）项目运行过程中产生的废饲料包装袋、废纸箱等各种原辅材料的废包装材料</w:t>
      </w:r>
      <w:r>
        <w:rPr>
          <w:rFonts w:hint="eastAsia" w:ascii="Times New Roman" w:hAnsi="Times New Roman" w:eastAsia="宋体" w:cs="Times New Roman"/>
          <w:color w:val="auto"/>
          <w:sz w:val="24"/>
          <w:szCs w:val="24"/>
          <w:highlight w:val="none"/>
        </w:rPr>
        <w:t>收集后定期外售废品回收站，不会对环境产生影响。</w:t>
      </w:r>
    </w:p>
    <w:p>
      <w:pPr>
        <w:spacing w:line="360" w:lineRule="auto"/>
        <w:ind w:firstLine="482"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b/>
          <w:color w:val="auto"/>
          <w:sz w:val="24"/>
          <w:szCs w:val="24"/>
          <w:highlight w:val="none"/>
        </w:rPr>
        <w:t>综上所述，本项目固体废物根据不同的性质、种类采取了不同的处置方式，处置去向明确，可有效防止固体废物的逸散和对环境的二次污染，不会对周围环境造成影响。因此，项目固废处置措施技术、经济合理可行。</w:t>
      </w:r>
    </w:p>
    <w:p>
      <w:pPr>
        <w:pStyle w:val="9"/>
        <w:spacing w:line="360" w:lineRule="auto"/>
        <w:rPr>
          <w:rFonts w:hint="eastAsia" w:cs="Times New Roman"/>
          <w:color w:val="auto"/>
          <w:highlight w:val="none"/>
          <w:lang w:val="en-US" w:eastAsia="zh-CN"/>
        </w:rPr>
      </w:pPr>
      <w:r>
        <w:rPr>
          <w:rFonts w:hint="eastAsia" w:cs="Times New Roman"/>
          <w:color w:val="auto"/>
          <w:highlight w:val="none"/>
          <w:lang w:val="en-US" w:eastAsia="zh-CN"/>
        </w:rPr>
        <w:t>危险废物暂存措施</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废卫生防疫药品及其包装物属于危险固体废物（其中，废卫生防疫药品危废类别为HW03，危险废物代码为 900-002-03，防疫药品包装物危废类别为 HW49，废物代码为900-041-49），场内设置危险废物暂存间，集中收集后由有资质单位进行处理，严禁与生活垃圾混淆一起处理。危险废物污染防治措施有效性如下分析：</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本项目拟在厂区设置危险废物暂存间一处，本项目危险废物暂存间采取的措施同《危险废物贮存污染控制标准》（GB18597-2001）及其修改单的符合性分析见下表。</w:t>
      </w:r>
    </w:p>
    <w:p>
      <w:pPr>
        <w:pStyle w:val="2504"/>
        <w:numPr>
          <w:ilvl w:val="0"/>
          <w:numId w:val="45"/>
        </w:numPr>
        <w:spacing w:before="120" w:line="360" w:lineRule="auto"/>
        <w:ind w:left="425" w:leftChars="0" w:hanging="425" w:firstLineChars="0"/>
        <w:jc w:val="center"/>
        <w:rPr>
          <w:rFonts w:hint="eastAsia" w:ascii="Times New Roman" w:hAnsi="Times New Roman" w:cs="Times New Roman"/>
          <w:color w:val="auto"/>
          <w:highlight w:val="none"/>
          <w:lang w:val="zh-CN" w:eastAsia="zh-CN"/>
        </w:rPr>
      </w:pPr>
      <w:r>
        <w:rPr>
          <w:rFonts w:hint="eastAsia" w:ascii="Times New Roman" w:hAnsi="Times New Roman" w:cs="Times New Roman"/>
          <w:color w:val="auto"/>
          <w:highlight w:val="none"/>
          <w:lang w:val="zh-CN" w:eastAsia="zh-CN"/>
        </w:rPr>
        <w:t>本项目危险废物暂存间要求符合性分析</w:t>
      </w:r>
    </w:p>
    <w:tbl>
      <w:tblPr>
        <w:tblStyle w:val="91"/>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859"/>
        <w:gridCol w:w="2720"/>
        <w:gridCol w:w="2603"/>
        <w:gridCol w:w="2337"/>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5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序号</w:t>
            </w:r>
          </w:p>
        </w:tc>
        <w:tc>
          <w:tcPr>
            <w:tcW w:w="159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《危险废物贮存污染控制标准》及其修改单</w:t>
            </w:r>
          </w:p>
        </w:tc>
        <w:tc>
          <w:tcPr>
            <w:tcW w:w="152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eastAsia" w:ascii="Times New Roman" w:hAnsi="Times New Roman" w:eastAsia="宋体" w:cs="Times New Roman"/>
                <w:b/>
                <w:color w:val="auto"/>
                <w:kern w:val="2"/>
                <w:sz w:val="21"/>
                <w:szCs w:val="21"/>
                <w:highlight w:val="none"/>
                <w:lang w:val="en-US" w:eastAsia="zh-CN" w:bidi="ar-SA"/>
              </w:rPr>
              <w:t>本项目</w:t>
            </w:r>
          </w:p>
        </w:tc>
        <w:tc>
          <w:tcPr>
            <w:tcW w:w="1371"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eastAsia" w:ascii="Times New Roman" w:hAnsi="Times New Roman" w:eastAsia="宋体" w:cs="Times New Roman"/>
                <w:b/>
                <w:color w:val="auto"/>
                <w:kern w:val="2"/>
                <w:sz w:val="21"/>
                <w:szCs w:val="21"/>
                <w:highlight w:val="none"/>
                <w:lang w:val="en-US" w:eastAsia="zh-CN" w:bidi="ar-SA"/>
              </w:rPr>
              <w:t>符合性</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5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159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基础必须防渗，防渗层为至少1m厚黏土层（渗透系数≤10</w:t>
            </w:r>
            <w:r>
              <w:rPr>
                <w:rFonts w:hint="eastAsia" w:ascii="Times New Roman" w:hAnsi="Times New Roman" w:eastAsia="宋体" w:cs="Times New Roman"/>
                <w:color w:val="auto"/>
                <w:kern w:val="2"/>
                <w:sz w:val="21"/>
                <w:szCs w:val="21"/>
                <w:highlight w:val="none"/>
                <w:vertAlign w:val="superscript"/>
                <w:lang w:val="en-US" w:eastAsia="zh-CN" w:bidi="ar-SA"/>
              </w:rPr>
              <w:t>-7</w:t>
            </w:r>
            <w:r>
              <w:rPr>
                <w:rFonts w:hint="eastAsia" w:ascii="Times New Roman" w:hAnsi="Times New Roman" w:eastAsia="宋体" w:cs="Times New Roman"/>
                <w:color w:val="auto"/>
                <w:kern w:val="2"/>
                <w:sz w:val="21"/>
                <w:szCs w:val="21"/>
                <w:highlight w:val="none"/>
                <w:lang w:val="en-US" w:eastAsia="zh-CN" w:bidi="ar-SA"/>
              </w:rPr>
              <w:t>cm/s），或 2mm厚高密度聚乙烯，或至少2mm厚的其它人工材料，渗透系数</w:t>
            </w:r>
          </w:p>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r>
              <w:rPr>
                <w:rFonts w:hint="eastAsia" w:ascii="Times New Roman" w:hAnsi="Times New Roman" w:eastAsia="宋体" w:cs="Times New Roman"/>
                <w:color w:val="auto"/>
                <w:kern w:val="2"/>
                <w:sz w:val="21"/>
                <w:szCs w:val="21"/>
                <w:highlight w:val="none"/>
                <w:vertAlign w:val="superscript"/>
                <w:lang w:val="en-US" w:eastAsia="zh-CN" w:bidi="ar-SA"/>
              </w:rPr>
              <w:t>-10</w:t>
            </w:r>
            <w:r>
              <w:rPr>
                <w:rFonts w:hint="eastAsia" w:ascii="Times New Roman" w:hAnsi="Times New Roman" w:eastAsia="宋体" w:cs="Times New Roman"/>
                <w:color w:val="auto"/>
                <w:kern w:val="2"/>
                <w:sz w:val="21"/>
                <w:szCs w:val="21"/>
                <w:highlight w:val="none"/>
                <w:lang w:val="en-US" w:eastAsia="zh-CN" w:bidi="ar-SA"/>
              </w:rPr>
              <w:t>cm/s</w:t>
            </w:r>
          </w:p>
        </w:tc>
        <w:tc>
          <w:tcPr>
            <w:tcW w:w="1527" w:type="pct"/>
            <w:noWrap w:val="0"/>
            <w:vAlign w:val="center"/>
          </w:tcPr>
          <w:p>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凝土地面加铺防渗剂和人工材料（HDPE）防渗层，</w:t>
            </w:r>
          </w:p>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确保等效黏土防渗层Mb≥6.0m，K≤1×10</w:t>
            </w:r>
            <w:r>
              <w:rPr>
                <w:rFonts w:hint="default" w:ascii="Times New Roman" w:hAnsi="Times New Roman" w:eastAsia="宋体" w:cs="Times New Roman"/>
                <w:color w:val="auto"/>
                <w:kern w:val="2"/>
                <w:sz w:val="21"/>
                <w:szCs w:val="21"/>
                <w:highlight w:val="none"/>
                <w:vertAlign w:val="superscript"/>
                <w:lang w:val="en-US" w:eastAsia="zh-CN" w:bidi="ar-SA"/>
              </w:rPr>
              <w:t>-10</w:t>
            </w:r>
            <w:r>
              <w:rPr>
                <w:rFonts w:hint="default" w:ascii="Times New Roman" w:hAnsi="Times New Roman" w:eastAsia="宋体" w:cs="Times New Roman"/>
                <w:color w:val="auto"/>
                <w:kern w:val="2"/>
                <w:sz w:val="21"/>
                <w:szCs w:val="21"/>
                <w:highlight w:val="none"/>
                <w:lang w:val="en-US" w:eastAsia="zh-CN" w:bidi="ar-SA"/>
              </w:rPr>
              <w:t>cm/s。</w:t>
            </w:r>
          </w:p>
        </w:tc>
        <w:tc>
          <w:tcPr>
            <w:tcW w:w="1371"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符合</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5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159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危险废物堆要防风、防雨、防晒</w:t>
            </w:r>
          </w:p>
        </w:tc>
        <w:tc>
          <w:tcPr>
            <w:tcW w:w="152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危险废物暂存间采用密闭结构，底部设置围挡，具备防风、防雨、防晒功能</w:t>
            </w:r>
          </w:p>
        </w:tc>
        <w:tc>
          <w:tcPr>
            <w:tcW w:w="1371"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符合</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5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p>
        </w:tc>
        <w:tc>
          <w:tcPr>
            <w:tcW w:w="159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危险废物贮存设施必须按GB15562.2的规定设置警示标志</w:t>
            </w:r>
          </w:p>
        </w:tc>
        <w:tc>
          <w:tcPr>
            <w:tcW w:w="152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已按危废暂存间警告标志设置</w:t>
            </w:r>
          </w:p>
        </w:tc>
        <w:tc>
          <w:tcPr>
            <w:tcW w:w="1371"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符合</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504"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w:t>
            </w:r>
          </w:p>
        </w:tc>
        <w:tc>
          <w:tcPr>
            <w:tcW w:w="1596"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必须做好危险废物情况的记录，记录上须注明危险废物的名称、来源、</w:t>
            </w:r>
          </w:p>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数量、特性和包装容器的类别、入库日期、存放库位、废物出库日期</w:t>
            </w:r>
          </w:p>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及接受单位名称，危险废物的记录和货单在危险废物回收后应继续保</w:t>
            </w:r>
          </w:p>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留3年</w:t>
            </w:r>
          </w:p>
        </w:tc>
        <w:tc>
          <w:tcPr>
            <w:tcW w:w="1527"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做好危险废物的记录，转运时填写危险废物转移联单，并保留至少3年</w:t>
            </w:r>
          </w:p>
        </w:tc>
        <w:tc>
          <w:tcPr>
            <w:tcW w:w="1371" w:type="pct"/>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符合</w:t>
            </w:r>
          </w:p>
        </w:tc>
      </w:tr>
    </w:tbl>
    <w:p>
      <w:pPr>
        <w:pStyle w:val="9"/>
        <w:spacing w:line="360" w:lineRule="auto"/>
        <w:rPr>
          <w:rFonts w:hint="eastAsia" w:cs="Times New Roman"/>
          <w:color w:val="auto"/>
          <w:highlight w:val="none"/>
          <w:lang w:val="zh-CN" w:eastAsia="zh-CN"/>
        </w:rPr>
      </w:pPr>
      <w:r>
        <w:rPr>
          <w:rFonts w:hint="eastAsia" w:cs="Times New Roman"/>
          <w:color w:val="auto"/>
          <w:highlight w:val="none"/>
          <w:lang w:val="en-US" w:eastAsia="zh-CN"/>
        </w:rPr>
        <w:t>危险废物管理措施</w:t>
      </w:r>
    </w:p>
    <w:p>
      <w:pPr>
        <w:spacing w:line="360" w:lineRule="auto"/>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（1）危险废物的收集、贮存、转移、利用、处置活动必须遵守国家和地方的有关规定。</w:t>
      </w:r>
    </w:p>
    <w:p>
      <w:pPr>
        <w:spacing w:line="360" w:lineRule="auto"/>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（2）禁止向环境倾倒、堆置危险废物。</w:t>
      </w:r>
    </w:p>
    <w:p>
      <w:pPr>
        <w:spacing w:line="360" w:lineRule="auto"/>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（3）禁止将危险废物混入非危险废物中收集、贮存、转移、处置。</w:t>
      </w:r>
    </w:p>
    <w:p>
      <w:pPr>
        <w:spacing w:line="360" w:lineRule="auto"/>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（4）危险废物的收集、贮存、转移应当使用符合标准的容器和包装物。</w:t>
      </w:r>
    </w:p>
    <w:p>
      <w:pPr>
        <w:spacing w:line="360" w:lineRule="auto"/>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（5）危险废物的容器和包装物以及收集、贮存、转移、处置危险废物的设施、场所，必须设置危险废物识别标志。</w:t>
      </w:r>
    </w:p>
    <w:p>
      <w:pPr>
        <w:spacing w:line="360" w:lineRule="auto"/>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（6）危险废物的贮存时间不得超过一年；法律、法规另有规定的除外。</w:t>
      </w:r>
    </w:p>
    <w:p>
      <w:pPr>
        <w:spacing w:line="360" w:lineRule="auto"/>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7）在搬迁、转产、终止之前，必须对已经产生尚没有处置的危险废物和危险废物贮存、处置设施场所按照有关规定进行安全处置；对产生的危险废物对周围环境的影响进行综合评估并消除可能产生的污染，将评估报告报质量安全部</w:t>
      </w:r>
      <w:r>
        <w:rPr>
          <w:rFonts w:hint="default" w:ascii="Times New Roman" w:hAnsi="Times New Roman" w:eastAsia="宋体" w:cs="Times New Roman"/>
          <w:color w:val="auto"/>
          <w:sz w:val="24"/>
          <w:szCs w:val="24"/>
          <w:highlight w:val="none"/>
        </w:rPr>
        <w:t>门</w:t>
      </w:r>
      <w:r>
        <w:rPr>
          <w:rFonts w:hint="default" w:ascii="Times New Roman" w:hAnsi="Times New Roman" w:eastAsia="宋体" w:cs="Times New Roman"/>
          <w:color w:val="auto"/>
          <w:sz w:val="24"/>
          <w:szCs w:val="24"/>
          <w:highlight w:val="none"/>
          <w:lang w:val="zh-CN"/>
        </w:rPr>
        <w:t>备案。</w:t>
      </w:r>
    </w:p>
    <w:p>
      <w:pPr>
        <w:spacing w:line="360" w:lineRule="auto"/>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8）应当制定危险废物污染事故防范措施和应急预案。如果发生危险废物污染事故或者其他突发性事件，应当按照应急预案消除或者减轻对环境的污染危害，及时通知可能受到危害的单位和个人，并及时向事故发生地环境保护行政主管部门报告，接受调查处理。</w:t>
      </w:r>
    </w:p>
    <w:p>
      <w:pPr>
        <w:spacing w:line="360" w:lineRule="auto"/>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综上所述，项目营运期固体废物处置措施体现了综合利用、安全贮存的废物处理宗旨，各类固体废物去向明确，处置合理，不会造成二次污染，对周边环境影响较小。因此，评价认为项目营运期固体废物治理措施技术经济可行。</w:t>
      </w:r>
    </w:p>
    <w:p>
      <w:pPr>
        <w:pStyle w:val="8"/>
        <w:spacing w:before="0" w:after="0" w:line="360" w:lineRule="auto"/>
        <w:ind w:left="0" w:firstLine="0"/>
        <w:rPr>
          <w:rFonts w:hint="eastAsia" w:cs="Times New Roman"/>
          <w:color w:val="auto"/>
          <w:highlight w:val="none"/>
          <w:lang w:val="en-US" w:eastAsia="zh-CN"/>
        </w:rPr>
      </w:pPr>
      <w:bookmarkStart w:id="287" w:name="_Toc7300"/>
      <w:r>
        <w:rPr>
          <w:rFonts w:hint="eastAsia" w:cs="Times New Roman"/>
          <w:color w:val="auto"/>
          <w:highlight w:val="none"/>
          <w:lang w:val="en-US" w:eastAsia="zh-CN"/>
        </w:rPr>
        <w:t>生态环境保护措施论证</w:t>
      </w:r>
      <w:bookmarkEnd w:id="287"/>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为进一步降低工程排污对环境的影响，充分发挥绿化带的作用和功能，结合本工程平面布置特点，评价提出以下要求和措施：</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（1）针对工程主要运输路线，要求企业对道路实施绿化，以高大树冠及乔木结合形成隔离带以遮荫、抑尘。</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（2）生活管理区应以绿化美化为主。绿化方式为灌、乔、草立体植物种植为主，并结合四季花卉植物形成良好景观。牛舍四周空闲地带以灌木绿篱、草皮种植结合代替裸地。</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（3）植物物种以适宜当地生长的土生物种。</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（4）采取严格的运营期污染控制方案，减小工程污染排放对生态的影响。</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5）从区域生态状况和有关的政策要求出发，评价要求企业应树立“建设本地区生态模范企业”为目标，将环境保护与生态建设放在与经营利益同等重要的位置，进行绿化、美化及协调性的景观设计，为区域生态建设作出典范。</w:t>
      </w:r>
    </w:p>
    <w:p>
      <w:pPr>
        <w:spacing w:line="360" w:lineRule="auto"/>
        <w:ind w:firstLine="482" w:firstLineChars="200"/>
        <w:rPr>
          <w:rFonts w:hint="eastAsia"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服务期满后土地复垦要求：</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1）所占地的用途为修建养牛场，硬化区域有牛舍、污水处理站、干粪棚、、青贮窖、生活区等，工程完工后即可恢复到原使用要求，不会对现有土地改变原貌、损毁。复垦过程没有难度，对自然环境不会造成破。</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（2）本项目在生产建设活动中，因挖损、塌陷、压占等造成破坏土地的，必须根据《土地管理法》和《土地复垦条例》，采取整治措施，使其复垦到原用途。</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（3）在拆除彩钢房、砖墙建筑及地下建构筑物后，必须用机械把地面的混凝土层清除，再用犁地机械将土地翻整，以保证其原始用途。</w:t>
      </w:r>
    </w:p>
    <w:p>
      <w:pPr>
        <w:spacing w:line="360" w:lineRule="auto"/>
        <w:ind w:firstLine="480" w:firstLineChars="200"/>
        <w:rPr>
          <w:rFonts w:hint="eastAsia"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4）复垦的目标是使所占土地达到可耕种的要求，不会改变现有的土地样貌、格局或原本具有的生产能力，项目服务期满后恢复至原有的地形地貌或比原有更改善的状况；恢复原有土地功能，与周围地形地貌相符。</w:t>
      </w:r>
    </w:p>
    <w:p>
      <w:pPr>
        <w:spacing w:line="360" w:lineRule="auto"/>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（5）建设单位在组织复垦时，必须报所占用土地的村委会实施监督。达到原耕作条件或恢复到原用途，报经县级国土资源局验收合格后，应将土地复垦费交还原承包户。</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288" w:name="_Toc29221884"/>
      <w:bookmarkStart w:id="289" w:name="_Toc23364"/>
      <w:r>
        <w:rPr>
          <w:rFonts w:hint="eastAsia" w:ascii="Times New Roman" w:hAnsi="Times New Roman" w:eastAsia="宋体" w:cs="Times New Roman"/>
          <w:color w:val="auto"/>
          <w:highlight w:val="none"/>
          <w:lang w:val="en-US" w:eastAsia="zh-CN"/>
        </w:rPr>
        <w:t>环保投资估算</w:t>
      </w:r>
      <w:bookmarkEnd w:id="288"/>
      <w:bookmarkEnd w:id="289"/>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本项目总投资为</w:t>
      </w:r>
      <w:r>
        <w:rPr>
          <w:rFonts w:hint="eastAsia" w:ascii="Times New Roman" w:hAnsi="Times New Roman" w:eastAsia="宋体" w:cs="Times New Roman"/>
          <w:color w:val="auto"/>
          <w:sz w:val="24"/>
          <w:szCs w:val="24"/>
          <w:highlight w:val="none"/>
          <w:lang w:val="en-US" w:eastAsia="zh-CN"/>
        </w:rPr>
        <w:t>27688.93</w:t>
      </w:r>
      <w:r>
        <w:rPr>
          <w:rFonts w:ascii="Times New Roman" w:hAnsi="Times New Roman" w:eastAsia="宋体" w:cs="Times New Roman"/>
          <w:color w:val="auto"/>
          <w:sz w:val="24"/>
          <w:szCs w:val="24"/>
          <w:highlight w:val="none"/>
        </w:rPr>
        <w:t>万元，其中环保投资</w:t>
      </w:r>
      <w:r>
        <w:rPr>
          <w:rFonts w:hint="eastAsia" w:ascii="Times New Roman" w:hAnsi="Times New Roman" w:eastAsia="宋体" w:cs="Times New Roman"/>
          <w:color w:val="auto"/>
          <w:sz w:val="24"/>
          <w:szCs w:val="24"/>
          <w:highlight w:val="none"/>
          <w:lang w:val="en-US" w:eastAsia="zh-CN"/>
        </w:rPr>
        <w:t>821</w:t>
      </w:r>
      <w:r>
        <w:rPr>
          <w:rFonts w:ascii="Times New Roman" w:hAnsi="Times New Roman" w:eastAsia="宋体" w:cs="Times New Roman"/>
          <w:color w:val="auto"/>
          <w:sz w:val="24"/>
          <w:szCs w:val="24"/>
          <w:highlight w:val="none"/>
        </w:rPr>
        <w:t>万元，占工程总投资的</w:t>
      </w:r>
      <w:r>
        <w:rPr>
          <w:rFonts w:hint="eastAsia" w:ascii="Times New Roman" w:hAnsi="Times New Roman" w:eastAsia="宋体" w:cs="Times New Roman"/>
          <w:color w:val="auto"/>
          <w:sz w:val="24"/>
          <w:szCs w:val="24"/>
          <w:highlight w:val="none"/>
          <w:lang w:val="en-US" w:eastAsia="zh-CN"/>
        </w:rPr>
        <w:t>2.97</w:t>
      </w:r>
      <w:r>
        <w:rPr>
          <w:rFonts w:ascii="Times New Roman" w:hAnsi="Times New Roman" w:eastAsia="宋体" w:cs="Times New Roman"/>
          <w:color w:val="auto"/>
          <w:sz w:val="24"/>
          <w:szCs w:val="24"/>
          <w:highlight w:val="none"/>
        </w:rPr>
        <w:t>%。从环保投资的分配来看，本项目环保投资着重于废</w:t>
      </w:r>
      <w:r>
        <w:rPr>
          <w:rFonts w:hint="eastAsia" w:ascii="Times New Roman" w:hAnsi="Times New Roman" w:eastAsia="宋体" w:cs="Times New Roman"/>
          <w:color w:val="auto"/>
          <w:sz w:val="24"/>
          <w:szCs w:val="24"/>
          <w:highlight w:val="none"/>
        </w:rPr>
        <w:t>水</w:t>
      </w:r>
      <w:r>
        <w:rPr>
          <w:rFonts w:ascii="Times New Roman" w:hAnsi="Times New Roman" w:eastAsia="宋体" w:cs="Times New Roman"/>
          <w:color w:val="auto"/>
          <w:sz w:val="24"/>
          <w:szCs w:val="24"/>
          <w:highlight w:val="none"/>
        </w:rPr>
        <w:t>的治理</w:t>
      </w:r>
      <w:r>
        <w:rPr>
          <w:rFonts w:hint="eastAsia" w:ascii="Times New Roman" w:hAnsi="Times New Roman" w:eastAsia="宋体" w:cs="Times New Roman"/>
          <w:color w:val="auto"/>
          <w:sz w:val="24"/>
          <w:szCs w:val="24"/>
          <w:highlight w:val="none"/>
        </w:rPr>
        <w:t>和固体</w:t>
      </w:r>
      <w:r>
        <w:rPr>
          <w:rFonts w:ascii="Times New Roman" w:hAnsi="Times New Roman" w:eastAsia="宋体" w:cs="Times New Roman"/>
          <w:color w:val="auto"/>
          <w:sz w:val="24"/>
          <w:szCs w:val="24"/>
          <w:highlight w:val="none"/>
        </w:rPr>
        <w:t>废物的处置，以实现废水的达标排放及</w:t>
      </w:r>
      <w:r>
        <w:rPr>
          <w:rFonts w:hint="eastAsia" w:ascii="Times New Roman" w:hAnsi="Times New Roman" w:eastAsia="宋体" w:cs="Times New Roman"/>
          <w:color w:val="auto"/>
          <w:sz w:val="24"/>
          <w:szCs w:val="24"/>
          <w:highlight w:val="none"/>
        </w:rPr>
        <w:t>固体</w:t>
      </w:r>
      <w:r>
        <w:rPr>
          <w:rFonts w:ascii="Times New Roman" w:hAnsi="Times New Roman" w:eastAsia="宋体" w:cs="Times New Roman"/>
          <w:color w:val="auto"/>
          <w:sz w:val="24"/>
          <w:szCs w:val="24"/>
          <w:highlight w:val="none"/>
        </w:rPr>
        <w:t>废物的妥善处置，其环保投资及建设内容合理、可行。项目环保措施及投资估算一览表见表7.3-1。</w:t>
      </w:r>
    </w:p>
    <w:p>
      <w:pPr>
        <w:widowControl w:val="0"/>
        <w:spacing w:before="120" w:beforeLines="50" w:line="240" w:lineRule="exact"/>
        <w:ind w:firstLine="480" w:firstLineChars="0"/>
        <w:jc w:val="center"/>
        <w:rPr>
          <w:rFonts w:hint="eastAsia" w:ascii="Times New Roman" w:hAnsi="Times New Roman" w:eastAsia="宋体" w:cs="Times New Roman"/>
          <w:b/>
          <w:color w:val="auto"/>
          <w:kern w:val="2"/>
          <w:sz w:val="21"/>
          <w:szCs w:val="24"/>
          <w:highlight w:val="none"/>
          <w:lang w:val="en-US" w:eastAsia="zh-CN" w:bidi="ar-SA"/>
        </w:rPr>
      </w:pPr>
      <w:r>
        <w:rPr>
          <w:rFonts w:ascii="Times New Roman" w:hAnsi="Times New Roman" w:eastAsia="宋体" w:cs="Times New Roman"/>
          <w:b/>
          <w:color w:val="auto"/>
          <w:kern w:val="2"/>
          <w:sz w:val="21"/>
          <w:szCs w:val="24"/>
          <w:highlight w:val="none"/>
          <w:lang w:val="en-US" w:eastAsia="zh-CN" w:bidi="ar-SA"/>
        </w:rPr>
        <w:t>表7.3-1   项目环保措施及投资估算一览表</w:t>
      </w:r>
    </w:p>
    <w:tbl>
      <w:tblPr>
        <w:tblStyle w:val="91"/>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665"/>
        <w:gridCol w:w="832"/>
        <w:gridCol w:w="1289"/>
        <w:gridCol w:w="1880"/>
        <w:gridCol w:w="2686"/>
        <w:gridCol w:w="1168"/>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时段</w:t>
            </w:r>
          </w:p>
        </w:tc>
        <w:tc>
          <w:tcPr>
            <w:tcW w:w="1244"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项目</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
                <w:color w:val="auto"/>
                <w:kern w:val="0"/>
                <w:sz w:val="21"/>
                <w:szCs w:val="21"/>
                <w:highlight w:val="none"/>
                <w:lang w:val="en-US" w:eastAsia="zh-CN" w:bidi="ar-SA"/>
              </w:rPr>
            </w:pPr>
            <w:r>
              <w:rPr>
                <w:rFonts w:hint="eastAsia" w:ascii="Times New Roman" w:hAnsi="Times New Roman" w:eastAsia="宋体" w:cs="Times New Roman"/>
                <w:b/>
                <w:color w:val="auto"/>
                <w:kern w:val="0"/>
                <w:sz w:val="21"/>
                <w:szCs w:val="21"/>
                <w:highlight w:val="none"/>
                <w:lang w:val="en-US" w:eastAsia="zh-CN" w:bidi="ar-SA"/>
              </w:rPr>
              <w:t>环保</w:t>
            </w:r>
            <w:r>
              <w:rPr>
                <w:rFonts w:hint="default" w:ascii="Times New Roman" w:hAnsi="Times New Roman" w:eastAsia="宋体" w:cs="Times New Roman"/>
                <w:b/>
                <w:color w:val="auto"/>
                <w:kern w:val="0"/>
                <w:sz w:val="21"/>
                <w:szCs w:val="21"/>
                <w:highlight w:val="none"/>
                <w:lang w:val="en-US" w:eastAsia="zh-CN" w:bidi="ar-SA"/>
              </w:rPr>
              <w:t>措施</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投资估算</w:t>
            </w:r>
          </w:p>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（万元）</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施工期</w:t>
            </w:r>
          </w:p>
        </w:tc>
        <w:tc>
          <w:tcPr>
            <w:tcW w:w="1244" w:type="pct"/>
            <w:gridSpan w:val="2"/>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废水治理</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生活污水通过简易预处理池收集处理后用作农肥，不外排</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244" w:type="pct"/>
            <w:gridSpan w:val="2"/>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施工废水设置隔油池、沉淀池处理后回用，不外排</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244"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废气治理</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left"/>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洒水降尘及时清扫路面尘土、硬化道路、</w:t>
            </w:r>
            <w:r>
              <w:rPr>
                <w:rFonts w:hint="eastAsia" w:ascii="Times New Roman" w:hAnsi="Times New Roman" w:eastAsia="宋体" w:cs="Times New Roman"/>
                <w:color w:val="auto"/>
                <w:kern w:val="0"/>
                <w:sz w:val="21"/>
                <w:szCs w:val="21"/>
                <w:highlight w:val="none"/>
                <w:lang w:val="en-US" w:eastAsia="zh-CN" w:bidi="ar-SA"/>
              </w:rPr>
              <w:t>保持路面清洁、控制车速、堆体覆盖等</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244" w:type="pct"/>
            <w:gridSpan w:val="2"/>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固体废物</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施工场地设置垃圾桶，生活垃圾</w:t>
            </w:r>
            <w:r>
              <w:rPr>
                <w:rFonts w:hint="default" w:ascii="Times New Roman" w:hAnsi="Times New Roman" w:eastAsia="宋体" w:cs="Times New Roman"/>
                <w:color w:val="auto"/>
                <w:kern w:val="0"/>
                <w:sz w:val="21"/>
                <w:szCs w:val="21"/>
                <w:highlight w:val="none"/>
                <w:lang w:val="en-US" w:eastAsia="zh-CN" w:bidi="ar-SA"/>
              </w:rPr>
              <w:t>收集后统一清运</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244" w:type="pct"/>
            <w:gridSpan w:val="2"/>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建筑垃圾及时外运</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244"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噪声控制</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选用低噪声设备，</w:t>
            </w:r>
            <w:r>
              <w:rPr>
                <w:rFonts w:hint="default" w:ascii="Times New Roman" w:hAnsi="Times New Roman" w:eastAsia="宋体" w:cs="Times New Roman"/>
                <w:color w:val="auto"/>
                <w:kern w:val="0"/>
                <w:sz w:val="21"/>
                <w:szCs w:val="21"/>
                <w:highlight w:val="none"/>
                <w:lang w:val="en-US" w:eastAsia="zh-CN" w:bidi="ar-SA"/>
              </w:rPr>
              <w:t>合理布局，合理安排施工时间，高噪设备设置隔声棚</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244"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生态保护</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水土保持工程措施+植物措施+临时措施（基坑边坡水泥砂浆护面、雨水沟沉淀池、土石方堆体周边截水沟）</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运营期</w:t>
            </w:r>
          </w:p>
        </w:tc>
        <w:tc>
          <w:tcPr>
            <w:tcW w:w="488"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废水</w:t>
            </w:r>
          </w:p>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治理</w:t>
            </w:r>
          </w:p>
        </w:tc>
        <w:tc>
          <w:tcPr>
            <w:tcW w:w="756"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养殖废水</w:t>
            </w:r>
            <w:r>
              <w:rPr>
                <w:rFonts w:hint="eastAsia" w:ascii="Times New Roman" w:hAnsi="Times New Roman" w:eastAsia="宋体" w:cs="Times New Roman"/>
                <w:color w:val="auto"/>
                <w:kern w:val="0"/>
                <w:sz w:val="21"/>
                <w:szCs w:val="21"/>
                <w:highlight w:val="none"/>
                <w:lang w:val="en-US" w:eastAsia="zh-CN" w:bidi="ar-SA"/>
              </w:rPr>
              <w:t>+</w:t>
            </w:r>
            <w:r>
              <w:rPr>
                <w:rFonts w:hint="default" w:ascii="Times New Roman" w:hAnsi="Times New Roman" w:eastAsia="宋体" w:cs="Times New Roman"/>
                <w:color w:val="auto"/>
                <w:kern w:val="0"/>
                <w:sz w:val="21"/>
                <w:szCs w:val="21"/>
                <w:highlight w:val="none"/>
                <w:lang w:val="en-US" w:eastAsia="zh-CN" w:bidi="ar-SA"/>
              </w:rPr>
              <w:t>生活污水+</w:t>
            </w:r>
            <w:r>
              <w:rPr>
                <w:rFonts w:hint="eastAsia" w:ascii="Times New Roman" w:hAnsi="Times New Roman" w:eastAsia="宋体" w:cs="Times New Roman"/>
                <w:color w:val="auto"/>
                <w:kern w:val="0"/>
                <w:sz w:val="21"/>
                <w:szCs w:val="21"/>
                <w:highlight w:val="none"/>
                <w:lang w:val="en-US" w:eastAsia="zh-CN" w:bidi="ar-SA"/>
              </w:rPr>
              <w:t>食堂</w:t>
            </w:r>
            <w:r>
              <w:rPr>
                <w:rFonts w:hint="default" w:ascii="Times New Roman" w:hAnsi="Times New Roman" w:eastAsia="宋体" w:cs="Times New Roman"/>
                <w:color w:val="auto"/>
                <w:kern w:val="0"/>
                <w:sz w:val="21"/>
                <w:szCs w:val="21"/>
                <w:highlight w:val="none"/>
                <w:lang w:val="en-US" w:eastAsia="zh-CN" w:bidi="ar-SA"/>
              </w:rPr>
              <w:t>废水</w:t>
            </w:r>
          </w:p>
        </w:tc>
        <w:tc>
          <w:tcPr>
            <w:tcW w:w="2679" w:type="pct"/>
            <w:gridSpan w:val="2"/>
            <w:noWrap w:val="0"/>
            <w:vAlign w:val="center"/>
          </w:tcPr>
          <w:p>
            <w:pPr>
              <w:keepNext w:val="0"/>
              <w:keepLines w:val="0"/>
              <w:suppressLineNumbers w:val="0"/>
              <w:spacing w:before="0" w:beforeAutospacing="0" w:after="0" w:afterAutospacing="0" w:line="240" w:lineRule="auto"/>
              <w:ind w:left="0" w:leftChars="0" w:right="0" w:rightChars="0"/>
              <w:jc w:val="left"/>
              <w:rPr>
                <w:rFonts w:hint="default" w:ascii="Times New Roman" w:hAnsi="Times New Roman" w:eastAsia="宋体" w:cs="Times New Roman"/>
                <w:color w:val="auto"/>
                <w:kern w:val="0"/>
                <w:sz w:val="21"/>
                <w:szCs w:val="21"/>
                <w:highlight w:val="none"/>
                <w:lang w:val="en-US" w:eastAsia="zh-CN" w:bidi="ar-SA"/>
              </w:rPr>
            </w:pPr>
            <w:r>
              <w:rPr>
                <w:rFonts w:hint="eastAsia"/>
                <w:color w:val="auto"/>
                <w:sz w:val="21"/>
                <w:szCs w:val="21"/>
                <w:highlight w:val="none"/>
                <w:lang w:eastAsia="zh-CN"/>
              </w:rPr>
              <w:t>预处理池</w:t>
            </w:r>
            <w:r>
              <w:rPr>
                <w:rFonts w:hint="eastAsia"/>
                <w:color w:val="auto"/>
                <w:sz w:val="21"/>
                <w:szCs w:val="21"/>
                <w:highlight w:val="none"/>
                <w:lang w:val="en-US" w:eastAsia="zh-CN"/>
              </w:rPr>
              <w:t>1</w:t>
            </w:r>
            <w:r>
              <w:rPr>
                <w:rFonts w:hint="default"/>
                <w:color w:val="auto"/>
                <w:sz w:val="21"/>
                <w:szCs w:val="21"/>
                <w:highlight w:val="none"/>
              </w:rPr>
              <w:t>座，单个容积</w:t>
            </w:r>
            <w:r>
              <w:rPr>
                <w:rFonts w:hint="eastAsia" w:ascii="Times New Roman" w:hAnsi="Times New Roman" w:cs="Times New Roman"/>
                <w:color w:val="auto"/>
                <w:sz w:val="21"/>
                <w:szCs w:val="21"/>
                <w:highlight w:val="none"/>
                <w:lang w:val="en-US" w:eastAsia="zh-CN"/>
              </w:rPr>
              <w:t>10</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color w:val="auto"/>
                <w:sz w:val="21"/>
                <w:szCs w:val="21"/>
                <w:highlight w:val="none"/>
              </w:rPr>
              <w:t>，位于</w:t>
            </w:r>
            <w:r>
              <w:rPr>
                <w:rFonts w:hint="eastAsia"/>
                <w:color w:val="auto"/>
                <w:sz w:val="21"/>
                <w:szCs w:val="21"/>
                <w:highlight w:val="none"/>
                <w:lang w:eastAsia="zh-CN"/>
              </w:rPr>
              <w:t>办公区</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2679" w:type="pct"/>
            <w:gridSpan w:val="2"/>
            <w:noWrap w:val="0"/>
            <w:vAlign w:val="center"/>
          </w:tcPr>
          <w:p>
            <w:pPr>
              <w:keepNext w:val="0"/>
              <w:keepLines w:val="0"/>
              <w:suppressLineNumbers w:val="0"/>
              <w:spacing w:before="0" w:beforeAutospacing="0" w:after="0" w:afterAutospacing="0" w:line="240" w:lineRule="auto"/>
              <w:ind w:left="0" w:leftChars="0" w:right="0" w:rightChars="0"/>
              <w:jc w:val="left"/>
              <w:rPr>
                <w:rFonts w:hint="default" w:ascii="Times New Roman" w:hAnsi="Times New Roman" w:eastAsia="宋体" w:cs="Times New Roman"/>
                <w:color w:val="auto"/>
                <w:kern w:val="0"/>
                <w:sz w:val="21"/>
                <w:szCs w:val="21"/>
                <w:highlight w:val="none"/>
                <w:lang w:val="en-US" w:eastAsia="zh-CN" w:bidi="ar-SA"/>
              </w:rPr>
            </w:pPr>
            <w:r>
              <w:rPr>
                <w:rFonts w:hint="default"/>
                <w:color w:val="auto"/>
                <w:sz w:val="21"/>
                <w:szCs w:val="21"/>
                <w:highlight w:val="none"/>
              </w:rPr>
              <w:t>隔油池1座，容积6m</w:t>
            </w:r>
            <w:r>
              <w:rPr>
                <w:rFonts w:hint="default"/>
                <w:color w:val="auto"/>
                <w:sz w:val="21"/>
                <w:szCs w:val="21"/>
                <w:highlight w:val="none"/>
                <w:vertAlign w:val="superscript"/>
              </w:rPr>
              <w:t>3</w:t>
            </w:r>
            <w:r>
              <w:rPr>
                <w:rFonts w:hint="default"/>
                <w:color w:val="auto"/>
                <w:sz w:val="21"/>
                <w:szCs w:val="21"/>
                <w:highlight w:val="none"/>
              </w:rPr>
              <w:t>，位于食堂</w:t>
            </w:r>
            <w:r>
              <w:rPr>
                <w:rFonts w:hint="eastAsia"/>
                <w:color w:val="auto"/>
                <w:sz w:val="21"/>
                <w:szCs w:val="21"/>
                <w:highlight w:val="none"/>
                <w:lang w:eastAsia="zh-CN"/>
              </w:rPr>
              <w:t>东</w:t>
            </w:r>
            <w:r>
              <w:rPr>
                <w:rFonts w:hint="eastAsia"/>
                <w:color w:val="auto"/>
                <w:sz w:val="21"/>
                <w:szCs w:val="21"/>
                <w:highlight w:val="none"/>
              </w:rPr>
              <w:t>侧</w:t>
            </w:r>
            <w:r>
              <w:rPr>
                <w:rFonts w:hint="default"/>
                <w:color w:val="auto"/>
                <w:sz w:val="21"/>
                <w:szCs w:val="21"/>
                <w:highlight w:val="none"/>
              </w:rPr>
              <w:t>，用于处理食堂含油废水</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2679" w:type="pct"/>
            <w:gridSpan w:val="2"/>
            <w:noWrap w:val="0"/>
            <w:vAlign w:val="center"/>
          </w:tcPr>
          <w:p>
            <w:pPr>
              <w:keepNext w:val="0"/>
              <w:keepLines w:val="0"/>
              <w:suppressLineNumbers w:val="0"/>
              <w:spacing w:before="0" w:beforeAutospacing="0" w:after="0" w:afterAutospacing="0" w:line="240" w:lineRule="auto"/>
              <w:ind w:left="0" w:leftChars="0" w:right="0" w:rightChars="0"/>
              <w:jc w:val="left"/>
              <w:rPr>
                <w:rFonts w:hint="default" w:ascii="Times New Roman" w:hAnsi="Times New Roman" w:eastAsia="宋体" w:cs="Times New Roman"/>
                <w:color w:val="auto"/>
                <w:kern w:val="0"/>
                <w:sz w:val="21"/>
                <w:szCs w:val="21"/>
                <w:highlight w:val="none"/>
                <w:lang w:val="en-US" w:eastAsia="zh-CN" w:bidi="ar-SA"/>
              </w:rPr>
            </w:pPr>
            <w:r>
              <w:rPr>
                <w:rFonts w:hint="default"/>
                <w:color w:val="auto"/>
                <w:sz w:val="21"/>
                <w:szCs w:val="21"/>
                <w:highlight w:val="none"/>
              </w:rPr>
              <w:t>污水处理站1座，规模</w:t>
            </w:r>
            <w:r>
              <w:rPr>
                <w:rFonts w:hint="eastAsia"/>
                <w:color w:val="auto"/>
                <w:sz w:val="21"/>
                <w:szCs w:val="21"/>
                <w:highlight w:val="none"/>
                <w:lang w:val="en-US" w:eastAsia="zh-CN"/>
              </w:rPr>
              <w:t>300</w:t>
            </w:r>
            <w:r>
              <w:rPr>
                <w:rFonts w:hint="default"/>
                <w:color w:val="auto"/>
                <w:sz w:val="21"/>
                <w:szCs w:val="21"/>
                <w:highlight w:val="none"/>
              </w:rPr>
              <w:t>m</w:t>
            </w:r>
            <w:r>
              <w:rPr>
                <w:rFonts w:hint="default"/>
                <w:color w:val="auto"/>
                <w:sz w:val="21"/>
                <w:szCs w:val="21"/>
                <w:highlight w:val="none"/>
                <w:vertAlign w:val="superscript"/>
              </w:rPr>
              <w:t>3</w:t>
            </w:r>
            <w:r>
              <w:rPr>
                <w:rFonts w:hint="default"/>
                <w:color w:val="auto"/>
                <w:sz w:val="21"/>
                <w:szCs w:val="21"/>
                <w:highlight w:val="none"/>
              </w:rPr>
              <w:t>/d，工艺为</w:t>
            </w:r>
            <w:r>
              <w:rPr>
                <w:rFonts w:hint="eastAsia"/>
                <w:color w:val="auto"/>
                <w:sz w:val="21"/>
                <w:szCs w:val="21"/>
                <w:highlight w:val="none"/>
              </w:rPr>
              <w:t>“</w:t>
            </w:r>
            <w:r>
              <w:rPr>
                <w:rFonts w:hint="default" w:ascii="Times New Roman" w:hAnsi="Times New Roman" w:eastAsia="宋体" w:cs="Times New Roman"/>
                <w:color w:val="auto"/>
                <w:sz w:val="21"/>
                <w:szCs w:val="21"/>
                <w:highlight w:val="none"/>
              </w:rPr>
              <w:t>固液分离+UASB厌氧+絮凝沉淀+两级A/O系统+混凝絮凝沉淀+消毒</w:t>
            </w:r>
            <w:r>
              <w:rPr>
                <w:rFonts w:hint="eastAsia"/>
                <w:color w:val="auto"/>
                <w:sz w:val="21"/>
                <w:szCs w:val="21"/>
                <w:highlight w:val="none"/>
              </w:rPr>
              <w:t>”</w:t>
            </w:r>
            <w:r>
              <w:rPr>
                <w:rFonts w:hint="default"/>
                <w:color w:val="auto"/>
                <w:sz w:val="21"/>
                <w:szCs w:val="21"/>
                <w:highlight w:val="none"/>
              </w:rPr>
              <w:t>，位于场区</w:t>
            </w:r>
            <w:r>
              <w:rPr>
                <w:rFonts w:hint="eastAsia"/>
                <w:color w:val="auto"/>
                <w:sz w:val="21"/>
                <w:szCs w:val="21"/>
                <w:highlight w:val="none"/>
                <w:lang w:eastAsia="zh-CN"/>
              </w:rPr>
              <w:t>南部</w:t>
            </w:r>
            <w:r>
              <w:rPr>
                <w:rFonts w:hint="default"/>
                <w:color w:val="auto"/>
                <w:sz w:val="21"/>
                <w:szCs w:val="21"/>
                <w:highlight w:val="none"/>
              </w:rPr>
              <w:t>污染防治区</w:t>
            </w:r>
            <w:r>
              <w:rPr>
                <w:rFonts w:hint="eastAsia"/>
                <w:color w:val="auto"/>
                <w:sz w:val="21"/>
                <w:szCs w:val="21"/>
                <w:highlight w:val="none"/>
                <w:lang w:eastAsia="zh-CN"/>
              </w:rPr>
              <w:t>，消毒后的废水部分生产系统回用，剩余用于厂区绿化及农田灌溉。</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left"/>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color w:val="auto"/>
                <w:sz w:val="21"/>
                <w:szCs w:val="21"/>
                <w:highlight w:val="none"/>
              </w:rPr>
              <w:t>集污池</w:t>
            </w:r>
            <w:r>
              <w:rPr>
                <w:rFonts w:hint="eastAsia"/>
                <w:color w:val="auto"/>
                <w:sz w:val="21"/>
                <w:szCs w:val="21"/>
                <w:highlight w:val="none"/>
                <w:lang w:val="en-US" w:eastAsia="zh-CN"/>
              </w:rPr>
              <w:t>1</w:t>
            </w:r>
            <w:r>
              <w:rPr>
                <w:rFonts w:hint="default"/>
                <w:color w:val="auto"/>
                <w:sz w:val="21"/>
                <w:szCs w:val="21"/>
                <w:highlight w:val="none"/>
              </w:rPr>
              <w:t>座，位于场址</w:t>
            </w:r>
            <w:r>
              <w:rPr>
                <w:rFonts w:hint="eastAsia"/>
                <w:color w:val="auto"/>
                <w:sz w:val="21"/>
                <w:szCs w:val="21"/>
                <w:highlight w:val="none"/>
                <w:lang w:eastAsia="zh-CN"/>
              </w:rPr>
              <w:t>南部</w:t>
            </w:r>
            <w:r>
              <w:rPr>
                <w:rFonts w:hint="default"/>
                <w:color w:val="auto"/>
                <w:sz w:val="21"/>
                <w:szCs w:val="21"/>
                <w:highlight w:val="none"/>
              </w:rPr>
              <w:t>，</w:t>
            </w:r>
            <w:r>
              <w:rPr>
                <w:rFonts w:hint="eastAsia"/>
                <w:color w:val="auto"/>
                <w:sz w:val="21"/>
                <w:szCs w:val="21"/>
                <w:highlight w:val="none"/>
              </w:rPr>
              <w:t>有效</w:t>
            </w:r>
            <w:r>
              <w:rPr>
                <w:rFonts w:hint="default"/>
                <w:color w:val="auto"/>
                <w:sz w:val="21"/>
                <w:szCs w:val="21"/>
                <w:highlight w:val="none"/>
              </w:rPr>
              <w:t>容积为</w:t>
            </w:r>
            <w:r>
              <w:rPr>
                <w:rFonts w:hint="eastAsia"/>
                <w:color w:val="auto"/>
                <w:sz w:val="21"/>
                <w:szCs w:val="21"/>
                <w:highlight w:val="none"/>
                <w:lang w:val="en-US" w:eastAsia="zh-CN"/>
              </w:rPr>
              <w:t>400</w:t>
            </w:r>
            <w:r>
              <w:rPr>
                <w:rFonts w:hint="default"/>
                <w:color w:val="auto"/>
                <w:sz w:val="21"/>
                <w:szCs w:val="21"/>
                <w:highlight w:val="none"/>
              </w:rPr>
              <w:t>m</w:t>
            </w:r>
            <w:r>
              <w:rPr>
                <w:rFonts w:hint="default"/>
                <w:color w:val="auto"/>
                <w:sz w:val="21"/>
                <w:szCs w:val="21"/>
                <w:highlight w:val="none"/>
                <w:vertAlign w:val="superscript"/>
              </w:rPr>
              <w:t>3</w:t>
            </w:r>
            <w:r>
              <w:rPr>
                <w:rFonts w:hint="default"/>
                <w:color w:val="auto"/>
                <w:sz w:val="21"/>
                <w:szCs w:val="21"/>
                <w:highlight w:val="none"/>
              </w:rPr>
              <w:t>，用于</w:t>
            </w:r>
            <w:r>
              <w:rPr>
                <w:rFonts w:hint="eastAsia"/>
                <w:color w:val="auto"/>
                <w:sz w:val="21"/>
                <w:szCs w:val="21"/>
                <w:highlight w:val="none"/>
              </w:rPr>
              <w:t>收集尿液</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left"/>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厂内</w:t>
            </w:r>
            <w:r>
              <w:rPr>
                <w:rFonts w:hint="default" w:ascii="Times New Roman" w:hAnsi="Times New Roman" w:cs="Times New Roman"/>
                <w:color w:val="auto"/>
                <w:sz w:val="21"/>
                <w:szCs w:val="21"/>
                <w:highlight w:val="none"/>
                <w:lang w:eastAsia="zh-CN"/>
              </w:rPr>
              <w:t>尾水</w:t>
            </w:r>
            <w:r>
              <w:rPr>
                <w:rFonts w:hint="default" w:ascii="Times New Roman" w:hAnsi="Times New Roman" w:cs="Times New Roman"/>
                <w:color w:val="auto"/>
                <w:sz w:val="21"/>
                <w:szCs w:val="21"/>
                <w:highlight w:val="none"/>
              </w:rPr>
              <w:t>储存池</w:t>
            </w: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座，容积</w:t>
            </w:r>
            <w:r>
              <w:rPr>
                <w:rFonts w:hint="eastAsia" w:ascii="Times New Roman" w:hAnsi="Times New Roman" w:cs="Times New Roman"/>
                <w:color w:val="auto"/>
                <w:sz w:val="21"/>
                <w:szCs w:val="21"/>
                <w:highlight w:val="none"/>
                <w:lang w:val="en-US" w:eastAsia="zh-CN"/>
              </w:rPr>
              <w:t>8</w:t>
            </w:r>
            <w:r>
              <w:rPr>
                <w:rFonts w:hint="default" w:ascii="Times New Roman" w:hAnsi="Times New Roman" w:cs="Times New Roman"/>
                <w:color w:val="auto"/>
                <w:sz w:val="21"/>
                <w:szCs w:val="21"/>
                <w:highlight w:val="none"/>
              </w:rPr>
              <w:t>000m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，位于场区</w:t>
            </w:r>
            <w:r>
              <w:rPr>
                <w:rFonts w:hint="default" w:ascii="Times New Roman" w:hAnsi="Times New Roman" w:cs="Times New Roman"/>
                <w:color w:val="auto"/>
                <w:sz w:val="21"/>
                <w:szCs w:val="21"/>
                <w:highlight w:val="none"/>
                <w:lang w:eastAsia="zh-CN"/>
              </w:rPr>
              <w:t>南部</w:t>
            </w:r>
            <w:r>
              <w:rPr>
                <w:rFonts w:hint="default" w:ascii="Times New Roman" w:hAnsi="Times New Roman" w:cs="Times New Roman"/>
                <w:color w:val="auto"/>
                <w:sz w:val="21"/>
                <w:szCs w:val="21"/>
                <w:highlight w:val="none"/>
              </w:rPr>
              <w:t>污染防治区，用于储存处理后的尾水</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50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地下水污染防治</w:t>
            </w:r>
          </w:p>
        </w:tc>
        <w:tc>
          <w:tcPr>
            <w:tcW w:w="756"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分区防渗</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危废间、干粪棚、机修车间、废水处理设施（含集污池）、尾水储存池、事故应急池、隔油池、粪污管道及周边粪水收集</w:t>
            </w:r>
            <w:r>
              <w:rPr>
                <w:rFonts w:hint="eastAsia" w:ascii="Times New Roman" w:hAnsi="Times New Roman" w:eastAsia="宋体" w:cs="Times New Roman"/>
                <w:color w:val="auto"/>
                <w:kern w:val="0"/>
                <w:sz w:val="21"/>
                <w:szCs w:val="21"/>
                <w:highlight w:val="none"/>
                <w:lang w:val="en-US" w:eastAsia="zh-CN" w:bidi="ar-SA"/>
              </w:rPr>
              <w:t>等</w:t>
            </w:r>
            <w:r>
              <w:rPr>
                <w:rFonts w:hint="default" w:ascii="Times New Roman" w:hAnsi="Times New Roman" w:eastAsia="宋体" w:cs="Times New Roman"/>
                <w:color w:val="auto"/>
                <w:kern w:val="0"/>
                <w:sz w:val="21"/>
                <w:szCs w:val="21"/>
                <w:highlight w:val="none"/>
                <w:lang w:val="en-US" w:eastAsia="zh-CN" w:bidi="ar-SA"/>
              </w:rPr>
              <w:t>进行重点防渗</w:t>
            </w:r>
            <w:r>
              <w:rPr>
                <w:rFonts w:hint="eastAsia" w:ascii="Times New Roman" w:hAnsi="Times New Roman" w:eastAsia="宋体" w:cs="Times New Roman"/>
                <w:color w:val="auto"/>
                <w:kern w:val="0"/>
                <w:sz w:val="21"/>
                <w:szCs w:val="21"/>
                <w:highlight w:val="none"/>
                <w:lang w:val="en-US" w:eastAsia="zh-CN" w:bidi="ar-SA"/>
              </w:rPr>
              <w:t>，</w:t>
            </w:r>
            <w:r>
              <w:rPr>
                <w:rFonts w:hint="default" w:ascii="Times New Roman" w:hAnsi="Times New Roman" w:eastAsia="宋体" w:cs="Times New Roman"/>
                <w:color w:val="auto"/>
                <w:kern w:val="0"/>
                <w:sz w:val="21"/>
                <w:szCs w:val="21"/>
                <w:highlight w:val="none"/>
                <w:lang w:val="en-US" w:eastAsia="zh-CN" w:bidi="ar-SA"/>
              </w:rPr>
              <w:t>危废间确保K≤1×10</w:t>
            </w:r>
            <w:r>
              <w:rPr>
                <w:rFonts w:hint="default" w:ascii="Times New Roman" w:hAnsi="Times New Roman" w:eastAsia="宋体" w:cs="Times New Roman"/>
                <w:color w:val="auto"/>
                <w:kern w:val="0"/>
                <w:sz w:val="21"/>
                <w:szCs w:val="21"/>
                <w:highlight w:val="none"/>
                <w:vertAlign w:val="superscript"/>
                <w:lang w:val="en-US" w:eastAsia="zh-CN" w:bidi="ar-SA"/>
              </w:rPr>
              <w:t>-</w:t>
            </w:r>
            <w:r>
              <w:rPr>
                <w:rFonts w:hint="eastAsia" w:ascii="Times New Roman" w:hAnsi="Times New Roman" w:eastAsia="宋体" w:cs="Times New Roman"/>
                <w:color w:val="auto"/>
                <w:kern w:val="0"/>
                <w:sz w:val="21"/>
                <w:szCs w:val="21"/>
                <w:highlight w:val="none"/>
                <w:vertAlign w:val="superscript"/>
                <w:lang w:val="en-US" w:eastAsia="zh-CN" w:bidi="ar-SA"/>
              </w:rPr>
              <w:t>10</w:t>
            </w:r>
            <w:r>
              <w:rPr>
                <w:rFonts w:hint="default" w:ascii="Times New Roman" w:hAnsi="Times New Roman" w:eastAsia="宋体" w:cs="Times New Roman"/>
                <w:color w:val="auto"/>
                <w:kern w:val="0"/>
                <w:sz w:val="21"/>
                <w:szCs w:val="21"/>
                <w:highlight w:val="none"/>
                <w:lang w:val="en-US" w:eastAsia="zh-CN" w:bidi="ar-SA"/>
              </w:rPr>
              <w:t>cm/s</w:t>
            </w:r>
            <w:r>
              <w:rPr>
                <w:rFonts w:hint="eastAsia" w:ascii="Times New Roman" w:hAnsi="Times New Roman" w:eastAsia="宋体" w:cs="Times New Roman"/>
                <w:color w:val="auto"/>
                <w:kern w:val="0"/>
                <w:sz w:val="21"/>
                <w:szCs w:val="21"/>
                <w:highlight w:val="none"/>
                <w:lang w:val="en-US" w:eastAsia="zh-CN" w:bidi="ar-SA"/>
              </w:rPr>
              <w:t>，其余确保</w:t>
            </w:r>
            <w:r>
              <w:rPr>
                <w:rFonts w:hint="default" w:ascii="Times New Roman" w:hAnsi="Times New Roman" w:eastAsia="宋体" w:cs="Times New Roman"/>
                <w:color w:val="auto"/>
                <w:kern w:val="0"/>
                <w:sz w:val="21"/>
                <w:szCs w:val="21"/>
                <w:highlight w:val="none"/>
                <w:lang w:val="en-US" w:eastAsia="zh-CN" w:bidi="ar-SA"/>
              </w:rPr>
              <w:t>等效黏土防渗层Mb≥6.0m，K≤1×10</w:t>
            </w:r>
            <w:r>
              <w:rPr>
                <w:rFonts w:hint="default" w:ascii="Times New Roman" w:hAnsi="Times New Roman" w:eastAsia="宋体" w:cs="Times New Roman"/>
                <w:color w:val="auto"/>
                <w:kern w:val="0"/>
                <w:sz w:val="21"/>
                <w:szCs w:val="21"/>
                <w:highlight w:val="none"/>
                <w:vertAlign w:val="superscript"/>
                <w:lang w:val="en-US" w:eastAsia="zh-CN" w:bidi="ar-SA"/>
              </w:rPr>
              <w:t>-7</w:t>
            </w:r>
            <w:r>
              <w:rPr>
                <w:rFonts w:hint="default" w:ascii="Times New Roman" w:hAnsi="Times New Roman" w:eastAsia="宋体" w:cs="Times New Roman"/>
                <w:color w:val="auto"/>
                <w:kern w:val="0"/>
                <w:sz w:val="21"/>
                <w:szCs w:val="21"/>
                <w:highlight w:val="none"/>
                <w:lang w:val="en-US" w:eastAsia="zh-CN" w:bidi="ar-SA"/>
              </w:rPr>
              <w:t>cm/s</w:t>
            </w:r>
          </w:p>
        </w:tc>
        <w:tc>
          <w:tcPr>
            <w:tcW w:w="685"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55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2679" w:type="pct"/>
            <w:gridSpan w:val="2"/>
            <w:noWrap w:val="0"/>
            <w:vAlign w:val="center"/>
          </w:tcPr>
          <w:p>
            <w:pPr>
              <w:keepNext w:val="0"/>
              <w:keepLines w:val="0"/>
              <w:widowControl w:val="0"/>
              <w:suppressLineNumbers w:val="0"/>
              <w:wordWrap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对牛舍、青贮窖、饲料库、兽医室、预处理池等进行一般防渗</w:t>
            </w:r>
            <w:r>
              <w:rPr>
                <w:rFonts w:hint="eastAsia" w:ascii="Times New Roman" w:hAnsi="Times New Roman" w:eastAsia="宋体" w:cs="Times New Roman"/>
                <w:color w:val="auto"/>
                <w:kern w:val="0"/>
                <w:sz w:val="21"/>
                <w:szCs w:val="21"/>
                <w:highlight w:val="none"/>
                <w:lang w:val="en-US" w:eastAsia="zh-CN" w:bidi="ar-SA"/>
              </w:rPr>
              <w:t>，</w:t>
            </w:r>
            <w:r>
              <w:rPr>
                <w:rFonts w:hint="default" w:ascii="Times New Roman" w:hAnsi="Times New Roman" w:eastAsia="宋体" w:cs="Times New Roman"/>
                <w:color w:val="auto"/>
                <w:kern w:val="0"/>
                <w:sz w:val="21"/>
                <w:szCs w:val="21"/>
                <w:highlight w:val="none"/>
                <w:lang w:val="en-US" w:eastAsia="zh-CN" w:bidi="ar-SA"/>
              </w:rPr>
              <w:t>确保等效黏土防渗层Mb≥1.5m，K≤1×10</w:t>
            </w:r>
            <w:r>
              <w:rPr>
                <w:rFonts w:hint="default" w:ascii="Times New Roman" w:hAnsi="Times New Roman" w:eastAsia="宋体" w:cs="Times New Roman"/>
                <w:color w:val="auto"/>
                <w:kern w:val="0"/>
                <w:sz w:val="21"/>
                <w:szCs w:val="21"/>
                <w:highlight w:val="none"/>
                <w:vertAlign w:val="superscript"/>
                <w:lang w:val="en-US" w:eastAsia="zh-CN" w:bidi="ar-SA"/>
              </w:rPr>
              <w:t>-7</w:t>
            </w:r>
            <w:r>
              <w:rPr>
                <w:rFonts w:hint="default" w:ascii="Times New Roman" w:hAnsi="Times New Roman" w:eastAsia="宋体" w:cs="Times New Roman"/>
                <w:color w:val="auto"/>
                <w:kern w:val="0"/>
                <w:sz w:val="21"/>
                <w:szCs w:val="21"/>
                <w:highlight w:val="none"/>
                <w:lang w:val="en-US" w:eastAsia="zh-CN" w:bidi="ar-SA"/>
              </w:rPr>
              <w:t>cm/s</w:t>
            </w:r>
          </w:p>
        </w:tc>
        <w:tc>
          <w:tcPr>
            <w:tcW w:w="685"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废气</w:t>
            </w:r>
          </w:p>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治理</w:t>
            </w: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食堂</w:t>
            </w:r>
            <w:r>
              <w:rPr>
                <w:rFonts w:hint="default" w:ascii="Times New Roman" w:hAnsi="Times New Roman" w:eastAsia="宋体" w:cs="Times New Roman"/>
                <w:color w:val="auto"/>
                <w:kern w:val="0"/>
                <w:sz w:val="21"/>
                <w:szCs w:val="21"/>
                <w:highlight w:val="none"/>
                <w:lang w:val="en-US" w:eastAsia="zh-CN" w:bidi="ar-SA"/>
              </w:rPr>
              <w:t>油烟</w:t>
            </w:r>
          </w:p>
        </w:tc>
        <w:tc>
          <w:tcPr>
            <w:tcW w:w="2679" w:type="pct"/>
            <w:gridSpan w:val="2"/>
            <w:noWrap w:val="0"/>
            <w:vAlign w:val="center"/>
          </w:tcPr>
          <w:p>
            <w:pPr>
              <w:keepNext w:val="0"/>
              <w:keepLines w:val="0"/>
              <w:widowControl w:val="0"/>
              <w:suppressLineNumbers w:val="0"/>
              <w:wordWrap w:val="0"/>
              <w:adjustRightInd w:val="0"/>
              <w:spacing w:before="0" w:beforeAutospacing="0" w:after="0" w:afterAutospacing="0" w:line="240" w:lineRule="auto"/>
              <w:ind w:left="0" w:right="0" w:firstLine="0" w:firstLineChars="0"/>
              <w:jc w:val="both"/>
              <w:textAlignment w:val="baseline"/>
              <w:rPr>
                <w:rFonts w:hint="eastAsia"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一套处理效率大于75%油烟净化器，风量5000m</w:t>
            </w:r>
            <w:r>
              <w:rPr>
                <w:rFonts w:hint="eastAsia" w:ascii="Times New Roman" w:hAnsi="Times New Roman" w:eastAsia="宋体" w:cs="Times New Roman"/>
                <w:color w:val="auto"/>
                <w:kern w:val="2"/>
                <w:sz w:val="21"/>
                <w:szCs w:val="21"/>
                <w:highlight w:val="none"/>
                <w:vertAlign w:val="superscript"/>
                <w:lang w:val="en-US" w:eastAsia="zh-CN" w:bidi="ar-SA"/>
              </w:rPr>
              <w:t>3</w:t>
            </w:r>
            <w:r>
              <w:rPr>
                <w:rFonts w:hint="eastAsia" w:ascii="Times New Roman" w:hAnsi="Times New Roman" w:eastAsia="宋体" w:cs="Times New Roman"/>
                <w:color w:val="auto"/>
                <w:kern w:val="2"/>
                <w:sz w:val="21"/>
                <w:szCs w:val="21"/>
                <w:highlight w:val="none"/>
                <w:lang w:val="en-US" w:eastAsia="zh-CN" w:bidi="ar-SA"/>
              </w:rPr>
              <w:t>/h，</w:t>
            </w:r>
            <w:r>
              <w:rPr>
                <w:rFonts w:hint="default" w:ascii="Times New Roman" w:hAnsi="Times New Roman" w:eastAsia="宋体" w:cs="Times New Roman"/>
                <w:color w:val="auto"/>
                <w:kern w:val="2"/>
                <w:sz w:val="21"/>
                <w:szCs w:val="21"/>
                <w:highlight w:val="none"/>
                <w:lang w:val="en-US" w:eastAsia="zh-CN" w:bidi="ar-SA"/>
              </w:rPr>
              <w:t>并由专用排烟道至食堂楼顶排放</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污</w:t>
            </w:r>
            <w:r>
              <w:rPr>
                <w:rFonts w:hint="default" w:ascii="Times New Roman" w:hAnsi="Times New Roman" w:eastAsia="宋体" w:cs="Times New Roman"/>
                <w:color w:val="auto"/>
                <w:kern w:val="2"/>
                <w:sz w:val="21"/>
                <w:szCs w:val="21"/>
                <w:highlight w:val="none"/>
                <w:lang w:val="en-US" w:eastAsia="zh-CN" w:bidi="ar-SA"/>
              </w:rPr>
              <w:t>水处理站恶臭</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“碱液喷淋+生物过滤法”处理后经15m高排气筒</w:t>
            </w:r>
            <w:r>
              <w:rPr>
                <w:rFonts w:hint="default" w:ascii="Times New Roman" w:hAnsi="Times New Roman" w:eastAsia="宋体" w:cs="Times New Roman"/>
                <w:color w:val="auto"/>
                <w:sz w:val="21"/>
                <w:szCs w:val="21"/>
                <w:highlight w:val="none"/>
                <w:lang w:eastAsia="zh-CN"/>
              </w:rPr>
              <w:t>（DA002</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排放</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bidi="ar-SA"/>
              </w:rPr>
              <w:t>喷洒除臭剂，处理设施加盖密闭，周边加强绿化</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病死牛处理车间废气</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无害化降解处理机处理病死</w:t>
            </w:r>
            <w:r>
              <w:rPr>
                <w:rFonts w:hint="eastAsia" w:ascii="Times New Roman" w:hAnsi="Times New Roman" w:eastAsia="宋体" w:cs="Times New Roman"/>
                <w:color w:val="auto"/>
                <w:kern w:val="2"/>
                <w:sz w:val="21"/>
                <w:szCs w:val="21"/>
                <w:highlight w:val="none"/>
                <w:lang w:val="en-US" w:eastAsia="zh-CN" w:bidi="ar-SA"/>
              </w:rPr>
              <w:t>牛</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计入固废措施投资</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牛</w:t>
            </w:r>
            <w:r>
              <w:rPr>
                <w:rFonts w:hint="default" w:ascii="Times New Roman" w:hAnsi="Times New Roman" w:eastAsia="宋体" w:cs="Times New Roman"/>
                <w:color w:val="auto"/>
                <w:kern w:val="2"/>
                <w:sz w:val="21"/>
                <w:szCs w:val="21"/>
                <w:highlight w:val="none"/>
                <w:lang w:val="en-US" w:eastAsia="zh-CN" w:bidi="ar-SA"/>
              </w:rPr>
              <w:t>舍恶臭</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牛粪日产日清、加强通风、饲料中添加EM制剂、喷洒除臭剂</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干粪棚</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负压收集后的废气经生物滤池处理后经15m高排气筒（DA001）排放、</w:t>
            </w:r>
            <w:r>
              <w:rPr>
                <w:rFonts w:hint="default" w:ascii="Times New Roman" w:hAnsi="Times New Roman" w:eastAsia="宋体" w:cs="Times New Roman"/>
                <w:color w:val="auto"/>
                <w:kern w:val="2"/>
                <w:sz w:val="21"/>
                <w:szCs w:val="21"/>
                <w:highlight w:val="none"/>
                <w:lang w:val="en-US" w:eastAsia="zh-CN" w:bidi="ar-SA"/>
              </w:rPr>
              <w:t>喷洒除臭剂</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沼气燃烧废气</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沼气脱水脱硫处理+燃烧回用</w:t>
            </w:r>
            <w:r>
              <w:rPr>
                <w:rFonts w:hint="eastAsia" w:ascii="Times New Roman" w:hAnsi="Times New Roman" w:eastAsia="宋体" w:cs="Times New Roman"/>
                <w:color w:val="auto"/>
                <w:kern w:val="0"/>
                <w:sz w:val="21"/>
                <w:szCs w:val="21"/>
                <w:highlight w:val="none"/>
                <w:lang w:val="en-US" w:eastAsia="zh-CN" w:bidi="ar-SA"/>
              </w:rPr>
              <w:t>和发电回用</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运输车辆恶臭、尾气</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清洗车辆、加强管理</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噪声</w:t>
            </w:r>
          </w:p>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治理</w:t>
            </w:r>
          </w:p>
        </w:tc>
        <w:tc>
          <w:tcPr>
            <w:tcW w:w="756"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生产噪声</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水泵进出口设软接头、安装橡胶减震接头及加装减振垫等</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基座减振，设置隔声门窗，安装消声器，</w:t>
            </w:r>
            <w:r>
              <w:rPr>
                <w:rFonts w:hint="eastAsia" w:ascii="Times New Roman" w:hAnsi="Times New Roman" w:eastAsia="宋体" w:cs="Times New Roman"/>
                <w:color w:val="auto"/>
                <w:kern w:val="0"/>
                <w:sz w:val="21"/>
                <w:szCs w:val="21"/>
                <w:highlight w:val="none"/>
                <w:lang w:val="en-US" w:eastAsia="zh-CN" w:bidi="ar-SA"/>
              </w:rPr>
              <w:t>发</w:t>
            </w:r>
            <w:r>
              <w:rPr>
                <w:rFonts w:hint="default" w:ascii="Times New Roman" w:hAnsi="Times New Roman" w:eastAsia="宋体" w:cs="Times New Roman"/>
                <w:color w:val="auto"/>
                <w:kern w:val="0"/>
                <w:sz w:val="21"/>
                <w:szCs w:val="21"/>
                <w:highlight w:val="none"/>
                <w:lang w:val="en-US" w:eastAsia="zh-CN" w:bidi="ar-SA"/>
              </w:rPr>
              <w:t xml:space="preserve">电机房的墙壁和天花板采用吸声材料， </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厂房隔声，合理安排饲养时间、加强管理，设置绿化隔声带</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计入工程投资</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64"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固体</w:t>
            </w:r>
          </w:p>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废物</w:t>
            </w:r>
          </w:p>
        </w:tc>
        <w:tc>
          <w:tcPr>
            <w:tcW w:w="756"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一般固废</w:t>
            </w:r>
          </w:p>
        </w:tc>
        <w:tc>
          <w:tcPr>
            <w:tcW w:w="1103"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eastAsia="宋体" w:cs="Times New Roman"/>
                <w:bCs/>
                <w:color w:val="auto"/>
                <w:kern w:val="0"/>
                <w:sz w:val="21"/>
                <w:szCs w:val="21"/>
                <w:highlight w:val="none"/>
                <w:lang w:val="en-US" w:eastAsia="zh-CN" w:bidi="ar-SA"/>
              </w:rPr>
              <w:t>牛</w:t>
            </w:r>
            <w:r>
              <w:rPr>
                <w:rFonts w:hint="default" w:ascii="Times New Roman" w:hAnsi="Times New Roman" w:eastAsia="宋体" w:cs="Times New Roman"/>
                <w:bCs/>
                <w:color w:val="auto"/>
                <w:kern w:val="0"/>
                <w:sz w:val="21"/>
                <w:szCs w:val="21"/>
                <w:highlight w:val="none"/>
                <w:lang w:val="en-US" w:eastAsia="zh-CN" w:bidi="ar-SA"/>
              </w:rPr>
              <w:t>粪</w:t>
            </w:r>
          </w:p>
        </w:tc>
        <w:tc>
          <w:tcPr>
            <w:tcW w:w="1575"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运输至</w:t>
            </w:r>
            <w:r>
              <w:rPr>
                <w:rFonts w:hint="eastAsia" w:ascii="Times New Roman" w:hAnsi="Times New Roman" w:eastAsia="宋体" w:cs="Times New Roman"/>
                <w:color w:val="auto"/>
                <w:kern w:val="2"/>
                <w:sz w:val="21"/>
                <w:szCs w:val="21"/>
                <w:highlight w:val="none"/>
                <w:lang w:val="en-US" w:eastAsia="zh-CN" w:bidi="ar-SA"/>
              </w:rPr>
              <w:t>南江县万事康生物科技有限公司</w:t>
            </w:r>
            <w:r>
              <w:rPr>
                <w:rFonts w:hint="default" w:ascii="Times New Roman" w:hAnsi="Times New Roman" w:eastAsia="宋体" w:cs="Times New Roman"/>
                <w:color w:val="auto"/>
                <w:kern w:val="2"/>
                <w:sz w:val="21"/>
                <w:szCs w:val="21"/>
                <w:highlight w:val="none"/>
                <w:lang w:val="en-US" w:eastAsia="zh-CN" w:bidi="ar-SA"/>
              </w:rPr>
              <w:t>用作生产有机肥原料使用</w:t>
            </w:r>
          </w:p>
        </w:tc>
        <w:tc>
          <w:tcPr>
            <w:tcW w:w="685"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150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103"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污水处理设施污泥及沼渣</w:t>
            </w:r>
          </w:p>
        </w:tc>
        <w:tc>
          <w:tcPr>
            <w:tcW w:w="1575"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bCs/>
                <w:color w:val="auto"/>
                <w:kern w:val="0"/>
                <w:sz w:val="21"/>
                <w:szCs w:val="21"/>
                <w:highlight w:val="none"/>
                <w:lang w:val="en-US" w:eastAsia="zh-CN" w:bidi="ar-SA"/>
              </w:rPr>
            </w:pPr>
          </w:p>
        </w:tc>
        <w:tc>
          <w:tcPr>
            <w:tcW w:w="685"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103"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病死</w:t>
            </w:r>
            <w:r>
              <w:rPr>
                <w:rFonts w:hint="eastAsia" w:ascii="Times New Roman" w:hAnsi="Times New Roman" w:eastAsia="宋体" w:cs="Times New Roman"/>
                <w:bCs/>
                <w:color w:val="auto"/>
                <w:kern w:val="0"/>
                <w:sz w:val="21"/>
                <w:szCs w:val="21"/>
                <w:highlight w:val="none"/>
                <w:lang w:val="en-US" w:eastAsia="zh-CN" w:bidi="ar-SA"/>
              </w:rPr>
              <w:t>牛</w:t>
            </w:r>
          </w:p>
        </w:tc>
        <w:tc>
          <w:tcPr>
            <w:tcW w:w="157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采用</w:t>
            </w:r>
            <w:r>
              <w:rPr>
                <w:rFonts w:hint="eastAsia" w:ascii="Times New Roman" w:hAnsi="Times New Roman" w:eastAsia="宋体" w:cs="Times New Roman"/>
                <w:color w:val="auto"/>
                <w:kern w:val="2"/>
                <w:sz w:val="21"/>
                <w:szCs w:val="21"/>
                <w:highlight w:val="none"/>
                <w:lang w:val="en-US" w:eastAsia="zh-CN" w:bidi="ar-SA"/>
              </w:rPr>
              <w:t>无害化降解处理机</w:t>
            </w:r>
            <w:r>
              <w:rPr>
                <w:rFonts w:hint="default" w:ascii="Times New Roman" w:hAnsi="Times New Roman" w:eastAsia="宋体" w:cs="Times New Roman"/>
                <w:color w:val="auto"/>
                <w:kern w:val="2"/>
                <w:sz w:val="21"/>
                <w:szCs w:val="21"/>
                <w:highlight w:val="none"/>
                <w:lang w:val="en-US" w:eastAsia="zh-CN" w:bidi="ar-SA"/>
              </w:rPr>
              <w:t>处理，处理后运输至</w:t>
            </w:r>
            <w:r>
              <w:rPr>
                <w:rFonts w:hint="eastAsia" w:ascii="Times New Roman" w:hAnsi="Times New Roman" w:eastAsia="宋体" w:cs="Times New Roman"/>
                <w:color w:val="auto"/>
                <w:kern w:val="2"/>
                <w:sz w:val="21"/>
                <w:szCs w:val="21"/>
                <w:highlight w:val="none"/>
                <w:lang w:val="en-US" w:eastAsia="zh-CN" w:bidi="ar-SA"/>
              </w:rPr>
              <w:t>南江县万事康生物科技有限公司</w:t>
            </w:r>
            <w:r>
              <w:rPr>
                <w:rFonts w:hint="default" w:ascii="Times New Roman" w:hAnsi="Times New Roman" w:eastAsia="宋体" w:cs="Times New Roman"/>
                <w:color w:val="auto"/>
                <w:kern w:val="2"/>
                <w:sz w:val="21"/>
                <w:szCs w:val="21"/>
                <w:highlight w:val="none"/>
                <w:lang w:val="en-US" w:eastAsia="zh-CN" w:bidi="ar-SA"/>
              </w:rPr>
              <w:t>用作生产有机肥原料使用</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60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103"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生活垃圾</w:t>
            </w:r>
          </w:p>
        </w:tc>
        <w:tc>
          <w:tcPr>
            <w:tcW w:w="157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袋装收集后暂存于生活垃圾暂存间，及时运往垃圾中转站，由环卫部门统一清运处置</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880" w:type="dxa"/>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餐厨垃圾（含隔油池油脂）</w:t>
            </w:r>
          </w:p>
        </w:tc>
        <w:tc>
          <w:tcPr>
            <w:tcW w:w="2686" w:type="dxa"/>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kern w:val="2"/>
                <w:sz w:val="21"/>
                <w:szCs w:val="21"/>
                <w:highlight w:val="none"/>
                <w:lang w:val="en-US" w:eastAsia="zh-CN" w:bidi="ar-SA"/>
              </w:rPr>
              <w:t>收集后交由餐厨垃圾收运单位清运处置。</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880" w:type="dxa"/>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化粪池污泥</w:t>
            </w:r>
          </w:p>
        </w:tc>
        <w:tc>
          <w:tcPr>
            <w:tcW w:w="2686" w:type="dxa"/>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2"/>
                <w:sz w:val="21"/>
                <w:szCs w:val="21"/>
                <w:highlight w:val="none"/>
                <w:lang w:val="en-US" w:eastAsia="zh-CN" w:bidi="ar-SA"/>
              </w:rPr>
              <w:t>定期清掏，清掏后运输至南江县万事康生物科技有限公司用作生产有机肥原料使用。</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103"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废脱硫剂</w:t>
            </w:r>
          </w:p>
        </w:tc>
        <w:tc>
          <w:tcPr>
            <w:tcW w:w="157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集中收集后交由原厂家回收再生利用</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103"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废包装材料</w:t>
            </w:r>
          </w:p>
        </w:tc>
        <w:tc>
          <w:tcPr>
            <w:tcW w:w="157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统一收集后送至废品回收站收购</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危险废物</w:t>
            </w:r>
          </w:p>
        </w:tc>
        <w:tc>
          <w:tcPr>
            <w:tcW w:w="1103"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畜禽</w:t>
            </w:r>
            <w:r>
              <w:rPr>
                <w:rFonts w:hint="default" w:ascii="Times New Roman" w:hAnsi="Times New Roman" w:eastAsia="宋体" w:cs="Times New Roman"/>
                <w:color w:val="auto"/>
                <w:kern w:val="0"/>
                <w:sz w:val="21"/>
                <w:szCs w:val="21"/>
                <w:highlight w:val="none"/>
                <w:lang w:val="en-US" w:eastAsia="zh-CN" w:bidi="ar-SA"/>
              </w:rPr>
              <w:t>医疗废物</w:t>
            </w:r>
          </w:p>
        </w:tc>
        <w:tc>
          <w:tcPr>
            <w:tcW w:w="157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暂存于危险废物暂存间，交由危险废物处置单位进行处置</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风险防范设施</w:t>
            </w: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事故应急池</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left"/>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1座，</w:t>
            </w:r>
            <w:r>
              <w:rPr>
                <w:rFonts w:hint="eastAsia" w:ascii="Times New Roman" w:hAnsi="Times New Roman" w:eastAsia="宋体" w:cs="Times New Roman"/>
                <w:color w:val="auto"/>
                <w:kern w:val="0"/>
                <w:sz w:val="21"/>
                <w:szCs w:val="21"/>
                <w:highlight w:val="none"/>
                <w:lang w:val="en-US" w:eastAsia="zh-CN" w:bidi="ar-SA"/>
              </w:rPr>
              <w:t>位于厂区南侧，用于存放污水处理系统事故时废水，容积2000m</w:t>
            </w:r>
            <w:r>
              <w:rPr>
                <w:rFonts w:hint="eastAsia" w:ascii="Times New Roman" w:hAnsi="Times New Roman" w:eastAsia="宋体" w:cs="Times New Roman"/>
                <w:color w:val="auto"/>
                <w:kern w:val="0"/>
                <w:sz w:val="21"/>
                <w:szCs w:val="21"/>
                <w:highlight w:val="none"/>
                <w:vertAlign w:val="superscript"/>
                <w:lang w:val="en-US" w:eastAsia="zh-CN" w:bidi="ar-SA"/>
              </w:rPr>
              <w:t>3</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沼气泄漏</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left"/>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加强设备的维护，按规定定期对储袋、管道系统进行密封性和压强测试；设置可燃气体泄漏报警器、火焰报警器和烟雾报警器各1套</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消防器材</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left"/>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厂区设置消防灭火系统</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计入工程投资</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风险管理措施</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left"/>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编制应急预案，</w:t>
            </w:r>
            <w:r>
              <w:rPr>
                <w:rFonts w:hint="eastAsia" w:ascii="Times New Roman" w:hAnsi="Times New Roman" w:eastAsia="宋体" w:cs="Times New Roman"/>
                <w:color w:val="auto"/>
                <w:kern w:val="0"/>
                <w:sz w:val="21"/>
                <w:szCs w:val="21"/>
                <w:highlight w:val="none"/>
                <w:lang w:val="en-US" w:eastAsia="zh-CN" w:bidi="ar-SA"/>
              </w:rPr>
              <w:t>加强操作人员的技术培训和岗位责任制教育</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其他</w:t>
            </w: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环境管理及监测</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both"/>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定期开展环境监测工作，加强环境保护管理工作</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88" w:type="pct"/>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生态</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left"/>
              <w:textAlignment w:val="baseline"/>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厂区绿化、服务期满后土地复垦</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78"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合计</w:t>
            </w:r>
          </w:p>
        </w:tc>
        <w:tc>
          <w:tcPr>
            <w:tcW w:w="756"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p>
        </w:tc>
        <w:tc>
          <w:tcPr>
            <w:tcW w:w="2679" w:type="pct"/>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p>
        </w:tc>
        <w:tc>
          <w:tcPr>
            <w:tcW w:w="685" w:type="pc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821</w:t>
            </w:r>
          </w:p>
        </w:tc>
      </w:tr>
    </w:tbl>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环境保护措施及技术经济论证结果表明：工程拟采取的废水、废气、噪声治理措施技术成熟可靠、经济合理可行；固体废物去向明确，能得到妥善处置。建设项目环境保护措施选择合理，能够产生较好的环境效益。</w:t>
      </w:r>
    </w:p>
    <w:p>
      <w:pPr>
        <w:rPr>
          <w:rFonts w:hint="default" w:ascii="Times New Roman" w:hAnsi="Times New Roman" w:cs="Times New Roman"/>
          <w:color w:val="auto"/>
          <w:highlight w:val="none"/>
          <w:lang w:val="en-US" w:eastAsia="zh-CN"/>
        </w:rPr>
      </w:pPr>
      <w:r>
        <w:rPr>
          <w:color w:val="auto"/>
          <w:highlight w:val="none"/>
          <w:lang w:val="zh-CN"/>
        </w:rPr>
        <w:br w:type="page"/>
      </w:r>
    </w:p>
    <w:p>
      <w:pPr>
        <w:pStyle w:val="6"/>
        <w:rPr>
          <w:rFonts w:cs="Times New Roman"/>
          <w:color w:val="auto"/>
          <w:highlight w:val="none"/>
        </w:rPr>
      </w:pPr>
      <w:bookmarkStart w:id="290" w:name="_Toc2923"/>
      <w:r>
        <w:rPr>
          <w:rFonts w:cs="Times New Roman"/>
          <w:color w:val="auto"/>
          <w:highlight w:val="none"/>
        </w:rPr>
        <w:t>环境影响经济损益分析</w:t>
      </w:r>
      <w:bookmarkEnd w:id="290"/>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291" w:name="_Toc23923"/>
      <w:bookmarkStart w:id="292" w:name="_Toc414180957"/>
      <w:bookmarkStart w:id="293" w:name="_Toc470789121"/>
      <w:bookmarkStart w:id="294" w:name="_Toc369668391"/>
      <w:bookmarkStart w:id="295" w:name="_Toc154982520"/>
      <w:bookmarkStart w:id="296" w:name="_Toc154987658"/>
      <w:bookmarkStart w:id="297" w:name="_Toc261592346"/>
      <w:bookmarkStart w:id="298" w:name="_Toc154987416"/>
      <w:bookmarkStart w:id="299" w:name="_Toc362744370"/>
      <w:bookmarkStart w:id="300" w:name="_Toc123721620"/>
      <w:bookmarkStart w:id="301" w:name="_Toc241784544"/>
      <w:bookmarkStart w:id="302" w:name="_Toc163123437"/>
      <w:bookmarkStart w:id="303" w:name="_Toc319588993"/>
      <w:bookmarkStart w:id="304" w:name="_Toc145487288"/>
      <w:bookmarkStart w:id="305" w:name="_Toc154818638"/>
      <w:bookmarkStart w:id="306" w:name="_Toc405412947"/>
      <w:bookmarkStart w:id="307" w:name="_Toc145487169"/>
      <w:bookmarkStart w:id="308" w:name="_Toc214714330"/>
      <w:bookmarkStart w:id="309" w:name="_Toc319591304"/>
      <w:bookmarkStart w:id="310" w:name="_Toc295386679"/>
      <w:r>
        <w:rPr>
          <w:rFonts w:hint="eastAsia" w:ascii="Times New Roman" w:hAnsi="Times New Roman" w:eastAsia="宋体" w:cs="Times New Roman"/>
          <w:color w:val="auto"/>
          <w:highlight w:val="none"/>
          <w:lang w:val="en-US" w:eastAsia="zh-CN"/>
        </w:rPr>
        <w:t>概述</w:t>
      </w:r>
      <w:bookmarkEnd w:id="291"/>
      <w:bookmarkEnd w:id="292"/>
      <w:bookmarkEnd w:id="293"/>
    </w:p>
    <w:p>
      <w:pPr>
        <w:pStyle w:val="182"/>
        <w:spacing w:line="360" w:lineRule="auto"/>
        <w:ind w:firstLine="480"/>
        <w:rPr>
          <w:color w:val="auto"/>
          <w:highlight w:val="none"/>
        </w:rPr>
      </w:pPr>
      <w:r>
        <w:rPr>
          <w:color w:val="auto"/>
          <w:highlight w:val="none"/>
        </w:rPr>
        <w:t>环境影响经济损益分析是近年来环境影响评价的一项主要内容，设置的目的在于衡量建设项目所需投入的环保投资和能收到的环保效果，以评价拟建项目的环境经济可行性。环境影响经济损益分析是从环境经济角度对项目可行性进行评价，以货币形式定量表述建设项目对环境影响程度和相应的环境工程效益，从而为决策部门提供科学依据，使建设项目在营运后能更好地实现经济效益、环境效益和社会效益统一。</w:t>
      </w:r>
    </w:p>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11" w:name="_Toc29221886"/>
      <w:bookmarkStart w:id="312" w:name="_Toc436035714"/>
      <w:bookmarkStart w:id="313" w:name="_Toc488738022"/>
      <w:bookmarkStart w:id="314" w:name="_Toc2259"/>
      <w:r>
        <w:rPr>
          <w:rFonts w:hint="eastAsia" w:ascii="Times New Roman" w:hAnsi="Times New Roman" w:eastAsia="宋体" w:cs="Times New Roman"/>
          <w:color w:val="auto"/>
          <w:highlight w:val="none"/>
          <w:lang w:val="en-US" w:eastAsia="zh-CN"/>
        </w:rPr>
        <w:t>环境经济损益分析的目的</w:t>
      </w:r>
      <w:bookmarkEnd w:id="311"/>
      <w:bookmarkEnd w:id="312"/>
      <w:bookmarkEnd w:id="313"/>
      <w:bookmarkEnd w:id="314"/>
    </w:p>
    <w:p>
      <w:pPr>
        <w:pStyle w:val="182"/>
        <w:spacing w:line="360" w:lineRule="auto"/>
        <w:ind w:firstLine="480"/>
        <w:rPr>
          <w:color w:val="auto"/>
          <w:highlight w:val="none"/>
        </w:rPr>
      </w:pPr>
      <w:r>
        <w:rPr>
          <w:rFonts w:hint="eastAsia"/>
          <w:color w:val="auto"/>
          <w:highlight w:val="none"/>
        </w:rPr>
        <w:t>环境影响经济损益分析是环境影响评价的重要环节之一，它的主要任务是衡量建设项目需要投入的环保投资和收到的环境保护效果，以及建设项目对外界产生的环境影响、经济影响和社会影响。</w:t>
      </w:r>
      <w:r>
        <w:rPr>
          <w:color w:val="auto"/>
          <w:highlight w:val="none"/>
        </w:rPr>
        <w:t>根据工程分析，本项目建设将不可避免的带来一些环境问题，对环境影响较大的主要施工期和运营期，特别是运营期，影响的范围大，因素多，为此工程将投入一定的经费，对所带来的环境问题进行治理。</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15" w:name="_Toc1917"/>
      <w:bookmarkStart w:id="316" w:name="_Toc29221887"/>
      <w:r>
        <w:rPr>
          <w:rFonts w:hint="eastAsia" w:ascii="Times New Roman" w:hAnsi="Times New Roman" w:eastAsia="宋体" w:cs="Times New Roman"/>
          <w:color w:val="auto"/>
          <w:highlight w:val="none"/>
          <w:lang w:val="en-US" w:eastAsia="zh-CN"/>
        </w:rPr>
        <w:t>环境经济损益分析的方法</w:t>
      </w:r>
      <w:bookmarkEnd w:id="315"/>
      <w:bookmarkEnd w:id="316"/>
    </w:p>
    <w:p>
      <w:pPr>
        <w:pStyle w:val="182"/>
        <w:spacing w:line="360" w:lineRule="auto"/>
        <w:ind w:firstLine="480"/>
        <w:rPr>
          <w:rFonts w:hint="eastAsia"/>
          <w:color w:val="auto"/>
          <w:highlight w:val="none"/>
        </w:rPr>
      </w:pPr>
      <w:r>
        <w:rPr>
          <w:rFonts w:hint="eastAsia"/>
          <w:color w:val="auto"/>
          <w:highlight w:val="none"/>
        </w:rPr>
        <w:t>环境经济损益分析采用国家环境保护总局推荐的《环境经济损益分析》的技术原则与方法进行，主要内容有：确定建设项目的环境保护投资费用；计算环境保护设施的运行、折旧、管理费用；确定项目无环保措施条件下的资源和社会损失；计算环保设施产生的经济效益；环境经济静态分析等。经济效益比较直观，很容易用货币直接计算，而环境污染影响带来的损失一般是间接的，很难用货币直接计算，因此环境影响经济具体定量化分析，目前难度还是较大的，多数是采用定性与半定量相结合的方法进行讨论。</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17" w:name="_Toc488738025"/>
      <w:bookmarkStart w:id="318" w:name="_Toc436035716"/>
      <w:bookmarkStart w:id="319" w:name="_Toc29221888"/>
      <w:bookmarkStart w:id="320" w:name="_Toc6545"/>
      <w:r>
        <w:rPr>
          <w:rFonts w:hint="eastAsia" w:ascii="Times New Roman" w:hAnsi="Times New Roman" w:eastAsia="宋体" w:cs="Times New Roman"/>
          <w:color w:val="auto"/>
          <w:highlight w:val="none"/>
          <w:lang w:val="en-US" w:eastAsia="zh-CN"/>
        </w:rPr>
        <w:t>项目经济效益分析</w:t>
      </w:r>
      <w:bookmarkEnd w:id="317"/>
      <w:bookmarkEnd w:id="318"/>
      <w:bookmarkEnd w:id="319"/>
      <w:bookmarkEnd w:id="320"/>
    </w:p>
    <w:p>
      <w:pPr>
        <w:pStyle w:val="182"/>
        <w:spacing w:line="360" w:lineRule="auto"/>
        <w:ind w:firstLine="480"/>
        <w:rPr>
          <w:rFonts w:hint="eastAsia"/>
          <w:color w:val="auto"/>
          <w:highlight w:val="none"/>
        </w:rPr>
      </w:pPr>
      <w:r>
        <w:rPr>
          <w:rFonts w:hint="eastAsia"/>
          <w:color w:val="auto"/>
          <w:highlight w:val="none"/>
        </w:rPr>
        <w:t>本项目总投资</w:t>
      </w:r>
      <w:r>
        <w:rPr>
          <w:rFonts w:hint="eastAsia" w:cs="Times New Roman"/>
          <w:color w:val="auto"/>
          <w:sz w:val="24"/>
          <w:szCs w:val="24"/>
          <w:highlight w:val="none"/>
          <w:lang w:val="en-US" w:eastAsia="zh-CN"/>
        </w:rPr>
        <w:t>27688.93</w:t>
      </w:r>
      <w:r>
        <w:rPr>
          <w:rFonts w:hint="eastAsia"/>
          <w:color w:val="auto"/>
          <w:highlight w:val="none"/>
        </w:rPr>
        <w:t>万元，项目的建设将促进该地区农业的发展，从而拉动地方经济增长，提升区域的经济消费水平。本项目建成后，年出栏</w:t>
      </w:r>
      <w:r>
        <w:rPr>
          <w:rFonts w:hint="eastAsia" w:ascii="Times New Roman" w:hAnsi="Times New Roman" w:cs="Times New Roman"/>
          <w:bCs/>
          <w:color w:val="auto"/>
          <w:sz w:val="24"/>
          <w:highlight w:val="none"/>
          <w:lang w:val="en-US" w:eastAsia="zh-CN"/>
        </w:rPr>
        <w:t>1</w:t>
      </w:r>
      <w:r>
        <w:rPr>
          <w:rFonts w:hint="eastAsia" w:cs="Times New Roman"/>
          <w:bCs/>
          <w:color w:val="auto"/>
          <w:sz w:val="24"/>
          <w:highlight w:val="none"/>
          <w:lang w:val="en-US" w:eastAsia="zh-CN"/>
        </w:rPr>
        <w:t>7000</w:t>
      </w:r>
      <w:r>
        <w:rPr>
          <w:rFonts w:hint="eastAsia" w:ascii="Times New Roman" w:hAnsi="Times New Roman" w:cs="Times New Roman"/>
          <w:bCs/>
          <w:color w:val="auto"/>
          <w:sz w:val="24"/>
          <w:highlight w:val="none"/>
        </w:rPr>
        <w:t>头</w:t>
      </w:r>
      <w:r>
        <w:rPr>
          <w:rFonts w:hint="eastAsia" w:ascii="Times New Roman" w:hAnsi="Times New Roman" w:cs="Times New Roman"/>
          <w:bCs/>
          <w:color w:val="auto"/>
          <w:sz w:val="24"/>
          <w:highlight w:val="none"/>
          <w:lang w:eastAsia="zh-CN"/>
        </w:rPr>
        <w:t>肉牛</w:t>
      </w:r>
      <w:r>
        <w:rPr>
          <w:rFonts w:hint="eastAsia"/>
          <w:color w:val="auto"/>
          <w:highlight w:val="none"/>
        </w:rPr>
        <w:t>，投资收益率较高。同进，本项目的建设具有产业链效益，能够带动当地经济的快速发展，并能促进饲料加工、种植业、养殖业等相关行业的发展。</w:t>
      </w:r>
    </w:p>
    <w:p>
      <w:pPr>
        <w:pStyle w:val="182"/>
        <w:spacing w:line="360" w:lineRule="auto"/>
        <w:ind w:firstLine="480"/>
        <w:rPr>
          <w:rFonts w:hint="eastAsia"/>
          <w:color w:val="auto"/>
          <w:highlight w:val="none"/>
        </w:rPr>
      </w:pPr>
      <w:r>
        <w:rPr>
          <w:rFonts w:hint="eastAsia"/>
          <w:color w:val="auto"/>
          <w:highlight w:val="none"/>
        </w:rPr>
        <w:t>因此，本项目的建设可促进区域畜牧业发展和产业结构的调整，增加当地的就业机会和人均收入，总体经济效益将会显著增长。</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21" w:name="_Toc436035717"/>
      <w:bookmarkStart w:id="322" w:name="_Toc29221889"/>
      <w:bookmarkStart w:id="323" w:name="_Toc488738026"/>
      <w:bookmarkStart w:id="324" w:name="_Toc18378"/>
      <w:r>
        <w:rPr>
          <w:rFonts w:hint="eastAsia" w:ascii="Times New Roman" w:hAnsi="Times New Roman" w:eastAsia="宋体" w:cs="Times New Roman"/>
          <w:color w:val="auto"/>
          <w:highlight w:val="none"/>
          <w:lang w:val="en-US" w:eastAsia="zh-CN"/>
        </w:rPr>
        <w:t>项目社会效益分析</w:t>
      </w:r>
      <w:bookmarkEnd w:id="321"/>
      <w:bookmarkEnd w:id="322"/>
      <w:bookmarkEnd w:id="323"/>
      <w:bookmarkEnd w:id="324"/>
    </w:p>
    <w:p>
      <w:pPr>
        <w:pStyle w:val="182"/>
        <w:spacing w:line="360" w:lineRule="auto"/>
        <w:ind w:firstLine="480"/>
        <w:rPr>
          <w:rFonts w:hint="eastAsia"/>
          <w:color w:val="auto"/>
          <w:highlight w:val="none"/>
        </w:rPr>
      </w:pPr>
      <w:r>
        <w:rPr>
          <w:rFonts w:hint="eastAsia"/>
          <w:color w:val="auto"/>
          <w:highlight w:val="none"/>
        </w:rPr>
        <w:t>本项目的实施，将大幅度提高企业</w:t>
      </w:r>
      <w:r>
        <w:rPr>
          <w:rFonts w:hint="eastAsia"/>
          <w:color w:val="auto"/>
          <w:highlight w:val="none"/>
          <w:lang w:eastAsia="zh-CN"/>
        </w:rPr>
        <w:t>肉牛</w:t>
      </w:r>
      <w:r>
        <w:rPr>
          <w:rFonts w:hint="eastAsia"/>
          <w:color w:val="auto"/>
          <w:highlight w:val="none"/>
        </w:rPr>
        <w:t>的生产能力，向着经济规模和规模经营的方向迈进，同时进一步加强企业的科技含量和实力，并增强企业的市场竞争力和提高自身的经济效益；实现了农村剩余劳动力转化和带动农民致富，对优化农村经济结构和增加农民收入有着重要意义。项目的社会效益主要表现在以下几个方面：</w:t>
      </w:r>
    </w:p>
    <w:p>
      <w:pPr>
        <w:pStyle w:val="182"/>
        <w:spacing w:line="360" w:lineRule="auto"/>
        <w:ind w:firstLine="480"/>
        <w:rPr>
          <w:rFonts w:hint="eastAsia"/>
          <w:color w:val="auto"/>
          <w:highlight w:val="none"/>
        </w:rPr>
      </w:pPr>
      <w:r>
        <w:rPr>
          <w:rFonts w:hint="eastAsia"/>
          <w:color w:val="auto"/>
          <w:highlight w:val="none"/>
        </w:rPr>
        <w:t>（1）项目的实施促进了养殖场的良性发展，增加了建设单位的市场竞争力。</w:t>
      </w:r>
    </w:p>
    <w:p>
      <w:pPr>
        <w:pStyle w:val="182"/>
        <w:spacing w:line="360" w:lineRule="auto"/>
        <w:ind w:firstLine="480"/>
        <w:rPr>
          <w:rFonts w:hint="eastAsia"/>
          <w:color w:val="auto"/>
          <w:highlight w:val="none"/>
        </w:rPr>
      </w:pPr>
      <w:r>
        <w:rPr>
          <w:rFonts w:hint="eastAsia"/>
          <w:color w:val="auto"/>
          <w:highlight w:val="none"/>
        </w:rPr>
        <w:t>（2）养殖场的废物得到资源化的利用，促进了项目单位循环经济和生态经济的良性发展。项目对污染物进行了治理，实现了清洁养殖，为</w:t>
      </w:r>
      <w:r>
        <w:rPr>
          <w:rFonts w:hint="eastAsia"/>
          <w:color w:val="auto"/>
          <w:highlight w:val="none"/>
          <w:lang w:eastAsia="zh-CN"/>
        </w:rPr>
        <w:t>肉牛</w:t>
      </w:r>
      <w:r>
        <w:rPr>
          <w:rFonts w:hint="eastAsia"/>
          <w:color w:val="auto"/>
          <w:highlight w:val="none"/>
        </w:rPr>
        <w:t>的良性</w:t>
      </w:r>
      <w:r>
        <w:rPr>
          <w:rFonts w:hint="eastAsia"/>
          <w:color w:val="auto"/>
          <w:highlight w:val="none"/>
          <w:lang w:eastAsia="zh-CN"/>
        </w:rPr>
        <w:t>育肥</w:t>
      </w:r>
      <w:r>
        <w:rPr>
          <w:rFonts w:hint="eastAsia"/>
          <w:color w:val="auto"/>
          <w:highlight w:val="none"/>
        </w:rPr>
        <w:t>创造了较好环境，增强了市场竞争力。</w:t>
      </w:r>
    </w:p>
    <w:p>
      <w:pPr>
        <w:pStyle w:val="182"/>
        <w:spacing w:line="360" w:lineRule="auto"/>
        <w:ind w:firstLine="480"/>
        <w:rPr>
          <w:rFonts w:hint="eastAsia"/>
          <w:color w:val="auto"/>
          <w:highlight w:val="none"/>
        </w:rPr>
      </w:pPr>
      <w:r>
        <w:rPr>
          <w:rFonts w:hint="eastAsia"/>
          <w:color w:val="auto"/>
          <w:highlight w:val="none"/>
        </w:rPr>
        <w:t>（3）项目的清洁生产措施，很大程度上节约了资源和能源，起到了“节能、降耗、减污、增效”的作用，符合国家产业政策和环保治理要求。</w:t>
      </w:r>
    </w:p>
    <w:p>
      <w:pPr>
        <w:pStyle w:val="182"/>
        <w:spacing w:line="360" w:lineRule="auto"/>
        <w:ind w:firstLine="480"/>
        <w:rPr>
          <w:rFonts w:hint="eastAsia"/>
          <w:color w:val="auto"/>
          <w:highlight w:val="none"/>
        </w:rPr>
      </w:pPr>
      <w:r>
        <w:rPr>
          <w:rFonts w:hint="eastAsia"/>
          <w:color w:val="auto"/>
          <w:highlight w:val="none"/>
        </w:rPr>
        <w:t>（4）项目的标准化、规模化建设将形成农村能源产业，由此所需的技术、管理队伍可就地吸纳农村剩余劳动力，有利于维护农村社会稳定，对提高人民生活水平起到积极作用。</w:t>
      </w:r>
    </w:p>
    <w:p>
      <w:pPr>
        <w:pStyle w:val="182"/>
        <w:spacing w:line="360" w:lineRule="auto"/>
        <w:ind w:firstLine="480"/>
        <w:rPr>
          <w:rFonts w:hint="eastAsia"/>
          <w:color w:val="auto"/>
          <w:highlight w:val="none"/>
        </w:rPr>
      </w:pPr>
      <w:r>
        <w:rPr>
          <w:rFonts w:hint="eastAsia"/>
          <w:color w:val="auto"/>
          <w:highlight w:val="none"/>
        </w:rPr>
        <w:t>（5）项目的建设可拉动周边畜禽养殖业、肉制品加工业、饲料加工业、有机肥深加工等行业的快速发展，同时为周围种植业提供了大量优质有机肥，降低了化肥、农药在农产品生产中的使用量，为无害农产品生产提供了有利条件，有利于促进周围农村产业结构调整。</w:t>
      </w:r>
    </w:p>
    <w:p>
      <w:pPr>
        <w:pStyle w:val="182"/>
        <w:spacing w:line="360" w:lineRule="auto"/>
        <w:ind w:firstLine="480"/>
        <w:rPr>
          <w:rFonts w:hint="eastAsia"/>
          <w:color w:val="auto"/>
          <w:highlight w:val="none"/>
        </w:rPr>
      </w:pPr>
      <w:r>
        <w:rPr>
          <w:rFonts w:hint="eastAsia"/>
          <w:color w:val="auto"/>
          <w:highlight w:val="none"/>
        </w:rPr>
        <w:t>（6）项目投产后，可增加当地财政收入，提高当地社会经济发展水平，对区域社会稳定发挥了较强作用。</w:t>
      </w:r>
    </w:p>
    <w:p>
      <w:pPr>
        <w:pStyle w:val="182"/>
        <w:spacing w:line="360" w:lineRule="auto"/>
        <w:ind w:firstLine="480"/>
        <w:rPr>
          <w:rFonts w:hint="eastAsia"/>
          <w:color w:val="auto"/>
          <w:highlight w:val="none"/>
        </w:rPr>
      </w:pPr>
      <w:r>
        <w:rPr>
          <w:rFonts w:hint="eastAsia"/>
          <w:color w:val="auto"/>
          <w:highlight w:val="none"/>
        </w:rPr>
        <w:t>（7）在当前市场急需大量</w:t>
      </w:r>
      <w:r>
        <w:rPr>
          <w:rFonts w:hint="eastAsia"/>
          <w:color w:val="auto"/>
          <w:highlight w:val="none"/>
          <w:lang w:eastAsia="zh-CN"/>
        </w:rPr>
        <w:t>肉牛</w:t>
      </w:r>
      <w:r>
        <w:rPr>
          <w:rFonts w:hint="eastAsia"/>
          <w:color w:val="auto"/>
          <w:highlight w:val="none"/>
        </w:rPr>
        <w:t>的形势下，本项目的实施将对市场良种的需求也能更进一步的满足，促进四川省及周边地区</w:t>
      </w:r>
      <w:r>
        <w:rPr>
          <w:rFonts w:hint="eastAsia"/>
          <w:color w:val="auto"/>
          <w:highlight w:val="none"/>
          <w:lang w:eastAsia="zh-CN"/>
        </w:rPr>
        <w:t>肉牛养殖</w:t>
      </w:r>
      <w:r>
        <w:rPr>
          <w:rFonts w:hint="eastAsia"/>
          <w:color w:val="auto"/>
          <w:highlight w:val="none"/>
        </w:rPr>
        <w:t>的生产发展。</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25" w:name="_Toc29221890"/>
      <w:bookmarkStart w:id="326" w:name="_Toc9138"/>
      <w:r>
        <w:rPr>
          <w:rFonts w:hint="eastAsia" w:ascii="Times New Roman" w:hAnsi="Times New Roman" w:eastAsia="宋体" w:cs="Times New Roman"/>
          <w:color w:val="auto"/>
          <w:highlight w:val="none"/>
          <w:lang w:val="en-US" w:eastAsia="zh-CN"/>
        </w:rPr>
        <w:t>项目生态效益分析</w:t>
      </w:r>
      <w:bookmarkEnd w:id="325"/>
      <w:bookmarkEnd w:id="326"/>
    </w:p>
    <w:p>
      <w:pPr>
        <w:pStyle w:val="182"/>
        <w:spacing w:line="360" w:lineRule="auto"/>
        <w:ind w:firstLine="480"/>
        <w:rPr>
          <w:rFonts w:hint="eastAsia"/>
          <w:color w:val="auto"/>
          <w:highlight w:val="none"/>
        </w:rPr>
      </w:pPr>
      <w:r>
        <w:rPr>
          <w:rFonts w:hint="eastAsia"/>
          <w:color w:val="auto"/>
          <w:highlight w:val="none"/>
        </w:rPr>
        <w:t>本项目以生态平衡为宗旨，大力开展绿化造林，搞好道路、场区四旁绿化、美化环境，</w:t>
      </w:r>
      <w:r>
        <w:rPr>
          <w:rFonts w:hint="eastAsia"/>
          <w:color w:val="auto"/>
          <w:highlight w:val="none"/>
          <w:lang w:eastAsia="zh-CN"/>
        </w:rPr>
        <w:t>养殖场</w:t>
      </w:r>
      <w:r>
        <w:rPr>
          <w:rFonts w:hint="eastAsia"/>
          <w:color w:val="auto"/>
          <w:highlight w:val="none"/>
        </w:rPr>
        <w:t>的清粪工艺采用干清粪工艺，粪便运输至</w:t>
      </w:r>
      <w:r>
        <w:rPr>
          <w:rFonts w:hint="eastAsia"/>
          <w:color w:val="auto"/>
          <w:highlight w:val="none"/>
          <w:lang w:eastAsia="zh-CN"/>
        </w:rPr>
        <w:t>南江县万事康生物科技有限公司</w:t>
      </w:r>
      <w:r>
        <w:rPr>
          <w:rFonts w:hint="eastAsia"/>
          <w:color w:val="auto"/>
          <w:highlight w:val="none"/>
        </w:rPr>
        <w:t>用作生产有机肥原料使用，污水进行深度处理后综合利用，污粪未混合排出。</w:t>
      </w:r>
      <w:r>
        <w:rPr>
          <w:rFonts w:hint="eastAsia"/>
          <w:color w:val="auto"/>
          <w:highlight w:val="none"/>
          <w:lang w:eastAsia="zh-CN"/>
        </w:rPr>
        <w:t>牛</w:t>
      </w:r>
      <w:r>
        <w:rPr>
          <w:rFonts w:hint="eastAsia"/>
          <w:color w:val="auto"/>
          <w:highlight w:val="none"/>
        </w:rPr>
        <w:t>粪</w:t>
      </w:r>
      <w:r>
        <w:rPr>
          <w:rFonts w:hint="eastAsia"/>
          <w:color w:val="auto"/>
          <w:highlight w:val="none"/>
          <w:lang w:eastAsia="zh-CN"/>
        </w:rPr>
        <w:t>外运</w:t>
      </w:r>
      <w:r>
        <w:rPr>
          <w:rFonts w:hint="eastAsia"/>
          <w:color w:val="auto"/>
          <w:highlight w:val="none"/>
        </w:rPr>
        <w:t>用于有机肥生产，使</w:t>
      </w:r>
      <w:r>
        <w:rPr>
          <w:rFonts w:hint="eastAsia"/>
          <w:color w:val="auto"/>
          <w:highlight w:val="none"/>
          <w:lang w:eastAsia="zh-CN"/>
        </w:rPr>
        <w:t>牛</w:t>
      </w:r>
      <w:r>
        <w:rPr>
          <w:rFonts w:hint="eastAsia"/>
          <w:color w:val="auto"/>
          <w:highlight w:val="none"/>
        </w:rPr>
        <w:t>粪变废为宝，为有机农业、绿色农业和设施农业的发展做出新的贡献。</w:t>
      </w:r>
      <w:r>
        <w:rPr>
          <w:rFonts w:hint="eastAsia"/>
          <w:color w:val="auto"/>
          <w:highlight w:val="none"/>
          <w:lang w:eastAsia="zh-CN"/>
        </w:rPr>
        <w:t>牛</w:t>
      </w:r>
      <w:r>
        <w:rPr>
          <w:rFonts w:hint="eastAsia"/>
          <w:color w:val="auto"/>
          <w:highlight w:val="none"/>
        </w:rPr>
        <w:t>粪是优质有机肥可改良土壤、提高土壤中氧气通透性，杜绝使用化学肥料对土壤和果蔬产品的毒物质残留，确保了食品安全，同时提高农产品市场竞争和农产品价位。</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27" w:name="_Toc436035718"/>
      <w:bookmarkStart w:id="328" w:name="_Toc488738027"/>
      <w:bookmarkStart w:id="329" w:name="_Toc29221891"/>
      <w:bookmarkStart w:id="330" w:name="_Toc24688"/>
      <w:r>
        <w:rPr>
          <w:rFonts w:hint="eastAsia" w:ascii="Times New Roman" w:hAnsi="Times New Roman" w:eastAsia="宋体" w:cs="Times New Roman"/>
          <w:color w:val="auto"/>
          <w:highlight w:val="none"/>
          <w:lang w:val="en-US" w:eastAsia="zh-CN"/>
        </w:rPr>
        <w:t>环境经济损益分析</w:t>
      </w:r>
      <w:bookmarkEnd w:id="327"/>
      <w:bookmarkEnd w:id="328"/>
      <w:bookmarkEnd w:id="329"/>
      <w:bookmarkEnd w:id="330"/>
    </w:p>
    <w:p>
      <w:pPr>
        <w:ind w:firstLine="480"/>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根据工程分析，本项目建设将不可避免的带来一些环境问题，对环境影响较大的主要施工期和运营期，特别是运营期，影响的范围大，因素多，为此工程将投入一定的经费，对所带来的环境问题进行治理。</w:t>
      </w:r>
    </w:p>
    <w:p>
      <w:pPr>
        <w:pStyle w:val="8"/>
        <w:spacing w:before="0" w:after="0" w:line="360" w:lineRule="auto"/>
        <w:ind w:left="0" w:firstLine="0"/>
        <w:rPr>
          <w:rFonts w:hint="eastAsia" w:cs="Times New Roman"/>
          <w:color w:val="auto"/>
          <w:highlight w:val="none"/>
          <w:lang w:val="en-US" w:eastAsia="zh-CN"/>
        </w:rPr>
      </w:pPr>
      <w:bookmarkStart w:id="331" w:name="_Toc27716"/>
      <w:r>
        <w:rPr>
          <w:rFonts w:hint="eastAsia" w:cs="Times New Roman"/>
          <w:color w:val="auto"/>
          <w:highlight w:val="none"/>
          <w:lang w:val="en-US" w:eastAsia="zh-CN"/>
        </w:rPr>
        <w:t>环保投资</w:t>
      </w:r>
      <w:bookmarkEnd w:id="331"/>
    </w:p>
    <w:p>
      <w:pPr>
        <w:spacing w:line="360" w:lineRule="auto"/>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1、环保设施建设投资</w:t>
      </w:r>
      <w:r>
        <w:rPr>
          <w:rFonts w:hint="default" w:ascii="Times New Roman" w:hAnsi="Times New Roman" w:eastAsia="宋体" w:cs="Times New Roman"/>
          <w:b/>
          <w:i/>
          <w:color w:val="auto"/>
          <w:sz w:val="24"/>
          <w:szCs w:val="24"/>
          <w:highlight w:val="none"/>
        </w:rPr>
        <w:t>C</w:t>
      </w:r>
      <w:r>
        <w:rPr>
          <w:rFonts w:hint="default" w:ascii="Times New Roman" w:hAnsi="Times New Roman" w:eastAsia="宋体" w:cs="Times New Roman"/>
          <w:b/>
          <w:i/>
          <w:color w:val="auto"/>
          <w:sz w:val="24"/>
          <w:szCs w:val="24"/>
          <w:highlight w:val="none"/>
          <w:vertAlign w:val="subscript"/>
        </w:rPr>
        <w:t>0</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为控制和减轻对周围环境的污染，本项目用于环保设施建设的一次性投资约</w:t>
      </w:r>
      <w:r>
        <w:rPr>
          <w:rFonts w:hint="eastAsia" w:ascii="Times New Roman" w:hAnsi="Times New Roman" w:eastAsia="宋体" w:cs="Times New Roman"/>
          <w:color w:val="auto"/>
          <w:sz w:val="24"/>
          <w:szCs w:val="24"/>
          <w:highlight w:val="none"/>
          <w:lang w:val="en-US" w:eastAsia="zh-CN"/>
        </w:rPr>
        <w:t>821</w:t>
      </w:r>
      <w:r>
        <w:rPr>
          <w:rFonts w:hint="default" w:ascii="Times New Roman" w:hAnsi="Times New Roman" w:eastAsia="宋体" w:cs="Times New Roman"/>
          <w:color w:val="auto"/>
          <w:sz w:val="24"/>
          <w:szCs w:val="24"/>
          <w:highlight w:val="none"/>
        </w:rPr>
        <w:t>万元，占项目总投资的</w:t>
      </w:r>
      <w:r>
        <w:rPr>
          <w:rFonts w:hint="eastAsia" w:ascii="Times New Roman" w:hAnsi="Times New Roman" w:eastAsia="宋体" w:cs="Times New Roman"/>
          <w:color w:val="auto"/>
          <w:sz w:val="24"/>
          <w:szCs w:val="24"/>
          <w:highlight w:val="none"/>
          <w:lang w:val="en-US" w:eastAsia="zh-CN"/>
        </w:rPr>
        <w:t>2.15</w:t>
      </w:r>
      <w:r>
        <w:rPr>
          <w:rFonts w:hint="default" w:ascii="Times New Roman" w:hAnsi="Times New Roman" w:eastAsia="宋体" w:cs="Times New Roman"/>
          <w:color w:val="auto"/>
          <w:sz w:val="24"/>
          <w:szCs w:val="24"/>
          <w:highlight w:val="none"/>
        </w:rPr>
        <w:t>%。本项目运营期废气治理设施投资</w:t>
      </w:r>
      <w:r>
        <w:rPr>
          <w:rFonts w:hint="eastAsia" w:ascii="Times New Roman" w:hAnsi="Times New Roman" w:eastAsia="宋体" w:cs="Times New Roman"/>
          <w:color w:val="auto"/>
          <w:sz w:val="24"/>
          <w:szCs w:val="24"/>
          <w:highlight w:val="none"/>
          <w:lang w:val="en-US" w:eastAsia="zh-CN"/>
        </w:rPr>
        <w:t>64</w:t>
      </w:r>
      <w:r>
        <w:rPr>
          <w:rFonts w:hint="default" w:ascii="Times New Roman" w:hAnsi="Times New Roman" w:eastAsia="宋体" w:cs="Times New Roman"/>
          <w:color w:val="auto"/>
          <w:sz w:val="24"/>
          <w:szCs w:val="24"/>
          <w:highlight w:val="none"/>
        </w:rPr>
        <w:t>万元，占环保投资的</w:t>
      </w:r>
      <w:r>
        <w:rPr>
          <w:rFonts w:hint="eastAsia" w:ascii="Times New Roman" w:hAnsi="Times New Roman" w:eastAsia="宋体" w:cs="Times New Roman"/>
          <w:color w:val="auto"/>
          <w:sz w:val="24"/>
          <w:szCs w:val="24"/>
          <w:highlight w:val="none"/>
          <w:lang w:val="en-US" w:eastAsia="zh-CN"/>
        </w:rPr>
        <w:t>7.8</w:t>
      </w:r>
      <w:r>
        <w:rPr>
          <w:rFonts w:hint="default" w:ascii="Times New Roman" w:hAnsi="Times New Roman" w:eastAsia="宋体" w:cs="Times New Roman"/>
          <w:color w:val="auto"/>
          <w:sz w:val="24"/>
          <w:szCs w:val="24"/>
          <w:highlight w:val="none"/>
        </w:rPr>
        <w:t>%；废水治理设施</w:t>
      </w:r>
      <w:r>
        <w:rPr>
          <w:rFonts w:hint="eastAsia" w:ascii="Times New Roman" w:hAnsi="Times New Roman" w:eastAsia="宋体" w:cs="Times New Roman"/>
          <w:color w:val="auto"/>
          <w:sz w:val="24"/>
          <w:szCs w:val="24"/>
          <w:highlight w:val="none"/>
          <w:lang w:val="en-US" w:eastAsia="zh-CN"/>
        </w:rPr>
        <w:t>373</w:t>
      </w:r>
      <w:r>
        <w:rPr>
          <w:rFonts w:hint="default" w:ascii="Times New Roman" w:hAnsi="Times New Roman" w:eastAsia="宋体" w:cs="Times New Roman"/>
          <w:color w:val="auto"/>
          <w:sz w:val="24"/>
          <w:szCs w:val="24"/>
          <w:highlight w:val="none"/>
        </w:rPr>
        <w:t>万元，占环保投资的</w:t>
      </w:r>
      <w:r>
        <w:rPr>
          <w:rFonts w:hint="eastAsia" w:ascii="Times New Roman" w:hAnsi="Times New Roman" w:eastAsia="宋体" w:cs="Times New Roman"/>
          <w:color w:val="auto"/>
          <w:sz w:val="24"/>
          <w:szCs w:val="24"/>
          <w:highlight w:val="none"/>
          <w:lang w:val="en-US" w:eastAsia="zh-CN"/>
        </w:rPr>
        <w:t>45.43</w:t>
      </w:r>
      <w:r>
        <w:rPr>
          <w:rFonts w:hint="default" w:ascii="Times New Roman" w:hAnsi="Times New Roman" w:eastAsia="宋体" w:cs="Times New Roman"/>
          <w:color w:val="auto"/>
          <w:sz w:val="24"/>
          <w:szCs w:val="24"/>
          <w:highlight w:val="none"/>
        </w:rPr>
        <w:t>%；噪声防治措施投资7万元，占环保投资0.</w:t>
      </w:r>
      <w:r>
        <w:rPr>
          <w:rFonts w:hint="eastAsia" w:ascii="Times New Roman" w:hAnsi="Times New Roman" w:eastAsia="宋体" w:cs="Times New Roman"/>
          <w:color w:val="auto"/>
          <w:sz w:val="24"/>
          <w:szCs w:val="24"/>
          <w:highlight w:val="none"/>
          <w:lang w:val="en-US" w:eastAsia="zh-CN"/>
        </w:rPr>
        <w:t>85</w:t>
      </w:r>
      <w:r>
        <w:rPr>
          <w:rFonts w:hint="default" w:ascii="Times New Roman" w:hAnsi="Times New Roman" w:eastAsia="宋体" w:cs="Times New Roman"/>
          <w:color w:val="auto"/>
          <w:sz w:val="24"/>
          <w:szCs w:val="24"/>
          <w:highlight w:val="none"/>
        </w:rPr>
        <w:t>%；固废处置设施</w:t>
      </w:r>
      <w:r>
        <w:rPr>
          <w:rFonts w:hint="eastAsia" w:ascii="Times New Roman" w:hAnsi="Times New Roman" w:eastAsia="宋体" w:cs="Times New Roman"/>
          <w:color w:val="auto"/>
          <w:sz w:val="24"/>
          <w:szCs w:val="24"/>
          <w:highlight w:val="none"/>
          <w:lang w:val="en-US" w:eastAsia="zh-CN"/>
        </w:rPr>
        <w:t>228</w:t>
      </w:r>
      <w:r>
        <w:rPr>
          <w:rFonts w:hint="default" w:ascii="Times New Roman" w:hAnsi="Times New Roman" w:eastAsia="宋体" w:cs="Times New Roman"/>
          <w:color w:val="auto"/>
          <w:sz w:val="24"/>
          <w:szCs w:val="24"/>
          <w:highlight w:val="none"/>
        </w:rPr>
        <w:t>万元，占环保投资的</w:t>
      </w:r>
      <w:r>
        <w:rPr>
          <w:rFonts w:hint="eastAsia" w:ascii="Times New Roman" w:hAnsi="Times New Roman" w:eastAsia="宋体" w:cs="Times New Roman"/>
          <w:color w:val="auto"/>
          <w:sz w:val="24"/>
          <w:szCs w:val="24"/>
          <w:highlight w:val="none"/>
          <w:lang w:val="en-US" w:eastAsia="zh-CN"/>
        </w:rPr>
        <w:t>27.77</w:t>
      </w:r>
      <w:r>
        <w:rPr>
          <w:rFonts w:hint="default" w:ascii="Times New Roman" w:hAnsi="Times New Roman" w:eastAsia="宋体" w:cs="Times New Roman"/>
          <w:color w:val="auto"/>
          <w:sz w:val="24"/>
          <w:szCs w:val="24"/>
          <w:highlight w:val="none"/>
        </w:rPr>
        <w:t>%；地下水防治措施投资</w:t>
      </w:r>
      <w:r>
        <w:rPr>
          <w:rFonts w:hint="eastAsia" w:ascii="Times New Roman" w:hAnsi="Times New Roman" w:eastAsia="宋体" w:cs="Times New Roman"/>
          <w:color w:val="auto"/>
          <w:sz w:val="24"/>
          <w:szCs w:val="24"/>
          <w:highlight w:val="none"/>
          <w:lang w:val="en-US" w:eastAsia="zh-CN"/>
        </w:rPr>
        <w:t>55</w:t>
      </w:r>
      <w:r>
        <w:rPr>
          <w:rFonts w:hint="default" w:ascii="Times New Roman" w:hAnsi="Times New Roman" w:eastAsia="宋体" w:cs="Times New Roman"/>
          <w:color w:val="auto"/>
          <w:sz w:val="24"/>
          <w:szCs w:val="24"/>
          <w:highlight w:val="none"/>
        </w:rPr>
        <w:t>万元，占环保投资的</w:t>
      </w:r>
      <w:r>
        <w:rPr>
          <w:rFonts w:hint="eastAsia" w:ascii="Times New Roman" w:hAnsi="Times New Roman" w:eastAsia="宋体" w:cs="Times New Roman"/>
          <w:color w:val="auto"/>
          <w:sz w:val="24"/>
          <w:szCs w:val="24"/>
          <w:highlight w:val="none"/>
          <w:lang w:val="en-US" w:eastAsia="zh-CN"/>
        </w:rPr>
        <w:t>6.7</w:t>
      </w:r>
      <w:r>
        <w:rPr>
          <w:rFonts w:hint="default" w:ascii="Times New Roman" w:hAnsi="Times New Roman" w:eastAsia="宋体" w:cs="Times New Roman"/>
          <w:color w:val="auto"/>
          <w:sz w:val="24"/>
          <w:szCs w:val="24"/>
          <w:highlight w:val="none"/>
        </w:rPr>
        <w:t>%；风险防治措施投资</w:t>
      </w:r>
      <w:r>
        <w:rPr>
          <w:rFonts w:hint="eastAsia" w:ascii="Times New Roman" w:hAnsi="Times New Roman" w:eastAsia="宋体" w:cs="Times New Roman"/>
          <w:color w:val="auto"/>
          <w:sz w:val="24"/>
          <w:szCs w:val="24"/>
          <w:highlight w:val="none"/>
          <w:lang w:val="en-US" w:eastAsia="zh-CN"/>
        </w:rPr>
        <w:t>33</w:t>
      </w:r>
      <w:r>
        <w:rPr>
          <w:rFonts w:hint="default" w:ascii="Times New Roman" w:hAnsi="Times New Roman" w:eastAsia="宋体" w:cs="Times New Roman"/>
          <w:color w:val="auto"/>
          <w:sz w:val="24"/>
          <w:szCs w:val="24"/>
          <w:highlight w:val="none"/>
        </w:rPr>
        <w:t>万元，占环保投资</w:t>
      </w:r>
      <w:r>
        <w:rPr>
          <w:rFonts w:hint="eastAsia" w:ascii="Times New Roman" w:hAnsi="Times New Roman" w:eastAsia="宋体" w:cs="Times New Roman"/>
          <w:color w:val="auto"/>
          <w:sz w:val="24"/>
          <w:szCs w:val="24"/>
          <w:highlight w:val="none"/>
          <w:lang w:val="en-US" w:eastAsia="zh-CN"/>
        </w:rPr>
        <w:t>4.02</w:t>
      </w:r>
      <w:r>
        <w:rPr>
          <w:rFonts w:hint="default" w:ascii="Times New Roman" w:hAnsi="Times New Roman" w:eastAsia="宋体" w:cs="Times New Roman"/>
          <w:color w:val="auto"/>
          <w:sz w:val="24"/>
          <w:szCs w:val="24"/>
          <w:highlight w:val="none"/>
        </w:rPr>
        <w:t>%；生态保护措施投资</w:t>
      </w:r>
      <w:r>
        <w:rPr>
          <w:rFonts w:hint="eastAsia"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万元，占环保投资</w:t>
      </w:r>
      <w:r>
        <w:rPr>
          <w:rFonts w:hint="eastAsia" w:ascii="Times New Roman" w:hAnsi="Times New Roman" w:eastAsia="宋体" w:cs="Times New Roman"/>
          <w:color w:val="auto"/>
          <w:sz w:val="24"/>
          <w:szCs w:val="24"/>
          <w:highlight w:val="none"/>
          <w:lang w:val="en-US" w:eastAsia="zh-CN"/>
        </w:rPr>
        <w:t>2.43</w:t>
      </w:r>
      <w:r>
        <w:rPr>
          <w:rFonts w:hint="default" w:ascii="Times New Roman" w:hAnsi="Times New Roman" w:eastAsia="宋体" w:cs="Times New Roman"/>
          <w:color w:val="auto"/>
          <w:sz w:val="24"/>
          <w:szCs w:val="24"/>
          <w:highlight w:val="none"/>
        </w:rPr>
        <w:t>%。</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根据工程的污染源与污染物排放情况，认为工程环保投资的分配使用突出了废水、固体废物治理力度，符合工程实际，有利于实现社会、经济与环境三个效益的统一。</w:t>
      </w:r>
    </w:p>
    <w:p>
      <w:pPr>
        <w:spacing w:line="360" w:lineRule="auto"/>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2、环保设施折旧费</w:t>
      </w:r>
      <w:r>
        <w:rPr>
          <w:rFonts w:hint="default" w:ascii="Times New Roman" w:hAnsi="Times New Roman" w:eastAsia="宋体" w:cs="Times New Roman"/>
          <w:b/>
          <w:i/>
          <w:color w:val="auto"/>
          <w:sz w:val="24"/>
          <w:szCs w:val="24"/>
          <w:highlight w:val="none"/>
        </w:rPr>
        <w:t>C</w:t>
      </w:r>
      <w:r>
        <w:rPr>
          <w:rFonts w:hint="default" w:ascii="Times New Roman" w:hAnsi="Times New Roman" w:eastAsia="宋体" w:cs="Times New Roman"/>
          <w:b/>
          <w:i/>
          <w:color w:val="auto"/>
          <w:sz w:val="24"/>
          <w:szCs w:val="24"/>
          <w:highlight w:val="none"/>
          <w:vertAlign w:val="subscript"/>
        </w:rPr>
        <w:t>1</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项目环保设施投资折旧费由下式计算：</w:t>
      </w:r>
    </w:p>
    <w:p>
      <w:pPr>
        <w:spacing w:line="360" w:lineRule="auto"/>
        <w:ind w:firstLine="0" w:firstLineChars="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1</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A</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0</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n</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51.585</w:t>
      </w:r>
      <w:r>
        <w:rPr>
          <w:rFonts w:hint="default" w:ascii="Times New Roman" w:hAnsi="Times New Roman" w:eastAsia="宋体" w:cs="Times New Roman"/>
          <w:color w:val="auto"/>
          <w:sz w:val="24"/>
          <w:szCs w:val="24"/>
          <w:highlight w:val="none"/>
        </w:rPr>
        <w:t>（万元/a）</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A</w:t>
      </w:r>
      <w:r>
        <w:rPr>
          <w:rFonts w:hint="default" w:ascii="Times New Roman" w:hAnsi="Times New Roman" w:eastAsia="宋体" w:cs="Times New Roman"/>
          <w:color w:val="auto"/>
          <w:sz w:val="24"/>
          <w:szCs w:val="24"/>
          <w:highlight w:val="none"/>
        </w:rPr>
        <w:t>——固定资产形成率，取95%；</w:t>
      </w:r>
    </w:p>
    <w:p>
      <w:pPr>
        <w:spacing w:line="360" w:lineRule="auto"/>
        <w:ind w:firstLine="1200" w:firstLineChars="5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0</w:t>
      </w:r>
      <w:r>
        <w:rPr>
          <w:rFonts w:hint="default" w:ascii="Times New Roman" w:hAnsi="Times New Roman" w:eastAsia="宋体" w:cs="Times New Roman"/>
          <w:color w:val="auto"/>
          <w:sz w:val="24"/>
          <w:szCs w:val="24"/>
          <w:highlight w:val="none"/>
        </w:rPr>
        <w:t>——环保总投资（万元）；</w:t>
      </w:r>
    </w:p>
    <w:p>
      <w:pPr>
        <w:spacing w:line="360" w:lineRule="auto"/>
        <w:ind w:firstLine="1200" w:firstLineChars="5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color w:val="auto"/>
          <w:sz w:val="24"/>
          <w:szCs w:val="24"/>
          <w:highlight w:val="none"/>
        </w:rPr>
        <w:t>n</w:t>
      </w:r>
      <w:r>
        <w:rPr>
          <w:rFonts w:hint="default" w:ascii="Times New Roman" w:hAnsi="Times New Roman" w:eastAsia="宋体" w:cs="Times New Roman"/>
          <w:color w:val="auto"/>
          <w:sz w:val="24"/>
          <w:szCs w:val="24"/>
          <w:highlight w:val="none"/>
        </w:rPr>
        <w:t>——折旧年限，取15年。</w:t>
      </w:r>
    </w:p>
    <w:p>
      <w:pPr>
        <w:spacing w:line="360" w:lineRule="auto"/>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3、环保设施消耗费用</w:t>
      </w:r>
      <w:r>
        <w:rPr>
          <w:rFonts w:hint="default" w:ascii="Times New Roman" w:hAnsi="Times New Roman" w:eastAsia="宋体" w:cs="Times New Roman"/>
          <w:b/>
          <w:i/>
          <w:color w:val="auto"/>
          <w:sz w:val="24"/>
          <w:szCs w:val="24"/>
          <w:highlight w:val="none"/>
        </w:rPr>
        <w:t>C</w:t>
      </w:r>
      <w:r>
        <w:rPr>
          <w:rFonts w:hint="default" w:ascii="Times New Roman" w:hAnsi="Times New Roman" w:eastAsia="宋体" w:cs="Times New Roman"/>
          <w:b/>
          <w:i/>
          <w:color w:val="auto"/>
          <w:sz w:val="24"/>
          <w:szCs w:val="24"/>
          <w:highlight w:val="none"/>
          <w:vertAlign w:val="subscript"/>
        </w:rPr>
        <w:t>2</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本项目各污染物经过厂区污染治理设施治理达标后排放。</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项目废气处理运行费用主要源于通风设施运行、饲料配方改进等，运行费用约为</w:t>
      </w:r>
      <w:r>
        <w:rPr>
          <w:rFonts w:hint="eastAsia" w:ascii="Times New Roman" w:hAnsi="Times New Roman" w:eastAsia="宋体"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rPr>
        <w:t>万元/年。</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废水处理运行费用主要源于设备运行电费，根据废水污染防治措施分析，废水处理系统年运行费用约为</w:t>
      </w:r>
      <w:r>
        <w:rPr>
          <w:rFonts w:hint="eastAsia"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万元/年。</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合计后，本项目环境污染治理设施工程的年运行费用</w:t>
      </w: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2</w:t>
      </w:r>
      <w:r>
        <w:rPr>
          <w:rFonts w:hint="default" w:ascii="Times New Roman" w:hAnsi="Times New Roman" w:eastAsia="宋体" w:cs="Times New Roman"/>
          <w:color w:val="auto"/>
          <w:sz w:val="24"/>
          <w:szCs w:val="24"/>
          <w:highlight w:val="none"/>
        </w:rPr>
        <w:t>约为</w:t>
      </w:r>
      <w:r>
        <w:rPr>
          <w:rFonts w:hint="eastAsia" w:ascii="Times New Roman" w:hAnsi="Times New Roman" w:eastAsia="宋体" w:cs="Times New Roman"/>
          <w:color w:val="auto"/>
          <w:sz w:val="24"/>
          <w:szCs w:val="24"/>
          <w:highlight w:val="none"/>
          <w:lang w:val="en-US" w:eastAsia="zh-CN"/>
        </w:rPr>
        <w:t>35</w:t>
      </w:r>
      <w:r>
        <w:rPr>
          <w:rFonts w:hint="default" w:ascii="Times New Roman" w:hAnsi="Times New Roman" w:eastAsia="宋体" w:cs="Times New Roman"/>
          <w:color w:val="auto"/>
          <w:sz w:val="24"/>
          <w:szCs w:val="24"/>
          <w:highlight w:val="none"/>
        </w:rPr>
        <w:t>万元/年。</w:t>
      </w:r>
    </w:p>
    <w:p>
      <w:pPr>
        <w:spacing w:line="360" w:lineRule="auto"/>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4、环保设施管理费</w:t>
      </w:r>
      <w:r>
        <w:rPr>
          <w:rFonts w:hint="default" w:ascii="Times New Roman" w:hAnsi="Times New Roman" w:eastAsia="宋体" w:cs="Times New Roman"/>
          <w:b/>
          <w:i/>
          <w:color w:val="auto"/>
          <w:sz w:val="24"/>
          <w:szCs w:val="24"/>
          <w:highlight w:val="none"/>
        </w:rPr>
        <w:t>C</w:t>
      </w:r>
      <w:r>
        <w:rPr>
          <w:rFonts w:hint="default" w:ascii="Times New Roman" w:hAnsi="Times New Roman" w:eastAsia="宋体" w:cs="Times New Roman"/>
          <w:b/>
          <w:i/>
          <w:color w:val="auto"/>
          <w:sz w:val="24"/>
          <w:szCs w:val="24"/>
          <w:highlight w:val="none"/>
          <w:vertAlign w:val="subscript"/>
        </w:rPr>
        <w:t>3</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环保管理费用包括管理部门、监测部门的人工费、办公费、监测费和技术咨询等费用，按环保设施折旧费和环保设施消耗费用总费用的3%计算。</w:t>
      </w: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3</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1</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2</w:t>
      </w:r>
      <w:r>
        <w:rPr>
          <w:rFonts w:hint="default"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lang w:val="en-US" w:eastAsia="zh-CN"/>
        </w:rPr>
        <w:t>2.60</w:t>
      </w:r>
      <w:r>
        <w:rPr>
          <w:rFonts w:hint="default" w:ascii="Times New Roman" w:hAnsi="Times New Roman" w:eastAsia="宋体" w:cs="Times New Roman"/>
          <w:color w:val="auto"/>
          <w:sz w:val="24"/>
          <w:szCs w:val="24"/>
          <w:highlight w:val="none"/>
        </w:rPr>
        <w:t>万元/年。</w:t>
      </w:r>
    </w:p>
    <w:p>
      <w:pPr>
        <w:spacing w:line="360" w:lineRule="auto"/>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5、环保设施运行费</w:t>
      </w:r>
      <w:r>
        <w:rPr>
          <w:rFonts w:hint="default" w:ascii="Times New Roman" w:hAnsi="Times New Roman" w:eastAsia="宋体" w:cs="Times New Roman"/>
          <w:b/>
          <w:i/>
          <w:color w:val="auto"/>
          <w:sz w:val="24"/>
          <w:szCs w:val="24"/>
          <w:highlight w:val="none"/>
        </w:rPr>
        <w:t>C</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环保设施运行费为上述环保设施折旧费</w:t>
      </w: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1</w:t>
      </w:r>
      <w:r>
        <w:rPr>
          <w:rFonts w:hint="default" w:ascii="Times New Roman" w:hAnsi="Times New Roman" w:eastAsia="宋体" w:cs="Times New Roman"/>
          <w:color w:val="auto"/>
          <w:sz w:val="24"/>
          <w:szCs w:val="24"/>
          <w:highlight w:val="none"/>
        </w:rPr>
        <w:t>、环保设施消耗费</w:t>
      </w: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2</w:t>
      </w:r>
      <w:r>
        <w:rPr>
          <w:rFonts w:hint="default" w:ascii="Times New Roman" w:hAnsi="Times New Roman" w:eastAsia="宋体" w:cs="Times New Roman"/>
          <w:color w:val="auto"/>
          <w:sz w:val="24"/>
          <w:szCs w:val="24"/>
          <w:highlight w:val="none"/>
        </w:rPr>
        <w:t>、环保管理费</w:t>
      </w: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3</w:t>
      </w:r>
      <w:r>
        <w:rPr>
          <w:rFonts w:hint="default" w:ascii="Times New Roman" w:hAnsi="Times New Roman" w:eastAsia="宋体" w:cs="Times New Roman"/>
          <w:color w:val="auto"/>
          <w:sz w:val="24"/>
          <w:szCs w:val="24"/>
          <w:highlight w:val="none"/>
        </w:rPr>
        <w:t>的三项费用之和，即：</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1</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C</w:t>
      </w:r>
      <w:r>
        <w:rPr>
          <w:rFonts w:hint="default" w:ascii="Times New Roman" w:hAnsi="Times New Roman" w:eastAsia="宋体" w:cs="Times New Roman"/>
          <w:i/>
          <w:color w:val="auto"/>
          <w:sz w:val="24"/>
          <w:szCs w:val="24"/>
          <w:highlight w:val="none"/>
          <w:vertAlign w:val="subscript"/>
        </w:rPr>
        <w:t>3</w:t>
      </w:r>
      <w:r>
        <w:rPr>
          <w:rFonts w:hint="default" w:ascii="Times New Roman" w:hAnsi="Times New Roman" w:eastAsia="宋体" w:cs="Times New Roman"/>
          <w:color w:val="auto"/>
          <w:sz w:val="24"/>
          <w:szCs w:val="24"/>
          <w:highlight w:val="none"/>
        </w:rPr>
        <w:t>经上述计算后，项目环保设施运行费用为</w:t>
      </w:r>
      <w:r>
        <w:rPr>
          <w:rFonts w:hint="eastAsia" w:ascii="Times New Roman" w:hAnsi="Times New Roman" w:eastAsia="宋体" w:cs="Times New Roman"/>
          <w:color w:val="auto"/>
          <w:sz w:val="24"/>
          <w:szCs w:val="24"/>
          <w:highlight w:val="none"/>
          <w:lang w:val="en-US" w:eastAsia="zh-CN"/>
        </w:rPr>
        <w:t>89.185</w:t>
      </w:r>
      <w:r>
        <w:rPr>
          <w:rFonts w:hint="default" w:ascii="Times New Roman" w:hAnsi="Times New Roman" w:eastAsia="宋体" w:cs="Times New Roman"/>
          <w:color w:val="auto"/>
          <w:sz w:val="24"/>
          <w:szCs w:val="24"/>
          <w:highlight w:val="none"/>
        </w:rPr>
        <w:t>万元，详见表8.</w:t>
      </w:r>
      <w:r>
        <w:rPr>
          <w:rFonts w:hint="eastAsia"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rPr>
        <w:t>-1。</w:t>
      </w:r>
    </w:p>
    <w:p>
      <w:pPr>
        <w:pStyle w:val="2504"/>
        <w:numPr>
          <w:ilvl w:val="0"/>
          <w:numId w:val="46"/>
        </w:numPr>
        <w:spacing w:before="120" w:line="240" w:lineRule="auto"/>
        <w:ind w:left="425" w:leftChars="0" w:hanging="425" w:firstLineChars="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 xml:space="preserve"> 环保设施运行费一览表</w:t>
      </w:r>
    </w:p>
    <w:tbl>
      <w:tblPr>
        <w:tblStyle w:val="91"/>
        <w:tblW w:w="0" w:type="auto"/>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4455"/>
        <w:gridCol w:w="4332"/>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4455"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类型</w:t>
            </w:r>
          </w:p>
        </w:tc>
        <w:tc>
          <w:tcPr>
            <w:tcW w:w="4332" w:type="dxa"/>
            <w:noWrap w:val="0"/>
            <w:vAlign w:val="center"/>
          </w:tcPr>
          <w:p>
            <w:pPr>
              <w:pStyle w:val="167"/>
              <w:keepNext w:val="0"/>
              <w:keepLines w:val="0"/>
              <w:suppressLineNumbers w:val="0"/>
              <w:kinsoku w:val="0"/>
              <w:overflowPunct w:val="0"/>
              <w:spacing w:before="15" w:beforeAutospacing="0" w:after="0" w:afterAutospacing="0" w:line="240" w:lineRule="auto"/>
              <w:ind w:left="0" w:right="0" w:firstLine="394"/>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费用（万元）</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4455"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环保设施折旧费</w:t>
            </w:r>
          </w:p>
        </w:tc>
        <w:tc>
          <w:tcPr>
            <w:tcW w:w="4332"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51.585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4455"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环保设施消耗费</w:t>
            </w:r>
          </w:p>
        </w:tc>
        <w:tc>
          <w:tcPr>
            <w:tcW w:w="4332"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35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4455"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环保设施管理费</w:t>
            </w:r>
          </w:p>
        </w:tc>
        <w:tc>
          <w:tcPr>
            <w:tcW w:w="4332"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2.60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4455"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环保设施运行费</w:t>
            </w:r>
          </w:p>
        </w:tc>
        <w:tc>
          <w:tcPr>
            <w:tcW w:w="4332"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89.185</w:t>
            </w:r>
          </w:p>
        </w:tc>
      </w:tr>
    </w:tbl>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综上所述，本项目环保设施的建设、运行对项目投资成本及经济收益的影响甚微。</w:t>
      </w:r>
    </w:p>
    <w:p>
      <w:pPr>
        <w:pStyle w:val="8"/>
        <w:spacing w:before="0" w:after="0" w:line="360" w:lineRule="auto"/>
        <w:ind w:left="0" w:firstLine="0"/>
        <w:rPr>
          <w:rFonts w:hint="default" w:ascii="Times New Roman" w:hAnsi="Times New Roman" w:eastAsia="宋体" w:cs="Times New Roman"/>
          <w:color w:val="auto"/>
          <w:highlight w:val="none"/>
          <w:lang w:val="en-US" w:eastAsia="zh-CN"/>
        </w:rPr>
      </w:pPr>
      <w:bookmarkStart w:id="332" w:name="_Toc10319"/>
      <w:r>
        <w:rPr>
          <w:rFonts w:hint="default" w:ascii="Times New Roman" w:hAnsi="Times New Roman" w:eastAsia="宋体" w:cs="Times New Roman"/>
          <w:color w:val="auto"/>
          <w:highlight w:val="none"/>
          <w:lang w:val="en-US" w:eastAsia="zh-CN"/>
        </w:rPr>
        <w:t>环保设施经济效益估算</w:t>
      </w:r>
      <w:bookmarkEnd w:id="332"/>
    </w:p>
    <w:p>
      <w:pPr>
        <w:spacing w:line="360" w:lineRule="auto"/>
        <w:ind w:firstLine="480"/>
        <w:rPr>
          <w:color w:val="auto"/>
          <w:sz w:val="24"/>
          <w:szCs w:val="24"/>
          <w:highlight w:val="none"/>
        </w:rPr>
      </w:pPr>
      <w:r>
        <w:rPr>
          <w:rFonts w:hint="eastAsia"/>
          <w:color w:val="auto"/>
          <w:sz w:val="24"/>
          <w:szCs w:val="24"/>
          <w:highlight w:val="none"/>
        </w:rPr>
        <w:t>环保设施投入使用后，除了可减少污染物的排放外，还可回收部分可利用资源，因此具有一定的经济效益。由于间接经济收益难以估算，因而在此仅计算直接经济效益，主要是回收利用的各种废物和减少排污费所获得的经济收入。同时根据2003年2月国家颁布的《排污费征收标准管理办法》，对照本项目污染物排放情况，计算了由于环境保护设施的利用，减少需缴纳的排污费用。项目环保投资经济收入见表8.</w:t>
      </w:r>
      <w:r>
        <w:rPr>
          <w:rFonts w:hint="eastAsia"/>
          <w:color w:val="auto"/>
          <w:sz w:val="24"/>
          <w:szCs w:val="24"/>
          <w:highlight w:val="none"/>
          <w:lang w:val="en-US" w:eastAsia="zh-CN"/>
        </w:rPr>
        <w:t>7</w:t>
      </w:r>
      <w:r>
        <w:rPr>
          <w:rFonts w:hint="eastAsia"/>
          <w:color w:val="auto"/>
          <w:sz w:val="24"/>
          <w:szCs w:val="24"/>
          <w:highlight w:val="none"/>
        </w:rPr>
        <w:t>-2。</w:t>
      </w:r>
    </w:p>
    <w:p>
      <w:pPr>
        <w:pStyle w:val="2504"/>
        <w:numPr>
          <w:ilvl w:val="0"/>
          <w:numId w:val="46"/>
        </w:numPr>
        <w:spacing w:before="120" w:line="240" w:lineRule="auto"/>
        <w:ind w:left="425" w:leftChars="0" w:hanging="425"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highlight w:val="none"/>
        </w:rPr>
        <w:t>环保投资经济收入</w:t>
      </w:r>
    </w:p>
    <w:tbl>
      <w:tblPr>
        <w:tblStyle w:val="91"/>
        <w:tblW w:w="0" w:type="auto"/>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810"/>
        <w:gridCol w:w="1719"/>
        <w:gridCol w:w="4037"/>
        <w:gridCol w:w="2221"/>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810" w:type="dxa"/>
            <w:noWrap w:val="0"/>
            <w:vAlign w:val="center"/>
          </w:tcPr>
          <w:p>
            <w:pPr>
              <w:pStyle w:val="1856"/>
              <w:keepNext w:val="0"/>
              <w:keepLines w:val="0"/>
              <w:suppressLineNumbers w:val="0"/>
              <w:spacing w:beforeAutospacing="0" w:afterAutospacing="0" w:line="240" w:lineRule="auto"/>
              <w:ind w:left="0" w:right="0"/>
              <w:rPr>
                <w:rFonts w:hint="default"/>
                <w:b/>
                <w:bCs w:val="0"/>
                <w:color w:val="auto"/>
                <w:sz w:val="21"/>
                <w:szCs w:val="21"/>
                <w:highlight w:val="none"/>
              </w:rPr>
            </w:pPr>
            <w:r>
              <w:rPr>
                <w:rFonts w:hint="eastAsia"/>
                <w:b/>
                <w:bCs w:val="0"/>
                <w:color w:val="auto"/>
                <w:sz w:val="21"/>
                <w:szCs w:val="21"/>
                <w:highlight w:val="none"/>
              </w:rPr>
              <w:t>序号</w:t>
            </w:r>
          </w:p>
        </w:tc>
        <w:tc>
          <w:tcPr>
            <w:tcW w:w="1719" w:type="dxa"/>
            <w:noWrap w:val="0"/>
            <w:vAlign w:val="center"/>
          </w:tcPr>
          <w:p>
            <w:pPr>
              <w:pStyle w:val="1856"/>
              <w:keepNext w:val="0"/>
              <w:keepLines w:val="0"/>
              <w:suppressLineNumbers w:val="0"/>
              <w:spacing w:beforeAutospacing="0" w:afterAutospacing="0" w:line="240" w:lineRule="auto"/>
              <w:ind w:left="0" w:right="0"/>
              <w:rPr>
                <w:rFonts w:hint="default"/>
                <w:b/>
                <w:bCs w:val="0"/>
                <w:color w:val="auto"/>
                <w:sz w:val="21"/>
                <w:szCs w:val="21"/>
                <w:highlight w:val="none"/>
              </w:rPr>
            </w:pPr>
            <w:r>
              <w:rPr>
                <w:rFonts w:hint="eastAsia"/>
                <w:b/>
                <w:bCs w:val="0"/>
                <w:color w:val="auto"/>
                <w:sz w:val="21"/>
                <w:szCs w:val="21"/>
                <w:highlight w:val="none"/>
              </w:rPr>
              <w:t>名称</w:t>
            </w:r>
          </w:p>
        </w:tc>
        <w:tc>
          <w:tcPr>
            <w:tcW w:w="4037" w:type="dxa"/>
            <w:noWrap w:val="0"/>
            <w:vAlign w:val="center"/>
          </w:tcPr>
          <w:p>
            <w:pPr>
              <w:pStyle w:val="1856"/>
              <w:keepNext w:val="0"/>
              <w:keepLines w:val="0"/>
              <w:suppressLineNumbers w:val="0"/>
              <w:spacing w:beforeAutospacing="0" w:afterAutospacing="0" w:line="240" w:lineRule="auto"/>
              <w:ind w:left="0" w:right="0"/>
              <w:rPr>
                <w:rFonts w:hint="default"/>
                <w:b/>
                <w:bCs w:val="0"/>
                <w:color w:val="auto"/>
                <w:sz w:val="21"/>
                <w:szCs w:val="21"/>
                <w:highlight w:val="none"/>
              </w:rPr>
            </w:pPr>
            <w:r>
              <w:rPr>
                <w:rFonts w:hint="eastAsia"/>
                <w:b/>
                <w:bCs w:val="0"/>
                <w:color w:val="auto"/>
                <w:sz w:val="21"/>
                <w:szCs w:val="21"/>
                <w:highlight w:val="none"/>
              </w:rPr>
              <w:t>用途</w:t>
            </w:r>
          </w:p>
        </w:tc>
        <w:tc>
          <w:tcPr>
            <w:tcW w:w="2221" w:type="dxa"/>
            <w:noWrap w:val="0"/>
            <w:vAlign w:val="center"/>
          </w:tcPr>
          <w:p>
            <w:pPr>
              <w:pStyle w:val="1856"/>
              <w:keepNext w:val="0"/>
              <w:keepLines w:val="0"/>
              <w:suppressLineNumbers w:val="0"/>
              <w:spacing w:beforeAutospacing="0" w:afterAutospacing="0" w:line="240" w:lineRule="auto"/>
              <w:ind w:left="0" w:right="0"/>
              <w:rPr>
                <w:rFonts w:hint="default"/>
                <w:b/>
                <w:bCs w:val="0"/>
                <w:color w:val="auto"/>
                <w:sz w:val="21"/>
                <w:szCs w:val="21"/>
                <w:highlight w:val="none"/>
              </w:rPr>
            </w:pPr>
            <w:r>
              <w:rPr>
                <w:rFonts w:hint="eastAsia"/>
                <w:b/>
                <w:bCs w:val="0"/>
                <w:color w:val="auto"/>
                <w:sz w:val="21"/>
                <w:szCs w:val="21"/>
                <w:highlight w:val="none"/>
              </w:rPr>
              <w:t>经济收入（万元）</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810"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1</w:t>
            </w:r>
          </w:p>
        </w:tc>
        <w:tc>
          <w:tcPr>
            <w:tcW w:w="1719"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eastAsia="zh-CN"/>
              </w:rPr>
              <w:t>牛</w:t>
            </w:r>
            <w:r>
              <w:rPr>
                <w:rFonts w:hint="default" w:ascii="Times New Roman" w:hAnsi="Times New Roman" w:eastAsia="宋体" w:cs="Times New Roman"/>
                <w:b w:val="0"/>
                <w:bCs/>
                <w:color w:val="auto"/>
                <w:sz w:val="21"/>
                <w:szCs w:val="21"/>
                <w:highlight w:val="none"/>
              </w:rPr>
              <w:t>粪、污泥</w:t>
            </w:r>
          </w:p>
        </w:tc>
        <w:tc>
          <w:tcPr>
            <w:tcW w:w="4037"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运输至</w:t>
            </w:r>
            <w:r>
              <w:rPr>
                <w:rFonts w:hint="eastAsia" w:ascii="Times New Roman" w:hAnsi="Times New Roman" w:cs="Times New Roman"/>
                <w:b w:val="0"/>
                <w:bCs/>
                <w:color w:val="auto"/>
                <w:sz w:val="21"/>
                <w:szCs w:val="21"/>
                <w:highlight w:val="none"/>
                <w:lang w:eastAsia="zh-CN"/>
              </w:rPr>
              <w:t>南江县万事康生物科技有限公司</w:t>
            </w:r>
            <w:r>
              <w:rPr>
                <w:rFonts w:hint="default" w:ascii="Times New Roman" w:hAnsi="Times New Roman" w:eastAsia="宋体" w:cs="Times New Roman"/>
                <w:b w:val="0"/>
                <w:bCs/>
                <w:color w:val="auto"/>
                <w:sz w:val="21"/>
                <w:szCs w:val="21"/>
                <w:highlight w:val="none"/>
              </w:rPr>
              <w:t>用作生产有机肥原料使用</w:t>
            </w:r>
          </w:p>
        </w:tc>
        <w:tc>
          <w:tcPr>
            <w:tcW w:w="2221"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120.0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810"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2</w:t>
            </w:r>
          </w:p>
        </w:tc>
        <w:tc>
          <w:tcPr>
            <w:tcW w:w="1719"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废水综合利用</w:t>
            </w:r>
          </w:p>
        </w:tc>
        <w:tc>
          <w:tcPr>
            <w:tcW w:w="4037"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收集处理后作为项目周边</w:t>
            </w:r>
            <w:r>
              <w:rPr>
                <w:rFonts w:hint="eastAsia" w:ascii="Times New Roman" w:hAnsi="Times New Roman" w:cs="Times New Roman"/>
                <w:b w:val="0"/>
                <w:bCs/>
                <w:color w:val="auto"/>
                <w:sz w:val="21"/>
                <w:szCs w:val="21"/>
                <w:highlight w:val="none"/>
                <w:lang w:eastAsia="zh-CN"/>
              </w:rPr>
              <w:t>林地及农田</w:t>
            </w:r>
            <w:r>
              <w:rPr>
                <w:rFonts w:hint="default" w:ascii="Times New Roman" w:hAnsi="Times New Roman" w:eastAsia="宋体" w:cs="Times New Roman"/>
                <w:b w:val="0"/>
                <w:bCs/>
                <w:color w:val="auto"/>
                <w:sz w:val="21"/>
                <w:szCs w:val="21"/>
                <w:highlight w:val="none"/>
              </w:rPr>
              <w:t>农灌</w:t>
            </w:r>
          </w:p>
        </w:tc>
        <w:tc>
          <w:tcPr>
            <w:tcW w:w="2221"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50.0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810"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3</w:t>
            </w:r>
          </w:p>
        </w:tc>
        <w:tc>
          <w:tcPr>
            <w:tcW w:w="1719"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减少排污费</w:t>
            </w:r>
          </w:p>
        </w:tc>
        <w:tc>
          <w:tcPr>
            <w:tcW w:w="4037"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w:t>
            </w:r>
          </w:p>
        </w:tc>
        <w:tc>
          <w:tcPr>
            <w:tcW w:w="2221"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25.0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810"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4</w:t>
            </w:r>
          </w:p>
        </w:tc>
        <w:tc>
          <w:tcPr>
            <w:tcW w:w="1719"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合计</w:t>
            </w:r>
          </w:p>
        </w:tc>
        <w:tc>
          <w:tcPr>
            <w:tcW w:w="4037"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w:t>
            </w:r>
          </w:p>
        </w:tc>
        <w:tc>
          <w:tcPr>
            <w:tcW w:w="2221" w:type="dxa"/>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195.0</w:t>
            </w:r>
          </w:p>
        </w:tc>
      </w:tr>
    </w:tbl>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从表</w:t>
      </w:r>
      <w:r>
        <w:rPr>
          <w:rFonts w:hint="default" w:ascii="Times New Roman" w:hAnsi="Times New Roman" w:eastAsia="宋体" w:cs="Times New Roman"/>
          <w:color w:val="auto"/>
          <w:sz w:val="24"/>
          <w:szCs w:val="24"/>
          <w:highlight w:val="none"/>
          <w:lang w:val="en-US" w:eastAsia="zh-CN"/>
        </w:rPr>
        <w:t>8.7-</w:t>
      </w:r>
      <w:r>
        <w:rPr>
          <w:rFonts w:hint="default" w:ascii="Times New Roman" w:hAnsi="Times New Roman" w:eastAsia="宋体" w:cs="Times New Roman"/>
          <w:color w:val="auto"/>
          <w:sz w:val="24"/>
          <w:szCs w:val="24"/>
          <w:highlight w:val="none"/>
        </w:rPr>
        <w:t>2中可以看出，项目建成投产后，其环保设施所获取的年综合利用直接经济效益为195万元。</w:t>
      </w:r>
    </w:p>
    <w:p>
      <w:pPr>
        <w:pStyle w:val="8"/>
        <w:spacing w:before="0" w:after="0" w:line="360" w:lineRule="auto"/>
        <w:ind w:left="0" w:firstLine="0"/>
        <w:rPr>
          <w:rFonts w:hint="default" w:ascii="Times New Roman" w:hAnsi="Times New Roman" w:eastAsia="宋体" w:cs="Times New Roman"/>
          <w:color w:val="auto"/>
          <w:highlight w:val="none"/>
          <w:lang w:val="en-US" w:eastAsia="zh-CN"/>
        </w:rPr>
      </w:pPr>
      <w:bookmarkStart w:id="333" w:name="_Toc9352"/>
      <w:r>
        <w:rPr>
          <w:rFonts w:hint="eastAsia" w:ascii="Times New Roman" w:hAnsi="Times New Roman" w:eastAsia="宋体" w:cs="Times New Roman"/>
          <w:color w:val="auto"/>
          <w:highlight w:val="none"/>
          <w:lang w:val="en-US" w:eastAsia="zh-CN"/>
        </w:rPr>
        <w:t>工程</w:t>
      </w:r>
      <w:r>
        <w:rPr>
          <w:rFonts w:hint="default" w:ascii="Times New Roman" w:hAnsi="Times New Roman" w:eastAsia="宋体" w:cs="Times New Roman"/>
          <w:color w:val="auto"/>
          <w:highlight w:val="none"/>
          <w:lang w:val="en-US" w:eastAsia="zh-CN"/>
        </w:rPr>
        <w:t>环境经济损益指标分析</w:t>
      </w:r>
      <w:bookmarkEnd w:id="333"/>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本次评价主要从环境保护投资比例系数、产值环境系数、环境经济损益系数等几项指标进行环境经济损益分析。</w:t>
      </w:r>
    </w:p>
    <w:p>
      <w:pPr>
        <w:spacing w:line="360" w:lineRule="auto"/>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1、环保投资比例系数Hz</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环保投资比例系数是指环保建设投资与企业建设总投资的比值，它体现了企业对环保工作的重视程度。</w:t>
      </w:r>
    </w:p>
    <w:p>
      <w:pPr>
        <w:spacing w:line="360" w:lineRule="auto"/>
        <w:ind w:firstLine="0" w:firstLineChars="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Hz＝（E0/ER）×100%</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式中：E0——环保建设投资，万元</w:t>
      </w:r>
    </w:p>
    <w:p>
      <w:pPr>
        <w:spacing w:line="360" w:lineRule="auto"/>
        <w:ind w:firstLine="1200" w:firstLineChars="5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ER——工程总投资，万元</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工程各项环保投资费用为</w:t>
      </w:r>
      <w:r>
        <w:rPr>
          <w:rFonts w:hint="eastAsia" w:ascii="Times New Roman" w:hAnsi="Times New Roman" w:eastAsia="宋体" w:cs="Times New Roman"/>
          <w:color w:val="auto"/>
          <w:sz w:val="24"/>
          <w:szCs w:val="24"/>
          <w:highlight w:val="none"/>
          <w:lang w:val="en-US" w:eastAsia="zh-CN"/>
        </w:rPr>
        <w:t>821</w:t>
      </w:r>
      <w:r>
        <w:rPr>
          <w:rFonts w:hint="default" w:ascii="Times New Roman" w:hAnsi="Times New Roman" w:eastAsia="宋体" w:cs="Times New Roman"/>
          <w:color w:val="auto"/>
          <w:sz w:val="24"/>
          <w:szCs w:val="24"/>
          <w:highlight w:val="none"/>
        </w:rPr>
        <w:t>万元，工程总投资为</w:t>
      </w:r>
      <w:r>
        <w:rPr>
          <w:rFonts w:hint="eastAsia" w:ascii="Times New Roman" w:hAnsi="Times New Roman" w:eastAsia="宋体" w:cs="Times New Roman"/>
          <w:color w:val="auto"/>
          <w:sz w:val="24"/>
          <w:szCs w:val="24"/>
          <w:highlight w:val="none"/>
          <w:lang w:eastAsia="zh-CN"/>
        </w:rPr>
        <w:t>27688.93</w:t>
      </w:r>
      <w:r>
        <w:rPr>
          <w:rFonts w:hint="default" w:ascii="Times New Roman" w:hAnsi="Times New Roman" w:eastAsia="宋体" w:cs="Times New Roman"/>
          <w:color w:val="auto"/>
          <w:sz w:val="24"/>
          <w:szCs w:val="24"/>
          <w:highlight w:val="none"/>
        </w:rPr>
        <w:t>万元，环保投资占工程总投资的</w:t>
      </w:r>
      <w:r>
        <w:rPr>
          <w:rFonts w:hint="eastAsia" w:ascii="Times New Roman" w:hAnsi="Times New Roman" w:eastAsia="宋体" w:cs="Times New Roman"/>
          <w:color w:val="auto"/>
          <w:sz w:val="24"/>
          <w:szCs w:val="24"/>
          <w:highlight w:val="none"/>
          <w:lang w:val="en-US" w:eastAsia="zh-CN"/>
        </w:rPr>
        <w:t>2.15</w:t>
      </w:r>
      <w:r>
        <w:rPr>
          <w:rFonts w:hint="default" w:ascii="Times New Roman" w:hAnsi="Times New Roman" w:eastAsia="宋体" w:cs="Times New Roman"/>
          <w:color w:val="auto"/>
          <w:sz w:val="24"/>
          <w:szCs w:val="24"/>
          <w:highlight w:val="none"/>
        </w:rPr>
        <w:t>%。本工程在采取相应的废气、废水、固废和噪声污染防治措施后，各种污染物达标排放，减轻污染物对对周围环境的影响。总体来说，项目的环保投资比例系数是基本合适的。</w:t>
      </w:r>
    </w:p>
    <w:p>
      <w:pPr>
        <w:spacing w:line="360" w:lineRule="auto"/>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2、产值环境系数Fg</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产值环境系数是指年环保运行费用与工业总产值的比值，年环保费用是指环保治理设施及综合利用装置的运行费用、折旧费、日常管理费等。</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产值环境系数的表达式为：</w:t>
      </w:r>
    </w:p>
    <w:p>
      <w:pPr>
        <w:spacing w:line="360" w:lineRule="auto"/>
        <w:ind w:firstLine="0" w:firstLineChars="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Fg=（Ez/Es）×100%</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式中：Ez——年环保费用，万元</w:t>
      </w:r>
    </w:p>
    <w:p>
      <w:pPr>
        <w:spacing w:line="360" w:lineRule="auto"/>
        <w:ind w:firstLine="1200" w:firstLineChars="5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Es——年工业总产值，万元</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工程实施后，每年环保运行费用为</w:t>
      </w:r>
      <w:r>
        <w:rPr>
          <w:rFonts w:hint="eastAsia" w:ascii="Times New Roman" w:hAnsi="Times New Roman" w:eastAsia="宋体" w:cs="Times New Roman"/>
          <w:color w:val="auto"/>
          <w:sz w:val="24"/>
          <w:szCs w:val="24"/>
          <w:highlight w:val="none"/>
          <w:lang w:val="en-US" w:eastAsia="zh-CN"/>
        </w:rPr>
        <w:t>89.185</w:t>
      </w:r>
      <w:r>
        <w:rPr>
          <w:rFonts w:hint="default" w:ascii="Times New Roman" w:hAnsi="Times New Roman" w:eastAsia="宋体" w:cs="Times New Roman"/>
          <w:color w:val="auto"/>
          <w:sz w:val="24"/>
          <w:szCs w:val="24"/>
          <w:highlight w:val="none"/>
        </w:rPr>
        <w:t>万元，本项目年工业总产值</w:t>
      </w:r>
      <w:r>
        <w:rPr>
          <w:rFonts w:hint="eastAsia" w:ascii="Times New Roman" w:hAnsi="Times New Roman" w:eastAsia="宋体" w:cs="Times New Roman"/>
          <w:color w:val="auto"/>
          <w:sz w:val="24"/>
          <w:szCs w:val="24"/>
          <w:highlight w:val="none"/>
          <w:lang w:val="en-US" w:eastAsia="zh-CN"/>
        </w:rPr>
        <w:t>7000</w:t>
      </w:r>
      <w:r>
        <w:rPr>
          <w:rFonts w:hint="default" w:ascii="Times New Roman" w:hAnsi="Times New Roman" w:eastAsia="宋体" w:cs="Times New Roman"/>
          <w:color w:val="auto"/>
          <w:sz w:val="24"/>
          <w:szCs w:val="24"/>
          <w:highlight w:val="none"/>
        </w:rPr>
        <w:t>万元，则产值环境系数为1.</w:t>
      </w:r>
      <w:r>
        <w:rPr>
          <w:rFonts w:hint="eastAsia" w:ascii="Times New Roman" w:hAnsi="Times New Roman" w:eastAsia="宋体" w:cs="Times New Roman"/>
          <w:color w:val="auto"/>
          <w:sz w:val="24"/>
          <w:szCs w:val="24"/>
          <w:highlight w:val="none"/>
          <w:lang w:val="en-US" w:eastAsia="zh-CN"/>
        </w:rPr>
        <w:t>27</w:t>
      </w:r>
      <w:r>
        <w:rPr>
          <w:rFonts w:hint="default" w:ascii="Times New Roman" w:hAnsi="Times New Roman" w:eastAsia="宋体" w:cs="Times New Roman"/>
          <w:color w:val="auto"/>
          <w:sz w:val="24"/>
          <w:szCs w:val="24"/>
          <w:highlight w:val="none"/>
        </w:rPr>
        <w:t>%。</w:t>
      </w:r>
    </w:p>
    <w:p>
      <w:pPr>
        <w:spacing w:line="360" w:lineRule="auto"/>
        <w:ind w:firstLine="482"/>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3、环境经济效益系数Jx</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环境经济效益系数Jx是指因有效的环境保护措施而挽回的经济价值与环境保护费用之比，其表达式为：</w:t>
      </w:r>
    </w:p>
    <w:p>
      <w:pPr>
        <w:spacing w:line="360" w:lineRule="auto"/>
        <w:ind w:firstLine="0" w:firstLineChars="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Jx =Ei/Ez</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式中：Ei——每年环保措施挽回的经济效益，万元</w:t>
      </w:r>
    </w:p>
    <w:p>
      <w:pPr>
        <w:spacing w:line="360" w:lineRule="auto"/>
        <w:ind w:firstLine="1200" w:firstLineChars="5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Ez——年环保费用，万元</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工程实施后，经估算，每年环境经济效益约为195万元，年环保费用为</w:t>
      </w:r>
      <w:r>
        <w:rPr>
          <w:rFonts w:hint="eastAsia" w:ascii="Times New Roman" w:hAnsi="Times New Roman" w:eastAsia="宋体" w:cs="Times New Roman"/>
          <w:color w:val="auto"/>
          <w:sz w:val="24"/>
          <w:szCs w:val="24"/>
          <w:highlight w:val="none"/>
          <w:lang w:val="en-US" w:eastAsia="zh-CN"/>
        </w:rPr>
        <w:t>89.185</w:t>
      </w:r>
      <w:r>
        <w:rPr>
          <w:rFonts w:hint="default" w:ascii="Times New Roman" w:hAnsi="Times New Roman" w:eastAsia="宋体" w:cs="Times New Roman"/>
          <w:color w:val="auto"/>
          <w:sz w:val="24"/>
          <w:szCs w:val="24"/>
          <w:highlight w:val="none"/>
        </w:rPr>
        <w:t>万元，则环境经济效益系数为</w:t>
      </w:r>
      <w:r>
        <w:rPr>
          <w:rFonts w:hint="eastAsia" w:ascii="Times New Roman" w:hAnsi="Times New Roman" w:eastAsia="宋体" w:cs="Times New Roman"/>
          <w:color w:val="auto"/>
          <w:sz w:val="24"/>
          <w:szCs w:val="24"/>
          <w:highlight w:val="none"/>
          <w:lang w:val="en-US" w:eastAsia="zh-CN"/>
        </w:rPr>
        <w:t>2.19</w:t>
      </w:r>
      <w:r>
        <w:rPr>
          <w:rFonts w:hint="default" w:ascii="Times New Roman" w:hAnsi="Times New Roman" w:eastAsia="宋体" w:cs="Times New Roman"/>
          <w:color w:val="auto"/>
          <w:sz w:val="24"/>
          <w:szCs w:val="24"/>
          <w:highlight w:val="none"/>
        </w:rPr>
        <w:t>。</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34" w:name="_Toc29180"/>
      <w:bookmarkStart w:id="335" w:name="_Toc29221892"/>
      <w:r>
        <w:rPr>
          <w:rFonts w:hint="eastAsia" w:ascii="Times New Roman" w:hAnsi="Times New Roman" w:eastAsia="宋体" w:cs="Times New Roman"/>
          <w:color w:val="auto"/>
          <w:highlight w:val="none"/>
          <w:lang w:val="en-US" w:eastAsia="zh-CN"/>
        </w:rPr>
        <w:t>环境综合效益分析</w:t>
      </w:r>
      <w:bookmarkEnd w:id="334"/>
      <w:bookmarkEnd w:id="335"/>
    </w:p>
    <w:p>
      <w:pPr>
        <w:spacing w:line="360" w:lineRule="auto"/>
        <w:ind w:firstLine="480"/>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综上所述，由于本项目在建设时认真贯彻执行“清洁生产”、“污染物达标排放”、“污染物总量控制”等环保政策，项目采取污染治理措施后，各污染源均可实现达标排放，当地环境质量可维持现状水平，项目的环保投资环境效益是显著的。只要建设单位切实落实设计和评价提出的各项污染防治措施，使各类污染物均做到达标排放，则该项目的建设和营运对周围环境的影响是可以承受的，能够做到社会效益、环境效益和经济效益的统一，可达到三者协调发展的目的。</w:t>
      </w:r>
    </w:p>
    <w:p>
      <w:pPr>
        <w:rPr>
          <w:color w:val="auto"/>
          <w:highlight w:val="none"/>
        </w:rPr>
      </w:pPr>
      <w:r>
        <w:rPr>
          <w:color w:val="auto"/>
          <w:highlight w:val="none"/>
        </w:rPr>
        <w:br w:type="page"/>
      </w:r>
    </w:p>
    <w:p>
      <w:pPr>
        <w:pStyle w:val="6"/>
        <w:rPr>
          <w:rFonts w:cs="Times New Roman"/>
          <w:color w:val="auto"/>
          <w:highlight w:val="none"/>
        </w:rPr>
      </w:pPr>
      <w:bookmarkStart w:id="336" w:name="_Toc2483"/>
      <w:r>
        <w:rPr>
          <w:rFonts w:cs="Times New Roman"/>
          <w:color w:val="auto"/>
          <w:highlight w:val="none"/>
        </w:rPr>
        <w:t>环境管理与监测计划</w:t>
      </w:r>
      <w:bookmarkEnd w:id="336"/>
    </w:p>
    <w:p>
      <w:pPr>
        <w:spacing w:line="360" w:lineRule="auto"/>
        <w:ind w:firstLine="480" w:firstLineChars="200"/>
        <w:rPr>
          <w:rFonts w:ascii="Times New Roman" w:hAnsi="Times New Roman" w:eastAsia="宋体" w:cs="Times New Roman"/>
          <w:color w:val="auto"/>
          <w:sz w:val="24"/>
          <w:szCs w:val="24"/>
          <w:highlight w:val="none"/>
        </w:rPr>
      </w:pPr>
      <w:bookmarkStart w:id="337" w:name="_Toc414180963"/>
      <w:r>
        <w:rPr>
          <w:rFonts w:ascii="Times New Roman" w:hAnsi="Times New Roman" w:eastAsia="宋体" w:cs="Times New Roman"/>
          <w:color w:val="auto"/>
          <w:sz w:val="24"/>
          <w:szCs w:val="24"/>
          <w:highlight w:val="none"/>
        </w:rPr>
        <w:t>根据国家对有污染项目应严格控制污染源的要求，除对工程项目</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三废</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治理严格实行</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三同时</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制度外，并要求在工程项目的建设施工和建成后的运行阶段中，加强环境管理和环境监测工作，切实有效</w:t>
      </w:r>
      <w:r>
        <w:rPr>
          <w:rFonts w:hint="eastAsia" w:ascii="Times New Roman" w:hAnsi="Times New Roman" w:eastAsia="宋体" w:cs="Times New Roman"/>
          <w:color w:val="auto"/>
          <w:sz w:val="24"/>
          <w:szCs w:val="24"/>
          <w:highlight w:val="none"/>
        </w:rPr>
        <w:t>地</w:t>
      </w:r>
      <w:r>
        <w:rPr>
          <w:rFonts w:ascii="Times New Roman" w:hAnsi="Times New Roman" w:eastAsia="宋体" w:cs="Times New Roman"/>
          <w:color w:val="auto"/>
          <w:sz w:val="24"/>
          <w:szCs w:val="24"/>
          <w:highlight w:val="none"/>
        </w:rPr>
        <w:t>了解和控制工程污染物的排放量，促进污染治理工作，使治污设施达到最佳的效果，以保证工程最佳的环境效益、经济效益和社会效益。因此必须对工程</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三废</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源强、治污设施效果进行定期和不定期的监测，并同时制定各项环保措施，编制环境规划，以达到强化环境管理的目的。</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为了贯彻国家环境保护有关规定，处理好发展生产与环境保护的关系，实现建设项目的经济效益、社会效益和环境效益的统一，更好地监控工程环保设施的运行，及时掌握并了解污染治理和控制措施的效果与周围地区的环境质量的变化情况，必须设置相应的环保机构，制定环境管理与监测实施计划。</w:t>
      </w:r>
      <w:r>
        <w:rPr>
          <w:rFonts w:ascii="Times New Roman" w:hAnsi="Times New Roman" w:eastAsia="宋体" w:cs="Times New Roman"/>
          <w:color w:val="auto"/>
          <w:sz w:val="24"/>
          <w:szCs w:val="24"/>
          <w:highlight w:val="none"/>
        </w:rPr>
        <w:t>基于此，本报告提出以下环境管理及环境监测建议，作为项目投产后环境保护和环境管理的依据。</w:t>
      </w:r>
    </w:p>
    <w:bookmarkEnd w:id="337"/>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38" w:name="_Toc29221894"/>
      <w:bookmarkStart w:id="339" w:name="_Toc458494428"/>
      <w:bookmarkStart w:id="340" w:name="_Toc12037"/>
      <w:r>
        <w:rPr>
          <w:rFonts w:hint="eastAsia" w:ascii="Times New Roman" w:hAnsi="Times New Roman" w:eastAsia="宋体" w:cs="Times New Roman"/>
          <w:color w:val="auto"/>
          <w:highlight w:val="none"/>
          <w:lang w:val="en-US" w:eastAsia="zh-CN"/>
        </w:rPr>
        <w:t>环境管理</w:t>
      </w:r>
      <w:bookmarkEnd w:id="338"/>
      <w:bookmarkEnd w:id="339"/>
      <w:bookmarkEnd w:id="340"/>
    </w:p>
    <w:p>
      <w:pPr>
        <w:pStyle w:val="8"/>
        <w:spacing w:before="0" w:after="0" w:line="360" w:lineRule="auto"/>
        <w:ind w:left="0" w:firstLine="0"/>
        <w:rPr>
          <w:rFonts w:hint="default" w:cs="Times New Roman"/>
          <w:color w:val="auto"/>
          <w:highlight w:val="none"/>
          <w:lang w:val="en-US" w:eastAsia="zh-CN"/>
        </w:rPr>
      </w:pPr>
      <w:bookmarkStart w:id="341" w:name="_Toc29599"/>
      <w:r>
        <w:rPr>
          <w:rFonts w:hint="default" w:cs="Times New Roman"/>
          <w:color w:val="auto"/>
          <w:highlight w:val="none"/>
          <w:lang w:val="en-US" w:eastAsia="zh-CN"/>
        </w:rPr>
        <w:t>环境管理的必要性</w:t>
      </w:r>
      <w:bookmarkEnd w:id="341"/>
    </w:p>
    <w:p>
      <w:pPr>
        <w:ind w:firstLine="480"/>
        <w:rPr>
          <w:rFonts w:hint="default" w:ascii="Times New Roman" w:hAnsi="Times New Roman" w:eastAsia="宋体" w:cs="Times New Roman"/>
          <w:color w:val="auto"/>
          <w:sz w:val="24"/>
          <w:szCs w:val="24"/>
          <w:highlight w:val="none"/>
        </w:rPr>
      </w:pPr>
      <w:bookmarkStart w:id="342" w:name="_Toc232995256"/>
      <w:bookmarkStart w:id="343" w:name="_Toc278188804"/>
      <w:r>
        <w:rPr>
          <w:rFonts w:hint="default" w:ascii="Times New Roman" w:hAnsi="Times New Roman" w:eastAsia="宋体" w:cs="Times New Roman"/>
          <w:color w:val="auto"/>
          <w:sz w:val="24"/>
          <w:szCs w:val="24"/>
          <w:highlight w:val="none"/>
        </w:rPr>
        <w:t>项目环境管理是指工程在施工期和运行期间，应严格按照国家、地方环境保护政策、法律和法规等进行环境管理工作，接受地方生态环境主管部门的管理监督、调查和制订环境规划和目标，协调同有关部门的关系以及一切与环境保护有关的管理活动，促使项目实现“三同时”目标。</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境管理是企业管理工作重要组成部分。其主要目的是通过环境管理工作的开展，提高全体员工环保意识，促进企业积极主动地预防和治理污染，避免因管理不善而可能产生环境污染。因此，企业要贯彻落实国家和地方有关法律和法规，正确处理企业发展与环境保护的关系，实现清洁生产，从而真正达到持续发展的战略目标。</w:t>
      </w:r>
      <w:bookmarkStart w:id="344" w:name="_Toc303281217"/>
      <w:bookmarkStart w:id="345" w:name="_Toc303675507"/>
      <w:bookmarkStart w:id="346" w:name="_Toc297620295"/>
      <w:bookmarkStart w:id="347" w:name="_Toc172538708"/>
      <w:bookmarkStart w:id="348" w:name="_Toc172719498"/>
      <w:bookmarkStart w:id="349" w:name="_Toc303280640"/>
    </w:p>
    <w:p>
      <w:pPr>
        <w:pStyle w:val="8"/>
        <w:spacing w:before="0" w:after="0" w:line="360" w:lineRule="auto"/>
        <w:ind w:left="0" w:firstLine="0"/>
        <w:rPr>
          <w:rFonts w:hint="default" w:cs="Times New Roman"/>
          <w:color w:val="auto"/>
          <w:highlight w:val="none"/>
          <w:lang w:val="en-US" w:eastAsia="zh-CN"/>
        </w:rPr>
      </w:pPr>
      <w:bookmarkStart w:id="350" w:name="_Toc23123"/>
      <w:r>
        <w:rPr>
          <w:rFonts w:hint="default" w:cs="Times New Roman"/>
          <w:color w:val="auto"/>
          <w:highlight w:val="none"/>
          <w:lang w:val="en-US" w:eastAsia="zh-CN"/>
        </w:rPr>
        <w:t>环境管理机构</w:t>
      </w:r>
      <w:bookmarkEnd w:id="344"/>
      <w:bookmarkEnd w:id="345"/>
      <w:bookmarkEnd w:id="346"/>
      <w:bookmarkEnd w:id="347"/>
      <w:bookmarkEnd w:id="348"/>
      <w:bookmarkEnd w:id="349"/>
      <w:r>
        <w:rPr>
          <w:rFonts w:hint="default" w:cs="Times New Roman"/>
          <w:color w:val="auto"/>
          <w:highlight w:val="none"/>
          <w:lang w:val="en-US" w:eastAsia="zh-CN"/>
        </w:rPr>
        <w:t>与职责</w:t>
      </w:r>
      <w:bookmarkEnd w:id="350"/>
    </w:p>
    <w:p>
      <w:pPr>
        <w:ind w:firstLine="480"/>
        <w:rPr>
          <w:rFonts w:hint="default" w:ascii="Times New Roman" w:hAnsi="Times New Roman" w:eastAsia="宋体" w:cs="Times New Roman"/>
          <w:color w:val="auto"/>
          <w:sz w:val="24"/>
          <w:szCs w:val="24"/>
          <w:highlight w:val="none"/>
        </w:rPr>
      </w:pPr>
      <w:bookmarkStart w:id="351" w:name="_Toc297620296"/>
      <w:bookmarkStart w:id="352" w:name="_Toc303280641"/>
      <w:bookmarkStart w:id="353" w:name="_Toc303675508"/>
      <w:bookmarkStart w:id="354" w:name="_Toc303281218"/>
      <w:r>
        <w:rPr>
          <w:rFonts w:hint="default" w:ascii="Times New Roman" w:hAnsi="Times New Roman" w:eastAsia="宋体" w:cs="Times New Roman"/>
          <w:color w:val="auto"/>
          <w:sz w:val="24"/>
          <w:szCs w:val="24"/>
          <w:highlight w:val="none"/>
        </w:rPr>
        <w:t>建立环境管理机构是使环境管理工作科学化、制度化、经常化的组织保障，是将环境保护纳入企业管理和生产计划并制定合理的污染控制指标，使企业排污符合国家和地方有关排放标准，并实现“一控双达标”，企业内部必须建立环境管理机构。</w:t>
      </w:r>
    </w:p>
    <w:p>
      <w:pPr>
        <w:pStyle w:val="9"/>
        <w:rPr>
          <w:rFonts w:hint="default" w:cs="Times New Roman"/>
          <w:color w:val="auto"/>
          <w:highlight w:val="none"/>
          <w:lang w:val="en-US" w:eastAsia="zh-CN"/>
        </w:rPr>
      </w:pPr>
      <w:r>
        <w:rPr>
          <w:rFonts w:hint="default" w:cs="Times New Roman"/>
          <w:color w:val="auto"/>
          <w:highlight w:val="none"/>
          <w:lang w:val="en-US" w:eastAsia="zh-CN"/>
        </w:rPr>
        <w:t>环境管理机构设置</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根据项目实际情况，建设单位应当在公司层面设置环保督查人员，可由公司副经理或防疫、安全负责人兼职；设置项目环保总负责人，可由本项目的厂长负责；各区域设环保责任人，如</w:t>
      </w:r>
      <w:r>
        <w:rPr>
          <w:rFonts w:hint="eastAsia" w:ascii="Times New Roman" w:hAnsi="Times New Roman" w:eastAsia="宋体" w:cs="Times New Roman"/>
          <w:color w:val="auto"/>
          <w:sz w:val="24"/>
          <w:szCs w:val="24"/>
          <w:highlight w:val="none"/>
          <w:lang w:eastAsia="zh-CN"/>
        </w:rPr>
        <w:t>牛舍</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干粪棚</w:t>
      </w:r>
      <w:r>
        <w:rPr>
          <w:rFonts w:hint="default" w:ascii="Times New Roman" w:hAnsi="Times New Roman" w:eastAsia="宋体" w:cs="Times New Roman"/>
          <w:color w:val="auto"/>
          <w:sz w:val="24"/>
          <w:szCs w:val="24"/>
          <w:highlight w:val="none"/>
        </w:rPr>
        <w:t>、污水处理站、</w:t>
      </w:r>
      <w:r>
        <w:rPr>
          <w:rFonts w:hint="eastAsia" w:ascii="Times New Roman" w:hAnsi="Times New Roman" w:eastAsia="宋体" w:cs="Times New Roman"/>
          <w:color w:val="auto"/>
          <w:sz w:val="24"/>
          <w:szCs w:val="24"/>
          <w:highlight w:val="none"/>
          <w:lang w:eastAsia="zh-CN"/>
        </w:rPr>
        <w:t>生活区</w:t>
      </w:r>
      <w:r>
        <w:rPr>
          <w:rFonts w:hint="default" w:ascii="Times New Roman" w:hAnsi="Times New Roman" w:eastAsia="宋体" w:cs="Times New Roman"/>
          <w:color w:val="auto"/>
          <w:sz w:val="24"/>
          <w:szCs w:val="24"/>
          <w:highlight w:val="none"/>
        </w:rPr>
        <w:t>等负责人负责各自区域的环保问题。项目建立相关考核制度，制定各区域环保管理规程，落实一线工人的环保操作规程并落实负责人进行日常检查，实施环保奖惩制度，同时配备1名专职环保员，担负起全场环境管理考核工作，使各项环保措施、制度得以贯彻落实，负责处理对外环保事宜，如有周边居民环保投诉或公众的环保意见或建议，并负责对外宣传环保问题处理效果。</w:t>
      </w:r>
    </w:p>
    <w:p>
      <w:pPr>
        <w:pStyle w:val="9"/>
        <w:rPr>
          <w:rFonts w:hint="default" w:cs="Times New Roman"/>
          <w:color w:val="auto"/>
          <w:highlight w:val="none"/>
          <w:lang w:val="en-US" w:eastAsia="zh-CN"/>
        </w:rPr>
      </w:pPr>
      <w:r>
        <w:rPr>
          <w:rFonts w:hint="default" w:cs="Times New Roman"/>
          <w:color w:val="auto"/>
          <w:highlight w:val="none"/>
          <w:lang w:val="en-US" w:eastAsia="zh-CN"/>
        </w:rPr>
        <w:t>环境管理机构职责</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项目厂长、各区域环保负责人及项目环保专职人员应当认真落实各自的环保职责，并接受当地环保管理部门的指导和监督。其主要职责如下：</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（1）全面贯彻落实“保护和改善生产环境管理与生态环境，防治污染和其它公害”等环境保护基本国策的要求，做好本项目环境污染防治和生态环境保护工作。</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认真贯彻执行环境保护法律、法规和标准，按照地方政府给本企业下达的环境保护目标责任书，结合企业实际情况，制定出本企业环境保护目标和实施措施，落实到企业年度计划，并作为评定企业指标完成情况的依据之一。</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（3）做好环保设施运行管理和维修工作，保证各项环保设施正常运行，确保治理效果、建立并管理好环保设施档案资料，每日做好环保设备运行状态记录；做好每次环保设备维修记录。</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（4）负责建立和健全企业内部环境保护目标责任制度和考核制度，严格考核各环保设施处理效果，要有相应的奖惩制度。</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（5）督促帮助企业搞好污染治理和固体废物综合利用工作，真正做到污染物零排放。</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（6）负责与当地环境保护监测站联系进行本项目污染源监测工作，了解掌握本项目污染动态，发现异常要及时查找原因，并反馈给生产系统，防止污染事故发生。</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（7）加强企业所属区域绿化工作，认真贯彻“谁开发谁保护，谁破坏谁恢复，谁利用谁补偿”和“开发利用与保护并重”的环境保护方针。</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（8）企业领导应在环保经费上给予一定保证，每年有计划地拨出专项环保费用用于环保管理、业务培训。</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9）有计划地做好普及环境科学知识和环境法律知识的宣传教育工作，组织企业内各类人员进行环保知识的培训和环保知识竞赛，提高企业职工，尤其是场级干部的环保意识和环境法制观念；定期进行环保技术培训，不断提高工作人员业务水平。</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（10）建立企业环境管理指标体系，做好考核与统计工作。</w:t>
      </w:r>
    </w:p>
    <w:p>
      <w:pPr>
        <w:pStyle w:val="8"/>
        <w:spacing w:before="0" w:after="0" w:line="360" w:lineRule="auto"/>
        <w:ind w:left="0" w:firstLine="0"/>
        <w:rPr>
          <w:rFonts w:hint="default" w:cs="Times New Roman"/>
          <w:color w:val="auto"/>
          <w:highlight w:val="none"/>
          <w:lang w:val="en-US" w:eastAsia="zh-CN"/>
        </w:rPr>
      </w:pPr>
      <w:bookmarkStart w:id="355" w:name="_Toc21021"/>
      <w:r>
        <w:rPr>
          <w:rFonts w:hint="default" w:cs="Times New Roman"/>
          <w:color w:val="auto"/>
          <w:highlight w:val="none"/>
          <w:lang w:val="en-US" w:eastAsia="zh-CN"/>
        </w:rPr>
        <w:t>环境管理制度</w:t>
      </w:r>
      <w:bookmarkEnd w:id="355"/>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单位应建立健全必要的环境管理规章制度，并把它作为企业领导和全体职工必须严格遵守的一种规范和总则。“有规可循、执规必严”是环境管理得以顺利实施的重要保证。各项规章制度要体现环境管理的任务、内容和准则，使环境管理特点和要求渗透到企业的各项管理工作之中。</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最基本的环境管理制度有以下几方面：</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（1）环境保护管理条例；</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（2）环境质量管理规程；</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（3）环境管理的经济责任制；</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（4）环保业务的管理制度；</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（5）环境管理岗位责任制；</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（6）环境保护的考核制度；</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（7）环保设施管理制度；</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（8）场区防渗管理条例；</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（9）生态保护管理规定；</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（10）污染物防治、控制措施及达标排放实施办法；</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（11）清洁生产审计制度。</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通过对各项环境管理制度建立和严格执行，形成目标管理、监督反馈紧密配合的环保工作管理体系，可有效防止非正常生产和突发性事故造成的危害。</w:t>
      </w:r>
    </w:p>
    <w:p>
      <w:pPr>
        <w:pStyle w:val="8"/>
        <w:spacing w:before="0" w:after="0" w:line="360" w:lineRule="auto"/>
        <w:ind w:left="0" w:firstLine="0"/>
        <w:rPr>
          <w:rFonts w:hint="default" w:cs="Times New Roman"/>
          <w:color w:val="auto"/>
          <w:highlight w:val="none"/>
          <w:lang w:val="en-US" w:eastAsia="zh-CN"/>
        </w:rPr>
      </w:pPr>
      <w:bookmarkStart w:id="356" w:name="_Toc19134"/>
      <w:r>
        <w:rPr>
          <w:rFonts w:hint="default" w:cs="Times New Roman"/>
          <w:color w:val="auto"/>
          <w:highlight w:val="none"/>
          <w:lang w:val="en-US" w:eastAsia="zh-CN"/>
        </w:rPr>
        <w:t>环境管理手段和措施</w:t>
      </w:r>
      <w:bookmarkEnd w:id="356"/>
    </w:p>
    <w:p>
      <w:pPr>
        <w:pStyle w:val="9"/>
        <w:rPr>
          <w:rFonts w:hint="default" w:cs="Times New Roman"/>
          <w:color w:val="auto"/>
          <w:highlight w:val="none"/>
          <w:lang w:val="en-US" w:eastAsia="zh-CN"/>
        </w:rPr>
      </w:pPr>
      <w:r>
        <w:rPr>
          <w:rFonts w:hint="default" w:cs="Times New Roman"/>
          <w:color w:val="auto"/>
          <w:highlight w:val="none"/>
          <w:lang w:val="en-US" w:eastAsia="zh-CN"/>
        </w:rPr>
        <w:t>环境管理手段</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类比国内部分养殖企业环境管理经验，结合建设单位实际情况，可采用行政、经济、技术、教育等环境管理手段进行本项目的环境管理工作。</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行政手段：制定环境保护目标责任制，将环境保护列入岗位责任制及生产调度当中，不定期检查环境保护状况，以行政手段督促、检查、奖惩，促使生产岗位按要求完成环保任务；本项目制定各区域操作规程，如</w:t>
      </w:r>
      <w:r>
        <w:rPr>
          <w:rFonts w:hint="eastAsia" w:ascii="Times New Roman" w:hAnsi="Times New Roman" w:eastAsia="宋体" w:cs="Times New Roman"/>
          <w:color w:val="auto"/>
          <w:sz w:val="24"/>
          <w:szCs w:val="24"/>
          <w:highlight w:val="none"/>
          <w:lang w:eastAsia="zh-CN"/>
        </w:rPr>
        <w:t>牛</w:t>
      </w:r>
      <w:r>
        <w:rPr>
          <w:rFonts w:hint="default" w:ascii="Times New Roman" w:hAnsi="Times New Roman" w:eastAsia="宋体" w:cs="Times New Roman"/>
          <w:color w:val="auto"/>
          <w:sz w:val="24"/>
          <w:szCs w:val="24"/>
          <w:highlight w:val="none"/>
        </w:rPr>
        <w:t>舍规定一线工人的每日干清粪时间，次数，粪便是否现场堆积，检查责任人；</w:t>
      </w:r>
      <w:r>
        <w:rPr>
          <w:rFonts w:hint="eastAsia" w:ascii="Times New Roman" w:hAnsi="Times New Roman" w:eastAsia="宋体" w:cs="Times New Roman"/>
          <w:color w:val="auto"/>
          <w:sz w:val="24"/>
          <w:szCs w:val="24"/>
          <w:highlight w:val="none"/>
          <w:lang w:eastAsia="zh-CN"/>
        </w:rPr>
        <w:t>干粪棚</w:t>
      </w:r>
      <w:r>
        <w:rPr>
          <w:rFonts w:hint="default" w:ascii="Times New Roman" w:hAnsi="Times New Roman" w:eastAsia="宋体" w:cs="Times New Roman"/>
          <w:color w:val="auto"/>
          <w:sz w:val="24"/>
          <w:szCs w:val="24"/>
          <w:highlight w:val="none"/>
        </w:rPr>
        <w:t>是否按要求喷洒除臭剂，是否灭蚊蝇等等，检查责任人。</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技术手段：从项目设计、施工到运营全过程采取先进的工艺、设备，同环境保护措施密切结合，积极推广应用新技术，解决环境问题，实现清洁生产；本项目要求各区域安装水表，进行用水量统计，作为考核指标之一，定期对员工进行操作培训并做记录。</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（3）经济手段：制定并严格按照《环境保护奖惩办法》开展工作，促进环保工作的定量考核，切实将防治污染和保护环境落实到生产管理建设的各个工作环节，做到奖优罚劣，将环境保护与经济效益结合起来。</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（4）教育手段：通过环保宣传和教育，提高全体职工的环保意识，做到自觉保护环境。</w:t>
      </w:r>
    </w:p>
    <w:p>
      <w:pPr>
        <w:pStyle w:val="9"/>
        <w:rPr>
          <w:rFonts w:hint="default" w:cs="Times New Roman"/>
          <w:color w:val="auto"/>
          <w:highlight w:val="none"/>
          <w:lang w:val="en-US" w:eastAsia="zh-CN"/>
        </w:rPr>
      </w:pPr>
      <w:r>
        <w:rPr>
          <w:rFonts w:hint="default" w:cs="Times New Roman"/>
          <w:color w:val="auto"/>
          <w:highlight w:val="none"/>
          <w:lang w:val="en-US" w:eastAsia="zh-CN"/>
        </w:rPr>
        <w:t>环境管理措施</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（1）建立ISO14000环境管理体系，建议同时进行QHSE（质量、健康、安全、环保）审核；</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（2）制订环境保护岗位目标责任制，将环境管理纳入生产管理体系，环保评估与经济效益评估相结合，建立严格的奖惩机制；</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加强环境保护宣传教育工作，将环保意识融入企业文化，进行培训，使全体职工能够意识到环境保护的重要意义，包括与企业生产、生存和发展的关系，全公司应有危机感和责任感，把环保工作落实到实处，落实到每一位员工；</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（4）加强环境监测数据的统计工作，建立全场完善的污染源及物料流失档案，严格控制污染物排放总量，确保污染物排放指标达到设计要求；</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（5）强化对环保设施运行监督、管理的职能，建立全场完善的环保设施运行、维护、维修等技术档案，以及加强对环保设施操作人员的技术培训，确保环保设施处于正常运行情况，污染物排放连续达标；</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（6）制订应急系统。</w:t>
      </w:r>
    </w:p>
    <w:p>
      <w:pPr>
        <w:pStyle w:val="9"/>
        <w:rPr>
          <w:rFonts w:hint="default" w:cs="Times New Roman"/>
          <w:color w:val="auto"/>
          <w:highlight w:val="none"/>
          <w:lang w:val="en-US" w:eastAsia="zh-CN"/>
        </w:rPr>
      </w:pPr>
      <w:r>
        <w:rPr>
          <w:rFonts w:hint="default" w:cs="Times New Roman"/>
          <w:color w:val="auto"/>
          <w:highlight w:val="none"/>
          <w:lang w:val="en-US" w:eastAsia="zh-CN"/>
        </w:rPr>
        <w:t>环境风险防范措施</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风险防范措施的目的是从事故源头开始管理，消除产生事故的诱因，从而降低事故概率。根据建设单位提供的资料和现场调查，项目建成后，全厂主要采取如下风险防范措施。</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①定期对设备进行安全检测，检测内容、时间、人员应有记录保存，安全检测应根据设备的安全性、危险性设定检测频次。</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②对储气柜、进出水管线进行适当的整体试验、外观检查，检查记录应存档备查。定期对储气柜外部检查，及时发现破损和漏处。</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③加强沼气安全知识的宣传，加强对有关人员的培训教育和考核；</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④严格规章制度和安全操作规程，强化安全监督检查和管理；</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⑤沼气工程外设专职人员进行监理和维护，严禁其他人员进入。</w:t>
      </w:r>
    </w:p>
    <w:p>
      <w:pPr>
        <w:pStyle w:val="8"/>
        <w:spacing w:before="0" w:after="0" w:line="360" w:lineRule="auto"/>
        <w:ind w:left="0" w:firstLine="0"/>
        <w:rPr>
          <w:rFonts w:hint="default" w:cs="Times New Roman"/>
          <w:color w:val="auto"/>
          <w:highlight w:val="none"/>
          <w:lang w:val="en-US" w:eastAsia="zh-CN"/>
        </w:rPr>
      </w:pPr>
      <w:bookmarkStart w:id="357" w:name="_Toc21963"/>
      <w:r>
        <w:rPr>
          <w:rFonts w:hint="default" w:cs="Times New Roman"/>
          <w:color w:val="auto"/>
          <w:highlight w:val="none"/>
          <w:lang w:val="en-US" w:eastAsia="zh-CN"/>
        </w:rPr>
        <w:t>环境管理计划</w:t>
      </w:r>
      <w:bookmarkEnd w:id="357"/>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根据本工程不同的工作阶段，制定有关的环境管理计划。</w:t>
      </w:r>
    </w:p>
    <w:p>
      <w:pPr>
        <w:pStyle w:val="9"/>
        <w:rPr>
          <w:rFonts w:hint="default" w:cs="Times New Roman"/>
          <w:color w:val="auto"/>
          <w:highlight w:val="none"/>
          <w:lang w:val="en-US" w:eastAsia="zh-CN"/>
        </w:rPr>
      </w:pPr>
      <w:r>
        <w:rPr>
          <w:rFonts w:hint="default" w:cs="Times New Roman"/>
          <w:color w:val="auto"/>
          <w:highlight w:val="none"/>
          <w:lang w:val="en-US" w:eastAsia="zh-CN"/>
        </w:rPr>
        <w:t>施工期环境管理</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建设单位与施工单位签定工程承包合同中，应包括有关工程施工期间环境保护条款，包括工程施工生态环境保护（水土保持）、施工期间环境污染控制，污染物排放管理，施工人员环保教育及相关奖惩条款。</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施工单位应提高环保意识，加强驻地和施工现场的环境管理，合理安排施工计划，切实做到组织计划严谨，文明施工。环保措施逐项落实到位，环保工程与主体工程同时实施、同时运行，环保工程费用专款专用，不偷工减料，延误工期。</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（3）施工单位应特别注意工程施工中的水土保持，尽可能保护好沿线土壤、植被，弃土、弃渣须运至设计中指定地点弃置，严禁随意堆置，防止对地表水环境产生影响。</w:t>
      </w:r>
    </w:p>
    <w:p>
      <w:pPr>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各施工现场、施工单位驻地及其他施工临时设施，应加强环境管理，施工污水避免无组织排放，尽可能集中排放到施工期设立的沉淀池；施工区域应采取降尘措施，工程施工完毕后施工单位及时清理和恢复施工现场，妥善处理生活垃圾与施工弃碴，减少扬尘；施工现场应执行《建筑施工场界环境噪声排放标准》（GB12523-2011）中的有关规定和要求。</w:t>
      </w:r>
    </w:p>
    <w:p>
      <w:pPr>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4"/>
          <w:szCs w:val="24"/>
          <w:highlight w:val="none"/>
        </w:rPr>
        <w:t>（5）认真落实各项补偿措施，做好工程各项环保设施的施工监理与验收，保证环保工程质量，真正做到环保工程“三同时”。</w:t>
      </w:r>
    </w:p>
    <w:p>
      <w:pPr>
        <w:pStyle w:val="2504"/>
        <w:numPr>
          <w:ilvl w:val="0"/>
          <w:numId w:val="47"/>
        </w:numPr>
        <w:spacing w:before="120"/>
        <w:ind w:left="425" w:leftChars="0" w:hanging="425" w:firstLineChars="0"/>
        <w:jc w:val="center"/>
        <w:rPr>
          <w:b/>
          <w:bCs w:val="0"/>
          <w:color w:val="auto"/>
          <w:sz w:val="8"/>
          <w:szCs w:val="8"/>
          <w:highlight w:val="none"/>
        </w:rPr>
      </w:pPr>
      <w:r>
        <w:rPr>
          <w:rFonts w:hint="eastAsia"/>
          <w:b/>
          <w:bCs w:val="0"/>
          <w:color w:val="auto"/>
          <w:highlight w:val="none"/>
        </w:rPr>
        <w:t>施工期环境管理及监督主要内容</w:t>
      </w:r>
    </w:p>
    <w:tbl>
      <w:tblPr>
        <w:tblStyle w:val="91"/>
        <w:tblW w:w="4998" w:type="pct"/>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893"/>
        <w:gridCol w:w="4200"/>
        <w:gridCol w:w="1276"/>
        <w:gridCol w:w="1934"/>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538" w:type="pct"/>
            <w:noWrap w:val="0"/>
            <w:vAlign w:val="center"/>
          </w:tcPr>
          <w:p>
            <w:pPr>
              <w:pStyle w:val="1856"/>
              <w:keepNext w:val="0"/>
              <w:keepLines w:val="0"/>
              <w:suppressLineNumbers w:val="0"/>
              <w:spacing w:beforeAutospacing="0" w:afterAutospacing="0" w:line="240" w:lineRule="auto"/>
              <w:ind w:left="0" w:right="0"/>
              <w:rPr>
                <w:rFonts w:hint="default"/>
                <w:b/>
                <w:color w:val="auto"/>
                <w:sz w:val="21"/>
                <w:szCs w:val="21"/>
                <w:highlight w:val="none"/>
              </w:rPr>
            </w:pPr>
            <w:r>
              <w:rPr>
                <w:rFonts w:hint="eastAsia"/>
                <w:b/>
                <w:color w:val="auto"/>
                <w:sz w:val="21"/>
                <w:szCs w:val="21"/>
                <w:highlight w:val="none"/>
              </w:rPr>
              <w:t>防治对象</w:t>
            </w:r>
          </w:p>
        </w:tc>
        <w:tc>
          <w:tcPr>
            <w:tcW w:w="252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b/>
                <w:color w:val="auto"/>
                <w:sz w:val="21"/>
                <w:szCs w:val="21"/>
                <w:highlight w:val="none"/>
              </w:rPr>
            </w:pPr>
            <w:r>
              <w:rPr>
                <w:rFonts w:hint="eastAsia"/>
                <w:b/>
                <w:color w:val="auto"/>
                <w:sz w:val="21"/>
                <w:szCs w:val="21"/>
                <w:highlight w:val="none"/>
              </w:rPr>
              <w:t>防治措施</w:t>
            </w:r>
          </w:p>
        </w:tc>
        <w:tc>
          <w:tcPr>
            <w:tcW w:w="768"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b/>
                <w:color w:val="auto"/>
                <w:sz w:val="21"/>
                <w:szCs w:val="21"/>
                <w:highlight w:val="none"/>
              </w:rPr>
            </w:pPr>
            <w:r>
              <w:rPr>
                <w:rFonts w:hint="eastAsia"/>
                <w:b/>
                <w:color w:val="auto"/>
                <w:sz w:val="21"/>
                <w:szCs w:val="21"/>
                <w:highlight w:val="none"/>
              </w:rPr>
              <w:t>环境管理</w:t>
            </w:r>
          </w:p>
        </w:tc>
        <w:tc>
          <w:tcPr>
            <w:tcW w:w="1164" w:type="pct"/>
            <w:noWrap w:val="0"/>
            <w:vAlign w:val="center"/>
          </w:tcPr>
          <w:p>
            <w:pPr>
              <w:pStyle w:val="167"/>
              <w:keepNext w:val="0"/>
              <w:keepLines w:val="0"/>
              <w:suppressLineNumbers w:val="0"/>
              <w:kinsoku w:val="0"/>
              <w:overflowPunct w:val="0"/>
              <w:spacing w:before="0" w:beforeAutospacing="0" w:after="0" w:afterAutospacing="0"/>
              <w:ind w:left="0" w:right="0"/>
              <w:jc w:val="center"/>
              <w:rPr>
                <w:rFonts w:hint="default"/>
                <w:b/>
                <w:color w:val="auto"/>
                <w:sz w:val="21"/>
                <w:szCs w:val="21"/>
                <w:highlight w:val="none"/>
              </w:rPr>
            </w:pPr>
            <w:r>
              <w:rPr>
                <w:rFonts w:hint="eastAsia"/>
                <w:b/>
                <w:color w:val="auto"/>
                <w:sz w:val="21"/>
                <w:szCs w:val="21"/>
                <w:highlight w:val="none"/>
              </w:rPr>
              <w:t>环境监理</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538" w:type="pct"/>
            <w:vMerge w:val="restart"/>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施工扬尘</w:t>
            </w:r>
          </w:p>
        </w:tc>
        <w:tc>
          <w:tcPr>
            <w:tcW w:w="2528" w:type="pct"/>
            <w:noWrap w:val="0"/>
            <w:vAlign w:val="center"/>
          </w:tcPr>
          <w:p>
            <w:pPr>
              <w:pStyle w:val="1856"/>
              <w:keepNext w:val="0"/>
              <w:keepLines w:val="0"/>
              <w:suppressLineNumbers w:val="0"/>
              <w:spacing w:beforeAutospacing="0" w:afterAutospacing="0" w:line="240" w:lineRule="auto"/>
              <w:ind w:left="0" w:right="0" w:firstLine="420" w:firstLineChars="200"/>
              <w:jc w:val="both"/>
              <w:rPr>
                <w:rFonts w:hint="default"/>
                <w:b w:val="0"/>
                <w:bCs/>
                <w:color w:val="auto"/>
                <w:sz w:val="21"/>
                <w:szCs w:val="21"/>
                <w:highlight w:val="none"/>
              </w:rPr>
            </w:pPr>
            <w:r>
              <w:rPr>
                <w:rFonts w:hint="eastAsia"/>
                <w:b w:val="0"/>
                <w:bCs/>
                <w:color w:val="auto"/>
                <w:sz w:val="21"/>
                <w:szCs w:val="21"/>
                <w:highlight w:val="none"/>
              </w:rPr>
              <w:t>施工场地设置围挡，如用瓦楞板或聚丙烯布在施工区四周围屏以防扬尘扩散；</w:t>
            </w:r>
          </w:p>
        </w:tc>
        <w:tc>
          <w:tcPr>
            <w:tcW w:w="768" w:type="pct"/>
            <w:vMerge w:val="restart"/>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施工单位环保措施上墙，落实</w:t>
            </w:r>
            <w:r>
              <w:rPr>
                <w:rFonts w:hint="default"/>
                <w:b w:val="0"/>
                <w:bCs/>
                <w:color w:val="auto"/>
                <w:sz w:val="21"/>
                <w:szCs w:val="21"/>
                <w:highlight w:val="none"/>
              </w:rPr>
              <w:t xml:space="preserve"> </w:t>
            </w:r>
            <w:r>
              <w:rPr>
                <w:rFonts w:hint="eastAsia"/>
                <w:b w:val="0"/>
                <w:bCs/>
                <w:color w:val="auto"/>
                <w:sz w:val="21"/>
                <w:szCs w:val="21"/>
                <w:highlight w:val="none"/>
              </w:rPr>
              <w:t>到人，做好施工</w:t>
            </w:r>
            <w:r>
              <w:rPr>
                <w:rFonts w:hint="default"/>
                <w:b w:val="0"/>
                <w:bCs/>
                <w:color w:val="auto"/>
                <w:sz w:val="21"/>
                <w:szCs w:val="21"/>
                <w:highlight w:val="none"/>
              </w:rPr>
              <w:t xml:space="preserve"> </w:t>
            </w:r>
            <w:r>
              <w:rPr>
                <w:rFonts w:hint="eastAsia"/>
                <w:b w:val="0"/>
                <w:bCs/>
                <w:color w:val="auto"/>
                <w:sz w:val="21"/>
                <w:szCs w:val="21"/>
                <w:highlight w:val="none"/>
              </w:rPr>
              <w:t>场地环境管理和保洁工作</w:t>
            </w:r>
          </w:p>
        </w:tc>
        <w:tc>
          <w:tcPr>
            <w:tcW w:w="1164" w:type="pct"/>
            <w:vMerge w:val="restart"/>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建设行政管理部门及环境管理部门进行定期检查，如违反相关条例，应进行处罚并整改。</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538"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c>
          <w:tcPr>
            <w:tcW w:w="2528" w:type="pct"/>
            <w:noWrap w:val="0"/>
            <w:vAlign w:val="center"/>
          </w:tcPr>
          <w:p>
            <w:pPr>
              <w:pStyle w:val="1856"/>
              <w:keepNext w:val="0"/>
              <w:keepLines w:val="0"/>
              <w:suppressLineNumbers w:val="0"/>
              <w:spacing w:beforeAutospacing="0" w:afterAutospacing="0" w:line="240" w:lineRule="auto"/>
              <w:ind w:left="0" w:right="0" w:firstLine="420" w:firstLineChars="200"/>
              <w:jc w:val="both"/>
              <w:rPr>
                <w:rFonts w:hint="default"/>
                <w:b w:val="0"/>
                <w:bCs/>
                <w:color w:val="auto"/>
                <w:sz w:val="21"/>
                <w:szCs w:val="21"/>
                <w:highlight w:val="none"/>
              </w:rPr>
            </w:pPr>
            <w:r>
              <w:rPr>
                <w:rFonts w:hint="eastAsia"/>
                <w:b w:val="0"/>
                <w:bCs/>
                <w:color w:val="auto"/>
                <w:sz w:val="21"/>
                <w:szCs w:val="21"/>
                <w:highlight w:val="none"/>
              </w:rPr>
              <w:t>定期对路面和施工场区洒水，保持下垫面和空气湿润，减少起尘量；</w:t>
            </w:r>
          </w:p>
        </w:tc>
        <w:tc>
          <w:tcPr>
            <w:tcW w:w="768"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c>
          <w:tcPr>
            <w:tcW w:w="1164"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rPr>
          <w:jc w:val="center"/>
        </w:trPr>
        <w:tc>
          <w:tcPr>
            <w:tcW w:w="538"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c>
          <w:tcPr>
            <w:tcW w:w="2528" w:type="pct"/>
            <w:noWrap w:val="0"/>
            <w:vAlign w:val="center"/>
          </w:tcPr>
          <w:p>
            <w:pPr>
              <w:pStyle w:val="1856"/>
              <w:keepNext w:val="0"/>
              <w:keepLines w:val="0"/>
              <w:suppressLineNumbers w:val="0"/>
              <w:spacing w:beforeAutospacing="0" w:afterAutospacing="0" w:line="240" w:lineRule="auto"/>
              <w:ind w:left="0" w:right="0" w:firstLine="420" w:firstLineChars="200"/>
              <w:jc w:val="both"/>
              <w:rPr>
                <w:rFonts w:hint="default"/>
                <w:b w:val="0"/>
                <w:bCs/>
                <w:color w:val="auto"/>
                <w:sz w:val="21"/>
                <w:szCs w:val="21"/>
                <w:highlight w:val="none"/>
              </w:rPr>
            </w:pPr>
            <w:r>
              <w:rPr>
                <w:rFonts w:hint="eastAsia"/>
                <w:b w:val="0"/>
                <w:bCs/>
                <w:color w:val="auto"/>
                <w:sz w:val="21"/>
                <w:szCs w:val="21"/>
                <w:highlight w:val="none"/>
              </w:rPr>
              <w:t>施工过程使用的水泥及其它易飞扬的细颗粒散体材料，储存在库房内或密闭存放，运输时尽量防止散料漏洒和飞扬；</w:t>
            </w:r>
          </w:p>
        </w:tc>
        <w:tc>
          <w:tcPr>
            <w:tcW w:w="768"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c>
          <w:tcPr>
            <w:tcW w:w="1164"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538"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c>
          <w:tcPr>
            <w:tcW w:w="2528" w:type="pct"/>
            <w:noWrap w:val="0"/>
            <w:vAlign w:val="center"/>
          </w:tcPr>
          <w:p>
            <w:pPr>
              <w:pStyle w:val="1856"/>
              <w:keepNext w:val="0"/>
              <w:keepLines w:val="0"/>
              <w:suppressLineNumbers w:val="0"/>
              <w:spacing w:beforeAutospacing="0" w:afterAutospacing="0" w:line="240" w:lineRule="auto"/>
              <w:ind w:left="0" w:right="0" w:firstLine="420" w:firstLineChars="200"/>
              <w:jc w:val="both"/>
              <w:rPr>
                <w:rFonts w:hint="default"/>
                <w:b w:val="0"/>
                <w:bCs/>
                <w:color w:val="auto"/>
                <w:sz w:val="21"/>
                <w:szCs w:val="21"/>
                <w:highlight w:val="none"/>
              </w:rPr>
            </w:pPr>
            <w:r>
              <w:rPr>
                <w:rFonts w:hint="eastAsia"/>
                <w:b w:val="0"/>
                <w:bCs/>
                <w:color w:val="auto"/>
                <w:sz w:val="21"/>
                <w:szCs w:val="21"/>
                <w:highlight w:val="none"/>
              </w:rPr>
              <w:t>施工渣土必须覆盖，严禁将施工产生的渣土带入交通道路；</w:t>
            </w:r>
          </w:p>
        </w:tc>
        <w:tc>
          <w:tcPr>
            <w:tcW w:w="768"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c>
          <w:tcPr>
            <w:tcW w:w="1164"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538" w:type="pct"/>
            <w:vMerge w:val="restart"/>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施工噪声</w:t>
            </w:r>
          </w:p>
        </w:tc>
        <w:tc>
          <w:tcPr>
            <w:tcW w:w="2528" w:type="pct"/>
            <w:noWrap w:val="0"/>
            <w:vAlign w:val="center"/>
          </w:tcPr>
          <w:p>
            <w:pPr>
              <w:pStyle w:val="1856"/>
              <w:keepNext w:val="0"/>
              <w:keepLines w:val="0"/>
              <w:suppressLineNumbers w:val="0"/>
              <w:spacing w:beforeAutospacing="0" w:afterAutospacing="0" w:line="240" w:lineRule="auto"/>
              <w:ind w:left="0" w:right="0" w:firstLine="420" w:firstLineChars="200"/>
              <w:jc w:val="both"/>
              <w:rPr>
                <w:rFonts w:hint="default"/>
                <w:b w:val="0"/>
                <w:bCs/>
                <w:color w:val="auto"/>
                <w:sz w:val="21"/>
                <w:szCs w:val="21"/>
                <w:highlight w:val="none"/>
              </w:rPr>
            </w:pPr>
            <w:r>
              <w:rPr>
                <w:rFonts w:hint="eastAsia"/>
                <w:b w:val="0"/>
                <w:bCs/>
                <w:color w:val="auto"/>
                <w:sz w:val="21"/>
                <w:szCs w:val="21"/>
                <w:highlight w:val="none"/>
              </w:rPr>
              <w:t>施工单位开工前申报《建设施工环保审批表》，经批准后方可施工；</w:t>
            </w:r>
          </w:p>
        </w:tc>
        <w:tc>
          <w:tcPr>
            <w:tcW w:w="768"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c>
          <w:tcPr>
            <w:tcW w:w="1164" w:type="pct"/>
            <w:vMerge w:val="restart"/>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环保监理部门对夜间施</w:t>
            </w:r>
            <w:r>
              <w:rPr>
                <w:rFonts w:hint="default"/>
                <w:b w:val="0"/>
                <w:bCs/>
                <w:color w:val="auto"/>
                <w:sz w:val="21"/>
                <w:szCs w:val="21"/>
                <w:highlight w:val="none"/>
              </w:rPr>
              <w:t xml:space="preserve"> </w:t>
            </w:r>
            <w:r>
              <w:rPr>
                <w:rFonts w:hint="eastAsia"/>
                <w:b w:val="0"/>
                <w:bCs/>
                <w:color w:val="auto"/>
                <w:sz w:val="21"/>
                <w:szCs w:val="21"/>
                <w:highlight w:val="none"/>
              </w:rPr>
              <w:t>工噪声进行监督检查，</w:t>
            </w:r>
            <w:r>
              <w:rPr>
                <w:rFonts w:hint="default"/>
                <w:b w:val="0"/>
                <w:bCs/>
                <w:color w:val="auto"/>
                <w:sz w:val="21"/>
                <w:szCs w:val="21"/>
                <w:highlight w:val="none"/>
              </w:rPr>
              <w:t xml:space="preserve"> </w:t>
            </w:r>
            <w:r>
              <w:rPr>
                <w:rFonts w:hint="eastAsia"/>
                <w:b w:val="0"/>
                <w:bCs/>
                <w:color w:val="auto"/>
                <w:sz w:val="21"/>
                <w:szCs w:val="21"/>
                <w:highlight w:val="none"/>
              </w:rPr>
              <w:t>违反相关条例，应进行</w:t>
            </w:r>
            <w:r>
              <w:rPr>
                <w:rFonts w:hint="default"/>
                <w:b w:val="0"/>
                <w:bCs/>
                <w:color w:val="auto"/>
                <w:sz w:val="21"/>
                <w:szCs w:val="21"/>
                <w:highlight w:val="none"/>
              </w:rPr>
              <w:t xml:space="preserve"> </w:t>
            </w:r>
            <w:r>
              <w:rPr>
                <w:rFonts w:hint="eastAsia"/>
                <w:b w:val="0"/>
                <w:bCs/>
                <w:color w:val="auto"/>
                <w:sz w:val="21"/>
                <w:szCs w:val="21"/>
                <w:highlight w:val="none"/>
              </w:rPr>
              <w:t>处罚并整改。</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538"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c>
          <w:tcPr>
            <w:tcW w:w="2528" w:type="pct"/>
            <w:noWrap w:val="0"/>
            <w:vAlign w:val="center"/>
          </w:tcPr>
          <w:p>
            <w:pPr>
              <w:pStyle w:val="1856"/>
              <w:keepNext w:val="0"/>
              <w:keepLines w:val="0"/>
              <w:suppressLineNumbers w:val="0"/>
              <w:spacing w:beforeAutospacing="0" w:afterAutospacing="0" w:line="240" w:lineRule="auto"/>
              <w:ind w:left="0" w:right="0" w:firstLine="420" w:firstLineChars="200"/>
              <w:jc w:val="both"/>
              <w:rPr>
                <w:rFonts w:hint="default"/>
                <w:b w:val="0"/>
                <w:bCs/>
                <w:color w:val="auto"/>
                <w:sz w:val="21"/>
                <w:szCs w:val="21"/>
                <w:highlight w:val="none"/>
              </w:rPr>
            </w:pPr>
            <w:r>
              <w:rPr>
                <w:rFonts w:hint="default"/>
                <w:b w:val="0"/>
                <w:bCs/>
                <w:color w:val="auto"/>
                <w:sz w:val="21"/>
                <w:szCs w:val="21"/>
                <w:highlight w:val="none"/>
              </w:rPr>
              <w:t>禁止在12：00~14：00、22：00~6：00进行产生噪声污染的施工作业；</w:t>
            </w:r>
          </w:p>
        </w:tc>
        <w:tc>
          <w:tcPr>
            <w:tcW w:w="768"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c>
          <w:tcPr>
            <w:tcW w:w="1164"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rPr>
          <w:jc w:val="center"/>
        </w:trPr>
        <w:tc>
          <w:tcPr>
            <w:tcW w:w="538" w:type="pct"/>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施工废水</w:t>
            </w:r>
          </w:p>
        </w:tc>
        <w:tc>
          <w:tcPr>
            <w:tcW w:w="2528" w:type="pct"/>
            <w:noWrap w:val="0"/>
            <w:vAlign w:val="center"/>
          </w:tcPr>
          <w:p>
            <w:pPr>
              <w:pStyle w:val="1856"/>
              <w:keepNext w:val="0"/>
              <w:keepLines w:val="0"/>
              <w:suppressLineNumbers w:val="0"/>
              <w:spacing w:beforeAutospacing="0" w:afterAutospacing="0" w:line="240" w:lineRule="auto"/>
              <w:ind w:left="0" w:right="0" w:firstLine="420" w:firstLineChars="200"/>
              <w:jc w:val="both"/>
              <w:rPr>
                <w:rFonts w:hint="default"/>
                <w:b w:val="0"/>
                <w:bCs/>
                <w:color w:val="auto"/>
                <w:sz w:val="21"/>
                <w:szCs w:val="21"/>
                <w:highlight w:val="none"/>
              </w:rPr>
            </w:pPr>
            <w:r>
              <w:rPr>
                <w:rFonts w:hint="eastAsia"/>
                <w:b w:val="0"/>
                <w:bCs/>
                <w:color w:val="auto"/>
                <w:sz w:val="21"/>
                <w:szCs w:val="21"/>
                <w:highlight w:val="none"/>
              </w:rPr>
              <w:t>避免在雨季进行基础开挖施工，设置沉淀池，</w:t>
            </w:r>
            <w:r>
              <w:rPr>
                <w:rFonts w:hint="default"/>
                <w:b w:val="0"/>
                <w:bCs/>
                <w:color w:val="auto"/>
                <w:sz w:val="21"/>
                <w:szCs w:val="21"/>
                <w:highlight w:val="none"/>
              </w:rPr>
              <w:t xml:space="preserve"> </w:t>
            </w:r>
            <w:r>
              <w:rPr>
                <w:rFonts w:hint="eastAsia"/>
                <w:b w:val="0"/>
                <w:bCs/>
                <w:color w:val="auto"/>
                <w:sz w:val="21"/>
                <w:szCs w:val="21"/>
                <w:highlight w:val="none"/>
              </w:rPr>
              <w:t>废水不外排；</w:t>
            </w:r>
          </w:p>
        </w:tc>
        <w:tc>
          <w:tcPr>
            <w:tcW w:w="768" w:type="pct"/>
            <w:vMerge w:val="continue"/>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p>
        </w:tc>
        <w:tc>
          <w:tcPr>
            <w:tcW w:w="1164" w:type="pct"/>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环保监理部门</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538" w:type="pct"/>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建筑及生</w:t>
            </w:r>
            <w:r>
              <w:rPr>
                <w:rFonts w:hint="default"/>
                <w:b w:val="0"/>
                <w:bCs/>
                <w:color w:val="auto"/>
                <w:sz w:val="21"/>
                <w:szCs w:val="21"/>
                <w:highlight w:val="none"/>
              </w:rPr>
              <w:t xml:space="preserve"> </w:t>
            </w:r>
            <w:r>
              <w:rPr>
                <w:rFonts w:hint="eastAsia"/>
                <w:b w:val="0"/>
                <w:bCs/>
                <w:color w:val="auto"/>
                <w:sz w:val="21"/>
                <w:szCs w:val="21"/>
                <w:highlight w:val="none"/>
              </w:rPr>
              <w:t>活垃圾</w:t>
            </w:r>
          </w:p>
        </w:tc>
        <w:tc>
          <w:tcPr>
            <w:tcW w:w="2528" w:type="pct"/>
            <w:noWrap w:val="0"/>
            <w:vAlign w:val="center"/>
          </w:tcPr>
          <w:p>
            <w:pPr>
              <w:pStyle w:val="1856"/>
              <w:keepNext w:val="0"/>
              <w:keepLines w:val="0"/>
              <w:suppressLineNumbers w:val="0"/>
              <w:spacing w:beforeAutospacing="0" w:afterAutospacing="0" w:line="240" w:lineRule="auto"/>
              <w:ind w:left="0" w:right="0" w:firstLine="420" w:firstLineChars="200"/>
              <w:jc w:val="both"/>
              <w:rPr>
                <w:rFonts w:hint="default"/>
                <w:b w:val="0"/>
                <w:bCs/>
                <w:color w:val="auto"/>
                <w:sz w:val="21"/>
                <w:szCs w:val="21"/>
                <w:highlight w:val="none"/>
              </w:rPr>
            </w:pPr>
            <w:r>
              <w:rPr>
                <w:rFonts w:hint="eastAsia"/>
                <w:b w:val="0"/>
                <w:bCs/>
                <w:color w:val="auto"/>
                <w:sz w:val="21"/>
                <w:szCs w:val="21"/>
                <w:highlight w:val="none"/>
              </w:rPr>
              <w:t>建筑垃圾及多余弃土及时清运，本项目土石方不外运，场内平衡；建筑垃圾使用车辆运输，用毡布遮盖，防止沿途散落；生活垃圾做到日产日清</w:t>
            </w:r>
          </w:p>
        </w:tc>
        <w:tc>
          <w:tcPr>
            <w:tcW w:w="768" w:type="pct"/>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建筑垃圾运至</w:t>
            </w:r>
            <w:r>
              <w:rPr>
                <w:rFonts w:hint="default"/>
                <w:b w:val="0"/>
                <w:bCs/>
                <w:color w:val="auto"/>
                <w:sz w:val="21"/>
                <w:szCs w:val="21"/>
                <w:highlight w:val="none"/>
              </w:rPr>
              <w:t xml:space="preserve"> </w:t>
            </w:r>
            <w:r>
              <w:rPr>
                <w:rFonts w:hint="eastAsia"/>
                <w:b w:val="0"/>
                <w:bCs/>
                <w:color w:val="auto"/>
                <w:sz w:val="21"/>
                <w:szCs w:val="21"/>
                <w:highlight w:val="none"/>
              </w:rPr>
              <w:t>指定地点</w:t>
            </w:r>
          </w:p>
        </w:tc>
        <w:tc>
          <w:tcPr>
            <w:tcW w:w="1164" w:type="pct"/>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环保监理部门</w:t>
            </w:r>
          </w:p>
        </w:tc>
      </w:tr>
    </w:tbl>
    <w:p>
      <w:pPr>
        <w:pStyle w:val="9"/>
        <w:rPr>
          <w:rFonts w:hint="eastAsia" w:cs="Times New Roman"/>
          <w:color w:val="auto"/>
          <w:highlight w:val="none"/>
          <w:lang w:val="en-US" w:eastAsia="zh-CN"/>
        </w:rPr>
      </w:pPr>
      <w:r>
        <w:rPr>
          <w:rFonts w:hint="eastAsia" w:cs="Times New Roman"/>
          <w:color w:val="auto"/>
          <w:highlight w:val="none"/>
          <w:lang w:val="en-US" w:eastAsia="zh-CN"/>
        </w:rPr>
        <w:t>运营期环境管理</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（1）管理机构</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实行厂长总管理，各区域负责人负责制度，设1名环保专职人员，统筹负责运营期的环境管理工作，与当地环保部门及其授权监测部门直接监管项目污染物的排放情况；对超标排放及污染事故、纠纷进行处理。</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（2）运营期环境管理职责</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由项目厂长负责环保指标的落实，将环保指标逐级分解到各区域，车间、班组、个人，下属具体负责其附属环保设备的运转和维护，确保其正常运转和达标排放，充分发挥其作用；记录并及时上报污染源及环保措施运转状态。在项目实施全过程中，本工程都应以《中华人民共和国环境保护法》及相关环保法律、法规为依据，通过对项目前后的环境审核，设定环境方针，建立环境目标和指标，设计环境方案，以达到“清洁生产”的良好效果，求得环境的长远的持久的发展。因此，它应建立以下环境管理制度：</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①内部环境审核制度；</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②清洁生产教育及培训制度；</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③建立环境目标和确定指标制度；</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④内部环境管理监督、检查制度。</w:t>
      </w:r>
    </w:p>
    <w:p>
      <w:pPr>
        <w:spacing w:line="360" w:lineRule="auto"/>
        <w:ind w:firstLine="480"/>
        <w:rPr>
          <w:rFonts w:hint="default"/>
          <w:b/>
          <w:bCs w:val="0"/>
          <w:color w:val="auto"/>
          <w:highlight w:val="none"/>
        </w:rPr>
      </w:pPr>
      <w:r>
        <w:rPr>
          <w:rFonts w:hint="default" w:ascii="Times New Roman" w:hAnsi="Times New Roman" w:eastAsia="宋体" w:cs="Times New Roman"/>
          <w:color w:val="auto"/>
          <w:sz w:val="24"/>
          <w:szCs w:val="24"/>
          <w:highlight w:val="none"/>
        </w:rPr>
        <w:t>本项目工程针对不同工作阶段，制定环境管理工作计划，工程建设管理工作计划见表9.1-2。</w:t>
      </w:r>
    </w:p>
    <w:p>
      <w:pPr>
        <w:pStyle w:val="2504"/>
        <w:numPr>
          <w:ilvl w:val="0"/>
          <w:numId w:val="47"/>
        </w:numPr>
        <w:spacing w:before="120"/>
        <w:ind w:left="425" w:leftChars="0" w:hanging="425" w:firstLineChars="0"/>
        <w:jc w:val="center"/>
        <w:rPr>
          <w:rFonts w:hint="eastAsia"/>
          <w:b/>
          <w:bCs w:val="0"/>
          <w:color w:val="auto"/>
          <w:highlight w:val="none"/>
          <w:lang w:val="en-US" w:eastAsia="zh-CN"/>
        </w:rPr>
      </w:pPr>
      <w:r>
        <w:rPr>
          <w:rFonts w:hint="eastAsia"/>
          <w:b/>
          <w:bCs w:val="0"/>
          <w:color w:val="auto"/>
          <w:highlight w:val="none"/>
          <w:lang w:val="en-US" w:eastAsia="zh-CN"/>
        </w:rPr>
        <w:t xml:space="preserve">  环境管理工作计划</w:t>
      </w:r>
    </w:p>
    <w:tbl>
      <w:tblPr>
        <w:tblStyle w:val="91"/>
        <w:tblW w:w="4999"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950"/>
        <w:gridCol w:w="7354"/>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c>
          <w:tcPr>
            <w:tcW w:w="572" w:type="pc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b/>
                <w:color w:val="auto"/>
                <w:sz w:val="21"/>
                <w:szCs w:val="21"/>
                <w:highlight w:val="none"/>
              </w:rPr>
            </w:pPr>
            <w:r>
              <w:rPr>
                <w:rFonts w:hint="eastAsia"/>
                <w:b/>
                <w:color w:val="auto"/>
                <w:sz w:val="21"/>
                <w:szCs w:val="21"/>
                <w:highlight w:val="none"/>
              </w:rPr>
              <w:t>阶段</w:t>
            </w:r>
          </w:p>
        </w:tc>
        <w:tc>
          <w:tcPr>
            <w:tcW w:w="4427" w:type="pc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b/>
                <w:color w:val="auto"/>
                <w:sz w:val="21"/>
                <w:szCs w:val="21"/>
                <w:highlight w:val="none"/>
              </w:rPr>
            </w:pPr>
            <w:r>
              <w:rPr>
                <w:rFonts w:hint="eastAsia"/>
                <w:b/>
                <w:color w:val="auto"/>
                <w:sz w:val="21"/>
                <w:szCs w:val="21"/>
                <w:highlight w:val="none"/>
              </w:rPr>
              <w:t>环境管理工作主要内容</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c>
          <w:tcPr>
            <w:tcW w:w="572" w:type="pc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管理</w:t>
            </w:r>
          </w:p>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机构</w:t>
            </w:r>
          </w:p>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职能</w:t>
            </w:r>
          </w:p>
        </w:tc>
        <w:tc>
          <w:tcPr>
            <w:tcW w:w="4427" w:type="pct"/>
            <w:tcBorders>
              <w:tl2br w:val="nil"/>
              <w:tr2bl w:val="nil"/>
            </w:tcBorders>
            <w:noWrap w:val="0"/>
            <w:vAlign w:val="center"/>
          </w:tcPr>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eastAsia"/>
                <w:b w:val="0"/>
                <w:bCs/>
                <w:color w:val="auto"/>
                <w:sz w:val="21"/>
                <w:szCs w:val="21"/>
                <w:highlight w:val="none"/>
              </w:rPr>
              <w:t>根据国家建设项目环境管理规定，认真落实各项环保手续，完成各级主管部门对本企业提出的环境管理要求，对本企业内部各项管理计划的执行及完成情况进行监督、控制，</w:t>
            </w:r>
            <w:r>
              <w:rPr>
                <w:rFonts w:hint="default"/>
                <w:b w:val="0"/>
                <w:bCs/>
                <w:color w:val="auto"/>
                <w:sz w:val="21"/>
                <w:szCs w:val="21"/>
                <w:highlight w:val="none"/>
              </w:rPr>
              <w:t xml:space="preserve"> </w:t>
            </w:r>
            <w:r>
              <w:rPr>
                <w:rFonts w:hint="eastAsia"/>
                <w:b w:val="0"/>
                <w:bCs/>
                <w:color w:val="auto"/>
                <w:sz w:val="21"/>
                <w:szCs w:val="21"/>
                <w:highlight w:val="none"/>
              </w:rPr>
              <w:t>确保环境管理工作真正发挥作用。</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c>
          <w:tcPr>
            <w:tcW w:w="572" w:type="pc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项目</w:t>
            </w:r>
          </w:p>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建设</w:t>
            </w:r>
          </w:p>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前期</w:t>
            </w:r>
          </w:p>
        </w:tc>
        <w:tc>
          <w:tcPr>
            <w:tcW w:w="4427" w:type="pct"/>
            <w:tcBorders>
              <w:tl2br w:val="nil"/>
              <w:tr2bl w:val="nil"/>
            </w:tcBorders>
            <w:noWrap w:val="0"/>
            <w:vAlign w:val="center"/>
          </w:tcPr>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1</w:t>
            </w:r>
            <w:r>
              <w:rPr>
                <w:rFonts w:hint="eastAsia"/>
                <w:b w:val="0"/>
                <w:bCs/>
                <w:color w:val="auto"/>
                <w:sz w:val="21"/>
                <w:szCs w:val="21"/>
                <w:highlight w:val="none"/>
              </w:rPr>
              <w:t>、与项目可行性研究同期，委托评价单位进行项目的环境影响评价工作；</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2</w:t>
            </w:r>
            <w:r>
              <w:rPr>
                <w:rFonts w:hint="eastAsia"/>
                <w:b w:val="0"/>
                <w:bCs/>
                <w:color w:val="auto"/>
                <w:sz w:val="21"/>
                <w:szCs w:val="21"/>
                <w:highlight w:val="none"/>
              </w:rPr>
              <w:t>、积极配合可研及环评单位所需进行的现场调研；</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3</w:t>
            </w:r>
            <w:r>
              <w:rPr>
                <w:rFonts w:hint="eastAsia"/>
                <w:b w:val="0"/>
                <w:bCs/>
                <w:color w:val="auto"/>
                <w:sz w:val="21"/>
                <w:szCs w:val="21"/>
                <w:highlight w:val="none"/>
              </w:rPr>
              <w:t>、针对项目的具体情况，建立企业内部必要的环境管理与监测制度；</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4</w:t>
            </w:r>
            <w:r>
              <w:rPr>
                <w:rFonts w:hint="eastAsia"/>
                <w:b w:val="0"/>
                <w:bCs/>
                <w:color w:val="auto"/>
                <w:sz w:val="21"/>
                <w:szCs w:val="21"/>
                <w:highlight w:val="none"/>
              </w:rPr>
              <w:t>、对全厂职工进行岗位宣传和培训。</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c>
          <w:tcPr>
            <w:tcW w:w="572" w:type="pc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设计</w:t>
            </w:r>
          </w:p>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阶段</w:t>
            </w:r>
          </w:p>
        </w:tc>
        <w:tc>
          <w:tcPr>
            <w:tcW w:w="4427" w:type="pct"/>
            <w:tcBorders>
              <w:tl2br w:val="nil"/>
              <w:tr2bl w:val="nil"/>
            </w:tcBorders>
            <w:noWrap w:val="0"/>
            <w:vAlign w:val="center"/>
          </w:tcPr>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1</w:t>
            </w:r>
            <w:r>
              <w:rPr>
                <w:rFonts w:hint="eastAsia"/>
                <w:b w:val="0"/>
                <w:bCs/>
                <w:color w:val="auto"/>
                <w:sz w:val="21"/>
                <w:szCs w:val="21"/>
                <w:highlight w:val="none"/>
              </w:rPr>
              <w:t>、委托设计单位对项目的环保工程进行设计，与主体工程同步进行；</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2</w:t>
            </w:r>
            <w:r>
              <w:rPr>
                <w:rFonts w:hint="eastAsia"/>
                <w:b w:val="0"/>
                <w:bCs/>
                <w:color w:val="auto"/>
                <w:sz w:val="21"/>
                <w:szCs w:val="21"/>
                <w:highlight w:val="none"/>
              </w:rPr>
              <w:t>、协助设计单位弄清楚现阶段的环境问题；</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3</w:t>
            </w:r>
            <w:r>
              <w:rPr>
                <w:rFonts w:hint="eastAsia"/>
                <w:b w:val="0"/>
                <w:bCs/>
                <w:color w:val="auto"/>
                <w:sz w:val="21"/>
                <w:szCs w:val="21"/>
                <w:highlight w:val="none"/>
              </w:rPr>
              <w:t>、对治污区，应严格按照环保规范布置在场区主导风向的下风向；</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4</w:t>
            </w:r>
            <w:r>
              <w:rPr>
                <w:rFonts w:hint="eastAsia"/>
                <w:b w:val="0"/>
                <w:bCs/>
                <w:color w:val="auto"/>
                <w:sz w:val="21"/>
                <w:szCs w:val="21"/>
                <w:highlight w:val="none"/>
              </w:rPr>
              <w:t>、在设计中落实环境影响报告中提出的环保对策措施。</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c>
          <w:tcPr>
            <w:tcW w:w="572" w:type="pc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施工</w:t>
            </w:r>
          </w:p>
          <w:p>
            <w:pPr>
              <w:pStyle w:val="1856"/>
              <w:keepNext w:val="0"/>
              <w:keepLines w:val="0"/>
              <w:suppressLineNumbers w:val="0"/>
              <w:spacing w:beforeAutospacing="0" w:afterAutospacing="0" w:line="240" w:lineRule="auto"/>
              <w:ind w:left="0" w:right="0"/>
              <w:rPr>
                <w:rFonts w:hint="eastAsia"/>
                <w:b w:val="0"/>
                <w:bCs/>
                <w:color w:val="auto"/>
                <w:sz w:val="21"/>
                <w:szCs w:val="21"/>
                <w:highlight w:val="none"/>
              </w:rPr>
            </w:pPr>
            <w:r>
              <w:rPr>
                <w:rFonts w:hint="eastAsia"/>
                <w:b w:val="0"/>
                <w:bCs/>
                <w:color w:val="auto"/>
                <w:sz w:val="21"/>
                <w:szCs w:val="21"/>
                <w:highlight w:val="none"/>
              </w:rPr>
              <w:t>阶段</w:t>
            </w:r>
          </w:p>
        </w:tc>
        <w:tc>
          <w:tcPr>
            <w:tcW w:w="4427" w:type="pct"/>
            <w:tcBorders>
              <w:tl2br w:val="nil"/>
              <w:tr2bl w:val="nil"/>
            </w:tcBorders>
            <w:noWrap w:val="0"/>
            <w:vAlign w:val="center"/>
          </w:tcPr>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1</w:t>
            </w:r>
            <w:r>
              <w:rPr>
                <w:rFonts w:hint="eastAsia"/>
                <w:b w:val="0"/>
                <w:bCs/>
                <w:color w:val="auto"/>
                <w:sz w:val="21"/>
                <w:szCs w:val="21"/>
                <w:highlight w:val="none"/>
              </w:rPr>
              <w:t>、严格执行“三同时”制度；</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2</w:t>
            </w:r>
            <w:r>
              <w:rPr>
                <w:rFonts w:hint="eastAsia"/>
                <w:b w:val="0"/>
                <w:bCs/>
                <w:color w:val="auto"/>
                <w:sz w:val="21"/>
                <w:szCs w:val="21"/>
                <w:highlight w:val="none"/>
              </w:rPr>
              <w:t>、按照环评报告中提出的要求，制定出建设项目施工措施实施计划表，并与当地环保部环境管理工作主要内容门签定落实计划内的目标责任书；</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3</w:t>
            </w:r>
            <w:r>
              <w:rPr>
                <w:rFonts w:hint="eastAsia"/>
                <w:b w:val="0"/>
                <w:bCs/>
                <w:color w:val="auto"/>
                <w:sz w:val="21"/>
                <w:szCs w:val="21"/>
                <w:highlight w:val="none"/>
              </w:rPr>
              <w:t>、认真监督主体工程与环保设施的同步建设；建立环保设施施工进度档案，确保环保工作的正常实施运行；</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4</w:t>
            </w:r>
            <w:r>
              <w:rPr>
                <w:rFonts w:hint="eastAsia"/>
                <w:b w:val="0"/>
                <w:bCs/>
                <w:color w:val="auto"/>
                <w:sz w:val="21"/>
                <w:szCs w:val="21"/>
                <w:highlight w:val="none"/>
              </w:rPr>
              <w:t>、施工噪声与振动要符合《中华人民共和国环境噪声污染防治法》有关规定，不得干扰周围群众的正常生活和工作；</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5</w:t>
            </w:r>
            <w:r>
              <w:rPr>
                <w:rFonts w:hint="eastAsia"/>
                <w:b w:val="0"/>
                <w:bCs/>
                <w:color w:val="auto"/>
                <w:sz w:val="21"/>
                <w:szCs w:val="21"/>
                <w:highlight w:val="none"/>
              </w:rPr>
              <w:t>、施工造成的地表破坏、土地、植物毁坏应在竣工后及时恢复；</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6</w:t>
            </w:r>
            <w:r>
              <w:rPr>
                <w:rFonts w:hint="eastAsia"/>
                <w:b w:val="0"/>
                <w:bCs/>
                <w:color w:val="auto"/>
                <w:sz w:val="21"/>
                <w:szCs w:val="21"/>
                <w:highlight w:val="none"/>
              </w:rPr>
              <w:t>、设立施工期环境监理制度，监督环保工程的实施情况，施工阶段的环保工程进展情况和环保投资落实情况定期（每季度）向环保主管部门汇报一次。</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c>
          <w:tcPr>
            <w:tcW w:w="572" w:type="pc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生产</w:t>
            </w:r>
          </w:p>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运行</w:t>
            </w:r>
          </w:p>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期</w:t>
            </w:r>
          </w:p>
        </w:tc>
        <w:tc>
          <w:tcPr>
            <w:tcW w:w="4427" w:type="pct"/>
            <w:tcBorders>
              <w:tl2br w:val="nil"/>
              <w:tr2bl w:val="nil"/>
            </w:tcBorders>
            <w:noWrap w:val="0"/>
            <w:vAlign w:val="center"/>
          </w:tcPr>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1</w:t>
            </w:r>
            <w:r>
              <w:rPr>
                <w:rFonts w:hint="eastAsia"/>
                <w:b w:val="0"/>
                <w:bCs/>
                <w:color w:val="auto"/>
                <w:sz w:val="21"/>
                <w:szCs w:val="21"/>
                <w:highlight w:val="none"/>
              </w:rPr>
              <w:t>、严格执行各项生产及环境管理制度，保证生产的正常进行；</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2</w:t>
            </w:r>
            <w:r>
              <w:rPr>
                <w:rFonts w:hint="eastAsia"/>
                <w:b w:val="0"/>
                <w:bCs/>
                <w:color w:val="auto"/>
                <w:sz w:val="21"/>
                <w:szCs w:val="21"/>
                <w:highlight w:val="none"/>
              </w:rPr>
              <w:t>、设立环保设施运行卡，对环保设施定期进行检查、维护，做到勤查、勤记、勤养护，</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eastAsia"/>
                <w:b w:val="0"/>
                <w:bCs/>
                <w:color w:val="auto"/>
                <w:sz w:val="21"/>
                <w:szCs w:val="21"/>
                <w:highlight w:val="none"/>
              </w:rPr>
              <w:t>按照监测计划定期组织进行全厂内的污染源监测，对不达标环保设施立即进行寻找原</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eastAsia"/>
                <w:b w:val="0"/>
                <w:bCs/>
                <w:color w:val="auto"/>
                <w:sz w:val="21"/>
                <w:szCs w:val="21"/>
                <w:highlight w:val="none"/>
              </w:rPr>
              <w:t>因，及时处理；</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3</w:t>
            </w:r>
            <w:r>
              <w:rPr>
                <w:rFonts w:hint="eastAsia"/>
                <w:b w:val="0"/>
                <w:bCs/>
                <w:color w:val="auto"/>
                <w:sz w:val="21"/>
                <w:szCs w:val="21"/>
                <w:highlight w:val="none"/>
              </w:rPr>
              <w:t>、不断加强技术培训，组织企业内部之间的技术交流，提高业务水平，保持企业内部职工素质稳定；</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4</w:t>
            </w:r>
            <w:r>
              <w:rPr>
                <w:rFonts w:hint="eastAsia"/>
                <w:b w:val="0"/>
                <w:bCs/>
                <w:color w:val="auto"/>
                <w:sz w:val="21"/>
                <w:szCs w:val="21"/>
                <w:highlight w:val="none"/>
              </w:rPr>
              <w:t>、重视群众监督作用，提高企业职工环境意识，鼓励职工及外部人员对生产状况提出意见，并通过积极吸收宝贵意见，提高企业环境管理水平；</w:t>
            </w:r>
          </w:p>
          <w:p>
            <w:pPr>
              <w:pStyle w:val="1856"/>
              <w:keepNext w:val="0"/>
              <w:keepLines w:val="0"/>
              <w:suppressLineNumbers w:val="0"/>
              <w:spacing w:beforeAutospacing="0" w:afterAutospacing="0" w:line="240" w:lineRule="auto"/>
              <w:ind w:left="0" w:right="0"/>
              <w:jc w:val="both"/>
              <w:rPr>
                <w:rFonts w:hint="default"/>
                <w:b w:val="0"/>
                <w:bCs/>
                <w:color w:val="auto"/>
                <w:sz w:val="21"/>
                <w:szCs w:val="21"/>
                <w:highlight w:val="none"/>
              </w:rPr>
            </w:pPr>
            <w:r>
              <w:rPr>
                <w:rFonts w:hint="default"/>
                <w:b w:val="0"/>
                <w:bCs/>
                <w:color w:val="auto"/>
                <w:sz w:val="21"/>
                <w:szCs w:val="21"/>
                <w:highlight w:val="none"/>
              </w:rPr>
              <w:t>5</w:t>
            </w:r>
            <w:r>
              <w:rPr>
                <w:rFonts w:hint="eastAsia"/>
                <w:b w:val="0"/>
                <w:bCs/>
                <w:color w:val="auto"/>
                <w:sz w:val="21"/>
                <w:szCs w:val="21"/>
                <w:highlight w:val="none"/>
              </w:rPr>
              <w:t>、积极配合环保部门的检查、验收。</w:t>
            </w:r>
          </w:p>
        </w:tc>
      </w:tr>
    </w:tbl>
    <w:p>
      <w:pPr>
        <w:pStyle w:val="8"/>
        <w:spacing w:before="0" w:after="0" w:line="360" w:lineRule="auto"/>
        <w:ind w:left="0" w:firstLine="0"/>
        <w:rPr>
          <w:rFonts w:hint="default" w:cs="Times New Roman"/>
          <w:color w:val="auto"/>
          <w:highlight w:val="none"/>
          <w:lang w:val="en-US" w:eastAsia="zh-CN"/>
        </w:rPr>
      </w:pPr>
      <w:bookmarkStart w:id="358" w:name="_Toc22280"/>
      <w:r>
        <w:rPr>
          <w:rFonts w:hint="default" w:cs="Times New Roman"/>
          <w:color w:val="auto"/>
          <w:highlight w:val="none"/>
          <w:lang w:val="en-US" w:eastAsia="zh-CN"/>
        </w:rPr>
        <w:t>环境管理人员的培训计划</w:t>
      </w:r>
      <w:bookmarkEnd w:id="358"/>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对从事环保工作的专职人员，应进行上岗前和日常的专业培训，要求其了解公司各种产品的生产工艺和产生的废水、废气、噪声等污染的治理技术，确保废水、废气、噪声等污染物的达标排放和处理设备的正常运转。加强对从事环保工作的专职人员的环境保护法律、法规教育，提高工作责任感，杜绝人为因素造成的环</w:t>
      </w:r>
      <w:r>
        <w:rPr>
          <w:rFonts w:hint="eastAsia" w:ascii="Times New Roman" w:hAnsi="Times New Roman" w:eastAsia="宋体" w:cs="Times New Roman"/>
          <w:color w:val="auto"/>
          <w:sz w:val="24"/>
          <w:szCs w:val="24"/>
          <w:highlight w:val="none"/>
        </w:rPr>
        <w:t>境</w:t>
      </w:r>
      <w:r>
        <w:rPr>
          <w:rFonts w:hint="default" w:ascii="Times New Roman" w:hAnsi="Times New Roman" w:eastAsia="宋体" w:cs="Times New Roman"/>
          <w:color w:val="auto"/>
          <w:sz w:val="24"/>
          <w:szCs w:val="24"/>
          <w:highlight w:val="none"/>
        </w:rPr>
        <w:t>污染事故发生。</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59" w:name="_Toc458494429"/>
      <w:bookmarkStart w:id="360" w:name="_Toc29221895"/>
      <w:bookmarkStart w:id="361" w:name="_Toc10389"/>
      <w:r>
        <w:rPr>
          <w:rFonts w:hint="eastAsia" w:ascii="Times New Roman" w:hAnsi="Times New Roman" w:eastAsia="宋体" w:cs="Times New Roman"/>
          <w:color w:val="auto"/>
          <w:highlight w:val="none"/>
          <w:lang w:val="en-US" w:eastAsia="zh-CN"/>
        </w:rPr>
        <w:t>环境监测</w:t>
      </w:r>
      <w:bookmarkEnd w:id="359"/>
      <w:bookmarkEnd w:id="360"/>
      <w:bookmarkEnd w:id="361"/>
    </w:p>
    <w:p>
      <w:pPr>
        <w:pStyle w:val="8"/>
        <w:spacing w:before="0" w:after="0" w:line="360" w:lineRule="auto"/>
        <w:ind w:left="0" w:firstLine="0"/>
        <w:rPr>
          <w:rFonts w:hint="default" w:cs="Times New Roman"/>
          <w:color w:val="auto"/>
          <w:highlight w:val="none"/>
          <w:lang w:val="en-US" w:eastAsia="zh-CN"/>
        </w:rPr>
      </w:pPr>
      <w:bookmarkStart w:id="362" w:name="_Toc16086"/>
      <w:r>
        <w:rPr>
          <w:rFonts w:hint="default" w:cs="Times New Roman"/>
          <w:color w:val="auto"/>
          <w:highlight w:val="none"/>
          <w:lang w:val="en-US" w:eastAsia="zh-CN"/>
        </w:rPr>
        <w:t>环境监测</w:t>
      </w:r>
      <w:r>
        <w:rPr>
          <w:rFonts w:hint="eastAsia" w:cs="Times New Roman"/>
          <w:color w:val="auto"/>
          <w:highlight w:val="none"/>
          <w:lang w:val="en-US" w:eastAsia="zh-CN"/>
        </w:rPr>
        <w:t>的</w:t>
      </w:r>
      <w:r>
        <w:rPr>
          <w:rFonts w:hint="default" w:cs="Times New Roman"/>
          <w:color w:val="auto"/>
          <w:highlight w:val="none"/>
          <w:lang w:val="en-US" w:eastAsia="zh-CN"/>
        </w:rPr>
        <w:t>意义</w:t>
      </w:r>
      <w:bookmarkEnd w:id="362"/>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环境监测（包括污染源监测）是企业环境保护的重要组成部分，也是企业的一项规范化制度。通过环境监测，进行数据整理分析，建立监测档案，可为污染源治理、掌握污染物排放变化规律提供依据，为上级环保部门进行区域环境规划、管理执法提供依据。同时，环境监测也是企业实现污染物总量控制，做到清洁生产的重要保证手段之一。</w:t>
      </w:r>
    </w:p>
    <w:p>
      <w:pPr>
        <w:pStyle w:val="8"/>
        <w:spacing w:before="0" w:after="0" w:line="360" w:lineRule="auto"/>
        <w:ind w:left="0" w:firstLine="0"/>
        <w:rPr>
          <w:rFonts w:hint="eastAsia" w:cs="Times New Roman"/>
          <w:color w:val="auto"/>
          <w:highlight w:val="none"/>
          <w:lang w:val="en-US" w:eastAsia="zh-CN"/>
        </w:rPr>
      </w:pPr>
      <w:bookmarkStart w:id="363" w:name="_Toc31565"/>
      <w:r>
        <w:rPr>
          <w:rFonts w:hint="eastAsia" w:cs="Times New Roman"/>
          <w:color w:val="auto"/>
          <w:highlight w:val="none"/>
          <w:lang w:val="en-US" w:eastAsia="zh-CN"/>
        </w:rPr>
        <w:t>环境监测机构</w:t>
      </w:r>
      <w:bookmarkEnd w:id="363"/>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企业环境管理机构负责厂区环保设施日常监管工作，但是不履行监测职责。</w:t>
      </w:r>
      <w:r>
        <w:rPr>
          <w:rFonts w:ascii="Times New Roman" w:hAnsi="Times New Roman" w:eastAsia="宋体" w:cs="Times New Roman"/>
          <w:color w:val="auto"/>
          <w:sz w:val="24"/>
          <w:szCs w:val="24"/>
          <w:highlight w:val="none"/>
        </w:rPr>
        <w:t>为及时了解和掌握建设项目营运期主要污染源的污染物的排放状况，建设单位应定期委托有资质的环境监测</w:t>
      </w:r>
      <w:r>
        <w:rPr>
          <w:rFonts w:hint="eastAsia" w:ascii="Times New Roman" w:hAnsi="Times New Roman" w:eastAsia="宋体" w:cs="Times New Roman"/>
          <w:color w:val="auto"/>
          <w:sz w:val="24"/>
          <w:szCs w:val="24"/>
          <w:highlight w:val="none"/>
        </w:rPr>
        <w:t>机构</w:t>
      </w:r>
      <w:r>
        <w:rPr>
          <w:rFonts w:ascii="Times New Roman" w:hAnsi="Times New Roman" w:eastAsia="宋体" w:cs="Times New Roman"/>
          <w:color w:val="auto"/>
          <w:sz w:val="24"/>
          <w:szCs w:val="24"/>
          <w:highlight w:val="none"/>
        </w:rPr>
        <w:t>对主要污染源的污染物排放情况进行监测。</w:t>
      </w:r>
    </w:p>
    <w:p>
      <w:pPr>
        <w:pStyle w:val="8"/>
        <w:spacing w:before="0" w:after="0" w:line="360" w:lineRule="auto"/>
        <w:ind w:left="0" w:firstLine="0"/>
        <w:rPr>
          <w:rFonts w:hint="eastAsia" w:cs="Times New Roman"/>
          <w:color w:val="auto"/>
          <w:highlight w:val="none"/>
          <w:lang w:val="en-US" w:eastAsia="zh-CN"/>
        </w:rPr>
      </w:pPr>
      <w:bookmarkStart w:id="364" w:name="_Toc10345"/>
      <w:r>
        <w:rPr>
          <w:rFonts w:hint="eastAsia" w:cs="Times New Roman"/>
          <w:color w:val="auto"/>
          <w:highlight w:val="none"/>
          <w:lang w:val="en-US" w:eastAsia="zh-CN"/>
        </w:rPr>
        <w:t>环境监测机构的职责和任务</w:t>
      </w:r>
      <w:bookmarkEnd w:id="364"/>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（1）编制各类有关环境监测的报表负责呈报；</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（2）负责本企业范围内的污染事故调查，弄清和掌握污染状况；</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（3）定期开展环境监测，并负责各类监测设备的使用，维护和检修工作；</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（4）制定本企业的环境监测计划，并完成主管部门布置的各项监测任务；</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（5）参加本企业所属范围内的重大污染事故调查，组织检查各项环境法规和环境标准的执行情况。</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上述工作可与厂区环保科或当地环境监测机构协商、配合完成。</w:t>
      </w:r>
    </w:p>
    <w:p>
      <w:pPr>
        <w:pStyle w:val="8"/>
        <w:spacing w:before="0" w:after="0" w:line="360" w:lineRule="auto"/>
        <w:ind w:left="0" w:firstLine="0"/>
        <w:rPr>
          <w:rFonts w:hint="eastAsia" w:cs="Times New Roman"/>
          <w:color w:val="auto"/>
          <w:highlight w:val="none"/>
          <w:lang w:val="en-US" w:eastAsia="zh-CN"/>
        </w:rPr>
      </w:pPr>
      <w:bookmarkStart w:id="365" w:name="_Toc6402"/>
      <w:r>
        <w:rPr>
          <w:rFonts w:hint="eastAsia" w:cs="Times New Roman"/>
          <w:color w:val="auto"/>
          <w:highlight w:val="none"/>
          <w:lang w:val="en-US" w:eastAsia="zh-CN"/>
        </w:rPr>
        <w:t>环境监测计划</w:t>
      </w:r>
      <w:bookmarkEnd w:id="365"/>
    </w:p>
    <w:p>
      <w:pPr>
        <w:pStyle w:val="9"/>
        <w:rPr>
          <w:rFonts w:hint="eastAsia" w:cs="Times New Roman"/>
          <w:color w:val="auto"/>
          <w:highlight w:val="none"/>
          <w:lang w:val="en-US" w:eastAsia="zh-CN"/>
        </w:rPr>
      </w:pPr>
      <w:r>
        <w:rPr>
          <w:rFonts w:hint="eastAsia" w:cs="Times New Roman"/>
          <w:color w:val="auto"/>
          <w:highlight w:val="none"/>
          <w:lang w:val="en-US" w:eastAsia="zh-CN"/>
        </w:rPr>
        <w:t>施工期环境监测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施工期主要关注施工噪声和施工扬尘对环境的影响。施工期的噪声监测主要是对施工场界噪声排放和周边敏感目标声环境质量的达标情况进行监控性监测。施工期的大气监测主要是对周边敏感目标环境空气质量TSP因子的达标情况进行监控性监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施工期环境监测的点位、项目、时间、频次应根据施工现场的实际情况，由环境保护主管部门确定。</w:t>
      </w:r>
    </w:p>
    <w:p>
      <w:pPr>
        <w:pStyle w:val="9"/>
        <w:rPr>
          <w:rFonts w:hint="eastAsia" w:cs="Times New Roman"/>
          <w:color w:val="auto"/>
          <w:highlight w:val="none"/>
          <w:lang w:val="en-US" w:eastAsia="zh-CN"/>
        </w:rPr>
      </w:pPr>
      <w:r>
        <w:rPr>
          <w:rFonts w:hint="eastAsia" w:cs="Times New Roman"/>
          <w:color w:val="auto"/>
          <w:highlight w:val="none"/>
          <w:lang w:val="en-US" w:eastAsia="zh-CN"/>
        </w:rPr>
        <w:t>运营期环境监测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为了有效监控建设项目对环境的影响，管理部门应建立环境监测制度，定期自测并委托有资质的环境监测机构开展污染源及环境质量监测，以便及时掌握产排污规律，加强污染治理。</w:t>
      </w:r>
    </w:p>
    <w:p>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rPr>
        <w:t>根据《排污单位自行监测技术指南 总则》(HJ 819-2017)，结合《排污许可证申请与核发技术规范畜禽养殖行业》（HJ 1029—2019），污染源监测计划</w:t>
      </w:r>
      <w:r>
        <w:rPr>
          <w:rFonts w:hint="eastAsia" w:ascii="Times New Roman" w:hAnsi="Times New Roman" w:eastAsia="宋体" w:cs="Times New Roman"/>
          <w:color w:val="auto"/>
          <w:sz w:val="24"/>
          <w:szCs w:val="24"/>
          <w:highlight w:val="none"/>
          <w:lang w:eastAsia="zh-CN"/>
        </w:rPr>
        <w:t>见表</w:t>
      </w:r>
      <w:r>
        <w:rPr>
          <w:rFonts w:hint="eastAsia" w:ascii="Times New Roman" w:hAnsi="Times New Roman" w:eastAsia="宋体" w:cs="Times New Roman"/>
          <w:color w:val="auto"/>
          <w:sz w:val="24"/>
          <w:szCs w:val="24"/>
          <w:highlight w:val="none"/>
          <w:lang w:val="en-US" w:eastAsia="zh-CN"/>
        </w:rPr>
        <w:t>9.2-1。</w:t>
      </w:r>
    </w:p>
    <w:p>
      <w:pPr>
        <w:widowControl w:val="0"/>
        <w:numPr>
          <w:ilvl w:val="0"/>
          <w:numId w:val="48"/>
        </w:numPr>
        <w:spacing w:before="120" w:beforeLines="50" w:line="240" w:lineRule="exact"/>
        <w:ind w:left="0" w:leftChars="0" w:firstLine="403" w:firstLineChars="0"/>
        <w:jc w:val="center"/>
        <w:rPr>
          <w:rFonts w:ascii="Times New Roman" w:hAnsi="Times New Roman" w:eastAsia="宋体" w:cs="Times New Roman"/>
          <w:b/>
          <w:bCs w:val="0"/>
          <w:color w:val="auto"/>
          <w:kern w:val="2"/>
          <w:sz w:val="9"/>
          <w:szCs w:val="9"/>
          <w:highlight w:val="none"/>
          <w:lang w:val="en-US" w:eastAsia="zh-CN" w:bidi="ar-SA"/>
        </w:rPr>
      </w:pPr>
      <w:r>
        <w:rPr>
          <w:rFonts w:ascii="Times New Roman" w:hAnsi="Times New Roman" w:eastAsia="宋体" w:cs="Times New Roman"/>
          <w:b/>
          <w:bCs w:val="0"/>
          <w:color w:val="auto"/>
          <w:kern w:val="2"/>
          <w:sz w:val="21"/>
          <w:szCs w:val="24"/>
          <w:highlight w:val="none"/>
          <w:lang w:val="en-US" w:eastAsia="zh-CN" w:bidi="ar-SA"/>
        </w:rPr>
        <w:tab/>
      </w:r>
      <w:r>
        <w:rPr>
          <w:rFonts w:ascii="Times New Roman" w:hAnsi="Times New Roman" w:eastAsia="宋体" w:cs="Times New Roman"/>
          <w:b/>
          <w:bCs w:val="0"/>
          <w:color w:val="auto"/>
          <w:kern w:val="2"/>
          <w:sz w:val="21"/>
          <w:szCs w:val="24"/>
          <w:highlight w:val="none"/>
          <w:lang w:val="en-US" w:eastAsia="zh-CN" w:bidi="ar-SA"/>
        </w:rPr>
        <w:t xml:space="preserve">  </w:t>
      </w:r>
      <w:r>
        <w:rPr>
          <w:rFonts w:hint="eastAsia" w:ascii="Times New Roman" w:hAnsi="Times New Roman" w:eastAsia="宋体" w:cs="Times New Roman"/>
          <w:b/>
          <w:bCs w:val="0"/>
          <w:color w:val="auto"/>
          <w:kern w:val="2"/>
          <w:sz w:val="21"/>
          <w:szCs w:val="24"/>
          <w:highlight w:val="none"/>
          <w:lang w:val="en-US" w:eastAsia="zh-CN" w:bidi="ar-SA"/>
        </w:rPr>
        <w:t>环境监测计划一览表</w:t>
      </w:r>
    </w:p>
    <w:tbl>
      <w:tblPr>
        <w:tblStyle w:val="91"/>
        <w:tblW w:w="8787" w:type="dxa"/>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779"/>
        <w:gridCol w:w="2383"/>
        <w:gridCol w:w="2473"/>
        <w:gridCol w:w="1998"/>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154"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
                <w:color w:val="auto"/>
                <w:kern w:val="0"/>
                <w:sz w:val="21"/>
                <w:szCs w:val="21"/>
                <w:highlight w:val="none"/>
                <w:lang w:val="en-US" w:eastAsia="zh-CN" w:bidi="ar-SA"/>
              </w:rPr>
            </w:pPr>
            <w:r>
              <w:rPr>
                <w:rFonts w:hint="eastAsia" w:ascii="Times New Roman" w:hAnsi="Times New Roman" w:eastAsia="宋体" w:cs="Times New Roman"/>
                <w:b/>
                <w:color w:val="auto"/>
                <w:kern w:val="0"/>
                <w:sz w:val="21"/>
                <w:szCs w:val="21"/>
                <w:highlight w:val="none"/>
                <w:lang w:val="en-US" w:eastAsia="zh-CN" w:bidi="ar-SA"/>
              </w:rPr>
              <w:t>环境要素</w:t>
            </w:r>
          </w:p>
        </w:tc>
        <w:tc>
          <w:tcPr>
            <w:tcW w:w="3162" w:type="dxa"/>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
                <w:color w:val="auto"/>
                <w:kern w:val="0"/>
                <w:sz w:val="21"/>
                <w:szCs w:val="21"/>
                <w:highlight w:val="none"/>
                <w:lang w:val="en-US" w:eastAsia="zh-CN" w:bidi="ar-SA"/>
              </w:rPr>
            </w:pPr>
            <w:r>
              <w:rPr>
                <w:rFonts w:hint="eastAsia" w:ascii="Times New Roman" w:hAnsi="Times New Roman" w:eastAsia="宋体" w:cs="Times New Roman"/>
                <w:b/>
                <w:color w:val="auto"/>
                <w:kern w:val="0"/>
                <w:sz w:val="21"/>
                <w:szCs w:val="21"/>
                <w:highlight w:val="none"/>
                <w:lang w:val="en-US" w:eastAsia="zh-CN" w:bidi="ar-SA"/>
              </w:rPr>
              <w:t>监测项目</w:t>
            </w:r>
          </w:p>
        </w:tc>
        <w:tc>
          <w:tcPr>
            <w:tcW w:w="2473"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
                <w:color w:val="auto"/>
                <w:kern w:val="0"/>
                <w:sz w:val="21"/>
                <w:szCs w:val="21"/>
                <w:highlight w:val="none"/>
                <w:lang w:val="en-US" w:eastAsia="zh-CN" w:bidi="ar-SA"/>
              </w:rPr>
            </w:pPr>
            <w:r>
              <w:rPr>
                <w:rFonts w:hint="eastAsia" w:ascii="Times New Roman" w:hAnsi="Times New Roman" w:eastAsia="宋体" w:cs="Times New Roman"/>
                <w:b/>
                <w:color w:val="auto"/>
                <w:kern w:val="0"/>
                <w:sz w:val="21"/>
                <w:szCs w:val="21"/>
                <w:highlight w:val="none"/>
                <w:lang w:val="en-US" w:eastAsia="zh-CN" w:bidi="ar-SA"/>
              </w:rPr>
              <w:t>监测布点</w:t>
            </w:r>
          </w:p>
        </w:tc>
        <w:tc>
          <w:tcPr>
            <w:tcW w:w="1998"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
                <w:color w:val="auto"/>
                <w:kern w:val="0"/>
                <w:sz w:val="21"/>
                <w:szCs w:val="21"/>
                <w:highlight w:val="none"/>
                <w:lang w:val="en-US" w:eastAsia="zh-CN" w:bidi="ar-SA"/>
              </w:rPr>
            </w:pPr>
            <w:r>
              <w:rPr>
                <w:rFonts w:hint="eastAsia" w:ascii="Times New Roman" w:hAnsi="Times New Roman" w:eastAsia="宋体" w:cs="Times New Roman"/>
                <w:b/>
                <w:color w:val="auto"/>
                <w:kern w:val="0"/>
                <w:sz w:val="21"/>
                <w:szCs w:val="21"/>
                <w:highlight w:val="none"/>
                <w:lang w:val="en-US" w:eastAsia="zh-CN" w:bidi="ar-SA"/>
              </w:rPr>
              <w:t>监测频率</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6" w:hRule="atLeast"/>
          <w:jc w:val="center"/>
        </w:trPr>
        <w:tc>
          <w:tcPr>
            <w:tcW w:w="1154" w:type="dxa"/>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废气</w:t>
            </w:r>
          </w:p>
        </w:tc>
        <w:tc>
          <w:tcPr>
            <w:tcW w:w="779" w:type="dxa"/>
            <w:tcBorders>
              <w:bottom w:val="single" w:color="000000" w:sz="6" w:space="0"/>
              <w:right w:val="single" w:color="000000" w:sz="6" w:space="0"/>
            </w:tcBorders>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有组织</w:t>
            </w:r>
          </w:p>
        </w:tc>
        <w:tc>
          <w:tcPr>
            <w:tcW w:w="2383" w:type="dxa"/>
            <w:vMerge w:val="restart"/>
            <w:tcBorders>
              <w:left w:val="single" w:color="000000" w:sz="6" w:space="0"/>
            </w:tcBorders>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H</w:t>
            </w:r>
            <w:r>
              <w:rPr>
                <w:rFonts w:hint="default" w:ascii="Times New Roman" w:hAnsi="Times New Roman" w:eastAsia="宋体" w:cs="Times New Roman"/>
                <w:color w:val="auto"/>
                <w:kern w:val="0"/>
                <w:sz w:val="21"/>
                <w:szCs w:val="21"/>
                <w:highlight w:val="none"/>
                <w:vertAlign w:val="subscript"/>
                <w:lang w:val="en-US" w:eastAsia="zh-CN" w:bidi="ar-SA"/>
              </w:rPr>
              <w:t>2</w:t>
            </w:r>
            <w:r>
              <w:rPr>
                <w:rFonts w:hint="default" w:ascii="Times New Roman" w:hAnsi="Times New Roman" w:eastAsia="宋体" w:cs="Times New Roman"/>
                <w:color w:val="auto"/>
                <w:kern w:val="0"/>
                <w:sz w:val="21"/>
                <w:szCs w:val="21"/>
                <w:highlight w:val="none"/>
                <w:lang w:val="en-US" w:eastAsia="zh-CN" w:bidi="ar-SA"/>
              </w:rPr>
              <w:t>S</w:t>
            </w:r>
            <w:r>
              <w:rPr>
                <w:rFonts w:hint="eastAsia" w:ascii="Times New Roman" w:hAnsi="Times New Roman" w:eastAsia="宋体" w:cs="Times New Roman"/>
                <w:color w:val="auto"/>
                <w:kern w:val="0"/>
                <w:sz w:val="21"/>
                <w:szCs w:val="21"/>
                <w:highlight w:val="none"/>
                <w:lang w:val="en-US" w:eastAsia="zh-CN" w:bidi="ar-SA"/>
              </w:rPr>
              <w:t>、</w:t>
            </w:r>
            <w:r>
              <w:rPr>
                <w:rFonts w:hint="default" w:ascii="Times New Roman" w:hAnsi="Times New Roman" w:eastAsia="宋体" w:cs="Times New Roman"/>
                <w:color w:val="auto"/>
                <w:kern w:val="0"/>
                <w:sz w:val="21"/>
                <w:szCs w:val="21"/>
                <w:highlight w:val="none"/>
                <w:lang w:val="en-US" w:eastAsia="zh-CN" w:bidi="ar-SA"/>
              </w:rPr>
              <w:t>NH</w:t>
            </w:r>
            <w:r>
              <w:rPr>
                <w:rFonts w:hint="default" w:ascii="Times New Roman" w:hAnsi="Times New Roman" w:eastAsia="宋体" w:cs="Times New Roman"/>
                <w:color w:val="auto"/>
                <w:kern w:val="0"/>
                <w:sz w:val="21"/>
                <w:szCs w:val="21"/>
                <w:highlight w:val="none"/>
                <w:vertAlign w:val="subscript"/>
                <w:lang w:val="en-US" w:eastAsia="zh-CN" w:bidi="ar-SA"/>
              </w:rPr>
              <w:t>3</w:t>
            </w:r>
            <w:r>
              <w:rPr>
                <w:rFonts w:hint="default" w:ascii="Times New Roman" w:hAnsi="Times New Roman" w:eastAsia="宋体" w:cs="Times New Roman"/>
                <w:color w:val="auto"/>
                <w:kern w:val="0"/>
                <w:sz w:val="21"/>
                <w:szCs w:val="21"/>
                <w:highlight w:val="none"/>
                <w:lang w:val="en-US" w:eastAsia="zh-CN" w:bidi="ar-SA"/>
              </w:rPr>
              <w:t>、臭气浓度</w:t>
            </w:r>
          </w:p>
        </w:tc>
        <w:tc>
          <w:tcPr>
            <w:tcW w:w="2473" w:type="dxa"/>
            <w:tcBorders>
              <w:bottom w:val="single" w:color="000000" w:sz="6" w:space="0"/>
            </w:tcBorders>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排气筒位置</w:t>
            </w:r>
          </w:p>
        </w:tc>
        <w:tc>
          <w:tcPr>
            <w:tcW w:w="1998" w:type="dxa"/>
            <w:vMerge w:val="restart"/>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每年监测</w:t>
            </w:r>
            <w:r>
              <w:rPr>
                <w:rFonts w:hint="default" w:ascii="Times New Roman" w:hAnsi="Times New Roman" w:eastAsia="宋体" w:cs="Times New Roman"/>
                <w:color w:val="auto"/>
                <w:kern w:val="0"/>
                <w:sz w:val="21"/>
                <w:szCs w:val="21"/>
                <w:highlight w:val="none"/>
                <w:lang w:val="en-US" w:eastAsia="zh-CN" w:bidi="ar-SA"/>
              </w:rPr>
              <w:t>1</w:t>
            </w:r>
            <w:r>
              <w:rPr>
                <w:rFonts w:hint="eastAsia" w:ascii="Times New Roman" w:hAnsi="Times New Roman" w:eastAsia="宋体" w:cs="Times New Roman"/>
                <w:color w:val="auto"/>
                <w:kern w:val="0"/>
                <w:sz w:val="21"/>
                <w:szCs w:val="21"/>
                <w:highlight w:val="none"/>
                <w:lang w:val="en-US" w:eastAsia="zh-CN" w:bidi="ar-SA"/>
              </w:rPr>
              <w:t>次</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8" w:hRule="atLeast"/>
          <w:jc w:val="center"/>
        </w:trPr>
        <w:tc>
          <w:tcPr>
            <w:tcW w:w="1154" w:type="dxa"/>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p>
        </w:tc>
        <w:tc>
          <w:tcPr>
            <w:tcW w:w="779" w:type="dxa"/>
            <w:tcBorders>
              <w:top w:val="single" w:color="000000" w:sz="6" w:space="0"/>
              <w:right w:val="single" w:color="000000" w:sz="6" w:space="0"/>
            </w:tcBorders>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无组织</w:t>
            </w:r>
          </w:p>
        </w:tc>
        <w:tc>
          <w:tcPr>
            <w:tcW w:w="2383" w:type="dxa"/>
            <w:vMerge w:val="continue"/>
            <w:tcBorders>
              <w:left w:val="single" w:color="000000" w:sz="6" w:space="0"/>
            </w:tcBorders>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2473" w:type="dxa"/>
            <w:tcBorders>
              <w:top w:val="single" w:color="000000" w:sz="6" w:space="0"/>
            </w:tcBorders>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在项目区上风向、下风向各</w:t>
            </w:r>
            <w:r>
              <w:rPr>
                <w:rFonts w:hint="default" w:ascii="Times New Roman" w:hAnsi="Times New Roman" w:eastAsia="宋体" w:cs="Times New Roman"/>
                <w:color w:val="auto"/>
                <w:kern w:val="0"/>
                <w:sz w:val="21"/>
                <w:szCs w:val="21"/>
                <w:highlight w:val="none"/>
                <w:lang w:val="en-US" w:eastAsia="zh-CN" w:bidi="ar-SA"/>
              </w:rPr>
              <w:t xml:space="preserve"> </w:t>
            </w:r>
            <w:r>
              <w:rPr>
                <w:rFonts w:hint="eastAsia" w:ascii="Times New Roman" w:hAnsi="Times New Roman" w:eastAsia="宋体" w:cs="Times New Roman"/>
                <w:color w:val="auto"/>
                <w:kern w:val="0"/>
                <w:sz w:val="21"/>
                <w:szCs w:val="21"/>
                <w:highlight w:val="none"/>
                <w:lang w:val="en-US" w:eastAsia="zh-CN" w:bidi="ar-SA"/>
              </w:rPr>
              <w:t>设一个监测点；</w:t>
            </w:r>
          </w:p>
        </w:tc>
        <w:tc>
          <w:tcPr>
            <w:tcW w:w="1998" w:type="dxa"/>
            <w:vMerge w:val="continue"/>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154"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废水</w:t>
            </w:r>
          </w:p>
        </w:tc>
        <w:tc>
          <w:tcPr>
            <w:tcW w:w="3162" w:type="dxa"/>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pH</w:t>
            </w:r>
            <w:r>
              <w:rPr>
                <w:rFonts w:hint="eastAsia" w:ascii="Times New Roman" w:hAnsi="Times New Roman" w:eastAsia="宋体" w:cs="Times New Roman"/>
                <w:color w:val="auto"/>
                <w:kern w:val="0"/>
                <w:sz w:val="21"/>
                <w:szCs w:val="21"/>
                <w:highlight w:val="none"/>
                <w:lang w:val="en-US" w:eastAsia="zh-CN" w:bidi="ar-SA"/>
              </w:rPr>
              <w:t>、</w:t>
            </w:r>
            <w:r>
              <w:rPr>
                <w:rFonts w:hint="default" w:ascii="Times New Roman" w:hAnsi="Times New Roman" w:eastAsia="宋体" w:cs="Times New Roman"/>
                <w:color w:val="auto"/>
                <w:kern w:val="0"/>
                <w:sz w:val="21"/>
                <w:szCs w:val="21"/>
                <w:highlight w:val="none"/>
                <w:lang w:val="en-US" w:eastAsia="zh-CN" w:bidi="ar-SA"/>
              </w:rPr>
              <w:t>COD</w:t>
            </w:r>
            <w:r>
              <w:rPr>
                <w:rFonts w:hint="eastAsia" w:ascii="Times New Roman" w:hAnsi="Times New Roman" w:eastAsia="宋体" w:cs="Times New Roman"/>
                <w:color w:val="auto"/>
                <w:kern w:val="0"/>
                <w:sz w:val="21"/>
                <w:szCs w:val="21"/>
                <w:highlight w:val="none"/>
                <w:lang w:val="en-US" w:eastAsia="zh-CN" w:bidi="ar-SA"/>
              </w:rPr>
              <w:t>、</w:t>
            </w:r>
            <w:r>
              <w:rPr>
                <w:rFonts w:hint="default" w:ascii="Times New Roman" w:hAnsi="Times New Roman" w:eastAsia="宋体" w:cs="Times New Roman"/>
                <w:color w:val="auto"/>
                <w:kern w:val="0"/>
                <w:sz w:val="21"/>
                <w:szCs w:val="21"/>
                <w:highlight w:val="none"/>
                <w:lang w:val="en-US" w:eastAsia="zh-CN" w:bidi="ar-SA"/>
              </w:rPr>
              <w:t>BOD</w:t>
            </w:r>
            <w:r>
              <w:rPr>
                <w:rFonts w:hint="default" w:ascii="Times New Roman" w:hAnsi="Times New Roman" w:eastAsia="宋体" w:cs="Times New Roman"/>
                <w:color w:val="auto"/>
                <w:kern w:val="0"/>
                <w:sz w:val="21"/>
                <w:szCs w:val="21"/>
                <w:highlight w:val="none"/>
                <w:vertAlign w:val="subscript"/>
                <w:lang w:val="en-US" w:eastAsia="zh-CN" w:bidi="ar-SA"/>
              </w:rPr>
              <w:t>5</w:t>
            </w:r>
            <w:r>
              <w:rPr>
                <w:rFonts w:hint="eastAsia" w:ascii="Times New Roman" w:hAnsi="Times New Roman" w:eastAsia="宋体" w:cs="Times New Roman"/>
                <w:color w:val="auto"/>
                <w:kern w:val="0"/>
                <w:sz w:val="21"/>
                <w:szCs w:val="21"/>
                <w:highlight w:val="none"/>
                <w:lang w:val="en-US" w:eastAsia="zh-CN" w:bidi="ar-SA"/>
              </w:rPr>
              <w:t>、氨氮、总磷、</w:t>
            </w:r>
            <w:r>
              <w:rPr>
                <w:rFonts w:hint="default" w:ascii="Times New Roman" w:hAnsi="Times New Roman" w:eastAsia="宋体" w:cs="Times New Roman"/>
                <w:color w:val="auto"/>
                <w:kern w:val="0"/>
                <w:sz w:val="21"/>
                <w:szCs w:val="21"/>
                <w:highlight w:val="none"/>
                <w:lang w:val="en-US" w:eastAsia="zh-CN" w:bidi="ar-SA"/>
              </w:rPr>
              <w:t xml:space="preserve"> SS</w:t>
            </w:r>
            <w:r>
              <w:rPr>
                <w:rFonts w:hint="eastAsia" w:ascii="Times New Roman" w:hAnsi="Times New Roman" w:eastAsia="宋体" w:cs="Times New Roman"/>
                <w:color w:val="auto"/>
                <w:kern w:val="0"/>
                <w:sz w:val="21"/>
                <w:szCs w:val="21"/>
                <w:highlight w:val="none"/>
                <w:lang w:val="en-US" w:eastAsia="zh-CN" w:bidi="ar-SA"/>
              </w:rPr>
              <w:t>、粪大肠菌群</w:t>
            </w:r>
          </w:p>
        </w:tc>
        <w:tc>
          <w:tcPr>
            <w:tcW w:w="2473"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污水处理站出口</w:t>
            </w:r>
          </w:p>
        </w:tc>
        <w:tc>
          <w:tcPr>
            <w:tcW w:w="1998"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每半年监测</w:t>
            </w:r>
            <w:r>
              <w:rPr>
                <w:rFonts w:hint="default" w:ascii="Times New Roman" w:hAnsi="Times New Roman" w:eastAsia="宋体" w:cs="Times New Roman"/>
                <w:color w:val="auto"/>
                <w:kern w:val="0"/>
                <w:sz w:val="21"/>
                <w:szCs w:val="21"/>
                <w:highlight w:val="none"/>
                <w:lang w:val="en-US" w:eastAsia="zh-CN" w:bidi="ar-SA"/>
              </w:rPr>
              <w:t>1</w:t>
            </w:r>
            <w:r>
              <w:rPr>
                <w:rFonts w:hint="eastAsia" w:ascii="Times New Roman" w:hAnsi="Times New Roman" w:eastAsia="宋体" w:cs="Times New Roman"/>
                <w:color w:val="auto"/>
                <w:kern w:val="0"/>
                <w:sz w:val="21"/>
                <w:szCs w:val="21"/>
                <w:highlight w:val="none"/>
                <w:lang w:val="en-US" w:eastAsia="zh-CN" w:bidi="ar-SA"/>
              </w:rPr>
              <w:t>次</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154"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地下水</w:t>
            </w:r>
          </w:p>
        </w:tc>
        <w:tc>
          <w:tcPr>
            <w:tcW w:w="3162" w:type="dxa"/>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pH</w:t>
            </w:r>
            <w:r>
              <w:rPr>
                <w:rFonts w:hint="eastAsia" w:ascii="Times New Roman" w:hAnsi="Times New Roman" w:eastAsia="宋体" w:cs="Times New Roman"/>
                <w:color w:val="auto"/>
                <w:kern w:val="0"/>
                <w:sz w:val="21"/>
                <w:szCs w:val="21"/>
                <w:highlight w:val="none"/>
                <w:lang w:val="en-US" w:eastAsia="zh-CN" w:bidi="ar-SA"/>
              </w:rPr>
              <w:t>、</w:t>
            </w:r>
            <w:r>
              <w:rPr>
                <w:rFonts w:hint="default" w:ascii="Times New Roman" w:hAnsi="Times New Roman" w:eastAsia="宋体" w:cs="Times New Roman"/>
                <w:color w:val="auto"/>
                <w:kern w:val="0"/>
                <w:sz w:val="21"/>
                <w:szCs w:val="21"/>
                <w:highlight w:val="none"/>
                <w:lang w:val="en-US" w:eastAsia="zh-CN" w:bidi="ar-SA"/>
              </w:rPr>
              <w:t>BOD</w:t>
            </w:r>
            <w:r>
              <w:rPr>
                <w:rFonts w:hint="default" w:ascii="Times New Roman" w:hAnsi="Times New Roman" w:eastAsia="宋体" w:cs="Times New Roman"/>
                <w:color w:val="auto"/>
                <w:kern w:val="0"/>
                <w:sz w:val="21"/>
                <w:szCs w:val="21"/>
                <w:highlight w:val="none"/>
                <w:vertAlign w:val="subscript"/>
                <w:lang w:val="en-US" w:eastAsia="zh-CN" w:bidi="ar-SA"/>
              </w:rPr>
              <w:t>5</w:t>
            </w:r>
            <w:r>
              <w:rPr>
                <w:rFonts w:hint="eastAsia" w:ascii="Times New Roman" w:hAnsi="Times New Roman" w:eastAsia="宋体" w:cs="Times New Roman"/>
                <w:color w:val="auto"/>
                <w:kern w:val="0"/>
                <w:sz w:val="21"/>
                <w:szCs w:val="21"/>
                <w:highlight w:val="none"/>
                <w:lang w:val="en-US" w:eastAsia="zh-CN" w:bidi="ar-SA"/>
              </w:rPr>
              <w:t>、</w:t>
            </w:r>
            <w:r>
              <w:rPr>
                <w:rFonts w:hint="default" w:ascii="Times New Roman" w:hAnsi="Times New Roman" w:eastAsia="宋体" w:cs="Times New Roman"/>
                <w:color w:val="auto"/>
                <w:kern w:val="0"/>
                <w:sz w:val="21"/>
                <w:szCs w:val="21"/>
                <w:highlight w:val="none"/>
                <w:lang w:val="en-US" w:eastAsia="zh-CN" w:bidi="ar-SA"/>
              </w:rPr>
              <w:t>COD</w:t>
            </w:r>
            <w:r>
              <w:rPr>
                <w:rFonts w:hint="default" w:ascii="Times New Roman" w:hAnsi="Times New Roman" w:eastAsia="宋体" w:cs="Times New Roman"/>
                <w:color w:val="auto"/>
                <w:kern w:val="0"/>
                <w:sz w:val="21"/>
                <w:szCs w:val="21"/>
                <w:highlight w:val="none"/>
                <w:vertAlign w:val="subscript"/>
                <w:lang w:val="en-US" w:eastAsia="zh-CN" w:bidi="ar-SA"/>
              </w:rPr>
              <w:t>Cr</w:t>
            </w:r>
            <w:r>
              <w:rPr>
                <w:rFonts w:hint="eastAsia" w:ascii="Times New Roman" w:hAnsi="Times New Roman" w:eastAsia="宋体" w:cs="Times New Roman"/>
                <w:color w:val="auto"/>
                <w:kern w:val="0"/>
                <w:sz w:val="21"/>
                <w:szCs w:val="21"/>
                <w:highlight w:val="none"/>
                <w:lang w:val="en-US" w:eastAsia="zh-CN" w:bidi="ar-SA"/>
              </w:rPr>
              <w:t>、总磷、色度</w:t>
            </w:r>
            <w:r>
              <w:rPr>
                <w:rFonts w:hint="default" w:ascii="Times New Roman" w:hAnsi="Times New Roman" w:eastAsia="宋体" w:cs="Times New Roman"/>
                <w:color w:val="auto"/>
                <w:kern w:val="0"/>
                <w:sz w:val="21"/>
                <w:szCs w:val="21"/>
                <w:highlight w:val="none"/>
                <w:lang w:val="en-US" w:eastAsia="zh-CN" w:bidi="ar-SA"/>
              </w:rPr>
              <w:t xml:space="preserve"> </w:t>
            </w:r>
            <w:r>
              <w:rPr>
                <w:rFonts w:hint="eastAsia" w:ascii="Times New Roman" w:hAnsi="Times New Roman" w:eastAsia="宋体" w:cs="Times New Roman"/>
                <w:color w:val="auto"/>
                <w:kern w:val="0"/>
                <w:sz w:val="21"/>
                <w:szCs w:val="21"/>
                <w:highlight w:val="none"/>
                <w:lang w:val="en-US" w:eastAsia="zh-CN" w:bidi="ar-SA"/>
              </w:rPr>
              <w:t>氨氮、硝酸盐、亚硝酸盐、总硬度、溶解性总固体、耗氧量、总大肠菌</w:t>
            </w:r>
          </w:p>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数、细菌总数</w:t>
            </w:r>
          </w:p>
        </w:tc>
        <w:tc>
          <w:tcPr>
            <w:tcW w:w="2473"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项目所在地下游取水井</w:t>
            </w:r>
          </w:p>
        </w:tc>
        <w:tc>
          <w:tcPr>
            <w:tcW w:w="1998"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每年监测</w:t>
            </w:r>
            <w:r>
              <w:rPr>
                <w:rFonts w:hint="default" w:ascii="Times New Roman" w:hAnsi="Times New Roman" w:eastAsia="宋体" w:cs="Times New Roman"/>
                <w:color w:val="auto"/>
                <w:kern w:val="0"/>
                <w:sz w:val="21"/>
                <w:szCs w:val="21"/>
                <w:highlight w:val="none"/>
                <w:lang w:val="en-US" w:eastAsia="zh-CN" w:bidi="ar-SA"/>
              </w:rPr>
              <w:t>1</w:t>
            </w:r>
            <w:r>
              <w:rPr>
                <w:rFonts w:hint="eastAsia" w:ascii="Times New Roman" w:hAnsi="Times New Roman" w:eastAsia="宋体" w:cs="Times New Roman"/>
                <w:color w:val="auto"/>
                <w:kern w:val="0"/>
                <w:sz w:val="21"/>
                <w:szCs w:val="21"/>
                <w:highlight w:val="none"/>
                <w:lang w:val="en-US" w:eastAsia="zh-CN" w:bidi="ar-SA"/>
              </w:rPr>
              <w:t>次</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154"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声环境</w:t>
            </w:r>
          </w:p>
        </w:tc>
        <w:tc>
          <w:tcPr>
            <w:tcW w:w="3162" w:type="dxa"/>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环境噪声</w:t>
            </w:r>
          </w:p>
        </w:tc>
        <w:tc>
          <w:tcPr>
            <w:tcW w:w="2473"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厂界噪声</w:t>
            </w:r>
          </w:p>
        </w:tc>
        <w:tc>
          <w:tcPr>
            <w:tcW w:w="1998"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每半年监测</w:t>
            </w:r>
            <w:r>
              <w:rPr>
                <w:rFonts w:hint="default" w:ascii="Times New Roman" w:hAnsi="Times New Roman" w:eastAsia="宋体" w:cs="Times New Roman"/>
                <w:color w:val="auto"/>
                <w:kern w:val="0"/>
                <w:sz w:val="21"/>
                <w:szCs w:val="21"/>
                <w:highlight w:val="none"/>
                <w:lang w:val="en-US" w:eastAsia="zh-CN" w:bidi="ar-SA"/>
              </w:rPr>
              <w:t>1</w:t>
            </w:r>
            <w:r>
              <w:rPr>
                <w:rFonts w:hint="eastAsia" w:ascii="Times New Roman" w:hAnsi="Times New Roman" w:eastAsia="宋体" w:cs="Times New Roman"/>
                <w:color w:val="auto"/>
                <w:kern w:val="0"/>
                <w:sz w:val="21"/>
                <w:szCs w:val="21"/>
                <w:highlight w:val="none"/>
                <w:lang w:val="en-US" w:eastAsia="zh-CN" w:bidi="ar-SA"/>
              </w:rPr>
              <w:t>次，昼</w:t>
            </w:r>
          </w:p>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夜各监测</w:t>
            </w:r>
            <w:r>
              <w:rPr>
                <w:rFonts w:hint="default" w:ascii="Times New Roman" w:hAnsi="Times New Roman" w:eastAsia="宋体" w:cs="Times New Roman"/>
                <w:color w:val="auto"/>
                <w:kern w:val="0"/>
                <w:sz w:val="21"/>
                <w:szCs w:val="21"/>
                <w:highlight w:val="none"/>
                <w:lang w:val="en-US" w:eastAsia="zh-CN" w:bidi="ar-SA"/>
              </w:rPr>
              <w:t>1</w:t>
            </w:r>
            <w:r>
              <w:rPr>
                <w:rFonts w:hint="eastAsia" w:ascii="Times New Roman" w:hAnsi="Times New Roman" w:eastAsia="宋体" w:cs="Times New Roman"/>
                <w:color w:val="auto"/>
                <w:kern w:val="0"/>
                <w:sz w:val="21"/>
                <w:szCs w:val="21"/>
                <w:highlight w:val="none"/>
                <w:lang w:val="en-US" w:eastAsia="zh-CN" w:bidi="ar-SA"/>
              </w:rPr>
              <w:t>次</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154"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土壤</w:t>
            </w:r>
          </w:p>
        </w:tc>
        <w:tc>
          <w:tcPr>
            <w:tcW w:w="3162" w:type="dxa"/>
            <w:gridSpan w:val="2"/>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pH、镉、铬、汞、砷、铅、铜、</w:t>
            </w:r>
          </w:p>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锌、镍等</w:t>
            </w:r>
          </w:p>
        </w:tc>
        <w:tc>
          <w:tcPr>
            <w:tcW w:w="2473"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厂区内及消纳地各布置一个</w:t>
            </w:r>
          </w:p>
        </w:tc>
        <w:tc>
          <w:tcPr>
            <w:tcW w:w="1998"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1次/5年</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1154" w:type="dxa"/>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固废</w:t>
            </w:r>
          </w:p>
        </w:tc>
        <w:tc>
          <w:tcPr>
            <w:tcW w:w="7633" w:type="dxa"/>
            <w:gridSpan w:val="4"/>
            <w:noWrap w:val="0"/>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固体废物排放情况应向相关固废管理部门申报，按照要求妥善处置，必要时取样分</w:t>
            </w:r>
            <w:r>
              <w:rPr>
                <w:rFonts w:hint="default" w:ascii="Times New Roman" w:hAnsi="Times New Roman" w:eastAsia="宋体" w:cs="Times New Roman"/>
                <w:color w:val="auto"/>
                <w:kern w:val="0"/>
                <w:sz w:val="21"/>
                <w:szCs w:val="21"/>
                <w:highlight w:val="none"/>
                <w:lang w:val="en-US" w:eastAsia="zh-CN" w:bidi="ar-SA"/>
              </w:rPr>
              <w:t xml:space="preserve">   </w:t>
            </w:r>
            <w:r>
              <w:rPr>
                <w:rFonts w:hint="eastAsia" w:ascii="Times New Roman" w:hAnsi="Times New Roman" w:eastAsia="宋体" w:cs="Times New Roman"/>
                <w:color w:val="auto"/>
                <w:kern w:val="0"/>
                <w:sz w:val="21"/>
                <w:szCs w:val="21"/>
                <w:highlight w:val="none"/>
                <w:lang w:val="en-US" w:eastAsia="zh-CN" w:bidi="ar-SA"/>
              </w:rPr>
              <w:t>析</w:t>
            </w:r>
          </w:p>
        </w:tc>
      </w:tr>
    </w:tbl>
    <w:p>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1、废气监测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根据本工程的污染特点，结合本企业具体情况，选择下列项目作为监测项目。</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①监测项目：H2S、NH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、臭气浓度。</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②监测布点：主要对污染源进行监测，</w:t>
      </w:r>
      <w:r>
        <w:rPr>
          <w:rFonts w:hint="eastAsia" w:ascii="Times New Roman" w:hAnsi="Times New Roman" w:eastAsia="宋体" w:cs="Times New Roman"/>
          <w:color w:val="auto"/>
          <w:sz w:val="24"/>
          <w:szCs w:val="24"/>
          <w:highlight w:val="none"/>
          <w:lang w:eastAsia="zh-CN"/>
        </w:rPr>
        <w:t>在项目没个排气筒位置及</w:t>
      </w:r>
      <w:r>
        <w:rPr>
          <w:rFonts w:hint="eastAsia" w:ascii="Times New Roman" w:hAnsi="Times New Roman" w:eastAsia="宋体" w:cs="Times New Roman"/>
          <w:color w:val="auto"/>
          <w:sz w:val="24"/>
          <w:szCs w:val="24"/>
          <w:highlight w:val="none"/>
        </w:rPr>
        <w:t>在项目区上风方向、下风方向各设置一个监测点。</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③监测时间：每年监测一次，每次监测1天，每天取样4次。</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2、废水监测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废水不外排，在污水处理站出口设置规范化采样口并进行日常监管性监测。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①监测项目：pH、COD、BOD</w:t>
      </w:r>
      <w:r>
        <w:rPr>
          <w:rFonts w:hint="eastAsia" w:ascii="Times New Roman" w:hAnsi="Times New Roman" w:eastAsia="宋体" w:cs="Times New Roman"/>
          <w:color w:val="auto"/>
          <w:sz w:val="24"/>
          <w:szCs w:val="24"/>
          <w:highlight w:val="none"/>
          <w:vertAlign w:val="subscript"/>
        </w:rPr>
        <w:t>5</w:t>
      </w:r>
      <w:r>
        <w:rPr>
          <w:rFonts w:hint="eastAsia" w:ascii="Times New Roman" w:hAnsi="Times New Roman" w:eastAsia="宋体" w:cs="Times New Roman"/>
          <w:color w:val="auto"/>
          <w:sz w:val="24"/>
          <w:szCs w:val="24"/>
          <w:highlight w:val="none"/>
        </w:rPr>
        <w:t>、氨氮、总磷、SS、粪大肠菌群。</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②监测布点：污水处理站出口。</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③监测时间：每半年取样1次。</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3、噪声监测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①监测项目：场界噪声。</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②监测布点：主要在场区四周厂界外北、东、南、西各布置一个点。</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③监测时间：场界噪声每半年进行一次监测，监测按昼夜各监测一次。</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4、地下水监测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①监测项目：pH、BOD</w:t>
      </w:r>
      <w:r>
        <w:rPr>
          <w:rFonts w:hint="eastAsia" w:ascii="Times New Roman" w:hAnsi="Times New Roman" w:eastAsia="宋体" w:cs="Times New Roman"/>
          <w:color w:val="auto"/>
          <w:sz w:val="24"/>
          <w:szCs w:val="24"/>
          <w:highlight w:val="none"/>
          <w:vertAlign w:val="subscript"/>
        </w:rPr>
        <w:t>5</w:t>
      </w:r>
      <w:r>
        <w:rPr>
          <w:rFonts w:hint="eastAsia" w:ascii="Times New Roman" w:hAnsi="Times New Roman" w:eastAsia="宋体" w:cs="Times New Roman"/>
          <w:color w:val="auto"/>
          <w:sz w:val="24"/>
          <w:szCs w:val="24"/>
          <w:highlight w:val="none"/>
        </w:rPr>
        <w:t>、COD</w:t>
      </w:r>
      <w:r>
        <w:rPr>
          <w:rFonts w:hint="eastAsia" w:ascii="Times New Roman" w:hAnsi="Times New Roman" w:eastAsia="宋体" w:cs="Times New Roman"/>
          <w:color w:val="auto"/>
          <w:sz w:val="24"/>
          <w:szCs w:val="24"/>
          <w:highlight w:val="none"/>
          <w:vertAlign w:val="subscript"/>
        </w:rPr>
        <w:t>Cr</w:t>
      </w:r>
      <w:r>
        <w:rPr>
          <w:rFonts w:hint="eastAsia" w:ascii="Times New Roman" w:hAnsi="Times New Roman" w:eastAsia="宋体" w:cs="Times New Roman"/>
          <w:color w:val="auto"/>
          <w:sz w:val="24"/>
          <w:szCs w:val="24"/>
          <w:highlight w:val="none"/>
        </w:rPr>
        <w:t>、总磷、色度、氨氮、硝酸盐、亚硝酸盐、总硬度、溶解性总固体、耗氧量、总大肠菌数、细菌总数。</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②监测布点：项目所在地下游取水井作为监测点。</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③监测时间：每年1次，遇到非正常生产情况及事故性排放应另外增加检测频次。</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lang w:val="en-US" w:eastAsia="zh-CN"/>
        </w:rPr>
        <w:t>5</w:t>
      </w:r>
      <w:r>
        <w:rPr>
          <w:rFonts w:hint="eastAsia" w:ascii="Times New Roman" w:hAnsi="Times New Roman" w:eastAsia="宋体" w:cs="Times New Roman"/>
          <w:b/>
          <w:color w:val="auto"/>
          <w:sz w:val="24"/>
          <w:szCs w:val="24"/>
          <w:highlight w:val="none"/>
        </w:rPr>
        <w:t>、</w:t>
      </w:r>
      <w:r>
        <w:rPr>
          <w:rFonts w:hint="eastAsia" w:ascii="Times New Roman" w:hAnsi="Times New Roman" w:eastAsia="宋体" w:cs="Times New Roman"/>
          <w:b/>
          <w:color w:val="auto"/>
          <w:sz w:val="24"/>
          <w:szCs w:val="24"/>
          <w:highlight w:val="none"/>
          <w:lang w:eastAsia="zh-CN"/>
        </w:rPr>
        <w:t>土壤</w:t>
      </w:r>
      <w:r>
        <w:rPr>
          <w:rFonts w:hint="eastAsia" w:ascii="Times New Roman" w:hAnsi="Times New Roman" w:eastAsia="宋体" w:cs="Times New Roman"/>
          <w:b/>
          <w:color w:val="auto"/>
          <w:sz w:val="24"/>
          <w:szCs w:val="24"/>
          <w:highlight w:val="none"/>
        </w:rPr>
        <w:t>监测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①监测项目：pH、镉、铬、汞、砷、铅、铜、锌、镍等。</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②监测布点：</w:t>
      </w:r>
      <w:r>
        <w:rPr>
          <w:rFonts w:hint="eastAsia" w:ascii="Times New Roman" w:hAnsi="Times New Roman" w:eastAsia="宋体" w:cs="Times New Roman"/>
          <w:color w:val="auto"/>
          <w:sz w:val="24"/>
          <w:szCs w:val="24"/>
          <w:highlight w:val="none"/>
          <w:lang w:eastAsia="zh-CN"/>
        </w:rPr>
        <w:t>厂区呢及消纳地周边</w:t>
      </w:r>
      <w:r>
        <w:rPr>
          <w:rFonts w:hint="eastAsia" w:ascii="Times New Roman" w:hAnsi="Times New Roman" w:eastAsia="宋体" w:cs="Times New Roman"/>
          <w:color w:val="auto"/>
          <w:sz w:val="24"/>
          <w:szCs w:val="24"/>
          <w:highlight w:val="none"/>
        </w:rPr>
        <w:t>。</w:t>
      </w:r>
    </w:p>
    <w:p>
      <w:pPr>
        <w:spacing w:line="360" w:lineRule="auto"/>
        <w:ind w:firstLine="480" w:firstLineChars="200"/>
        <w:rPr>
          <w:rFonts w:hint="eastAsia"/>
          <w:color w:val="auto"/>
          <w:highlight w:val="none"/>
        </w:rPr>
      </w:pPr>
      <w:r>
        <w:rPr>
          <w:rFonts w:hint="eastAsia" w:ascii="Times New Roman" w:hAnsi="Times New Roman" w:eastAsia="宋体" w:cs="Times New Roman"/>
          <w:color w:val="auto"/>
          <w:sz w:val="24"/>
          <w:szCs w:val="24"/>
          <w:highlight w:val="none"/>
        </w:rPr>
        <w:t>③监测时间：每</w:t>
      </w:r>
      <w:r>
        <w:rPr>
          <w:rFonts w:hint="eastAsia" w:ascii="Times New Roman" w:hAnsi="Times New Roman"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eastAsia="zh-CN"/>
        </w:rPr>
        <w:t>监测</w:t>
      </w:r>
      <w:r>
        <w:rPr>
          <w:rFonts w:hint="eastAsia" w:ascii="Times New Roman" w:hAnsi="Times New Roman" w:eastAsia="宋体" w:cs="Times New Roman"/>
          <w:color w:val="auto"/>
          <w:sz w:val="24"/>
          <w:szCs w:val="24"/>
          <w:highlight w:val="none"/>
        </w:rPr>
        <w:t>1次，遇到非正常生产情况及事故性排放应另外增加检测频次。</w:t>
      </w:r>
    </w:p>
    <w:p>
      <w:pPr>
        <w:spacing w:line="360" w:lineRule="auto"/>
        <w:ind w:firstLine="482" w:firstLineChars="200"/>
        <w:rPr>
          <w:rFonts w:hint="eastAsia"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lang w:val="en-US" w:eastAsia="zh-CN"/>
        </w:rPr>
        <w:t>6</w:t>
      </w:r>
      <w:r>
        <w:rPr>
          <w:rFonts w:hint="eastAsia" w:ascii="Times New Roman" w:hAnsi="Times New Roman" w:eastAsia="宋体" w:cs="Times New Roman"/>
          <w:b/>
          <w:color w:val="auto"/>
          <w:sz w:val="24"/>
          <w:szCs w:val="24"/>
          <w:highlight w:val="none"/>
        </w:rPr>
        <w:t>、固体废物</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固体废物排放情况应向相关固废管理部门申报，按照要求安排处置，必要时取样分析。</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对以上监测结果应及时统计汇总，呈报有关领导和上级环保主管部门，监测结果如有异常，应及时反馈生产管理部门，查找原因，及时解决。</w:t>
      </w:r>
    </w:p>
    <w:p>
      <w:pPr>
        <w:pStyle w:val="9"/>
        <w:rPr>
          <w:rFonts w:hint="eastAsia" w:cs="Times New Roman"/>
          <w:color w:val="auto"/>
          <w:highlight w:val="none"/>
          <w:lang w:val="en-US" w:eastAsia="zh-CN"/>
        </w:rPr>
      </w:pPr>
      <w:r>
        <w:rPr>
          <w:rFonts w:hint="eastAsia" w:cs="Times New Roman"/>
          <w:color w:val="auto"/>
          <w:highlight w:val="none"/>
          <w:lang w:val="en-US" w:eastAsia="zh-CN"/>
        </w:rPr>
        <w:t>监测计划的实施及档案管理</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根据表9.</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-1的环境监测计划，所有项目监测分析方法均按国家环保局颁布的《环境监测技术》规范中相应项目的监测分析方法执行，评价标准执行环评批复的国家标准。</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企业对自身污染源及污染物排放实行例行监测、控制污染是企业做好环境保护职责之一。监测资料应进行技术分析、分类存档、科学管理为企业防治环境污染途径和治理措施提供必要的依据；同时也是企业的环境保护资料统计上报、查阅、目标管理等必须要做的工作内容之一。</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66" w:name="_Toc16672"/>
      <w:bookmarkStart w:id="367" w:name="_Toc29221896"/>
      <w:bookmarkStart w:id="368" w:name="_Toc458494430"/>
      <w:r>
        <w:rPr>
          <w:rFonts w:hint="eastAsia" w:ascii="Times New Roman" w:hAnsi="Times New Roman" w:eastAsia="宋体" w:cs="Times New Roman"/>
          <w:color w:val="auto"/>
          <w:highlight w:val="none"/>
          <w:lang w:val="en-US" w:eastAsia="zh-CN"/>
        </w:rPr>
        <w:t>排污口规范化管理</w:t>
      </w:r>
      <w:bookmarkEnd w:id="366"/>
      <w:bookmarkEnd w:id="367"/>
      <w:bookmarkEnd w:id="368"/>
    </w:p>
    <w:p>
      <w:pPr>
        <w:pStyle w:val="8"/>
        <w:spacing w:before="0" w:after="0" w:line="360" w:lineRule="auto"/>
        <w:ind w:left="0" w:firstLine="0"/>
        <w:rPr>
          <w:rFonts w:hint="eastAsia" w:cs="Times New Roman"/>
          <w:color w:val="auto"/>
          <w:highlight w:val="none"/>
          <w:lang w:val="en-US" w:eastAsia="zh-CN"/>
        </w:rPr>
      </w:pPr>
      <w:bookmarkStart w:id="369" w:name="_Toc30198"/>
      <w:r>
        <w:rPr>
          <w:rFonts w:hint="eastAsia" w:cs="Times New Roman"/>
          <w:color w:val="auto"/>
          <w:highlight w:val="none"/>
          <w:lang w:val="en-US" w:eastAsia="zh-CN"/>
        </w:rPr>
        <w:t>排污口规范化设置</w:t>
      </w:r>
      <w:bookmarkEnd w:id="369"/>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根据国家标准《环境保护图形标志——排放口（源）》和国家环保总局《排污口规范化整治要求（试行）》的技术要求，企业所有排污口</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包括水、气、声、固体废物</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必须按照</w:t>
      </w:r>
      <w:r>
        <w:rPr>
          <w:rFonts w:hint="eastAsia" w:ascii="Times New Roman" w:hAnsi="Times New Roman" w:eastAsia="宋体" w:cs="Times New Roman"/>
          <w:color w:val="auto"/>
          <w:sz w:val="24"/>
          <w:szCs w:val="24"/>
          <w:highlight w:val="none"/>
        </w:rPr>
        <w:t>“便于采样、</w:t>
      </w:r>
      <w:r>
        <w:rPr>
          <w:rFonts w:ascii="Times New Roman" w:hAnsi="Times New Roman" w:eastAsia="宋体" w:cs="Times New Roman"/>
          <w:color w:val="auto"/>
          <w:sz w:val="24"/>
          <w:szCs w:val="24"/>
          <w:highlight w:val="none"/>
        </w:rPr>
        <w:t>便于计量监测、便于日常现场监督检查</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的原则和规范化要求，设置与之相适应的环境保护图形标志牌，绘制企业排污口分布图，同时对污水排放口安装流量计，对治理设施安装运行监控装置。排污口的规范化要符合环境监</w:t>
      </w:r>
      <w:r>
        <w:rPr>
          <w:rFonts w:hint="eastAsia" w:ascii="Times New Roman" w:hAnsi="Times New Roman" w:eastAsia="宋体" w:cs="Times New Roman"/>
          <w:color w:val="auto"/>
          <w:sz w:val="24"/>
          <w:szCs w:val="24"/>
          <w:highlight w:val="none"/>
        </w:rPr>
        <w:t>管</w:t>
      </w:r>
      <w:r>
        <w:rPr>
          <w:rFonts w:ascii="Times New Roman" w:hAnsi="Times New Roman" w:eastAsia="宋体" w:cs="Times New Roman"/>
          <w:color w:val="auto"/>
          <w:sz w:val="24"/>
          <w:szCs w:val="24"/>
          <w:highlight w:val="none"/>
        </w:rPr>
        <w:t>部门的有关要求。</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建设项目污（废）水排放口、废气排放口、固体废物贮存（处置）场所规范化设置应符合《环境保护图形标志实施细则（试行）》（环监【1996】463号文）有关规定。</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（1）废水排放口：本项目实行雨污分流制。雨水外排进入周边沟渠，污水经场内污水处理站处理后用于农灌，不外排，不设置排放口。</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（2）废气排放口：本项目废气有组织</w:t>
      </w:r>
      <w:r>
        <w:rPr>
          <w:rFonts w:ascii="Times New Roman" w:hAnsi="Times New Roman" w:eastAsia="宋体" w:cs="Times New Roman"/>
          <w:color w:val="auto"/>
          <w:sz w:val="24"/>
          <w:szCs w:val="24"/>
          <w:highlight w:val="none"/>
        </w:rPr>
        <w:t>排放口必须要</w:t>
      </w:r>
      <w:r>
        <w:rPr>
          <w:rFonts w:hint="eastAsia" w:ascii="Times New Roman" w:hAnsi="Times New Roman" w:eastAsia="宋体" w:cs="Times New Roman"/>
          <w:color w:val="auto"/>
          <w:sz w:val="24"/>
          <w:szCs w:val="24"/>
          <w:highlight w:val="none"/>
        </w:rPr>
        <w:t>符</w:t>
      </w:r>
      <w:r>
        <w:rPr>
          <w:rFonts w:ascii="Times New Roman" w:hAnsi="Times New Roman" w:eastAsia="宋体" w:cs="Times New Roman"/>
          <w:color w:val="auto"/>
          <w:sz w:val="24"/>
          <w:szCs w:val="24"/>
          <w:highlight w:val="none"/>
        </w:rPr>
        <w:t>合规定的高度和《污染源监测技术规范》便于采样、监测的要求，设置直径不小于75mm的采样口。如无法满足要求的，其采样口与环境监测部门共同确认。</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固体废弃物：各种固体废物处置设施和堆放场所必须有防火、防扬散、防流失、防渗漏或者其他防止污染环境的措施，贮存（堆放）处进出路口应设置标示牌。危险废物经厂内暂存后，定期交由具有相应资质类别的危险废物处置单位处置。</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（4）排污口立标</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环境保护图形标志牌按国家环保总局统一规范要求定点制作，各建设单位排污口分布图由环境监理部门统一绘制。排放一般污染物排污口（源），设置提示式标志牌，排放有毒有害等污染物的排污口设置警告</w:t>
      </w:r>
      <w:r>
        <w:rPr>
          <w:rFonts w:hint="eastAsia" w:ascii="Times New Roman" w:hAnsi="Times New Roman" w:eastAsia="宋体" w:cs="Times New Roman"/>
          <w:color w:val="auto"/>
          <w:sz w:val="24"/>
          <w:szCs w:val="24"/>
          <w:highlight w:val="none"/>
        </w:rPr>
        <w:t>式</w:t>
      </w:r>
      <w:r>
        <w:rPr>
          <w:rFonts w:ascii="Times New Roman" w:hAnsi="Times New Roman" w:eastAsia="宋体" w:cs="Times New Roman"/>
          <w:color w:val="auto"/>
          <w:sz w:val="24"/>
          <w:szCs w:val="24"/>
          <w:highlight w:val="none"/>
        </w:rPr>
        <w:t>标志牌。</w:t>
      </w:r>
      <w:r>
        <w:rPr>
          <w:rFonts w:hint="eastAsia" w:ascii="Times New Roman" w:hAnsi="Times New Roman" w:eastAsia="宋体" w:cs="Times New Roman"/>
          <w:color w:val="auto"/>
          <w:sz w:val="24"/>
          <w:szCs w:val="24"/>
          <w:highlight w:val="none"/>
        </w:rPr>
        <w:t>环境保护图形标志见表</w:t>
      </w:r>
      <w:r>
        <w:rPr>
          <w:rFonts w:ascii="Times New Roman" w:hAnsi="Times New Roman" w:eastAsia="宋体" w:cs="Times New Roman"/>
          <w:color w:val="auto"/>
          <w:sz w:val="24"/>
          <w:szCs w:val="24"/>
          <w:highlight w:val="none"/>
        </w:rPr>
        <w:t>9</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rPr>
        <w:t>。</w:t>
      </w:r>
    </w:p>
    <w:p>
      <w:pPr>
        <w:widowControl w:val="0"/>
        <w:numPr>
          <w:ilvl w:val="0"/>
          <w:numId w:val="49"/>
        </w:numPr>
        <w:spacing w:before="120" w:beforeLines="50" w:line="240" w:lineRule="exact"/>
        <w:ind w:left="425" w:leftChars="0" w:hanging="425" w:firstLineChars="0"/>
        <w:jc w:val="center"/>
        <w:rPr>
          <w:rFonts w:ascii="Times New Roman" w:hAnsi="Times New Roman" w:eastAsia="宋体" w:cs="Times New Roman"/>
          <w:b/>
          <w:color w:val="auto"/>
          <w:kern w:val="2"/>
          <w:sz w:val="21"/>
          <w:szCs w:val="24"/>
          <w:highlight w:val="none"/>
          <w:lang w:val="en-US" w:eastAsia="zh-CN" w:bidi="ar-SA"/>
        </w:rPr>
      </w:pPr>
      <w:r>
        <w:rPr>
          <w:rFonts w:ascii="Times New Roman" w:hAnsi="Times New Roman" w:eastAsia="宋体" w:cs="Times New Roman"/>
          <w:b/>
          <w:color w:val="auto"/>
          <w:kern w:val="2"/>
          <w:sz w:val="21"/>
          <w:szCs w:val="24"/>
          <w:highlight w:val="none"/>
          <w:lang w:val="en-US" w:eastAsia="zh-CN" w:bidi="ar-SA"/>
        </w:rPr>
        <w:t xml:space="preserve">   </w:t>
      </w:r>
      <w:r>
        <w:rPr>
          <w:rFonts w:ascii="Times New Roman" w:hAnsi="Times New Roman" w:eastAsia="宋体" w:cs="Times New Roman"/>
          <w:b/>
          <w:color w:val="auto"/>
          <w:kern w:val="2"/>
          <w:sz w:val="21"/>
          <w:szCs w:val="24"/>
          <w:highlight w:val="none"/>
          <w:lang w:val="en-US" w:eastAsia="zh-CN" w:bidi="ar-SA"/>
        </w:rPr>
        <w:tab/>
      </w:r>
      <w:r>
        <w:rPr>
          <w:rFonts w:hint="eastAsia" w:ascii="Times New Roman" w:hAnsi="Times New Roman" w:eastAsia="宋体" w:cs="Times New Roman"/>
          <w:b/>
          <w:color w:val="auto"/>
          <w:kern w:val="2"/>
          <w:sz w:val="21"/>
          <w:szCs w:val="24"/>
          <w:highlight w:val="none"/>
          <w:lang w:val="en-US" w:eastAsia="zh-CN" w:bidi="ar-SA"/>
        </w:rPr>
        <w:t>环境保护图形标志表</w:t>
      </w:r>
    </w:p>
    <w:tbl>
      <w:tblPr>
        <w:tblStyle w:val="91"/>
        <w:tblW w:w="4998"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784"/>
        <w:gridCol w:w="1773"/>
        <w:gridCol w:w="1785"/>
        <w:gridCol w:w="1345"/>
        <w:gridCol w:w="2832"/>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83" w:hRule="atLeast"/>
          <w:tblHeader/>
          <w:jc w:val="center"/>
        </w:trPr>
        <w:tc>
          <w:tcPr>
            <w:tcW w:w="46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b/>
                <w:color w:val="auto"/>
                <w:highlight w:val="none"/>
              </w:rPr>
            </w:pPr>
            <w:r>
              <w:rPr>
                <w:rFonts w:hint="default"/>
                <w:b/>
                <w:color w:val="auto"/>
                <w:highlight w:val="none"/>
              </w:rPr>
              <w:t>序号</w:t>
            </w:r>
          </w:p>
        </w:tc>
        <w:tc>
          <w:tcPr>
            <w:tcW w:w="104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b/>
                <w:color w:val="auto"/>
                <w:highlight w:val="none"/>
              </w:rPr>
            </w:pPr>
            <w:r>
              <w:rPr>
                <w:rFonts w:hint="default"/>
                <w:b/>
                <w:color w:val="auto"/>
                <w:highlight w:val="none"/>
              </w:rPr>
              <w:t>提示图形符号</w:t>
            </w:r>
          </w:p>
        </w:tc>
        <w:tc>
          <w:tcPr>
            <w:tcW w:w="1047"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b/>
                <w:color w:val="auto"/>
                <w:highlight w:val="none"/>
              </w:rPr>
            </w:pPr>
            <w:r>
              <w:rPr>
                <w:rFonts w:hint="default"/>
                <w:b/>
                <w:color w:val="auto"/>
                <w:highlight w:val="none"/>
              </w:rPr>
              <w:t>警告图形符号</w:t>
            </w:r>
          </w:p>
        </w:tc>
        <w:tc>
          <w:tcPr>
            <w:tcW w:w="789"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b/>
                <w:color w:val="auto"/>
                <w:highlight w:val="none"/>
              </w:rPr>
            </w:pPr>
            <w:r>
              <w:rPr>
                <w:rFonts w:hint="default"/>
                <w:b/>
                <w:color w:val="auto"/>
                <w:highlight w:val="none"/>
              </w:rPr>
              <w:t>名称</w:t>
            </w:r>
          </w:p>
        </w:tc>
        <w:tc>
          <w:tcPr>
            <w:tcW w:w="1661"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b/>
                <w:color w:val="auto"/>
                <w:highlight w:val="none"/>
              </w:rPr>
            </w:pPr>
            <w:r>
              <w:rPr>
                <w:rFonts w:hint="default"/>
                <w:b/>
                <w:color w:val="auto"/>
                <w:highlight w:val="none"/>
              </w:rPr>
              <w:t>功能</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241" w:hRule="atLeast"/>
          <w:jc w:val="center"/>
        </w:trPr>
        <w:tc>
          <w:tcPr>
            <w:tcW w:w="46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1</w:t>
            </w:r>
          </w:p>
        </w:tc>
        <w:tc>
          <w:tcPr>
            <w:tcW w:w="104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sz w:val="26"/>
                <w:szCs w:val="26"/>
                <w:highlight w:val="none"/>
              </w:rPr>
            </w:pPr>
            <w:r>
              <w:rPr>
                <w:rFonts w:hint="default"/>
                <w:color w:val="auto"/>
                <w:sz w:val="26"/>
                <w:szCs w:val="26"/>
                <w:highlight w:val="none"/>
              </w:rPr>
              <w:drawing>
                <wp:inline distT="0" distB="0" distL="114300" distR="114300">
                  <wp:extent cx="828675" cy="828675"/>
                  <wp:effectExtent l="0" t="0" r="9525" b="9525"/>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70"/>
                          <a:stretch>
                            <a:fillRect/>
                          </a:stretch>
                        </pic:blipFill>
                        <pic:spPr>
                          <a:xfrm>
                            <a:off x="0" y="0"/>
                            <a:ext cx="828675" cy="828675"/>
                          </a:xfrm>
                          <a:prstGeom prst="rect">
                            <a:avLst/>
                          </a:prstGeom>
                          <a:noFill/>
                          <a:ln>
                            <a:noFill/>
                          </a:ln>
                        </pic:spPr>
                      </pic:pic>
                    </a:graphicData>
                  </a:graphic>
                </wp:inline>
              </w:drawing>
            </w:r>
          </w:p>
        </w:tc>
        <w:tc>
          <w:tcPr>
            <w:tcW w:w="1047"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sz w:val="26"/>
                <w:szCs w:val="26"/>
                <w:highlight w:val="none"/>
              </w:rPr>
            </w:pPr>
            <w:r>
              <w:rPr>
                <w:rFonts w:hint="default"/>
                <w:color w:val="auto"/>
                <w:sz w:val="26"/>
                <w:szCs w:val="26"/>
                <w:highlight w:val="none"/>
              </w:rPr>
              <w:drawing>
                <wp:inline distT="0" distB="0" distL="114300" distR="114300">
                  <wp:extent cx="809625" cy="809625"/>
                  <wp:effectExtent l="0" t="0" r="9525" b="9525"/>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71"/>
                          <a:stretch>
                            <a:fillRect/>
                          </a:stretch>
                        </pic:blipFill>
                        <pic:spPr>
                          <a:xfrm>
                            <a:off x="0" y="0"/>
                            <a:ext cx="809625" cy="809625"/>
                          </a:xfrm>
                          <a:prstGeom prst="rect">
                            <a:avLst/>
                          </a:prstGeom>
                          <a:noFill/>
                          <a:ln>
                            <a:noFill/>
                          </a:ln>
                        </pic:spPr>
                      </pic:pic>
                    </a:graphicData>
                  </a:graphic>
                </wp:inline>
              </w:drawing>
            </w:r>
          </w:p>
        </w:tc>
        <w:tc>
          <w:tcPr>
            <w:tcW w:w="789"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废水排放口</w:t>
            </w:r>
          </w:p>
        </w:tc>
        <w:tc>
          <w:tcPr>
            <w:tcW w:w="1661"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表示废水向水体排放</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6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2</w:t>
            </w:r>
          </w:p>
        </w:tc>
        <w:tc>
          <w:tcPr>
            <w:tcW w:w="104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sz w:val="14"/>
                <w:szCs w:val="14"/>
                <w:highlight w:val="none"/>
              </w:rPr>
            </w:pPr>
            <w:r>
              <w:rPr>
                <w:rFonts w:hint="default"/>
                <w:color w:val="auto"/>
                <w:sz w:val="14"/>
                <w:szCs w:val="14"/>
                <w:highlight w:val="none"/>
              </w:rPr>
              <w:drawing>
                <wp:inline distT="0" distB="0" distL="114300" distR="114300">
                  <wp:extent cx="809625" cy="809625"/>
                  <wp:effectExtent l="0" t="0" r="9525" b="9525"/>
                  <wp:docPr id="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
                          <pic:cNvPicPr>
                            <a:picLocks noChangeAspect="1"/>
                          </pic:cNvPicPr>
                        </pic:nvPicPr>
                        <pic:blipFill>
                          <a:blip r:embed="rId72"/>
                          <a:stretch>
                            <a:fillRect/>
                          </a:stretch>
                        </pic:blipFill>
                        <pic:spPr>
                          <a:xfrm>
                            <a:off x="0" y="0"/>
                            <a:ext cx="809625" cy="809625"/>
                          </a:xfrm>
                          <a:prstGeom prst="rect">
                            <a:avLst/>
                          </a:prstGeom>
                          <a:noFill/>
                          <a:ln>
                            <a:noFill/>
                          </a:ln>
                        </pic:spPr>
                      </pic:pic>
                    </a:graphicData>
                  </a:graphic>
                </wp:inline>
              </w:drawing>
            </w:r>
          </w:p>
        </w:tc>
        <w:tc>
          <w:tcPr>
            <w:tcW w:w="1047"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sz w:val="12"/>
                <w:szCs w:val="12"/>
                <w:highlight w:val="none"/>
              </w:rPr>
            </w:pPr>
            <w:r>
              <w:rPr>
                <w:rFonts w:hint="default"/>
                <w:color w:val="auto"/>
                <w:sz w:val="12"/>
                <w:szCs w:val="12"/>
                <w:highlight w:val="none"/>
              </w:rPr>
              <w:drawing>
                <wp:inline distT="0" distB="0" distL="114300" distR="114300">
                  <wp:extent cx="800100" cy="790575"/>
                  <wp:effectExtent l="0" t="0" r="0" b="9525"/>
                  <wp:docPr id="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
                          <pic:cNvPicPr>
                            <a:picLocks noChangeAspect="1"/>
                          </pic:cNvPicPr>
                        </pic:nvPicPr>
                        <pic:blipFill>
                          <a:blip r:embed="rId73"/>
                          <a:stretch>
                            <a:fillRect/>
                          </a:stretch>
                        </pic:blipFill>
                        <pic:spPr>
                          <a:xfrm>
                            <a:off x="0" y="0"/>
                            <a:ext cx="800100" cy="790575"/>
                          </a:xfrm>
                          <a:prstGeom prst="rect">
                            <a:avLst/>
                          </a:prstGeom>
                          <a:noFill/>
                          <a:ln>
                            <a:noFill/>
                          </a:ln>
                        </pic:spPr>
                      </pic:pic>
                    </a:graphicData>
                  </a:graphic>
                </wp:inline>
              </w:drawing>
            </w:r>
          </w:p>
        </w:tc>
        <w:tc>
          <w:tcPr>
            <w:tcW w:w="789"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废气排放口</w:t>
            </w:r>
          </w:p>
        </w:tc>
        <w:tc>
          <w:tcPr>
            <w:tcW w:w="1661"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表示废气向大气环境排放</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6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3</w:t>
            </w:r>
          </w:p>
        </w:tc>
        <w:tc>
          <w:tcPr>
            <w:tcW w:w="104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sz w:val="12"/>
                <w:szCs w:val="12"/>
                <w:highlight w:val="none"/>
              </w:rPr>
            </w:pPr>
            <w:r>
              <w:rPr>
                <w:rFonts w:hint="default"/>
                <w:color w:val="auto"/>
                <w:sz w:val="12"/>
                <w:szCs w:val="12"/>
                <w:highlight w:val="none"/>
              </w:rPr>
              <w:drawing>
                <wp:inline distT="0" distB="0" distL="114300" distR="114300">
                  <wp:extent cx="819150" cy="819150"/>
                  <wp:effectExtent l="0" t="0" r="0" b="0"/>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74"/>
                          <a:stretch>
                            <a:fillRect/>
                          </a:stretch>
                        </pic:blipFill>
                        <pic:spPr>
                          <a:xfrm>
                            <a:off x="0" y="0"/>
                            <a:ext cx="819150" cy="819150"/>
                          </a:xfrm>
                          <a:prstGeom prst="rect">
                            <a:avLst/>
                          </a:prstGeom>
                          <a:noFill/>
                          <a:ln>
                            <a:noFill/>
                          </a:ln>
                        </pic:spPr>
                      </pic:pic>
                    </a:graphicData>
                  </a:graphic>
                </wp:inline>
              </w:drawing>
            </w:r>
          </w:p>
        </w:tc>
        <w:tc>
          <w:tcPr>
            <w:tcW w:w="1047"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sz w:val="26"/>
                <w:szCs w:val="26"/>
                <w:highlight w:val="none"/>
              </w:rPr>
            </w:pPr>
            <w:r>
              <w:rPr>
                <w:rFonts w:hint="default"/>
                <w:color w:val="auto"/>
                <w:sz w:val="26"/>
                <w:szCs w:val="26"/>
                <w:highlight w:val="none"/>
              </w:rPr>
              <w:drawing>
                <wp:inline distT="0" distB="0" distL="114300" distR="114300">
                  <wp:extent cx="866775" cy="819150"/>
                  <wp:effectExtent l="0" t="0" r="9525" b="0"/>
                  <wp:docPr id="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7"/>
                          <pic:cNvPicPr>
                            <a:picLocks noChangeAspect="1"/>
                          </pic:cNvPicPr>
                        </pic:nvPicPr>
                        <pic:blipFill>
                          <a:blip r:embed="rId75"/>
                          <a:stretch>
                            <a:fillRect/>
                          </a:stretch>
                        </pic:blipFill>
                        <pic:spPr>
                          <a:xfrm>
                            <a:off x="0" y="0"/>
                            <a:ext cx="866775" cy="819150"/>
                          </a:xfrm>
                          <a:prstGeom prst="rect">
                            <a:avLst/>
                          </a:prstGeom>
                          <a:noFill/>
                          <a:ln>
                            <a:noFill/>
                          </a:ln>
                        </pic:spPr>
                      </pic:pic>
                    </a:graphicData>
                  </a:graphic>
                </wp:inline>
              </w:drawing>
            </w:r>
          </w:p>
        </w:tc>
        <w:tc>
          <w:tcPr>
            <w:tcW w:w="789"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一般固体废物</w:t>
            </w:r>
          </w:p>
        </w:tc>
        <w:tc>
          <w:tcPr>
            <w:tcW w:w="1661"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表示一般固体废物贮存、处置场</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6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4</w:t>
            </w:r>
          </w:p>
        </w:tc>
        <w:tc>
          <w:tcPr>
            <w:tcW w:w="104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sz w:val="15"/>
                <w:szCs w:val="15"/>
                <w:highlight w:val="none"/>
              </w:rPr>
            </w:pPr>
            <w:r>
              <w:rPr>
                <w:rFonts w:hint="default"/>
                <w:color w:val="auto"/>
                <w:sz w:val="15"/>
                <w:szCs w:val="15"/>
                <w:highlight w:val="none"/>
              </w:rPr>
              <w:drawing>
                <wp:inline distT="0" distB="0" distL="114300" distR="114300">
                  <wp:extent cx="812165" cy="793115"/>
                  <wp:effectExtent l="0" t="0" r="6985" b="6985"/>
                  <wp:docPr id="3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8"/>
                          <pic:cNvPicPr>
                            <a:picLocks noChangeAspect="1"/>
                          </pic:cNvPicPr>
                        </pic:nvPicPr>
                        <pic:blipFill>
                          <a:blip r:embed="rId76"/>
                          <a:stretch>
                            <a:fillRect/>
                          </a:stretch>
                        </pic:blipFill>
                        <pic:spPr>
                          <a:xfrm>
                            <a:off x="0" y="0"/>
                            <a:ext cx="812165" cy="793115"/>
                          </a:xfrm>
                          <a:prstGeom prst="rect">
                            <a:avLst/>
                          </a:prstGeom>
                          <a:noFill/>
                          <a:ln>
                            <a:noFill/>
                          </a:ln>
                        </pic:spPr>
                      </pic:pic>
                    </a:graphicData>
                  </a:graphic>
                </wp:inline>
              </w:drawing>
            </w:r>
          </w:p>
        </w:tc>
        <w:tc>
          <w:tcPr>
            <w:tcW w:w="1047"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sz w:val="20"/>
                <w:highlight w:val="none"/>
              </w:rPr>
            </w:pPr>
            <w:r>
              <w:rPr>
                <w:rFonts w:hint="default"/>
                <w:color w:val="auto"/>
                <w:highlight w:val="none"/>
              </w:rPr>
              <w:drawing>
                <wp:inline distT="0" distB="0" distL="114300" distR="114300">
                  <wp:extent cx="800100" cy="714375"/>
                  <wp:effectExtent l="0" t="0" r="0" b="9525"/>
                  <wp:docPr id="3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9"/>
                          <pic:cNvPicPr>
                            <a:picLocks noChangeAspect="1"/>
                          </pic:cNvPicPr>
                        </pic:nvPicPr>
                        <pic:blipFill>
                          <a:blip r:embed="rId77"/>
                          <a:stretch>
                            <a:fillRect/>
                          </a:stretch>
                        </pic:blipFill>
                        <pic:spPr>
                          <a:xfrm>
                            <a:off x="0" y="0"/>
                            <a:ext cx="800100" cy="714375"/>
                          </a:xfrm>
                          <a:prstGeom prst="rect">
                            <a:avLst/>
                          </a:prstGeom>
                          <a:noFill/>
                          <a:ln>
                            <a:noFill/>
                          </a:ln>
                        </pic:spPr>
                      </pic:pic>
                    </a:graphicData>
                  </a:graphic>
                </wp:inline>
              </w:drawing>
            </w:r>
          </w:p>
        </w:tc>
        <w:tc>
          <w:tcPr>
            <w:tcW w:w="789"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噪声排放源</w:t>
            </w:r>
          </w:p>
        </w:tc>
        <w:tc>
          <w:tcPr>
            <w:tcW w:w="1661"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表示噪声向外环境排放</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6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5</w:t>
            </w:r>
          </w:p>
        </w:tc>
        <w:tc>
          <w:tcPr>
            <w:tcW w:w="1040"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w:t>
            </w:r>
          </w:p>
        </w:tc>
        <w:tc>
          <w:tcPr>
            <w:tcW w:w="1047"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sz w:val="20"/>
                <w:highlight w:val="none"/>
              </w:rPr>
            </w:pPr>
            <w:r>
              <w:rPr>
                <w:rFonts w:hint="default"/>
                <w:color w:val="auto"/>
                <w:highlight w:val="none"/>
              </w:rPr>
              <w:drawing>
                <wp:inline distT="0" distB="0" distL="114300" distR="114300">
                  <wp:extent cx="955040" cy="855345"/>
                  <wp:effectExtent l="0" t="0" r="16510" b="1905"/>
                  <wp:docPr id="3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1"/>
                          <pic:cNvPicPr>
                            <a:picLocks noChangeAspect="1"/>
                          </pic:cNvPicPr>
                        </pic:nvPicPr>
                        <pic:blipFill>
                          <a:blip r:embed="rId78"/>
                          <a:stretch>
                            <a:fillRect/>
                          </a:stretch>
                        </pic:blipFill>
                        <pic:spPr>
                          <a:xfrm>
                            <a:off x="0" y="0"/>
                            <a:ext cx="955040" cy="855345"/>
                          </a:xfrm>
                          <a:prstGeom prst="rect">
                            <a:avLst/>
                          </a:prstGeom>
                          <a:noFill/>
                          <a:ln>
                            <a:noFill/>
                          </a:ln>
                        </pic:spPr>
                      </pic:pic>
                    </a:graphicData>
                  </a:graphic>
                </wp:inline>
              </w:drawing>
            </w:r>
          </w:p>
        </w:tc>
        <w:tc>
          <w:tcPr>
            <w:tcW w:w="789"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危险废物</w:t>
            </w:r>
          </w:p>
        </w:tc>
        <w:tc>
          <w:tcPr>
            <w:tcW w:w="1661" w:type="pct"/>
            <w:tcBorders>
              <w:tl2br w:val="nil"/>
              <w:tr2bl w:val="nil"/>
            </w:tcBorders>
            <w:noWrap w:val="0"/>
            <w:vAlign w:val="center"/>
          </w:tcPr>
          <w:p>
            <w:pPr>
              <w:pStyle w:val="175"/>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表示危险废物贮存、处置场</w:t>
            </w:r>
          </w:p>
        </w:tc>
      </w:tr>
    </w:tbl>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①污染物排放口的环保图形标志牌应设置</w:t>
      </w:r>
      <w:r>
        <w:rPr>
          <w:rFonts w:ascii="Times New Roman" w:hAnsi="Times New Roman" w:eastAsia="宋体" w:cs="Times New Roman"/>
          <w:color w:val="auto"/>
          <w:sz w:val="24"/>
          <w:szCs w:val="24"/>
          <w:highlight w:val="none"/>
        </w:rPr>
        <w:t>在排污口（采样点）附近且醒目处，高度为标志牌上缘离地面</w:t>
      </w:r>
      <w:r>
        <w:rPr>
          <w:rFonts w:hint="eastAsia" w:ascii="Times New Roman" w:hAnsi="Times New Roman" w:eastAsia="宋体" w:cs="Times New Roman"/>
          <w:color w:val="auto"/>
          <w:sz w:val="24"/>
          <w:szCs w:val="24"/>
          <w:highlight w:val="none"/>
        </w:rPr>
        <w:t>约2m。</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w:t>
      </w:r>
      <w:r>
        <w:rPr>
          <w:rFonts w:ascii="Times New Roman" w:hAnsi="Times New Roman" w:eastAsia="宋体" w:cs="Times New Roman"/>
          <w:color w:val="auto"/>
          <w:sz w:val="24"/>
          <w:szCs w:val="24"/>
          <w:highlight w:val="none"/>
        </w:rPr>
        <w:t>排污口附近1m范围内有建筑物的，设平面式标志牌，无建筑物的设立式标志牌。</w:t>
      </w:r>
      <w:r>
        <w:rPr>
          <w:rFonts w:hint="eastAsia" w:ascii="Times New Roman" w:hAnsi="Times New Roman" w:eastAsia="宋体" w:cs="Times New Roman"/>
          <w:color w:val="auto"/>
          <w:sz w:val="24"/>
          <w:szCs w:val="24"/>
          <w:highlight w:val="none"/>
        </w:rPr>
        <w:t>一般排污单位的污染物排放口，可根据情况设置立式或平面固定式标志牌。</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③</w:t>
      </w:r>
      <w:r>
        <w:rPr>
          <w:rFonts w:ascii="Times New Roman" w:hAnsi="Times New Roman" w:eastAsia="宋体" w:cs="Times New Roman"/>
          <w:color w:val="auto"/>
          <w:sz w:val="24"/>
          <w:szCs w:val="24"/>
          <w:highlight w:val="none"/>
        </w:rPr>
        <w:t>规范化排污口的有关设置（如图形标志牌、计量装置、监控装置等）属于环保设施，排污单位必须负责日常的维护保养，任何单位和个人不得擅自拆除，如需要变更的需报环境监</w:t>
      </w:r>
      <w:r>
        <w:rPr>
          <w:rFonts w:hint="eastAsia" w:ascii="Times New Roman" w:hAnsi="Times New Roman" w:eastAsia="宋体" w:cs="Times New Roman"/>
          <w:color w:val="auto"/>
          <w:sz w:val="24"/>
          <w:szCs w:val="24"/>
          <w:highlight w:val="none"/>
        </w:rPr>
        <w:t>管</w:t>
      </w:r>
      <w:r>
        <w:rPr>
          <w:rFonts w:ascii="Times New Roman" w:hAnsi="Times New Roman" w:eastAsia="宋体" w:cs="Times New Roman"/>
          <w:color w:val="auto"/>
          <w:sz w:val="24"/>
          <w:szCs w:val="24"/>
          <w:highlight w:val="none"/>
        </w:rPr>
        <w:t>部门同意并办理相关变更手续。</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（5）排污口管理</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①管理原则</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排污口是企业污染物进入环境，污染环境的通道，强化排污口的管理是实施污染物总量控制的基础工作之一，也是区域环境管理逐步实现污染物排放科学化、定量化的重要手段。</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具体管理原则如下：</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a、向环境排放的污染物的排放口必须规范化。</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b、列入总量控制的污染物排放源列为管理的重点。</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c、如实向环保管理部门申报排污口数量、位置及所排放的主要污染物种类、数量、浓度、排放去向等情况。</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d、废气排气装置应设置便于采样、监测的采样孔和采样平台，设置应符合《污染源监测技术规范》。</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e、工程固废堆存时，应设置专用堆放场地，并有防扬散、防流失、对有毒有害固废采取防渗漏措施。</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②排放源建档</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a、本项目应使用国家环保局统一印制的《中华人民共和国规范化排污口标志登记证》，并按要求填写有关内容。</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b、根据排污口管理内容要求，项目建成投产后，应将主要污染物种类、数量、浓度、排放去向，立标情况及设施运行情况记录于档案。</w:t>
      </w:r>
    </w:p>
    <w:p>
      <w:pPr>
        <w:pStyle w:val="8"/>
        <w:spacing w:before="0" w:after="0" w:line="360" w:lineRule="auto"/>
        <w:ind w:left="0" w:firstLine="0"/>
        <w:rPr>
          <w:rFonts w:hint="eastAsia" w:cs="Times New Roman"/>
          <w:color w:val="auto"/>
          <w:highlight w:val="none"/>
          <w:lang w:val="en-US" w:eastAsia="zh-CN"/>
        </w:rPr>
      </w:pPr>
      <w:bookmarkStart w:id="370" w:name="_Toc16142"/>
      <w:r>
        <w:rPr>
          <w:rFonts w:hint="eastAsia" w:cs="Times New Roman"/>
          <w:color w:val="auto"/>
          <w:highlight w:val="none"/>
          <w:lang w:val="en-US" w:eastAsia="zh-CN"/>
        </w:rPr>
        <w:t>企业信息公开</w:t>
      </w:r>
      <w:bookmarkEnd w:id="370"/>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根据《企业事业单位环境信息公开办法》（环保部令第 31号）的规定，企业事业单位应当按照强制公开和自愿公开相结合的原则，及时、如实地公开其环境信息。如环境信息涉及国家秘密、商业秘密或者个人隐私的，依法可以不公开；法律、法规另有规定的，从其规定。企业事业单位应当建立健全本单位环境信息公开制度，指定机构负责本单位环境信息公开日常工作。公开的信息应包括：</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（1）单位名称、组织机构代码、法定代表人、生产地址、联系方式以及生产经营和管理服务的主要内容、产品及规模等基础信息；</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（2）主要污染物名称、排放方式、排放口数量和分布情况、排放浓度、总量、超标情况等排污信息。</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建设单位环境信息公开平台或者当地报刊等便于公众知晓的方式公开环境信息，同时可以采取以下一种或者几种方式予以公开：</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（1）公告或者公开发行的信息专刊；</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（2）广播、电视等新闻媒体；</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（3）信息公开服务、监督热线电话；</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（4）本单位的资料索取点、信息公开栏、信息亭、电子屏幕、电子触摸屏等场所或者设施。</w:t>
      </w:r>
    </w:p>
    <w:p>
      <w:pPr>
        <w:pStyle w:val="8"/>
        <w:spacing w:before="0" w:after="0" w:line="360" w:lineRule="auto"/>
        <w:ind w:left="0" w:firstLine="0"/>
        <w:rPr>
          <w:rFonts w:hint="eastAsia" w:ascii="Times New Roman" w:hAnsi="Times New Roman" w:cs="Times New Roman"/>
          <w:color w:val="auto"/>
          <w:highlight w:val="none"/>
          <w:lang w:val="en-US" w:eastAsia="zh-CN"/>
        </w:rPr>
      </w:pPr>
      <w:bookmarkStart w:id="371" w:name="_Toc8041"/>
      <w:r>
        <w:rPr>
          <w:rFonts w:hint="eastAsia" w:ascii="Times New Roman" w:hAnsi="Times New Roman" w:cs="Times New Roman"/>
          <w:color w:val="auto"/>
          <w:highlight w:val="none"/>
          <w:lang w:val="en-US" w:eastAsia="zh-CN"/>
        </w:rPr>
        <w:t>排污许可要求</w:t>
      </w:r>
      <w:bookmarkEnd w:id="371"/>
    </w:p>
    <w:p>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根据《排污许可管理办法（试行）》（环境保护部令第 48 号）、《排污许可证管理暂行规定》（环水体【2016】186号）和环境保护部办公厅《关于做好环境影响评价制度与排污许可制衔接相关工作的通知》（环办环评【2017】84号）的要求，建设单位应在投入生产或使用并产生实际排污行为之前，依法按照《固定污染源排污许可分类管理名录（2019年版）》（生态环境部令第11号）和《排污许可证申请与核发技术规范 畜禽养殖行业》（HJ1029-2019）规定，申请领取排污许可证。</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72" w:name="_Toc29221897"/>
      <w:bookmarkStart w:id="373" w:name="_Toc13345"/>
      <w:r>
        <w:rPr>
          <w:rFonts w:hint="eastAsia" w:ascii="Times New Roman" w:hAnsi="Times New Roman" w:eastAsia="宋体" w:cs="Times New Roman"/>
          <w:color w:val="auto"/>
          <w:highlight w:val="none"/>
          <w:lang w:val="en-US" w:eastAsia="zh-CN"/>
        </w:rPr>
        <w:t>总量控制</w:t>
      </w:r>
      <w:bookmarkEnd w:id="372"/>
      <w:bookmarkEnd w:id="373"/>
    </w:p>
    <w:p>
      <w:pPr>
        <w:pStyle w:val="8"/>
        <w:spacing w:before="0" w:after="0" w:line="360" w:lineRule="auto"/>
        <w:ind w:left="0" w:firstLine="0"/>
        <w:rPr>
          <w:rFonts w:hint="eastAsia" w:cs="Times New Roman"/>
          <w:color w:val="auto"/>
          <w:highlight w:val="none"/>
          <w:lang w:val="en-US" w:eastAsia="zh-CN"/>
        </w:rPr>
      </w:pPr>
      <w:bookmarkStart w:id="374" w:name="_Toc23184"/>
      <w:r>
        <w:rPr>
          <w:rFonts w:hint="eastAsia" w:cs="Times New Roman"/>
          <w:color w:val="auto"/>
          <w:highlight w:val="none"/>
          <w:lang w:val="en-US" w:eastAsia="zh-CN"/>
        </w:rPr>
        <w:t>总量控制原则</w:t>
      </w:r>
      <w:bookmarkEnd w:id="374"/>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总量控制是控制污染、实现区域可持续发展的重要措施，环境污染物总量控制的目的是根据环境质量标准，通过调控污染源分布状况和污染排放方式，把污染物负荷总量控制在自然环境的承载能力范围之内。</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实施污染物排放总量控制是保证实施环境保护目标的需要。我国环境污染已经十分严重，在不少地区污染物排放总量已明显超过环境承载能力。随着经济和人口的增长，污染物排放总量还会增加。为了实现环境保护目标，必须严格控制污染物排放总量。</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实施污染物排放总量控制是落实两个根本性转变的需要。我国环境污染严重的症结在于经济增长和经营粗放。实施污染物排放总量控制，将促进资源节约、产生结构调整、技术进步和污染治理，推动经济增长方式的转变。</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实施污染物总量控制是推行可持续发展战略的需要。实施可持续发展战略已被列为我国未来15年内国民经济和社会发展的重要知道方针。运用环境保护法律和行政手段实施污染物排放总量控制，便于操作和考核，有利于推动可持续发展在我国的实施。</w:t>
      </w:r>
    </w:p>
    <w:p>
      <w:pPr>
        <w:pStyle w:val="8"/>
        <w:spacing w:before="0" w:after="0" w:line="360" w:lineRule="auto"/>
        <w:ind w:left="0" w:firstLine="0"/>
        <w:rPr>
          <w:rFonts w:hint="eastAsia" w:cs="Times New Roman"/>
          <w:color w:val="auto"/>
          <w:highlight w:val="none"/>
          <w:lang w:val="en-US" w:eastAsia="zh-CN"/>
        </w:rPr>
      </w:pPr>
      <w:bookmarkStart w:id="375" w:name="_Toc26546"/>
      <w:r>
        <w:rPr>
          <w:rFonts w:hint="eastAsia" w:cs="Times New Roman"/>
          <w:color w:val="auto"/>
          <w:highlight w:val="none"/>
          <w:lang w:val="en-US" w:eastAsia="zh-CN"/>
        </w:rPr>
        <w:t>总量控制因子</w:t>
      </w:r>
      <w:bookmarkEnd w:id="375"/>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根据工程分析和国家总量控制指标，本项目确定需要进行总量控制的主要污染物为COD、NH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-N。由于废水经污水处理设施处理后全部有效利用，不外排。因此，本项目COD、NH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-N排放量为0，不对COD、NH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-N进行总量调剂。</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76" w:name="_Toc29221898"/>
      <w:bookmarkStart w:id="377" w:name="_Toc29807"/>
      <w:r>
        <w:rPr>
          <w:rFonts w:hint="eastAsia" w:ascii="Times New Roman" w:hAnsi="Times New Roman" w:eastAsia="宋体" w:cs="Times New Roman"/>
          <w:color w:val="auto"/>
          <w:highlight w:val="none"/>
          <w:lang w:val="en-US" w:eastAsia="zh-CN"/>
        </w:rPr>
        <w:t>竣工环境保护验收</w:t>
      </w:r>
      <w:bookmarkEnd w:id="376"/>
      <w:bookmarkEnd w:id="377"/>
    </w:p>
    <w:p>
      <w:pPr>
        <w:spacing w:line="360" w:lineRule="auto"/>
        <w:ind w:firstLine="480" w:firstLineChars="200"/>
        <w:rPr>
          <w:rFonts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根据《建设项目竣工环境保护验收暂行办法》规定：建设项目竣工后，建设单位应当如实查验、监测、记载建设项目环境保护设施的建设和调试情况，编制验收监测（调查）报告。验收监测（调查）报告编制完成后，建设单位应当根据验收监测（调查）报告结论，逐一检查是否存在本办法第八条所列验收不合格的情形，提出验收意见。存在问题的，建设单位应当进行整改，整改完成后方可提出验收意见。验收意见包括工程建设基本情况、工程变动情况、环境保护设施落实情况、环境保护设施调试效果、工程建设对环境的影响、验收结论和后续要求等内容，验收结论应当明确该建设项目环境保护设施是否验收合格。建设项目配套建设的环境保护设施经验收合格后，其主体工程方可投入生产或者使用；未经验收或者验收不合格的，不得投入生产或者使用。</w:t>
      </w:r>
    </w:p>
    <w:p>
      <w:pPr>
        <w:pStyle w:val="8"/>
        <w:spacing w:before="0" w:after="0" w:line="360" w:lineRule="auto"/>
        <w:ind w:left="0" w:firstLine="0"/>
        <w:rPr>
          <w:rFonts w:hint="default" w:cs="Times New Roman"/>
          <w:color w:val="auto"/>
          <w:highlight w:val="none"/>
          <w:lang w:val="en-US" w:eastAsia="zh-CN"/>
        </w:rPr>
      </w:pPr>
      <w:bookmarkStart w:id="378" w:name="_Toc20860"/>
      <w:r>
        <w:rPr>
          <w:rFonts w:hint="default" w:cs="Times New Roman"/>
          <w:color w:val="auto"/>
          <w:highlight w:val="none"/>
          <w:lang w:val="en-US" w:eastAsia="zh-CN"/>
        </w:rPr>
        <w:t>竣工验收主要内容</w:t>
      </w:r>
      <w:bookmarkEnd w:id="378"/>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ascii="Times New Roman" w:hAnsi="Times New Roman" w:eastAsia="宋体" w:cs="Times New Roman"/>
          <w:snapToGrid w:val="0"/>
          <w:color w:val="auto"/>
          <w:sz w:val="24"/>
          <w:szCs w:val="24"/>
          <w:highlight w:val="none"/>
        </w:rPr>
        <w:t>工程建成后应及时组织竣工环境保护验收，对各项环保工程措施的落实情况、效果以及工程建设对环境的影响进行评估</w:t>
      </w:r>
      <w:r>
        <w:rPr>
          <w:rFonts w:hint="eastAsia" w:ascii="Times New Roman" w:hAnsi="Times New Roman" w:eastAsia="宋体" w:cs="Times New Roman"/>
          <w:snapToGrid w:val="0"/>
          <w:color w:val="auto"/>
          <w:sz w:val="24"/>
          <w:szCs w:val="24"/>
          <w:highlight w:val="none"/>
        </w:rPr>
        <w:t>。</w:t>
      </w:r>
      <w:r>
        <w:rPr>
          <w:rFonts w:ascii="Times New Roman" w:hAnsi="Times New Roman" w:eastAsia="宋体" w:cs="Times New Roman"/>
          <w:snapToGrid w:val="0"/>
          <w:color w:val="auto"/>
          <w:sz w:val="24"/>
          <w:szCs w:val="24"/>
          <w:highlight w:val="none"/>
        </w:rPr>
        <w:t>验收小组应由</w:t>
      </w:r>
      <w:r>
        <w:rPr>
          <w:rFonts w:hint="eastAsia" w:ascii="Times New Roman" w:hAnsi="Times New Roman" w:eastAsia="宋体" w:cs="Times New Roman"/>
          <w:snapToGrid w:val="0"/>
          <w:color w:val="auto"/>
          <w:sz w:val="24"/>
          <w:szCs w:val="24"/>
          <w:highlight w:val="none"/>
        </w:rPr>
        <w:t>设计单位、施工单位、环评单位、验收监测报告编制机构等单位代表以及专业技术专家等组成。</w:t>
      </w:r>
    </w:p>
    <w:p>
      <w:pPr>
        <w:spacing w:line="360" w:lineRule="auto"/>
        <w:ind w:firstLine="480" w:firstLineChars="200"/>
        <w:rPr>
          <w:rFonts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根据《建设项目环境保护管理条例》（2017.10.1）国务院第682号令、《建设项目竣工环境保护验收暂行办法》（2017.11.20）的有关规定，本项目的水污染防治措施、大气污染防治措施、噪声污染防治措施由建设单位自主验收。新《中华人民共和国固体废物污染环境防治法》修改完成前应依法由环境保护部门对建设项目固体废物污染防治设施进行验收。</w:t>
      </w:r>
    </w:p>
    <w:p>
      <w:pPr>
        <w:pStyle w:val="8"/>
        <w:spacing w:before="0" w:after="0" w:line="360" w:lineRule="auto"/>
        <w:ind w:left="0" w:firstLine="0"/>
        <w:rPr>
          <w:rFonts w:hint="eastAsia" w:cs="Times New Roman"/>
          <w:color w:val="auto"/>
          <w:highlight w:val="none"/>
          <w:lang w:val="en-US" w:eastAsia="zh-CN"/>
        </w:rPr>
      </w:pPr>
      <w:bookmarkStart w:id="379" w:name="_Toc4473"/>
      <w:r>
        <w:rPr>
          <w:rFonts w:hint="eastAsia" w:cs="Times New Roman"/>
          <w:color w:val="auto"/>
          <w:highlight w:val="none"/>
          <w:lang w:val="en-US" w:eastAsia="zh-CN"/>
        </w:rPr>
        <w:t>建设单位自主验收相关规定</w:t>
      </w:r>
      <w:bookmarkEnd w:id="379"/>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1）竣工环境保护验收实行由企业法人负责的自行验收管理。企业自行验收严格按照环境保护主管部门制定的规定程序执行，验收过程完整，验收程序合法。企业自行验收严格落实环境影响报告书（表）及其批复文件要求，验收材料齐全，验收内容全面，适用标准规范，内容不缺项，标准不降低。建设项目主体工程竣工后、正式投产或运行前，企业应自行组织开展建设项目竣工环境保护验收，并编制建设项目竣工环境保护验收调查（监测）报告。</w:t>
      </w:r>
    </w:p>
    <w:p>
      <w:pPr>
        <w:spacing w:line="360" w:lineRule="auto"/>
        <w:ind w:firstLine="480" w:firstLineChars="200"/>
        <w:rPr>
          <w:rFonts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（2）建设项目竣工环境保护企业自行验收范围：</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①环境影响报告书及其批复文件规定的与建设项目有关的各项环境保护设施，包括为防治污染和保护环境所建成或配备的工程、设备、装置和监测手段，各项生态保护设施。</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②环境影响报告书及其批复文件和有关项目设计文件规定应采取的其他各项环境保护措施。</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③与建设项目有关的各项环境保护设施、环境保护措施运行效果。</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（3）建设项目竣工环境保护企业自行验收依据：</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①《建设项目环境保护管理条例》等相关法律规定。</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②环境影响报告书及其批复文件。</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③工程《初步设计》环保篇。</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④建设项目竣工环境保护技术规范等相关标准。</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⑤环境保护主管部门印发的其他相关文件要求。</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（4）建设项目竣工环境保护企业自行验收工作程序：</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①在建设项目竣工后、正式投入生产或运行前，企业按照环境影响报告书及其批复文件要求，对与主体工程配套建设的环境保护设施落实情况进行查验。</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②按照环境保护主管部门制定的竣工环境保护验收技术规范，企业自行编制或委托具备相应技术能力的机构，对建设项目环境保护设施落实情况进行调查，开展相关环境监测，编制竣工环境保护验收监测报告。企业、验收监测机构及其相关人员对验收监测报告结论终身负责。</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③验收监测报告编制完成后，由企业法人组织对建设项目环境保护设施和环境保护措施进行验收，形成书面报告备查，并向社会公开。</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④企业自行组织竣工环境保护验收时，应成立验收组，对建设项目环境保护设施及其他环境保护措施进行资料审查、现场踏勘，形成验收意见，验收组成员名单附后。验收组应由建设单位、设计单位、施工单位、环境监理单位、环境监测单位、环境影响报告书编制单位、变更环境影响报告书编制单位、验收监测报告编制单位代表，以及专业技术专家组成。</w:t>
      </w:r>
    </w:p>
    <w:p>
      <w:pPr>
        <w:spacing w:line="360" w:lineRule="auto"/>
        <w:ind w:firstLine="480" w:firstLineChars="200"/>
        <w:rPr>
          <w:rFonts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⑤企业应对验收意见中提出的环保问题进行整改。环境保护设施未经验收或者验收不合格的，建设项目主体工程不得投入生产或者使用。</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⑥企业应自验收通过之日起30个工作日内，制作竣工环境保护验收意见书，并将验收意见书、验收监测报告和“三同时”验收登记表上传至建设项目竣工环境保护企业自行验收信息平台，并如实向社会公开。</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（5）企业应通过网站以及报纸、媒体平台，向社会及时建设项目环境保护设施和环境保护措施落实情况、竣工环境保护验收情况，并接受社会监督。</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①在施工建设期间应主动公开下列信息：主要环境保护设施实施情况；施工期环境保护措施落实情况；施工期环境监测情况及监测结果。</w:t>
      </w:r>
    </w:p>
    <w:p>
      <w:pPr>
        <w:spacing w:line="360" w:lineRule="auto"/>
        <w:ind w:firstLine="480" w:firstLineChars="200"/>
        <w:rPr>
          <w:rFonts w:hint="eastAsia" w:ascii="Times New Roman" w:hAnsi="Times New Roman" w:eastAsia="宋体" w:cs="Times New Roman"/>
          <w:snapToGrid w:val="0"/>
          <w:color w:val="auto"/>
          <w:sz w:val="24"/>
          <w:szCs w:val="24"/>
          <w:highlight w:val="none"/>
        </w:rPr>
      </w:pPr>
      <w:r>
        <w:rPr>
          <w:rFonts w:hint="eastAsia" w:ascii="Times New Roman" w:hAnsi="Times New Roman" w:eastAsia="宋体" w:cs="Times New Roman"/>
          <w:snapToGrid w:val="0"/>
          <w:color w:val="auto"/>
          <w:sz w:val="24"/>
          <w:szCs w:val="24"/>
          <w:highlight w:val="none"/>
        </w:rPr>
        <w:t>②在投入生产或者使用前应主动公开下列信息：各项环境保护设施落实情况；环境保护措施落实情况；环境监测和监理报告；突发环境事件应急预案及备案情况；竣工环境保护验收监测报告；竣工环境保护企业自行验收意见。</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snapToGrid w:val="0"/>
          <w:color w:val="auto"/>
          <w:sz w:val="24"/>
          <w:szCs w:val="24"/>
          <w:highlight w:val="none"/>
        </w:rPr>
        <w:t>③在运行期间应定期公开下列信息：各项环境保护设施运行情况；主要污染物排放情况；突发环境事件应急演练和应急预案完善情况；环境影响后评价开展情况。</w:t>
      </w:r>
    </w:p>
    <w:p>
      <w:pPr>
        <w:pStyle w:val="8"/>
        <w:spacing w:before="0" w:after="0" w:line="360" w:lineRule="auto"/>
        <w:ind w:left="0" w:firstLine="0"/>
        <w:rPr>
          <w:rFonts w:hint="eastAsia" w:cs="Times New Roman"/>
          <w:color w:val="auto"/>
          <w:highlight w:val="none"/>
          <w:lang w:val="en-US" w:eastAsia="zh-CN"/>
        </w:rPr>
      </w:pPr>
      <w:bookmarkStart w:id="380" w:name="_Toc436035726"/>
      <w:bookmarkStart w:id="381" w:name="_Toc26946"/>
      <w:r>
        <w:rPr>
          <w:rFonts w:hint="eastAsia" w:cs="Times New Roman"/>
          <w:color w:val="auto"/>
          <w:highlight w:val="none"/>
          <w:lang w:val="en-US" w:eastAsia="zh-CN"/>
        </w:rPr>
        <w:t>竣工</w:t>
      </w:r>
      <w:bookmarkEnd w:id="380"/>
      <w:r>
        <w:rPr>
          <w:rFonts w:hint="eastAsia" w:cs="Times New Roman"/>
          <w:color w:val="auto"/>
          <w:highlight w:val="none"/>
          <w:lang w:val="en-US" w:eastAsia="zh-CN"/>
        </w:rPr>
        <w:t>验收一览表</w:t>
      </w:r>
      <w:bookmarkEnd w:id="381"/>
    </w:p>
    <w:p>
      <w:pPr>
        <w:pStyle w:val="114"/>
        <w:rPr>
          <w:rFonts w:ascii="Times New Roman" w:hAnsi="Times New Roman" w:eastAsia="宋体" w:cs="Times New Roman"/>
          <w:color w:val="auto"/>
          <w:sz w:val="24"/>
          <w:szCs w:val="24"/>
          <w:highlight w:val="none"/>
        </w:rPr>
        <w:sectPr>
          <w:pgSz w:w="11906" w:h="16838"/>
          <w:pgMar w:top="1440" w:right="1800" w:bottom="1440" w:left="1800" w:header="992"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eastAsia="宋体" w:cs="Times New Roman"/>
          <w:color w:val="auto"/>
          <w:sz w:val="24"/>
          <w:szCs w:val="24"/>
          <w:highlight w:val="none"/>
        </w:rPr>
        <w:t>本</w:t>
      </w:r>
      <w:r>
        <w:rPr>
          <w:rFonts w:ascii="Times New Roman" w:hAnsi="Times New Roman" w:eastAsia="宋体" w:cs="Times New Roman"/>
          <w:color w:val="auto"/>
          <w:sz w:val="24"/>
          <w:szCs w:val="24"/>
          <w:highlight w:val="none"/>
        </w:rPr>
        <w:t>项目竣工环境保护验收一览表见表</w:t>
      </w:r>
      <w:r>
        <w:rPr>
          <w:rFonts w:hint="eastAsia" w:ascii="Times New Roman" w:hAnsi="Times New Roman" w:eastAsia="宋体" w:cs="Times New Roman"/>
          <w:color w:val="auto"/>
          <w:sz w:val="24"/>
          <w:szCs w:val="24"/>
          <w:highlight w:val="none"/>
        </w:rPr>
        <w:t>9</w:t>
      </w:r>
      <w:r>
        <w:rPr>
          <w:rFonts w:ascii="Times New Roman" w:hAnsi="Times New Roman" w:eastAsia="宋体" w:cs="Times New Roman"/>
          <w:color w:val="auto"/>
          <w:sz w:val="24"/>
          <w:szCs w:val="24"/>
          <w:highlight w:val="none"/>
        </w:rPr>
        <w:t>.5-1。</w:t>
      </w:r>
    </w:p>
    <w:p>
      <w:pPr>
        <w:pStyle w:val="2504"/>
        <w:numPr>
          <w:ilvl w:val="0"/>
          <w:numId w:val="50"/>
        </w:numPr>
        <w:spacing w:before="120"/>
        <w:ind w:left="425" w:leftChars="0" w:hanging="425" w:firstLineChars="0"/>
        <w:rPr>
          <w:color w:val="auto"/>
          <w:highlight w:val="none"/>
        </w:rPr>
      </w:pPr>
      <w:r>
        <w:rPr>
          <w:rFonts w:hint="eastAsia"/>
          <w:color w:val="auto"/>
          <w:highlight w:val="none"/>
          <w:lang w:val="en-US" w:eastAsia="zh-CN"/>
        </w:rPr>
        <w:t xml:space="preserve">  “三同时”</w:t>
      </w:r>
      <w:r>
        <w:rPr>
          <w:rFonts w:hint="eastAsia"/>
          <w:color w:val="auto"/>
          <w:highlight w:val="none"/>
        </w:rPr>
        <w:t>验收一览表</w:t>
      </w:r>
    </w:p>
    <w:tbl>
      <w:tblPr>
        <w:tblStyle w:val="91"/>
        <w:tblW w:w="14002"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571"/>
        <w:gridCol w:w="1140"/>
        <w:gridCol w:w="983"/>
        <w:gridCol w:w="3523"/>
        <w:gridCol w:w="2100"/>
        <w:gridCol w:w="2820"/>
        <w:gridCol w:w="2857"/>
        <w:gridCol w:w="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blHeader/>
        </w:trPr>
        <w:tc>
          <w:tcPr>
            <w:tcW w:w="571"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b/>
                <w:color w:val="auto"/>
                <w:sz w:val="21"/>
                <w:szCs w:val="21"/>
                <w:highlight w:val="none"/>
              </w:rPr>
            </w:pPr>
            <w:r>
              <w:rPr>
                <w:rFonts w:hint="eastAsia"/>
                <w:b/>
                <w:color w:val="auto"/>
                <w:sz w:val="21"/>
                <w:szCs w:val="21"/>
                <w:highlight w:val="none"/>
              </w:rPr>
              <w:t>环境</w:t>
            </w:r>
            <w:r>
              <w:rPr>
                <w:rFonts w:hint="default"/>
                <w:b/>
                <w:color w:val="auto"/>
                <w:sz w:val="21"/>
                <w:szCs w:val="21"/>
                <w:highlight w:val="none"/>
              </w:rPr>
              <w:t xml:space="preserve"> </w:t>
            </w:r>
            <w:r>
              <w:rPr>
                <w:rFonts w:hint="eastAsia"/>
                <w:b/>
                <w:color w:val="auto"/>
                <w:sz w:val="21"/>
                <w:szCs w:val="21"/>
                <w:highlight w:val="none"/>
              </w:rPr>
              <w:t>因子</w:t>
            </w: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污染源</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污染物名称</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防治措施</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排放情况</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验收内容</w:t>
            </w:r>
          </w:p>
        </w:tc>
        <w:tc>
          <w:tcPr>
            <w:tcW w:w="2865" w:type="dxa"/>
            <w:gridSpan w:val="2"/>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验收标准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536" w:hRule="atLeast"/>
        </w:trPr>
        <w:tc>
          <w:tcPr>
            <w:tcW w:w="571" w:type="dxa"/>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r>
              <w:rPr>
                <w:rFonts w:hint="eastAsia"/>
                <w:color w:val="auto"/>
                <w:sz w:val="21"/>
                <w:szCs w:val="21"/>
                <w:highlight w:val="none"/>
              </w:rPr>
              <w:t>大</w:t>
            </w:r>
          </w:p>
          <w:p>
            <w:pPr>
              <w:pStyle w:val="1856"/>
              <w:keepNext w:val="0"/>
              <w:keepLines w:val="0"/>
              <w:suppressLineNumbers w:val="0"/>
              <w:spacing w:beforeAutospacing="0" w:afterAutospacing="0" w:line="240" w:lineRule="auto"/>
              <w:ind w:left="0" w:right="0"/>
              <w:rPr>
                <w:rFonts w:hint="default"/>
                <w:color w:val="auto"/>
                <w:sz w:val="21"/>
                <w:szCs w:val="21"/>
                <w:highlight w:val="none"/>
              </w:rPr>
            </w:pPr>
            <w:r>
              <w:rPr>
                <w:rFonts w:hint="eastAsia"/>
                <w:color w:val="auto"/>
                <w:sz w:val="21"/>
                <w:szCs w:val="21"/>
                <w:highlight w:val="none"/>
              </w:rPr>
              <w:t>气</w:t>
            </w:r>
          </w:p>
          <w:p>
            <w:pPr>
              <w:pStyle w:val="1856"/>
              <w:keepNext w:val="0"/>
              <w:keepLines w:val="0"/>
              <w:suppressLineNumbers w:val="0"/>
              <w:spacing w:beforeAutospacing="0" w:afterAutospacing="0" w:line="240" w:lineRule="auto"/>
              <w:ind w:left="0" w:right="0"/>
              <w:rPr>
                <w:rFonts w:hint="default"/>
                <w:color w:val="auto"/>
                <w:sz w:val="21"/>
                <w:szCs w:val="21"/>
                <w:highlight w:val="none"/>
              </w:rPr>
            </w:pPr>
            <w:r>
              <w:rPr>
                <w:rFonts w:hint="eastAsia"/>
                <w:color w:val="auto"/>
                <w:sz w:val="21"/>
                <w:szCs w:val="21"/>
                <w:highlight w:val="none"/>
              </w:rPr>
              <w:t>环</w:t>
            </w:r>
          </w:p>
          <w:p>
            <w:pPr>
              <w:pStyle w:val="1856"/>
              <w:keepNext w:val="0"/>
              <w:keepLines w:val="0"/>
              <w:suppressLineNumbers w:val="0"/>
              <w:spacing w:beforeAutospacing="0" w:afterAutospacing="0" w:line="240" w:lineRule="auto"/>
              <w:ind w:left="0" w:right="0"/>
              <w:rPr>
                <w:rFonts w:hint="default"/>
                <w:color w:val="auto"/>
                <w:sz w:val="21"/>
                <w:szCs w:val="21"/>
                <w:highlight w:val="none"/>
              </w:rPr>
            </w:pPr>
            <w:r>
              <w:rPr>
                <w:rFonts w:hint="eastAsia"/>
                <w:color w:val="auto"/>
                <w:sz w:val="21"/>
                <w:szCs w:val="21"/>
                <w:highlight w:val="none"/>
              </w:rPr>
              <w:t>境</w:t>
            </w: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食堂</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油烟</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安装处理效率为75%的油烟净化器</w:t>
            </w:r>
          </w:p>
        </w:tc>
        <w:tc>
          <w:tcPr>
            <w:tcW w:w="2100" w:type="dxa"/>
            <w:tcBorders>
              <w:tl2br w:val="nil"/>
              <w:tr2bl w:val="nil"/>
            </w:tcBorders>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b w:val="0"/>
                <w:bCs/>
                <w:color w:val="auto"/>
                <w:kern w:val="2"/>
                <w:sz w:val="21"/>
                <w:szCs w:val="21"/>
                <w:highlight w:val="none"/>
              </w:rPr>
            </w:pPr>
            <w:r>
              <w:rPr>
                <w:rFonts w:hint="default" w:ascii="Times New Roman" w:hAnsi="Times New Roman" w:eastAsia="宋体" w:cs="Times New Roman"/>
                <w:b w:val="0"/>
                <w:bCs/>
                <w:color w:val="auto"/>
                <w:kern w:val="2"/>
                <w:sz w:val="21"/>
                <w:szCs w:val="21"/>
                <w:highlight w:val="none"/>
              </w:rPr>
              <w:t>0.00</w:t>
            </w:r>
            <w:r>
              <w:rPr>
                <w:rFonts w:hint="eastAsia" w:ascii="Times New Roman" w:hAnsi="Times New Roman" w:cs="Times New Roman"/>
                <w:b w:val="0"/>
                <w:bCs/>
                <w:color w:val="auto"/>
                <w:kern w:val="2"/>
                <w:sz w:val="21"/>
                <w:szCs w:val="21"/>
                <w:highlight w:val="none"/>
                <w:lang w:val="en-US" w:eastAsia="zh-CN"/>
              </w:rPr>
              <w:t>075</w:t>
            </w:r>
            <w:r>
              <w:rPr>
                <w:rFonts w:hint="default" w:ascii="Times New Roman" w:hAnsi="Times New Roman" w:eastAsia="宋体" w:cs="Times New Roman"/>
                <w:b w:val="0"/>
                <w:bCs/>
                <w:color w:val="auto"/>
                <w:kern w:val="2"/>
                <w:sz w:val="21"/>
                <w:szCs w:val="21"/>
                <w:highlight w:val="none"/>
              </w:rPr>
              <w:t>kg/h</w:t>
            </w:r>
          </w:p>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kern w:val="2"/>
                <w:sz w:val="21"/>
                <w:szCs w:val="21"/>
                <w:highlight w:val="none"/>
              </w:rPr>
              <w:t>0.</w:t>
            </w:r>
            <w:r>
              <w:rPr>
                <w:rFonts w:hint="eastAsia" w:ascii="Times New Roman" w:hAnsi="Times New Roman" w:cs="Times New Roman"/>
                <w:b w:val="0"/>
                <w:bCs/>
                <w:color w:val="auto"/>
                <w:kern w:val="2"/>
                <w:sz w:val="21"/>
                <w:szCs w:val="21"/>
                <w:highlight w:val="none"/>
                <w:lang w:val="en-US" w:eastAsia="zh-CN"/>
              </w:rPr>
              <w:t>15</w:t>
            </w:r>
            <w:r>
              <w:rPr>
                <w:rFonts w:hint="default" w:ascii="Times New Roman" w:hAnsi="Times New Roman" w:eastAsia="宋体" w:cs="Times New Roman"/>
                <w:b w:val="0"/>
                <w:bCs/>
                <w:color w:val="auto"/>
                <w:kern w:val="2"/>
                <w:sz w:val="21"/>
                <w:szCs w:val="21"/>
                <w:highlight w:val="none"/>
              </w:rPr>
              <w:t>mg/m</w:t>
            </w:r>
            <w:r>
              <w:rPr>
                <w:rFonts w:hint="default" w:ascii="Times New Roman" w:hAnsi="Times New Roman" w:eastAsia="宋体" w:cs="Times New Roman"/>
                <w:b w:val="0"/>
                <w:bCs/>
                <w:color w:val="auto"/>
                <w:kern w:val="2"/>
                <w:sz w:val="21"/>
                <w:szCs w:val="21"/>
                <w:highlight w:val="none"/>
                <w:vertAlign w:val="superscript"/>
              </w:rPr>
              <w:t>3</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油烟净化器</w:t>
            </w:r>
          </w:p>
        </w:tc>
        <w:tc>
          <w:tcPr>
            <w:tcW w:w="2865" w:type="dxa"/>
            <w:gridSpan w:val="2"/>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油烟执行《饮食业油烟排放标准（试行）》（GB18483-2001）中相关标准，最高允许排放浓度2.0mg/m</w:t>
            </w:r>
            <w:r>
              <w:rPr>
                <w:rFonts w:hint="default" w:ascii="Times New Roman" w:hAnsi="Times New Roman" w:eastAsia="宋体" w:cs="Times New Roman"/>
                <w:b w:val="0"/>
                <w:bCs/>
                <w:color w:val="auto"/>
                <w:sz w:val="21"/>
                <w:szCs w:val="21"/>
                <w:highlight w:val="none"/>
                <w:vertAlign w:val="superscript"/>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550" w:hRule="atLeast"/>
        </w:trPr>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eastAsia="zh-CN"/>
              </w:rPr>
              <w:t>牛</w:t>
            </w:r>
            <w:r>
              <w:rPr>
                <w:rFonts w:hint="default" w:ascii="Times New Roman" w:hAnsi="Times New Roman" w:eastAsia="宋体" w:cs="Times New Roman"/>
                <w:b w:val="0"/>
                <w:bCs/>
                <w:color w:val="auto"/>
                <w:sz w:val="21"/>
                <w:szCs w:val="21"/>
                <w:highlight w:val="none"/>
              </w:rPr>
              <w:t>舍</w:t>
            </w:r>
          </w:p>
        </w:tc>
        <w:tc>
          <w:tcPr>
            <w:tcW w:w="983" w:type="dxa"/>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NH</w:t>
            </w:r>
            <w:r>
              <w:rPr>
                <w:rFonts w:hint="default" w:ascii="Times New Roman" w:hAnsi="Times New Roman" w:eastAsia="宋体" w:cs="Times New Roman"/>
                <w:b w:val="0"/>
                <w:bCs/>
                <w:color w:val="auto"/>
                <w:sz w:val="21"/>
                <w:szCs w:val="21"/>
                <w:highlight w:val="none"/>
                <w:vertAlign w:val="subscript"/>
              </w:rPr>
              <w:t>3</w:t>
            </w:r>
            <w:r>
              <w:rPr>
                <w:rFonts w:hint="default" w:ascii="Times New Roman" w:hAnsi="Times New Roman" w:eastAsia="宋体" w:cs="Times New Roman"/>
                <w:b w:val="0"/>
                <w:bCs/>
                <w:color w:val="auto"/>
                <w:sz w:val="21"/>
                <w:szCs w:val="21"/>
                <w:highlight w:val="none"/>
              </w:rPr>
              <w:t>、H</w:t>
            </w:r>
            <w:r>
              <w:rPr>
                <w:rFonts w:hint="default" w:ascii="Times New Roman" w:hAnsi="Times New Roman" w:eastAsia="宋体" w:cs="Times New Roman"/>
                <w:b w:val="0"/>
                <w:bCs/>
                <w:color w:val="auto"/>
                <w:sz w:val="21"/>
                <w:szCs w:val="21"/>
                <w:highlight w:val="none"/>
                <w:vertAlign w:val="subscript"/>
              </w:rPr>
              <w:t>2</w:t>
            </w:r>
            <w:r>
              <w:rPr>
                <w:rFonts w:hint="default" w:ascii="Times New Roman" w:hAnsi="Times New Roman" w:eastAsia="宋体" w:cs="Times New Roman"/>
                <w:b w:val="0"/>
                <w:bCs/>
                <w:color w:val="auto"/>
                <w:sz w:val="21"/>
                <w:szCs w:val="21"/>
                <w:highlight w:val="none"/>
              </w:rPr>
              <w:t>S、臭气浓度</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①科学设计日粮，提高饲料利用率，合理使用饲料添加剂；②加强圈舍管理，采用干清粪工艺；③对牛舍定期喷洒除臭剂；④加强牛舍消毒措施；⑤合理种植绿化隔离带</w:t>
            </w:r>
          </w:p>
        </w:tc>
        <w:tc>
          <w:tcPr>
            <w:tcW w:w="2100" w:type="dxa"/>
            <w:tcBorders>
              <w:tl2br w:val="nil"/>
              <w:tr2bl w:val="nil"/>
            </w:tcBorders>
            <w:noWrap w:val="0"/>
            <w:vAlign w:val="center"/>
          </w:tcPr>
          <w:p>
            <w:pPr>
              <w:pStyle w:val="167"/>
              <w:keepNext w:val="0"/>
              <w:keepLines w:val="0"/>
              <w:suppressLineNumbers w:val="0"/>
              <w:kinsoku w:val="0"/>
              <w:wordWrap w:val="0"/>
              <w:overflowPunct w:val="0"/>
              <w:spacing w:before="0" w:beforeAutospacing="0" w:after="0" w:afterAutospacing="0"/>
              <w:ind w:left="0" w:right="3"/>
              <w:jc w:val="center"/>
              <w:rPr>
                <w:rFonts w:hint="default" w:ascii="Times New Roman" w:hAnsi="Times New Roman" w:eastAsia="宋体" w:cs="Times New Roman"/>
                <w:b w:val="0"/>
                <w:bCs/>
                <w:color w:val="auto"/>
                <w:kern w:val="2"/>
                <w:sz w:val="21"/>
                <w:szCs w:val="21"/>
                <w:highlight w:val="none"/>
              </w:rPr>
            </w:pPr>
            <w:r>
              <w:rPr>
                <w:rFonts w:hint="default" w:ascii="Times New Roman" w:hAnsi="Times New Roman" w:eastAsia="宋体" w:cs="Times New Roman"/>
                <w:b w:val="0"/>
                <w:bCs/>
                <w:color w:val="auto"/>
                <w:kern w:val="2"/>
                <w:sz w:val="21"/>
                <w:szCs w:val="21"/>
                <w:highlight w:val="none"/>
              </w:rPr>
              <w:t>NH</w:t>
            </w:r>
            <w:r>
              <w:rPr>
                <w:rFonts w:hint="default" w:ascii="Times New Roman" w:hAnsi="Times New Roman" w:eastAsia="宋体" w:cs="Times New Roman"/>
                <w:b w:val="0"/>
                <w:bCs/>
                <w:color w:val="auto"/>
                <w:kern w:val="2"/>
                <w:sz w:val="21"/>
                <w:szCs w:val="21"/>
                <w:highlight w:val="none"/>
                <w:vertAlign w:val="subscript"/>
              </w:rPr>
              <w:t>3</w:t>
            </w:r>
            <w:r>
              <w:rPr>
                <w:rFonts w:hint="default" w:ascii="Times New Roman" w:hAnsi="Times New Roman" w:eastAsia="宋体" w:cs="Times New Roman"/>
                <w:b w:val="0"/>
                <w:bCs/>
                <w:color w:val="auto"/>
                <w:kern w:val="2"/>
                <w:sz w:val="21"/>
                <w:szCs w:val="21"/>
                <w:highlight w:val="none"/>
              </w:rPr>
              <w:t>：</w:t>
            </w:r>
            <w:r>
              <w:rPr>
                <w:rFonts w:hint="eastAsia" w:ascii="Times New Roman" w:hAnsi="Times New Roman" w:cs="Times New Roman"/>
                <w:b w:val="0"/>
                <w:bCs/>
                <w:color w:val="auto"/>
                <w:kern w:val="2"/>
                <w:sz w:val="21"/>
                <w:szCs w:val="21"/>
                <w:highlight w:val="none"/>
                <w:lang w:val="en-US" w:eastAsia="zh-CN"/>
              </w:rPr>
              <w:t>0.0036</w:t>
            </w:r>
            <w:r>
              <w:rPr>
                <w:rFonts w:hint="default" w:ascii="Times New Roman" w:hAnsi="Times New Roman" w:eastAsia="宋体" w:cs="Times New Roman"/>
                <w:b w:val="0"/>
                <w:bCs/>
                <w:color w:val="auto"/>
                <w:kern w:val="2"/>
                <w:sz w:val="21"/>
                <w:szCs w:val="21"/>
                <w:highlight w:val="none"/>
              </w:rPr>
              <w:t>kg/h</w:t>
            </w:r>
          </w:p>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kern w:val="2"/>
                <w:sz w:val="21"/>
                <w:szCs w:val="21"/>
                <w:highlight w:val="none"/>
              </w:rPr>
              <w:t>H</w:t>
            </w:r>
            <w:r>
              <w:rPr>
                <w:rFonts w:hint="default" w:ascii="Times New Roman" w:hAnsi="Times New Roman" w:eastAsia="宋体" w:cs="Times New Roman"/>
                <w:b w:val="0"/>
                <w:bCs/>
                <w:color w:val="auto"/>
                <w:kern w:val="2"/>
                <w:sz w:val="21"/>
                <w:szCs w:val="21"/>
                <w:highlight w:val="none"/>
                <w:vertAlign w:val="subscript"/>
              </w:rPr>
              <w:t>2</w:t>
            </w:r>
            <w:r>
              <w:rPr>
                <w:rFonts w:hint="default" w:ascii="Times New Roman" w:hAnsi="Times New Roman" w:eastAsia="宋体" w:cs="Times New Roman"/>
                <w:b w:val="0"/>
                <w:bCs/>
                <w:color w:val="auto"/>
                <w:kern w:val="2"/>
                <w:sz w:val="21"/>
                <w:szCs w:val="21"/>
                <w:highlight w:val="none"/>
              </w:rPr>
              <w:t>S</w:t>
            </w:r>
            <w:r>
              <w:rPr>
                <w:rFonts w:hint="eastAsia" w:ascii="Times New Roman" w:hAnsi="Times New Roman" w:cs="Times New Roman"/>
                <w:b w:val="0"/>
                <w:bCs/>
                <w:color w:val="auto"/>
                <w:kern w:val="2"/>
                <w:sz w:val="21"/>
                <w:szCs w:val="21"/>
                <w:highlight w:val="none"/>
                <w:lang w:eastAsia="zh-CN"/>
              </w:rPr>
              <w:t>：</w:t>
            </w:r>
            <w:r>
              <w:rPr>
                <w:rFonts w:hint="eastAsia" w:ascii="Times New Roman" w:hAnsi="Times New Roman" w:cs="Times New Roman"/>
                <w:b w:val="0"/>
                <w:bCs/>
                <w:color w:val="auto"/>
                <w:kern w:val="2"/>
                <w:sz w:val="21"/>
                <w:szCs w:val="21"/>
                <w:highlight w:val="none"/>
                <w:lang w:val="en-US" w:eastAsia="zh-CN"/>
              </w:rPr>
              <w:t>0.0014</w:t>
            </w:r>
            <w:r>
              <w:rPr>
                <w:rFonts w:hint="default" w:ascii="Times New Roman" w:hAnsi="Times New Roman" w:eastAsia="宋体" w:cs="Times New Roman"/>
                <w:b w:val="0"/>
                <w:bCs/>
                <w:color w:val="auto"/>
                <w:kern w:val="2"/>
                <w:sz w:val="21"/>
                <w:szCs w:val="21"/>
                <w:highlight w:val="none"/>
              </w:rPr>
              <w:t>kg/h</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eastAsia" w:ascii="Times New Roman" w:hAnsi="Times New Roman" w:eastAsia="宋体" w:cs="Times New Roman"/>
                <w:b w:val="0"/>
                <w:bCs/>
                <w:color w:val="auto"/>
                <w:sz w:val="21"/>
                <w:szCs w:val="21"/>
                <w:highlight w:val="none"/>
                <w:lang w:eastAsia="zh-CN"/>
              </w:rPr>
            </w:pPr>
            <w:r>
              <w:rPr>
                <w:rFonts w:hint="eastAsia" w:ascii="Times New Roman" w:hAnsi="Times New Roman" w:cs="Times New Roman"/>
                <w:b w:val="0"/>
                <w:bCs/>
                <w:color w:val="auto"/>
                <w:sz w:val="21"/>
                <w:szCs w:val="21"/>
                <w:highlight w:val="none"/>
                <w:lang w:eastAsia="zh-CN"/>
              </w:rPr>
              <w:t>干清粪</w:t>
            </w:r>
            <w:r>
              <w:rPr>
                <w:rFonts w:hint="default" w:ascii="Times New Roman" w:hAnsi="Times New Roman" w:eastAsia="宋体" w:cs="Times New Roman"/>
                <w:b w:val="0"/>
                <w:bCs/>
                <w:color w:val="auto"/>
                <w:sz w:val="21"/>
                <w:szCs w:val="21"/>
                <w:highlight w:val="none"/>
              </w:rPr>
              <w:t>、除臭剂、添加EM菌饲料、</w:t>
            </w:r>
            <w:r>
              <w:rPr>
                <w:rFonts w:hint="eastAsia" w:ascii="Times New Roman" w:hAnsi="Times New Roman" w:cs="Times New Roman"/>
                <w:b w:val="0"/>
                <w:bCs/>
                <w:color w:val="auto"/>
                <w:sz w:val="21"/>
                <w:szCs w:val="21"/>
                <w:highlight w:val="none"/>
                <w:lang w:eastAsia="zh-CN"/>
              </w:rPr>
              <w:t>绿化带</w:t>
            </w:r>
          </w:p>
        </w:tc>
        <w:tc>
          <w:tcPr>
            <w:tcW w:w="2865" w:type="dxa"/>
            <w:gridSpan w:val="2"/>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NH</w:t>
            </w:r>
            <w:r>
              <w:rPr>
                <w:rFonts w:hint="default" w:ascii="Times New Roman" w:hAnsi="Times New Roman" w:eastAsia="宋体" w:cs="Times New Roman"/>
                <w:b w:val="0"/>
                <w:bCs/>
                <w:color w:val="auto"/>
                <w:sz w:val="21"/>
                <w:szCs w:val="21"/>
                <w:highlight w:val="none"/>
                <w:vertAlign w:val="subscript"/>
              </w:rPr>
              <w:t>3</w:t>
            </w:r>
            <w:r>
              <w:rPr>
                <w:rFonts w:hint="default" w:ascii="Times New Roman" w:hAnsi="Times New Roman" w:eastAsia="宋体" w:cs="Times New Roman"/>
                <w:b w:val="0"/>
                <w:bCs/>
                <w:color w:val="auto"/>
                <w:sz w:val="21"/>
                <w:szCs w:val="21"/>
                <w:highlight w:val="none"/>
              </w:rPr>
              <w:t>、H</w:t>
            </w:r>
            <w:r>
              <w:rPr>
                <w:rFonts w:hint="default" w:ascii="Times New Roman" w:hAnsi="Times New Roman" w:eastAsia="宋体" w:cs="Times New Roman"/>
                <w:b w:val="0"/>
                <w:bCs/>
                <w:color w:val="auto"/>
                <w:sz w:val="21"/>
                <w:szCs w:val="21"/>
                <w:highlight w:val="none"/>
                <w:vertAlign w:val="subscript"/>
              </w:rPr>
              <w:t>2</w:t>
            </w:r>
            <w:r>
              <w:rPr>
                <w:rFonts w:hint="default" w:ascii="Times New Roman" w:hAnsi="Times New Roman" w:eastAsia="宋体" w:cs="Times New Roman"/>
                <w:b w:val="0"/>
                <w:bCs/>
                <w:color w:val="auto"/>
                <w:sz w:val="21"/>
                <w:szCs w:val="21"/>
                <w:highlight w:val="none"/>
              </w:rPr>
              <w:t>S执行《恶臭污染物排放标准》（GB14554-93）表1恶臭污染物厂界标准值的规定；臭气浓度执行《畜禽养殖 业污染物排放标准》（GB18596-2001）中表7集约化畜禽养殖业恶臭污染物排放标准的规定</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bottom w:val="single" w:color="000000" w:sz="6"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污水处理 站</w:t>
            </w:r>
          </w:p>
        </w:tc>
        <w:tc>
          <w:tcPr>
            <w:tcW w:w="983"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c>
          <w:tcPr>
            <w:tcW w:w="3523" w:type="dxa"/>
            <w:tcBorders>
              <w:bottom w:val="single" w:color="000000" w:sz="6"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“碱液喷淋+生物过滤法”处理后经15m高排气筒</w:t>
            </w:r>
            <w:r>
              <w:rPr>
                <w:rFonts w:hint="default" w:ascii="Times New Roman" w:hAnsi="Times New Roman" w:eastAsia="宋体" w:cs="Times New Roman"/>
                <w:b w:val="0"/>
                <w:bCs/>
                <w:color w:val="auto"/>
                <w:sz w:val="21"/>
                <w:szCs w:val="21"/>
                <w:highlight w:val="none"/>
                <w:lang w:eastAsia="zh-CN"/>
              </w:rPr>
              <w:t>（DA002</w:t>
            </w:r>
            <w:r>
              <w:rPr>
                <w:rFonts w:hint="default" w:ascii="Times New Roman" w:hAnsi="Times New Roman" w:eastAsia="宋体" w:cs="Times New Roman"/>
                <w:b w:val="0"/>
                <w:bCs/>
                <w:color w:val="auto"/>
                <w:sz w:val="21"/>
                <w:szCs w:val="21"/>
                <w:highlight w:val="none"/>
                <w:lang w:val="en-US" w:eastAsia="zh-CN"/>
              </w:rPr>
              <w:t>）</w:t>
            </w:r>
            <w:r>
              <w:rPr>
                <w:rFonts w:hint="default" w:ascii="Times New Roman" w:hAnsi="Times New Roman" w:eastAsia="宋体" w:cs="Times New Roman"/>
                <w:b w:val="0"/>
                <w:bCs/>
                <w:color w:val="auto"/>
                <w:sz w:val="21"/>
                <w:szCs w:val="21"/>
                <w:highlight w:val="none"/>
              </w:rPr>
              <w:t>排放</w:t>
            </w:r>
            <w:r>
              <w:rPr>
                <w:rFonts w:hint="default" w:ascii="Times New Roman" w:hAnsi="Times New Roman" w:eastAsia="宋体" w:cs="Times New Roman"/>
                <w:b w:val="0"/>
                <w:bCs/>
                <w:color w:val="auto"/>
                <w:kern w:val="2"/>
                <w:sz w:val="21"/>
                <w:szCs w:val="21"/>
                <w:highlight w:val="none"/>
                <w:lang w:eastAsia="zh-CN"/>
              </w:rPr>
              <w:t>、</w:t>
            </w:r>
            <w:r>
              <w:rPr>
                <w:rFonts w:hint="default" w:ascii="Times New Roman" w:hAnsi="Times New Roman" w:eastAsia="宋体" w:cs="Times New Roman"/>
                <w:b w:val="0"/>
                <w:bCs/>
                <w:color w:val="auto"/>
                <w:sz w:val="21"/>
                <w:szCs w:val="21"/>
                <w:highlight w:val="none"/>
              </w:rPr>
              <w:t>喷洒除臭剂</w:t>
            </w:r>
          </w:p>
        </w:tc>
        <w:tc>
          <w:tcPr>
            <w:tcW w:w="2100" w:type="dxa"/>
            <w:tcBorders>
              <w:bottom w:val="single" w:color="000000" w:sz="6"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NH</w:t>
            </w:r>
            <w:r>
              <w:rPr>
                <w:rFonts w:hint="default" w:ascii="Times New Roman" w:hAnsi="Times New Roman" w:eastAsia="宋体" w:cs="Times New Roman"/>
                <w:b w:val="0"/>
                <w:bCs/>
                <w:color w:val="auto"/>
                <w:sz w:val="21"/>
                <w:szCs w:val="21"/>
                <w:highlight w:val="none"/>
                <w:vertAlign w:val="subscript"/>
              </w:rPr>
              <w:t>3</w:t>
            </w:r>
            <w:r>
              <w:rPr>
                <w:rFonts w:hint="default" w:ascii="Times New Roman" w:hAnsi="Times New Roman" w:eastAsia="宋体" w:cs="Times New Roman"/>
                <w:b w:val="0"/>
                <w:bCs/>
                <w:color w:val="auto"/>
                <w:sz w:val="21"/>
                <w:szCs w:val="21"/>
                <w:highlight w:val="none"/>
              </w:rPr>
              <w:t>：2.56849E-05kg/h</w:t>
            </w:r>
          </w:p>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H</w:t>
            </w:r>
            <w:r>
              <w:rPr>
                <w:rFonts w:hint="default" w:ascii="Times New Roman" w:hAnsi="Times New Roman" w:eastAsia="宋体" w:cs="Times New Roman"/>
                <w:b w:val="0"/>
                <w:bCs/>
                <w:color w:val="auto"/>
                <w:sz w:val="21"/>
                <w:szCs w:val="21"/>
                <w:highlight w:val="none"/>
                <w:vertAlign w:val="subscript"/>
              </w:rPr>
              <w:t>2</w:t>
            </w:r>
            <w:r>
              <w:rPr>
                <w:rFonts w:hint="default" w:ascii="Times New Roman" w:hAnsi="Times New Roman" w:eastAsia="宋体" w:cs="Times New Roman"/>
                <w:b w:val="0"/>
                <w:bCs/>
                <w:color w:val="auto"/>
                <w:sz w:val="21"/>
                <w:szCs w:val="21"/>
                <w:highlight w:val="none"/>
              </w:rPr>
              <w:t>S：1.02740E-06kg/h</w:t>
            </w:r>
          </w:p>
        </w:tc>
        <w:tc>
          <w:tcPr>
            <w:tcW w:w="2820" w:type="dxa"/>
            <w:tcBorders>
              <w:bottom w:val="single" w:color="000000" w:sz="6"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集污池、A/O池加盖，固液分离设施置于房间内，除臭剂</w:t>
            </w:r>
          </w:p>
        </w:tc>
        <w:tc>
          <w:tcPr>
            <w:tcW w:w="2865" w:type="dxa"/>
            <w:gridSpan w:val="2"/>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top w:val="single" w:color="000000" w:sz="6"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kern w:val="2"/>
                <w:sz w:val="21"/>
                <w:szCs w:val="21"/>
                <w:highlight w:val="none"/>
                <w:lang w:eastAsia="zh-CN"/>
              </w:rPr>
              <w:t>干粪棚</w:t>
            </w:r>
          </w:p>
        </w:tc>
        <w:tc>
          <w:tcPr>
            <w:tcW w:w="983"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c>
          <w:tcPr>
            <w:tcW w:w="3523" w:type="dxa"/>
            <w:tcBorders>
              <w:top w:val="single" w:color="000000" w:sz="6"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kern w:val="0"/>
                <w:sz w:val="21"/>
                <w:szCs w:val="21"/>
                <w:highlight w:val="none"/>
                <w:lang w:val="en-US" w:eastAsia="zh-CN" w:bidi="ar-SA"/>
              </w:rPr>
              <w:t>①产生的干粪日产日清，保持干粪棚的清洁和干燥；②加强消毒；③夏季在干粪棚内投放吸附剂、除臭剂；④对不能及时清运的干粪，投洒除臭剂、EM菌液；⑤加强周边绿化等。</w:t>
            </w:r>
            <w:r>
              <w:rPr>
                <w:rFonts w:hint="eastAsia" w:ascii="Times New Roman" w:hAnsi="Times New Roman" w:eastAsia="宋体" w:cs="Times New Roman"/>
                <w:b w:val="0"/>
                <w:bCs/>
                <w:color w:val="auto"/>
                <w:kern w:val="0"/>
                <w:sz w:val="21"/>
                <w:szCs w:val="21"/>
                <w:highlight w:val="none"/>
                <w:lang w:val="en-US" w:eastAsia="zh-CN" w:bidi="ar-SA"/>
              </w:rPr>
              <w:t>⑥</w:t>
            </w:r>
            <w:r>
              <w:rPr>
                <w:rFonts w:hint="default" w:ascii="Times New Roman" w:hAnsi="Times New Roman" w:eastAsia="宋体" w:cs="Times New Roman"/>
                <w:b w:val="0"/>
                <w:bCs/>
                <w:color w:val="auto"/>
                <w:sz w:val="21"/>
                <w:szCs w:val="21"/>
                <w:highlight w:val="none"/>
                <w:lang w:val="en-US" w:eastAsia="zh-CN"/>
              </w:rPr>
              <w:t>负压收集后的废气经生物滤池处理后经15m高排气筒</w:t>
            </w:r>
            <w:r>
              <w:rPr>
                <w:rFonts w:hint="default" w:ascii="Times New Roman" w:hAnsi="Times New Roman" w:eastAsia="宋体" w:cs="Times New Roman"/>
                <w:b w:val="0"/>
                <w:bCs/>
                <w:color w:val="auto"/>
                <w:sz w:val="21"/>
                <w:szCs w:val="21"/>
                <w:highlight w:val="none"/>
                <w:lang w:eastAsia="zh-CN"/>
              </w:rPr>
              <w:t>（DA00</w:t>
            </w:r>
            <w:r>
              <w:rPr>
                <w:rFonts w:hint="default" w:ascii="Times New Roman" w:hAnsi="Times New Roman" w:eastAsia="宋体" w:cs="Times New Roman"/>
                <w:b w:val="0"/>
                <w:bCs/>
                <w:color w:val="auto"/>
                <w:sz w:val="21"/>
                <w:szCs w:val="21"/>
                <w:highlight w:val="none"/>
                <w:lang w:val="en-US" w:eastAsia="zh-CN"/>
              </w:rPr>
              <w:t>1）排放</w:t>
            </w:r>
            <w:r>
              <w:rPr>
                <w:rFonts w:hint="eastAsia" w:ascii="Times New Roman" w:hAnsi="Times New Roman" w:eastAsia="宋体" w:cs="Times New Roman"/>
                <w:b w:val="0"/>
                <w:bCs/>
                <w:color w:val="auto"/>
                <w:sz w:val="21"/>
                <w:szCs w:val="21"/>
                <w:highlight w:val="none"/>
                <w:lang w:val="en-US" w:eastAsia="zh-CN"/>
              </w:rPr>
              <w:t>；</w:t>
            </w:r>
          </w:p>
        </w:tc>
        <w:tc>
          <w:tcPr>
            <w:tcW w:w="2100" w:type="dxa"/>
            <w:tcBorders>
              <w:top w:val="single" w:color="000000" w:sz="6" w:space="0"/>
              <w:tl2br w:val="nil"/>
              <w:tr2bl w:val="nil"/>
            </w:tcBorders>
            <w:noWrap w:val="0"/>
            <w:vAlign w:val="center"/>
          </w:tcPr>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highlight w:val="none"/>
              </w:rPr>
            </w:pPr>
            <w:r>
              <w:rPr>
                <w:rFonts w:hint="default" w:ascii="Times New Roman" w:hAnsi="Times New Roman" w:eastAsia="宋体" w:cs="Times New Roman"/>
                <w:color w:val="auto"/>
                <w:kern w:val="2"/>
                <w:sz w:val="21"/>
                <w:szCs w:val="21"/>
                <w:highlight w:val="none"/>
              </w:rPr>
              <w:t>N</w:t>
            </w:r>
            <w:r>
              <w:rPr>
                <w:rFonts w:hint="default" w:ascii="Times New Roman" w:hAnsi="Times New Roman" w:eastAsia="宋体" w:cs="Times New Roman"/>
                <w:b w:val="0"/>
                <w:bCs w:val="0"/>
                <w:color w:val="auto"/>
                <w:kern w:val="2"/>
                <w:sz w:val="21"/>
                <w:szCs w:val="21"/>
                <w:highlight w:val="none"/>
              </w:rPr>
              <w:t>H</w:t>
            </w:r>
            <w:r>
              <w:rPr>
                <w:rFonts w:hint="default" w:ascii="Times New Roman" w:hAnsi="Times New Roman" w:eastAsia="宋体" w:cs="Times New Roman"/>
                <w:b w:val="0"/>
                <w:bCs w:val="0"/>
                <w:color w:val="auto"/>
                <w:kern w:val="2"/>
                <w:sz w:val="21"/>
                <w:szCs w:val="21"/>
                <w:highlight w:val="none"/>
                <w:vertAlign w:val="subscript"/>
              </w:rPr>
              <w:t>3</w:t>
            </w:r>
            <w:r>
              <w:rPr>
                <w:rFonts w:hint="default" w:ascii="Times New Roman" w:hAnsi="Times New Roman" w:eastAsia="宋体" w:cs="Times New Roman"/>
                <w:b w:val="0"/>
                <w:bCs w:val="0"/>
                <w:color w:val="auto"/>
                <w:kern w:val="2"/>
                <w:sz w:val="21"/>
                <w:szCs w:val="21"/>
                <w:highlight w:val="none"/>
              </w:rPr>
              <w:t>：</w:t>
            </w:r>
            <w:r>
              <w:rPr>
                <w:rFonts w:hint="eastAsia" w:ascii="Times New Roman" w:hAnsi="Times New Roman" w:cs="Times New Roman"/>
                <w:b w:val="0"/>
                <w:bCs w:val="0"/>
                <w:color w:val="auto"/>
                <w:kern w:val="2"/>
                <w:sz w:val="21"/>
                <w:szCs w:val="21"/>
                <w:highlight w:val="none"/>
                <w:lang w:val="en-US" w:eastAsia="zh-CN"/>
              </w:rPr>
              <w:t>0.0012</w:t>
            </w:r>
            <w:r>
              <w:rPr>
                <w:rFonts w:hint="default" w:ascii="Times New Roman" w:hAnsi="Times New Roman" w:eastAsia="宋体" w:cs="Times New Roman"/>
                <w:b w:val="0"/>
                <w:bCs w:val="0"/>
                <w:color w:val="auto"/>
                <w:kern w:val="2"/>
                <w:sz w:val="21"/>
                <w:szCs w:val="21"/>
                <w:highlight w:val="none"/>
              </w:rPr>
              <w:t>kg/h</w:t>
            </w:r>
          </w:p>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val="0"/>
                <w:color w:val="auto"/>
                <w:kern w:val="2"/>
                <w:sz w:val="21"/>
                <w:szCs w:val="21"/>
                <w:highlight w:val="none"/>
              </w:rPr>
              <w:t>H</w:t>
            </w:r>
            <w:r>
              <w:rPr>
                <w:rFonts w:hint="default" w:ascii="Times New Roman" w:hAnsi="Times New Roman" w:eastAsia="宋体" w:cs="Times New Roman"/>
                <w:b w:val="0"/>
                <w:bCs w:val="0"/>
                <w:color w:val="auto"/>
                <w:kern w:val="2"/>
                <w:sz w:val="21"/>
                <w:szCs w:val="21"/>
                <w:highlight w:val="none"/>
                <w:vertAlign w:val="subscript"/>
              </w:rPr>
              <w:t>2</w:t>
            </w:r>
            <w:r>
              <w:rPr>
                <w:rFonts w:hint="default" w:ascii="Times New Roman" w:hAnsi="Times New Roman" w:eastAsia="宋体" w:cs="Times New Roman"/>
                <w:b w:val="0"/>
                <w:bCs w:val="0"/>
                <w:color w:val="auto"/>
                <w:kern w:val="2"/>
                <w:sz w:val="21"/>
                <w:szCs w:val="21"/>
                <w:highlight w:val="none"/>
              </w:rPr>
              <w:t>S</w:t>
            </w:r>
            <w:r>
              <w:rPr>
                <w:rFonts w:hint="eastAsia" w:ascii="Times New Roman" w:hAnsi="Times New Roman" w:cs="Times New Roman"/>
                <w:b w:val="0"/>
                <w:bCs w:val="0"/>
                <w:color w:val="auto"/>
                <w:kern w:val="2"/>
                <w:sz w:val="21"/>
                <w:szCs w:val="21"/>
                <w:highlight w:val="none"/>
                <w:lang w:eastAsia="zh-CN"/>
              </w:rPr>
              <w:t>：</w:t>
            </w:r>
            <w:r>
              <w:rPr>
                <w:rFonts w:hint="eastAsia" w:ascii="Times New Roman" w:hAnsi="Times New Roman" w:cs="Times New Roman"/>
                <w:b w:val="0"/>
                <w:bCs w:val="0"/>
                <w:color w:val="auto"/>
                <w:kern w:val="2"/>
                <w:sz w:val="21"/>
                <w:szCs w:val="21"/>
                <w:highlight w:val="none"/>
                <w:lang w:val="en-US" w:eastAsia="zh-CN"/>
              </w:rPr>
              <w:t>0.0002</w:t>
            </w:r>
            <w:r>
              <w:rPr>
                <w:rFonts w:hint="default" w:ascii="Times New Roman" w:hAnsi="Times New Roman" w:eastAsia="宋体" w:cs="Times New Roman"/>
                <w:b w:val="0"/>
                <w:bCs w:val="0"/>
                <w:color w:val="auto"/>
                <w:kern w:val="2"/>
                <w:sz w:val="21"/>
                <w:szCs w:val="21"/>
                <w:highlight w:val="none"/>
              </w:rPr>
              <w:t>kg/h</w:t>
            </w:r>
          </w:p>
        </w:tc>
        <w:tc>
          <w:tcPr>
            <w:tcW w:w="2820" w:type="dxa"/>
            <w:tcBorders>
              <w:top w:val="single" w:color="000000" w:sz="6"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eastAsia"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b w:val="0"/>
                <w:bCs/>
                <w:color w:val="auto"/>
                <w:sz w:val="21"/>
                <w:szCs w:val="21"/>
                <w:highlight w:val="none"/>
                <w:lang w:val="en-US" w:eastAsia="zh-CN"/>
              </w:rPr>
              <w:t>经生物滤池处理后经15m高排气筒</w:t>
            </w:r>
            <w:r>
              <w:rPr>
                <w:rFonts w:hint="default" w:ascii="Times New Roman" w:hAnsi="Times New Roman" w:eastAsia="宋体" w:cs="Times New Roman"/>
                <w:b w:val="0"/>
                <w:bCs/>
                <w:color w:val="auto"/>
                <w:sz w:val="21"/>
                <w:szCs w:val="21"/>
                <w:highlight w:val="none"/>
                <w:lang w:eastAsia="zh-CN"/>
              </w:rPr>
              <w:t>（DA00</w:t>
            </w:r>
            <w:r>
              <w:rPr>
                <w:rFonts w:hint="default" w:ascii="Times New Roman" w:hAnsi="Times New Roman" w:eastAsia="宋体" w:cs="Times New Roman"/>
                <w:b w:val="0"/>
                <w:bCs/>
                <w:color w:val="auto"/>
                <w:sz w:val="21"/>
                <w:szCs w:val="21"/>
                <w:highlight w:val="none"/>
                <w:lang w:val="en-US" w:eastAsia="zh-CN"/>
              </w:rPr>
              <w:t>1）排放</w:t>
            </w:r>
            <w:r>
              <w:rPr>
                <w:rFonts w:hint="default" w:ascii="Times New Roman" w:hAnsi="Times New Roman" w:eastAsia="宋体" w:cs="Times New Roman"/>
                <w:b w:val="0"/>
                <w:bCs/>
                <w:color w:val="auto"/>
                <w:kern w:val="2"/>
                <w:sz w:val="21"/>
                <w:szCs w:val="21"/>
                <w:highlight w:val="none"/>
                <w:lang w:eastAsia="zh-CN"/>
              </w:rPr>
              <w:t>、</w:t>
            </w:r>
            <w:r>
              <w:rPr>
                <w:rFonts w:hint="default" w:ascii="Times New Roman" w:hAnsi="Times New Roman" w:eastAsia="宋体" w:cs="Times New Roman"/>
                <w:b w:val="0"/>
                <w:bCs/>
                <w:color w:val="auto"/>
                <w:sz w:val="21"/>
                <w:szCs w:val="21"/>
                <w:highlight w:val="none"/>
              </w:rPr>
              <w:t>喷洒除臭剂</w:t>
            </w:r>
            <w:r>
              <w:rPr>
                <w:rFonts w:hint="eastAsia" w:ascii="Times New Roman" w:hAnsi="Times New Roman" w:cs="Times New Roman"/>
                <w:b w:val="0"/>
                <w:bCs/>
                <w:color w:val="auto"/>
                <w:sz w:val="21"/>
                <w:szCs w:val="21"/>
                <w:highlight w:val="none"/>
                <w:lang w:eastAsia="zh-CN"/>
              </w:rPr>
              <w:t>、消毒、牛粪日产日清</w:t>
            </w:r>
          </w:p>
        </w:tc>
        <w:tc>
          <w:tcPr>
            <w:tcW w:w="2865" w:type="dxa"/>
            <w:gridSpan w:val="2"/>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786" w:hRule="atLeast"/>
        </w:trPr>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无害化处 理车间</w:t>
            </w:r>
          </w:p>
        </w:tc>
        <w:tc>
          <w:tcPr>
            <w:tcW w:w="983"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无害化降解处理机设备密闭运行，废气经自带净化装置处理后外排，</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少量</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配套废气处理设施</w:t>
            </w:r>
          </w:p>
        </w:tc>
        <w:tc>
          <w:tcPr>
            <w:tcW w:w="2865" w:type="dxa"/>
            <w:gridSpan w:val="2"/>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Pr>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运输车辆</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恶臭、尾气</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加强车辆管理、每天清洗</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少量</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车辆冲洗设施/</w:t>
            </w:r>
          </w:p>
        </w:tc>
        <w:tc>
          <w:tcPr>
            <w:tcW w:w="2857"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Height w:val="550" w:hRule="atLeast"/>
        </w:trPr>
        <w:tc>
          <w:tcPr>
            <w:tcW w:w="571" w:type="dxa"/>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r>
              <w:rPr>
                <w:rFonts w:hint="eastAsia"/>
                <w:color w:val="auto"/>
                <w:sz w:val="21"/>
                <w:szCs w:val="21"/>
                <w:highlight w:val="none"/>
              </w:rPr>
              <w:t>水环</w:t>
            </w:r>
            <w:r>
              <w:rPr>
                <w:rFonts w:hint="default"/>
                <w:color w:val="auto"/>
                <w:sz w:val="21"/>
                <w:szCs w:val="21"/>
                <w:highlight w:val="none"/>
              </w:rPr>
              <w:t xml:space="preserve"> </w:t>
            </w:r>
            <w:r>
              <w:rPr>
                <w:rFonts w:hint="eastAsia"/>
                <w:color w:val="auto"/>
                <w:sz w:val="21"/>
                <w:szCs w:val="21"/>
                <w:highlight w:val="none"/>
              </w:rPr>
              <w:t>境</w:t>
            </w: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eastAsia" w:ascii="Times New Roman" w:hAnsi="Times New Roman" w:eastAsia="宋体" w:cs="Times New Roman"/>
                <w:b w:val="0"/>
                <w:bCs/>
                <w:color w:val="auto"/>
                <w:sz w:val="21"/>
                <w:szCs w:val="21"/>
                <w:highlight w:val="none"/>
                <w:lang w:eastAsia="zh-CN"/>
              </w:rPr>
            </w:pPr>
            <w:r>
              <w:rPr>
                <w:rFonts w:hint="eastAsia" w:ascii="Times New Roman" w:hAnsi="Times New Roman" w:cs="Times New Roman"/>
                <w:b w:val="0"/>
                <w:bCs/>
                <w:color w:val="auto"/>
                <w:sz w:val="21"/>
                <w:szCs w:val="21"/>
                <w:highlight w:val="none"/>
                <w:lang w:eastAsia="zh-CN"/>
              </w:rPr>
              <w:t>牛舍</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eastAsia="zh-CN"/>
              </w:rPr>
              <w:t>养殖废水</w:t>
            </w:r>
          </w:p>
        </w:tc>
        <w:tc>
          <w:tcPr>
            <w:tcW w:w="3523" w:type="dxa"/>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食堂含油废水经隔油处理后汇入</w:t>
            </w:r>
            <w:r>
              <w:rPr>
                <w:rFonts w:hint="eastAsia" w:ascii="Times New Roman" w:hAnsi="Times New Roman" w:cs="Times New Roman"/>
                <w:b w:val="0"/>
                <w:bCs/>
                <w:color w:val="auto"/>
                <w:sz w:val="21"/>
                <w:szCs w:val="21"/>
                <w:highlight w:val="none"/>
                <w:lang w:eastAsia="zh-CN"/>
              </w:rPr>
              <w:t>预处理池</w:t>
            </w:r>
            <w:r>
              <w:rPr>
                <w:rFonts w:hint="default" w:ascii="Times New Roman" w:hAnsi="Times New Roman" w:eastAsia="宋体" w:cs="Times New Roman"/>
                <w:b w:val="0"/>
                <w:bCs/>
                <w:color w:val="auto"/>
                <w:sz w:val="21"/>
                <w:szCs w:val="21"/>
                <w:highlight w:val="none"/>
              </w:rPr>
              <w:t>（生活污水预处理），与养殖废水一起进入污水处理站</w:t>
            </w:r>
          </w:p>
        </w:tc>
        <w:tc>
          <w:tcPr>
            <w:tcW w:w="2100" w:type="dxa"/>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不外排，用于</w:t>
            </w:r>
            <w:r>
              <w:rPr>
                <w:rFonts w:hint="eastAsia" w:ascii="Times New Roman" w:hAnsi="Times New Roman" w:cs="Times New Roman"/>
                <w:b w:val="0"/>
                <w:bCs/>
                <w:color w:val="auto"/>
                <w:sz w:val="21"/>
                <w:szCs w:val="21"/>
                <w:highlight w:val="none"/>
                <w:lang w:eastAsia="zh-CN"/>
              </w:rPr>
              <w:t>农田灌溉</w:t>
            </w:r>
            <w:r>
              <w:rPr>
                <w:rFonts w:hint="default" w:ascii="Times New Roman" w:hAnsi="Times New Roman" w:eastAsia="宋体" w:cs="Times New Roman"/>
                <w:b w:val="0"/>
                <w:bCs/>
                <w:color w:val="auto"/>
                <w:sz w:val="21"/>
                <w:szCs w:val="21"/>
                <w:highlight w:val="none"/>
              </w:rPr>
              <w:t>。</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COD:200mg/L;</w:t>
            </w:r>
            <w:r>
              <w:rPr>
                <w:rFonts w:hint="eastAsia" w:ascii="Times New Roman" w:hAnsi="Times New Roman" w:cs="Times New Roman"/>
                <w:color w:val="auto"/>
                <w:kern w:val="2"/>
                <w:sz w:val="21"/>
                <w:szCs w:val="21"/>
                <w:highlight w:val="none"/>
                <w:lang w:val="en-US" w:eastAsia="zh-CN"/>
              </w:rPr>
              <w:t>18.16</w:t>
            </w:r>
            <w:r>
              <w:rPr>
                <w:rFonts w:hint="default" w:ascii="Times New Roman" w:hAnsi="Times New Roman" w:eastAsia="宋体" w:cs="Times New Roman"/>
                <w:color w:val="auto"/>
                <w:kern w:val="2"/>
                <w:sz w:val="21"/>
                <w:szCs w:val="21"/>
                <w:highlight w:val="none"/>
              </w:rPr>
              <w:t>t/a</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BOD:100mg/L;</w:t>
            </w:r>
            <w:r>
              <w:rPr>
                <w:rFonts w:hint="eastAsia" w:ascii="Times New Roman" w:hAnsi="Times New Roman" w:cs="Times New Roman"/>
                <w:color w:val="auto"/>
                <w:kern w:val="2"/>
                <w:sz w:val="21"/>
                <w:szCs w:val="21"/>
                <w:highlight w:val="none"/>
                <w:lang w:val="en-US" w:eastAsia="zh-CN"/>
              </w:rPr>
              <w:t>9.08</w:t>
            </w:r>
            <w:r>
              <w:rPr>
                <w:rFonts w:hint="default" w:ascii="Times New Roman" w:hAnsi="Times New Roman" w:eastAsia="宋体" w:cs="Times New Roman"/>
                <w:color w:val="auto"/>
                <w:kern w:val="2"/>
                <w:sz w:val="21"/>
                <w:szCs w:val="21"/>
                <w:highlight w:val="none"/>
              </w:rPr>
              <w:t>t/a</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SS:100mg/L;</w:t>
            </w:r>
            <w:r>
              <w:rPr>
                <w:rFonts w:hint="eastAsia" w:ascii="Times New Roman" w:hAnsi="Times New Roman" w:cs="Times New Roman"/>
                <w:color w:val="auto"/>
                <w:kern w:val="2"/>
                <w:sz w:val="21"/>
                <w:szCs w:val="21"/>
                <w:highlight w:val="none"/>
                <w:lang w:val="en-US" w:eastAsia="zh-CN"/>
              </w:rPr>
              <w:t>9.08</w:t>
            </w:r>
            <w:r>
              <w:rPr>
                <w:rFonts w:hint="default" w:ascii="Times New Roman" w:hAnsi="Times New Roman" w:eastAsia="宋体" w:cs="Times New Roman"/>
                <w:color w:val="auto"/>
                <w:kern w:val="2"/>
                <w:sz w:val="21"/>
                <w:szCs w:val="21"/>
                <w:highlight w:val="none"/>
              </w:rPr>
              <w:t>t/a</w:t>
            </w:r>
          </w:p>
          <w:p>
            <w:pPr>
              <w:pStyle w:val="167"/>
              <w:keepNext w:val="0"/>
              <w:keepLines w:val="0"/>
              <w:suppressLineNumbers w:val="0"/>
              <w:kinsoku w:val="0"/>
              <w:wordWrap w:val="0"/>
              <w:overflowPunct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color w:val="auto"/>
                <w:kern w:val="2"/>
                <w:sz w:val="21"/>
                <w:szCs w:val="21"/>
                <w:highlight w:val="none"/>
              </w:rPr>
              <w:t>NH</w:t>
            </w:r>
            <w:r>
              <w:rPr>
                <w:rFonts w:hint="default" w:ascii="Times New Roman" w:hAnsi="Times New Roman" w:eastAsia="宋体" w:cs="Times New Roman"/>
                <w:color w:val="auto"/>
                <w:kern w:val="2"/>
                <w:sz w:val="21"/>
                <w:szCs w:val="21"/>
                <w:highlight w:val="none"/>
                <w:vertAlign w:val="subscript"/>
              </w:rPr>
              <w:t>3</w:t>
            </w:r>
            <w:r>
              <w:rPr>
                <w:rFonts w:hint="default" w:ascii="Times New Roman" w:hAnsi="Times New Roman" w:eastAsia="宋体" w:cs="Times New Roman"/>
                <w:color w:val="auto"/>
                <w:kern w:val="2"/>
                <w:sz w:val="21"/>
                <w:szCs w:val="21"/>
                <w:highlight w:val="none"/>
              </w:rPr>
              <w:t>-N:</w:t>
            </w:r>
            <w:r>
              <w:rPr>
                <w:rFonts w:hint="eastAsia" w:ascii="Times New Roman" w:hAnsi="Times New Roman" w:cs="Times New Roman"/>
                <w:color w:val="auto"/>
                <w:kern w:val="2"/>
                <w:sz w:val="21"/>
                <w:szCs w:val="21"/>
                <w:highlight w:val="none"/>
                <w:lang w:val="en-US" w:eastAsia="zh-CN"/>
              </w:rPr>
              <w:t>15</w:t>
            </w:r>
            <w:r>
              <w:rPr>
                <w:rFonts w:hint="default" w:ascii="Times New Roman" w:hAnsi="Times New Roman" w:eastAsia="宋体" w:cs="Times New Roman"/>
                <w:color w:val="auto"/>
                <w:kern w:val="2"/>
                <w:sz w:val="21"/>
                <w:szCs w:val="21"/>
                <w:highlight w:val="none"/>
              </w:rPr>
              <w:t>mg/L;</w:t>
            </w:r>
            <w:r>
              <w:rPr>
                <w:rFonts w:hint="eastAsia" w:ascii="Times New Roman" w:hAnsi="Times New Roman" w:cs="Times New Roman"/>
                <w:color w:val="auto"/>
                <w:kern w:val="2"/>
                <w:sz w:val="21"/>
                <w:szCs w:val="21"/>
                <w:highlight w:val="none"/>
                <w:lang w:val="en-US" w:eastAsia="zh-CN"/>
              </w:rPr>
              <w:t>1.36</w:t>
            </w:r>
            <w:r>
              <w:rPr>
                <w:rFonts w:hint="default" w:ascii="Times New Roman" w:hAnsi="Times New Roman" w:eastAsia="宋体" w:cs="Times New Roman"/>
                <w:color w:val="auto"/>
                <w:kern w:val="2"/>
                <w:sz w:val="21"/>
                <w:szCs w:val="21"/>
                <w:highlight w:val="none"/>
              </w:rPr>
              <w:t>t/a</w:t>
            </w:r>
          </w:p>
        </w:tc>
        <w:tc>
          <w:tcPr>
            <w:tcW w:w="2820" w:type="dxa"/>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隔油池（6m</w:t>
            </w:r>
            <w:r>
              <w:rPr>
                <w:rFonts w:hint="default" w:ascii="Times New Roman" w:hAnsi="Times New Roman" w:eastAsia="宋体" w:cs="Times New Roman"/>
                <w:b w:val="0"/>
                <w:bCs/>
                <w:color w:val="auto"/>
                <w:sz w:val="21"/>
                <w:szCs w:val="21"/>
                <w:highlight w:val="none"/>
                <w:vertAlign w:val="superscript"/>
              </w:rPr>
              <w:t>3</w:t>
            </w:r>
            <w:r>
              <w:rPr>
                <w:rFonts w:hint="default" w:ascii="Times New Roman" w:hAnsi="Times New Roman" w:eastAsia="宋体" w:cs="Times New Roman"/>
                <w:b w:val="0"/>
                <w:bCs/>
                <w:color w:val="auto"/>
                <w:sz w:val="21"/>
                <w:szCs w:val="21"/>
                <w:highlight w:val="none"/>
              </w:rPr>
              <w:t>）、</w:t>
            </w:r>
            <w:r>
              <w:rPr>
                <w:rFonts w:hint="eastAsia" w:ascii="Times New Roman" w:hAnsi="Times New Roman" w:cs="Times New Roman"/>
                <w:b w:val="0"/>
                <w:bCs/>
                <w:color w:val="auto"/>
                <w:sz w:val="21"/>
                <w:szCs w:val="21"/>
                <w:highlight w:val="none"/>
                <w:lang w:eastAsia="zh-CN"/>
              </w:rPr>
              <w:t>预处理</w:t>
            </w:r>
            <w:r>
              <w:rPr>
                <w:rFonts w:hint="default" w:ascii="Times New Roman" w:hAnsi="Times New Roman" w:eastAsia="宋体" w:cs="Times New Roman"/>
                <w:b w:val="0"/>
                <w:bCs/>
                <w:color w:val="auto"/>
                <w:sz w:val="21"/>
                <w:szCs w:val="21"/>
                <w:highlight w:val="none"/>
              </w:rPr>
              <w:t>池</w:t>
            </w:r>
            <w:r>
              <w:rPr>
                <w:rFonts w:hint="eastAsia" w:ascii="Times New Roman" w:hAnsi="Times New Roman" w:cs="Times New Roman"/>
                <w:b w:val="0"/>
                <w:bCs/>
                <w:color w:val="auto"/>
                <w:sz w:val="21"/>
                <w:szCs w:val="21"/>
                <w:highlight w:val="none"/>
                <w:lang w:val="en-US" w:eastAsia="zh-CN"/>
              </w:rPr>
              <w:t>1</w:t>
            </w:r>
            <w:r>
              <w:rPr>
                <w:rFonts w:hint="default" w:ascii="Times New Roman" w:hAnsi="Times New Roman" w:eastAsia="宋体" w:cs="Times New Roman"/>
                <w:b w:val="0"/>
                <w:bCs/>
                <w:color w:val="auto"/>
                <w:sz w:val="21"/>
                <w:szCs w:val="21"/>
                <w:highlight w:val="none"/>
                <w:lang w:val="en-US" w:eastAsia="zh-CN"/>
              </w:rPr>
              <w:t>座</w:t>
            </w:r>
            <w:r>
              <w:rPr>
                <w:rFonts w:hint="default" w:ascii="Times New Roman" w:hAnsi="Times New Roman" w:eastAsia="宋体" w:cs="Times New Roman"/>
                <w:b w:val="0"/>
                <w:bCs/>
                <w:color w:val="auto"/>
                <w:sz w:val="21"/>
                <w:szCs w:val="21"/>
                <w:highlight w:val="none"/>
              </w:rPr>
              <w:t>（</w:t>
            </w:r>
            <w:r>
              <w:rPr>
                <w:rFonts w:hint="eastAsia" w:ascii="Times New Roman" w:hAnsi="Times New Roman" w:cs="Times New Roman"/>
                <w:b w:val="0"/>
                <w:bCs/>
                <w:color w:val="auto"/>
                <w:sz w:val="21"/>
                <w:szCs w:val="21"/>
                <w:highlight w:val="none"/>
                <w:lang w:val="en-US" w:eastAsia="zh-CN"/>
              </w:rPr>
              <w:t>10</w:t>
            </w:r>
            <w:r>
              <w:rPr>
                <w:rFonts w:hint="default" w:ascii="Times New Roman" w:hAnsi="Times New Roman" w:eastAsia="宋体" w:cs="Times New Roman"/>
                <w:b w:val="0"/>
                <w:bCs/>
                <w:color w:val="auto"/>
                <w:sz w:val="21"/>
                <w:szCs w:val="21"/>
                <w:highlight w:val="none"/>
                <w:lang w:val="en-US" w:eastAsia="zh-CN"/>
              </w:rPr>
              <w:t>m</w:t>
            </w:r>
            <w:r>
              <w:rPr>
                <w:rFonts w:hint="default" w:ascii="Times New Roman" w:hAnsi="Times New Roman" w:eastAsia="宋体" w:cs="Times New Roman"/>
                <w:b w:val="0"/>
                <w:bCs/>
                <w:color w:val="auto"/>
                <w:sz w:val="21"/>
                <w:szCs w:val="21"/>
                <w:highlight w:val="none"/>
                <w:vertAlign w:val="superscript"/>
                <w:lang w:val="en-US" w:eastAsia="zh-CN"/>
              </w:rPr>
              <w:t>3</w:t>
            </w:r>
            <w:r>
              <w:rPr>
                <w:rFonts w:hint="default" w:ascii="Times New Roman" w:hAnsi="Times New Roman" w:eastAsia="宋体" w:cs="Times New Roman"/>
                <w:b w:val="0"/>
                <w:bCs/>
                <w:color w:val="auto"/>
                <w:sz w:val="21"/>
                <w:szCs w:val="21"/>
                <w:highlight w:val="none"/>
              </w:rPr>
              <w:t>）、污水处理站（固液分离+UASB厌氧+絮凝沉淀+两级A/O系统+混凝絮凝沉淀+消毒，处理能力</w:t>
            </w:r>
            <w:r>
              <w:rPr>
                <w:rFonts w:hint="eastAsia" w:ascii="Times New Roman" w:hAnsi="Times New Roman" w:cs="Times New Roman"/>
                <w:b w:val="0"/>
                <w:bCs/>
                <w:color w:val="auto"/>
                <w:sz w:val="21"/>
                <w:szCs w:val="21"/>
                <w:highlight w:val="none"/>
                <w:lang w:val="en-US" w:eastAsia="zh-CN"/>
              </w:rPr>
              <w:t>3</w:t>
            </w:r>
            <w:r>
              <w:rPr>
                <w:rFonts w:hint="default" w:ascii="Times New Roman" w:hAnsi="Times New Roman" w:eastAsia="宋体" w:cs="Times New Roman"/>
                <w:b w:val="0"/>
                <w:bCs/>
                <w:color w:val="auto"/>
                <w:sz w:val="21"/>
                <w:szCs w:val="21"/>
                <w:highlight w:val="none"/>
                <w:lang w:val="en-US" w:eastAsia="zh-CN"/>
              </w:rPr>
              <w:t>0</w:t>
            </w:r>
            <w:r>
              <w:rPr>
                <w:rFonts w:hint="default" w:ascii="Times New Roman" w:hAnsi="Times New Roman" w:eastAsia="宋体" w:cs="Times New Roman"/>
                <w:b w:val="0"/>
                <w:bCs/>
                <w:color w:val="auto"/>
                <w:sz w:val="21"/>
                <w:szCs w:val="21"/>
                <w:highlight w:val="none"/>
              </w:rPr>
              <w:t>0m</w:t>
            </w:r>
            <w:r>
              <w:rPr>
                <w:rFonts w:hint="default" w:ascii="Times New Roman" w:hAnsi="Times New Roman" w:eastAsia="宋体" w:cs="Times New Roman"/>
                <w:b w:val="0"/>
                <w:bCs/>
                <w:color w:val="auto"/>
                <w:sz w:val="21"/>
                <w:szCs w:val="21"/>
                <w:highlight w:val="none"/>
                <w:vertAlign w:val="superscript"/>
              </w:rPr>
              <w:t>3</w:t>
            </w:r>
            <w:r>
              <w:rPr>
                <w:rFonts w:hint="default" w:ascii="Times New Roman" w:hAnsi="Times New Roman" w:eastAsia="宋体" w:cs="Times New Roman"/>
                <w:b w:val="0"/>
                <w:bCs/>
                <w:color w:val="auto"/>
                <w:sz w:val="21"/>
                <w:szCs w:val="21"/>
                <w:highlight w:val="none"/>
              </w:rPr>
              <w:t>/d），事故应急池（</w:t>
            </w:r>
            <w:r>
              <w:rPr>
                <w:rFonts w:hint="eastAsia" w:ascii="Times New Roman" w:hAnsi="Times New Roman" w:cs="Times New Roman"/>
                <w:b w:val="0"/>
                <w:bCs/>
                <w:color w:val="auto"/>
                <w:sz w:val="21"/>
                <w:szCs w:val="21"/>
                <w:highlight w:val="none"/>
                <w:lang w:val="en-US" w:eastAsia="zh-CN"/>
              </w:rPr>
              <w:t>20</w:t>
            </w:r>
            <w:r>
              <w:rPr>
                <w:rFonts w:hint="default" w:ascii="Times New Roman" w:hAnsi="Times New Roman" w:eastAsia="宋体" w:cs="Times New Roman"/>
                <w:b w:val="0"/>
                <w:bCs/>
                <w:color w:val="auto"/>
                <w:sz w:val="21"/>
                <w:szCs w:val="21"/>
                <w:highlight w:val="none"/>
              </w:rPr>
              <w:t>00m</w:t>
            </w:r>
            <w:r>
              <w:rPr>
                <w:rFonts w:hint="default" w:ascii="Times New Roman" w:hAnsi="Times New Roman" w:eastAsia="宋体" w:cs="Times New Roman"/>
                <w:b w:val="0"/>
                <w:bCs/>
                <w:color w:val="auto"/>
                <w:sz w:val="21"/>
                <w:szCs w:val="21"/>
                <w:highlight w:val="none"/>
                <w:vertAlign w:val="superscript"/>
              </w:rPr>
              <w:t>3</w:t>
            </w:r>
            <w:r>
              <w:rPr>
                <w:rFonts w:hint="default" w:ascii="Times New Roman" w:hAnsi="Times New Roman" w:eastAsia="宋体" w:cs="Times New Roman"/>
                <w:b w:val="0"/>
                <w:bCs/>
                <w:color w:val="auto"/>
                <w:sz w:val="21"/>
                <w:szCs w:val="21"/>
                <w:highlight w:val="none"/>
              </w:rPr>
              <w:t>），</w:t>
            </w:r>
            <w:r>
              <w:rPr>
                <w:rFonts w:hint="eastAsia" w:ascii="Times New Roman" w:hAnsi="Times New Roman" w:cs="Times New Roman"/>
                <w:b w:val="0"/>
                <w:bCs/>
                <w:color w:val="auto"/>
                <w:sz w:val="21"/>
                <w:szCs w:val="21"/>
                <w:highlight w:val="none"/>
                <w:lang w:eastAsia="zh-CN"/>
              </w:rPr>
              <w:t>厂区</w:t>
            </w:r>
            <w:r>
              <w:rPr>
                <w:rFonts w:hint="default" w:ascii="Times New Roman" w:hAnsi="Times New Roman" w:eastAsia="宋体" w:cs="Times New Roman"/>
                <w:b w:val="0"/>
                <w:bCs/>
                <w:color w:val="auto"/>
                <w:sz w:val="21"/>
                <w:szCs w:val="21"/>
                <w:highlight w:val="none"/>
              </w:rPr>
              <w:t>储存池</w:t>
            </w:r>
            <w:r>
              <w:rPr>
                <w:rFonts w:hint="eastAsia" w:ascii="Times New Roman" w:hAnsi="Times New Roman" w:cs="Times New Roman"/>
                <w:b w:val="0"/>
                <w:bCs/>
                <w:color w:val="auto"/>
                <w:sz w:val="21"/>
                <w:szCs w:val="21"/>
                <w:highlight w:val="none"/>
                <w:lang w:val="en-US" w:eastAsia="zh-CN"/>
              </w:rPr>
              <w:t>1</w:t>
            </w:r>
            <w:r>
              <w:rPr>
                <w:rFonts w:hint="default" w:ascii="Times New Roman" w:hAnsi="Times New Roman" w:eastAsia="宋体" w:cs="Times New Roman"/>
                <w:b w:val="0"/>
                <w:bCs/>
                <w:color w:val="auto"/>
                <w:sz w:val="21"/>
                <w:szCs w:val="21"/>
                <w:highlight w:val="none"/>
              </w:rPr>
              <w:t>座，容积</w:t>
            </w:r>
            <w:r>
              <w:rPr>
                <w:rFonts w:hint="default" w:ascii="Times New Roman" w:hAnsi="Times New Roman" w:eastAsia="宋体" w:cs="Times New Roman"/>
                <w:b w:val="0"/>
                <w:bCs/>
                <w:color w:val="auto"/>
                <w:sz w:val="21"/>
                <w:szCs w:val="21"/>
                <w:highlight w:val="none"/>
                <w:lang w:val="en-US" w:eastAsia="zh-CN"/>
              </w:rPr>
              <w:t>4</w:t>
            </w:r>
            <w:r>
              <w:rPr>
                <w:rFonts w:hint="default" w:ascii="Times New Roman" w:hAnsi="Times New Roman" w:eastAsia="宋体" w:cs="Times New Roman"/>
                <w:b w:val="0"/>
                <w:bCs/>
                <w:color w:val="auto"/>
                <w:sz w:val="21"/>
                <w:szCs w:val="21"/>
                <w:highlight w:val="none"/>
              </w:rPr>
              <w:t>000m</w:t>
            </w:r>
            <w:r>
              <w:rPr>
                <w:rFonts w:hint="default" w:ascii="Times New Roman" w:hAnsi="Times New Roman" w:eastAsia="宋体" w:cs="Times New Roman"/>
                <w:b w:val="0"/>
                <w:bCs/>
                <w:color w:val="auto"/>
                <w:sz w:val="21"/>
                <w:szCs w:val="21"/>
                <w:highlight w:val="none"/>
                <w:vertAlign w:val="superscript"/>
              </w:rPr>
              <w:t>3</w:t>
            </w:r>
            <w:r>
              <w:rPr>
                <w:rFonts w:hint="default" w:ascii="Times New Roman" w:hAnsi="Times New Roman" w:eastAsia="宋体" w:cs="Times New Roman"/>
                <w:b w:val="0"/>
                <w:bCs/>
                <w:color w:val="auto"/>
                <w:sz w:val="21"/>
                <w:szCs w:val="21"/>
                <w:highlight w:val="none"/>
              </w:rPr>
              <w:t>。</w:t>
            </w:r>
          </w:p>
        </w:tc>
        <w:tc>
          <w:tcPr>
            <w:tcW w:w="2857" w:type="dxa"/>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废水处理后达《农田灌溉水质标准》（GB 5084-2005）</w:t>
            </w:r>
            <w:r>
              <w:rPr>
                <w:rFonts w:hint="eastAsia" w:ascii="Times New Roman" w:hAnsi="Times New Roman" w:cs="Times New Roman"/>
                <w:b w:val="0"/>
                <w:bCs/>
                <w:color w:val="auto"/>
                <w:sz w:val="21"/>
                <w:szCs w:val="21"/>
                <w:highlight w:val="none"/>
                <w:lang w:eastAsia="zh-CN"/>
              </w:rPr>
              <w:t>蔬菜</w:t>
            </w:r>
            <w:r>
              <w:rPr>
                <w:rFonts w:hint="default" w:ascii="Times New Roman" w:hAnsi="Times New Roman" w:eastAsia="宋体" w:cs="Times New Roman"/>
                <w:b w:val="0"/>
                <w:bCs/>
                <w:color w:val="auto"/>
                <w:sz w:val="21"/>
                <w:szCs w:val="21"/>
                <w:highlight w:val="none"/>
              </w:rPr>
              <w:t>标准后用于耕地、林地农灌，不外排</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Height w:val="272" w:hRule="atLeast"/>
        </w:trPr>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食堂</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食堂废水</w:t>
            </w:r>
          </w:p>
        </w:tc>
        <w:tc>
          <w:tcPr>
            <w:tcW w:w="3523"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c>
          <w:tcPr>
            <w:tcW w:w="2100"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c>
          <w:tcPr>
            <w:tcW w:w="2820"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c>
          <w:tcPr>
            <w:tcW w:w="2857"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Height w:val="534" w:hRule="atLeast"/>
        </w:trPr>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职工生活</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生活污水</w:t>
            </w:r>
          </w:p>
        </w:tc>
        <w:tc>
          <w:tcPr>
            <w:tcW w:w="3523"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c>
          <w:tcPr>
            <w:tcW w:w="2100"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c>
          <w:tcPr>
            <w:tcW w:w="2820"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c>
          <w:tcPr>
            <w:tcW w:w="2857"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Pr>
        <w:tc>
          <w:tcPr>
            <w:tcW w:w="571"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r>
              <w:rPr>
                <w:rFonts w:hint="eastAsia"/>
                <w:color w:val="auto"/>
                <w:sz w:val="21"/>
                <w:szCs w:val="21"/>
                <w:highlight w:val="none"/>
              </w:rPr>
              <w:t>声环境</w:t>
            </w: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eastAsia="zh-CN"/>
              </w:rPr>
              <w:t>牛</w:t>
            </w:r>
            <w:r>
              <w:rPr>
                <w:rFonts w:hint="default" w:ascii="Times New Roman" w:hAnsi="Times New Roman" w:eastAsia="宋体" w:cs="Times New Roman"/>
                <w:b w:val="0"/>
                <w:bCs/>
                <w:color w:val="auto"/>
                <w:sz w:val="21"/>
                <w:szCs w:val="21"/>
                <w:highlight w:val="none"/>
              </w:rPr>
              <w:t>叫声、风机、水泵等</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噪声</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选用低噪声设备，设备安装减震 垫，加强场区绿化</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昼间场界41.3～49.1dB(A)；夜间场界：40.2～48.6dB(A)</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设备安装减震垫、消声装置</w:t>
            </w:r>
          </w:p>
        </w:tc>
        <w:tc>
          <w:tcPr>
            <w:tcW w:w="2857"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《工业企业厂界环境噪声排放标准》（GB12348-2008）中2类：昼间60dB，夜间50dB</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Height w:val="1148" w:hRule="atLeast"/>
        </w:trPr>
        <w:tc>
          <w:tcPr>
            <w:tcW w:w="571" w:type="dxa"/>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r>
              <w:rPr>
                <w:rFonts w:hint="eastAsia"/>
                <w:color w:val="auto"/>
                <w:sz w:val="21"/>
                <w:szCs w:val="21"/>
                <w:highlight w:val="none"/>
              </w:rPr>
              <w:t>固体</w:t>
            </w:r>
            <w:r>
              <w:rPr>
                <w:rFonts w:hint="default"/>
                <w:color w:val="auto"/>
                <w:sz w:val="21"/>
                <w:szCs w:val="21"/>
                <w:highlight w:val="none"/>
              </w:rPr>
              <w:t xml:space="preserve"> </w:t>
            </w:r>
            <w:r>
              <w:rPr>
                <w:rFonts w:hint="eastAsia"/>
                <w:color w:val="auto"/>
                <w:sz w:val="21"/>
                <w:szCs w:val="21"/>
                <w:highlight w:val="none"/>
              </w:rPr>
              <w:t>废物</w:t>
            </w: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eastAsia" w:ascii="Times New Roman" w:hAnsi="Times New Roman" w:eastAsia="宋体" w:cs="Times New Roman"/>
                <w:b w:val="0"/>
                <w:bCs/>
                <w:color w:val="auto"/>
                <w:sz w:val="21"/>
                <w:szCs w:val="21"/>
                <w:highlight w:val="none"/>
                <w:lang w:eastAsia="zh-CN"/>
              </w:rPr>
            </w:pPr>
            <w:r>
              <w:rPr>
                <w:rFonts w:hint="eastAsia" w:ascii="Times New Roman" w:hAnsi="Times New Roman" w:cs="Times New Roman"/>
                <w:b w:val="0"/>
                <w:bCs/>
                <w:color w:val="auto"/>
                <w:sz w:val="21"/>
                <w:szCs w:val="21"/>
                <w:highlight w:val="none"/>
                <w:lang w:eastAsia="zh-CN"/>
              </w:rPr>
              <w:t>牛舍</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eastAsia="zh-CN"/>
              </w:rPr>
              <w:t>牛</w:t>
            </w:r>
            <w:r>
              <w:rPr>
                <w:rFonts w:hint="default" w:ascii="Times New Roman" w:hAnsi="Times New Roman" w:eastAsia="宋体" w:cs="Times New Roman"/>
                <w:b w:val="0"/>
                <w:bCs/>
                <w:color w:val="auto"/>
                <w:sz w:val="21"/>
                <w:szCs w:val="21"/>
                <w:highlight w:val="none"/>
              </w:rPr>
              <w:t>粪</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运输至</w:t>
            </w:r>
            <w:r>
              <w:rPr>
                <w:rFonts w:hint="eastAsia" w:ascii="Times New Roman" w:hAnsi="Times New Roman" w:cs="Times New Roman"/>
                <w:b w:val="0"/>
                <w:bCs/>
                <w:color w:val="auto"/>
                <w:sz w:val="21"/>
                <w:szCs w:val="21"/>
                <w:highlight w:val="none"/>
                <w:lang w:eastAsia="zh-CN"/>
              </w:rPr>
              <w:t>南江县万事康生物科技有限公司</w:t>
            </w:r>
            <w:r>
              <w:rPr>
                <w:rFonts w:hint="default" w:ascii="Times New Roman" w:hAnsi="Times New Roman" w:eastAsia="宋体" w:cs="Times New Roman"/>
                <w:b w:val="0"/>
                <w:bCs/>
                <w:color w:val="auto"/>
                <w:sz w:val="21"/>
                <w:szCs w:val="21"/>
                <w:highlight w:val="none"/>
              </w:rPr>
              <w:t>用作生产有机肥原料使用</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26805.6t/a</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w:t>
            </w:r>
          </w:p>
        </w:tc>
        <w:tc>
          <w:tcPr>
            <w:tcW w:w="2857"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《畜禽养殖业污染物排放标准》（GB18596-2001）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Height w:val="795" w:hRule="atLeast"/>
        </w:trPr>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eastAsia="zh-CN"/>
              </w:rPr>
              <w:t>牛舍</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eastAsia"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b w:val="0"/>
                <w:bCs/>
                <w:color w:val="auto"/>
                <w:sz w:val="21"/>
                <w:szCs w:val="21"/>
                <w:highlight w:val="none"/>
              </w:rPr>
              <w:t>病死</w:t>
            </w:r>
            <w:r>
              <w:rPr>
                <w:rFonts w:hint="eastAsia" w:ascii="Times New Roman" w:hAnsi="Times New Roman" w:cs="Times New Roman"/>
                <w:b w:val="0"/>
                <w:bCs/>
                <w:color w:val="auto"/>
                <w:sz w:val="21"/>
                <w:szCs w:val="21"/>
                <w:highlight w:val="none"/>
                <w:lang w:eastAsia="zh-CN"/>
              </w:rPr>
              <w:t>牛</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采用无害化降解处理机处理，处理后运输至</w:t>
            </w:r>
            <w:r>
              <w:rPr>
                <w:rFonts w:hint="eastAsia" w:ascii="Times New Roman" w:hAnsi="Times New Roman" w:cs="Times New Roman"/>
                <w:b w:val="0"/>
                <w:bCs/>
                <w:color w:val="auto"/>
                <w:sz w:val="21"/>
                <w:szCs w:val="21"/>
                <w:highlight w:val="none"/>
                <w:lang w:eastAsia="zh-CN"/>
              </w:rPr>
              <w:t>南江县万事康生物科技有限公司</w:t>
            </w:r>
            <w:r>
              <w:rPr>
                <w:rFonts w:hint="default" w:ascii="Times New Roman" w:hAnsi="Times New Roman" w:eastAsia="宋体" w:cs="Times New Roman"/>
                <w:b w:val="0"/>
                <w:bCs/>
                <w:color w:val="auto"/>
                <w:sz w:val="21"/>
                <w:szCs w:val="21"/>
                <w:highlight w:val="none"/>
              </w:rPr>
              <w:t>用作生产有机肥原料使用</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val="en-US" w:eastAsia="zh-CN"/>
              </w:rPr>
              <w:t>3.75</w:t>
            </w:r>
            <w:r>
              <w:rPr>
                <w:rFonts w:hint="default" w:ascii="Times New Roman" w:hAnsi="Times New Roman" w:eastAsia="宋体" w:cs="Times New Roman"/>
                <w:b w:val="0"/>
                <w:bCs/>
                <w:color w:val="auto"/>
                <w:sz w:val="21"/>
                <w:szCs w:val="21"/>
                <w:highlight w:val="none"/>
              </w:rPr>
              <w:t>t/a</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w:t>
            </w:r>
          </w:p>
        </w:tc>
        <w:tc>
          <w:tcPr>
            <w:tcW w:w="2857"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农业部《病死及病害动物无害化处理技术规范》中相关规定</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Pr>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eastAsia="zh-CN"/>
              </w:rPr>
              <w:t>牛</w:t>
            </w:r>
            <w:r>
              <w:rPr>
                <w:rFonts w:hint="default" w:ascii="Times New Roman" w:hAnsi="Times New Roman" w:eastAsia="宋体" w:cs="Times New Roman"/>
                <w:b w:val="0"/>
                <w:bCs/>
                <w:color w:val="auto"/>
                <w:sz w:val="21"/>
                <w:szCs w:val="21"/>
                <w:highlight w:val="none"/>
              </w:rPr>
              <w:t>舍</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畜禽医疗废物</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危废暂存间收集，交由具有相应资质类别的危险废物处置单位进行处置</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lang w:val="en-US" w:eastAsia="zh-CN"/>
              </w:rPr>
              <w:t>1</w:t>
            </w:r>
            <w:r>
              <w:rPr>
                <w:rFonts w:hint="default" w:ascii="Times New Roman" w:hAnsi="Times New Roman" w:eastAsia="宋体" w:cs="Times New Roman"/>
                <w:b w:val="0"/>
                <w:bCs/>
                <w:color w:val="auto"/>
                <w:sz w:val="21"/>
                <w:szCs w:val="21"/>
                <w:highlight w:val="none"/>
              </w:rPr>
              <w:t>t/a</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设置5处危险废物暂存间（单间建筑面积约5m</w:t>
            </w:r>
            <w:r>
              <w:rPr>
                <w:rFonts w:hint="default" w:ascii="Times New Roman" w:hAnsi="Times New Roman" w:eastAsia="宋体" w:cs="Times New Roman"/>
                <w:b w:val="0"/>
                <w:bCs/>
                <w:color w:val="auto"/>
                <w:sz w:val="21"/>
                <w:szCs w:val="21"/>
                <w:highlight w:val="none"/>
                <w:vertAlign w:val="superscript"/>
              </w:rPr>
              <w:t>2</w:t>
            </w:r>
            <w:r>
              <w:rPr>
                <w:rFonts w:hint="default" w:ascii="Times New Roman" w:hAnsi="Times New Roman" w:eastAsia="宋体" w:cs="Times New Roman"/>
                <w:b w:val="0"/>
                <w:bCs/>
                <w:color w:val="auto"/>
                <w:sz w:val="21"/>
                <w:szCs w:val="21"/>
                <w:highlight w:val="none"/>
              </w:rPr>
              <w:t>），危险废物处置协议，转运联单</w:t>
            </w:r>
          </w:p>
        </w:tc>
        <w:tc>
          <w:tcPr>
            <w:tcW w:w="2857"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《危险废物贮存污染控制标准》（GB18597-2001）（2013年修改单）</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生产区</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废包装材料</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出售物资部门回收再利用</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val="en-US" w:eastAsia="zh-CN"/>
              </w:rPr>
              <w:t>1.5</w:t>
            </w:r>
            <w:r>
              <w:rPr>
                <w:rFonts w:hint="default" w:ascii="Times New Roman" w:hAnsi="Times New Roman" w:eastAsia="宋体" w:cs="Times New Roman"/>
                <w:b w:val="0"/>
                <w:bCs/>
                <w:color w:val="auto"/>
                <w:sz w:val="21"/>
                <w:szCs w:val="21"/>
                <w:highlight w:val="none"/>
              </w:rPr>
              <w:t>t/a</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一般固废暂存间（</w:t>
            </w:r>
            <w:r>
              <w:rPr>
                <w:rFonts w:hint="default" w:ascii="Times New Roman" w:hAnsi="Times New Roman" w:eastAsia="宋体" w:cs="Times New Roman"/>
                <w:b w:val="0"/>
                <w:bCs/>
                <w:color w:val="auto"/>
                <w:sz w:val="21"/>
                <w:szCs w:val="21"/>
                <w:highlight w:val="none"/>
                <w:lang w:val="en-US" w:eastAsia="zh-CN"/>
              </w:rPr>
              <w:t>20</w:t>
            </w:r>
            <w:r>
              <w:rPr>
                <w:rFonts w:hint="default" w:ascii="Times New Roman" w:hAnsi="Times New Roman" w:eastAsia="宋体" w:cs="Times New Roman"/>
                <w:b w:val="0"/>
                <w:bCs/>
                <w:color w:val="auto"/>
                <w:sz w:val="21"/>
                <w:szCs w:val="21"/>
                <w:highlight w:val="none"/>
              </w:rPr>
              <w:t>m</w:t>
            </w:r>
            <w:r>
              <w:rPr>
                <w:rFonts w:hint="default" w:ascii="Times New Roman" w:hAnsi="Times New Roman" w:eastAsia="宋体" w:cs="Times New Roman"/>
                <w:b w:val="0"/>
                <w:bCs/>
                <w:color w:val="auto"/>
                <w:sz w:val="21"/>
                <w:szCs w:val="21"/>
                <w:highlight w:val="none"/>
                <w:vertAlign w:val="superscript"/>
              </w:rPr>
              <w:t>2</w:t>
            </w:r>
            <w:r>
              <w:rPr>
                <w:rFonts w:hint="default" w:ascii="Times New Roman" w:hAnsi="Times New Roman" w:eastAsia="宋体" w:cs="Times New Roman"/>
                <w:b w:val="0"/>
                <w:bCs/>
                <w:color w:val="auto"/>
                <w:sz w:val="21"/>
                <w:szCs w:val="21"/>
                <w:highlight w:val="none"/>
              </w:rPr>
              <w:t>）</w:t>
            </w:r>
          </w:p>
        </w:tc>
        <w:tc>
          <w:tcPr>
            <w:tcW w:w="2865" w:type="dxa"/>
            <w:gridSpan w:val="2"/>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697" w:hRule="atLeast"/>
        </w:trPr>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生活区</w:t>
            </w:r>
          </w:p>
        </w:tc>
        <w:tc>
          <w:tcPr>
            <w:tcW w:w="983" w:type="dxa"/>
            <w:tcBorders>
              <w:bottom w:val="single" w:color="auto" w:sz="4"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生活垃圾</w:t>
            </w:r>
          </w:p>
        </w:tc>
        <w:tc>
          <w:tcPr>
            <w:tcW w:w="3523" w:type="dxa"/>
            <w:tcBorders>
              <w:bottom w:val="single" w:color="auto" w:sz="4"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收集后暂存于生活垃圾暂存间，及时运往垃圾中转站，由环卫部门统一清运处置</w:t>
            </w:r>
          </w:p>
        </w:tc>
        <w:tc>
          <w:tcPr>
            <w:tcW w:w="2100" w:type="dxa"/>
            <w:tcBorders>
              <w:bottom w:val="single" w:color="auto" w:sz="4"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val="en-US" w:eastAsia="zh-CN"/>
              </w:rPr>
              <w:t>14.6</w:t>
            </w:r>
            <w:r>
              <w:rPr>
                <w:rFonts w:hint="default" w:ascii="Times New Roman" w:hAnsi="Times New Roman" w:eastAsia="宋体" w:cs="Times New Roman"/>
                <w:b w:val="0"/>
                <w:bCs/>
                <w:color w:val="auto"/>
                <w:sz w:val="21"/>
                <w:szCs w:val="21"/>
                <w:highlight w:val="none"/>
              </w:rPr>
              <w:t>t/a</w:t>
            </w:r>
          </w:p>
        </w:tc>
        <w:tc>
          <w:tcPr>
            <w:tcW w:w="2820" w:type="dxa"/>
            <w:tcBorders>
              <w:bottom w:val="single" w:color="auto" w:sz="4"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生活垃圾暂存间，垃圾收集桶</w:t>
            </w:r>
          </w:p>
        </w:tc>
        <w:tc>
          <w:tcPr>
            <w:tcW w:w="2865" w:type="dxa"/>
            <w:gridSpan w:val="2"/>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34" w:hRule="atLeast"/>
        </w:trPr>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c>
          <w:tcPr>
            <w:tcW w:w="983" w:type="dxa"/>
            <w:tcBorders>
              <w:top w:val="single" w:color="auto" w:sz="4"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餐厨垃圾（含隔油池油脂）</w:t>
            </w:r>
          </w:p>
        </w:tc>
        <w:tc>
          <w:tcPr>
            <w:tcW w:w="3523" w:type="dxa"/>
            <w:tcBorders>
              <w:top w:val="single" w:color="auto" w:sz="4"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收集后交由餐厨垃圾收运单位清运处置。</w:t>
            </w:r>
          </w:p>
        </w:tc>
        <w:tc>
          <w:tcPr>
            <w:tcW w:w="2100" w:type="dxa"/>
            <w:tcBorders>
              <w:top w:val="single" w:color="auto" w:sz="4"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cs="Times New Roman"/>
                <w:b w:val="0"/>
                <w:bCs/>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2.92t/a</w:t>
            </w:r>
          </w:p>
        </w:tc>
        <w:tc>
          <w:tcPr>
            <w:tcW w:w="2820" w:type="dxa"/>
            <w:tcBorders>
              <w:top w:val="single" w:color="auto" w:sz="4" w:space="0"/>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收集后交由餐厨垃圾收运单位清运处置。</w:t>
            </w:r>
          </w:p>
        </w:tc>
        <w:tc>
          <w:tcPr>
            <w:tcW w:w="2865" w:type="dxa"/>
            <w:gridSpan w:val="2"/>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污水处理 站</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水处理污泥及沼渣</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运输至</w:t>
            </w:r>
            <w:r>
              <w:rPr>
                <w:rFonts w:hint="eastAsia" w:ascii="Times New Roman" w:hAnsi="Times New Roman" w:cs="Times New Roman"/>
                <w:b w:val="0"/>
                <w:bCs/>
                <w:color w:val="auto"/>
                <w:sz w:val="21"/>
                <w:szCs w:val="21"/>
                <w:highlight w:val="none"/>
                <w:lang w:eastAsia="zh-CN"/>
              </w:rPr>
              <w:t>南江县万事康生物科技有限公司</w:t>
            </w:r>
            <w:r>
              <w:rPr>
                <w:rFonts w:hint="default" w:ascii="Times New Roman" w:hAnsi="Times New Roman" w:eastAsia="宋体" w:cs="Times New Roman"/>
                <w:b w:val="0"/>
                <w:bCs/>
                <w:color w:val="auto"/>
                <w:sz w:val="21"/>
                <w:szCs w:val="21"/>
                <w:highlight w:val="none"/>
              </w:rPr>
              <w:t>用作生产有机肥原料使用</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val="en-US" w:eastAsia="zh-CN"/>
              </w:rPr>
              <w:t>56.84t</w:t>
            </w:r>
            <w:r>
              <w:rPr>
                <w:rFonts w:hint="default" w:ascii="Times New Roman" w:hAnsi="Times New Roman" w:eastAsia="宋体" w:cs="Times New Roman"/>
                <w:b w:val="0"/>
                <w:bCs/>
                <w:color w:val="auto"/>
                <w:sz w:val="21"/>
                <w:szCs w:val="21"/>
                <w:highlight w:val="none"/>
              </w:rPr>
              <w:t>/a</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b w:val="0"/>
                <w:bCs/>
                <w:color w:val="auto"/>
                <w:sz w:val="21"/>
                <w:szCs w:val="21"/>
                <w:highlight w:val="none"/>
                <w:lang w:val="en-US" w:eastAsia="zh-CN"/>
              </w:rPr>
              <w:t>/</w:t>
            </w:r>
          </w:p>
        </w:tc>
        <w:tc>
          <w:tcPr>
            <w:tcW w:w="2865" w:type="dxa"/>
            <w:gridSpan w:val="2"/>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污水处理 站（沼气利用）</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废脱硫剂</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交由原厂家回收再利用</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eastAsia" w:ascii="Times New Roman" w:hAnsi="Times New Roman" w:cs="Times New Roman"/>
                <w:b w:val="0"/>
                <w:bCs/>
                <w:color w:val="auto"/>
                <w:sz w:val="21"/>
                <w:szCs w:val="21"/>
                <w:highlight w:val="none"/>
                <w:lang w:val="en-US" w:eastAsia="zh-CN"/>
              </w:rPr>
              <w:t>1.05</w:t>
            </w:r>
            <w:r>
              <w:rPr>
                <w:rFonts w:hint="default" w:ascii="Times New Roman" w:hAnsi="Times New Roman" w:eastAsia="宋体" w:cs="Times New Roman"/>
                <w:b w:val="0"/>
                <w:bCs/>
                <w:color w:val="auto"/>
                <w:sz w:val="21"/>
                <w:szCs w:val="21"/>
                <w:highlight w:val="none"/>
              </w:rPr>
              <w:t>t/a</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一般固废暂存间（25m</w:t>
            </w:r>
            <w:r>
              <w:rPr>
                <w:rFonts w:hint="default" w:ascii="Times New Roman" w:hAnsi="Times New Roman" w:eastAsia="宋体" w:cs="Times New Roman"/>
                <w:b w:val="0"/>
                <w:bCs/>
                <w:color w:val="auto"/>
                <w:sz w:val="21"/>
                <w:szCs w:val="21"/>
                <w:highlight w:val="none"/>
                <w:vertAlign w:val="superscript"/>
              </w:rPr>
              <w:t>2</w:t>
            </w:r>
            <w:r>
              <w:rPr>
                <w:rFonts w:hint="default" w:ascii="Times New Roman" w:hAnsi="Times New Roman" w:eastAsia="宋体" w:cs="Times New Roman"/>
                <w:b w:val="0"/>
                <w:bCs/>
                <w:color w:val="auto"/>
                <w:sz w:val="21"/>
                <w:szCs w:val="21"/>
                <w:highlight w:val="none"/>
              </w:rPr>
              <w:t>）</w:t>
            </w:r>
          </w:p>
        </w:tc>
        <w:tc>
          <w:tcPr>
            <w:tcW w:w="2865" w:type="dxa"/>
            <w:gridSpan w:val="2"/>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571"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r>
              <w:rPr>
                <w:rFonts w:hint="eastAsia"/>
                <w:color w:val="auto"/>
                <w:sz w:val="21"/>
                <w:szCs w:val="21"/>
                <w:highlight w:val="none"/>
              </w:rPr>
              <w:t>地下</w:t>
            </w:r>
            <w:r>
              <w:rPr>
                <w:rFonts w:hint="default"/>
                <w:color w:val="auto"/>
                <w:sz w:val="21"/>
                <w:szCs w:val="21"/>
                <w:highlight w:val="none"/>
              </w:rPr>
              <w:t xml:space="preserve"> </w:t>
            </w:r>
            <w:r>
              <w:rPr>
                <w:rFonts w:hint="eastAsia"/>
                <w:color w:val="auto"/>
                <w:sz w:val="21"/>
                <w:szCs w:val="21"/>
                <w:highlight w:val="none"/>
              </w:rPr>
              <w:t>水</w:t>
            </w:r>
          </w:p>
        </w:tc>
        <w:tc>
          <w:tcPr>
            <w:tcW w:w="114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全场</w:t>
            </w:r>
          </w:p>
        </w:tc>
        <w:tc>
          <w:tcPr>
            <w:tcW w:w="98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生产废 水、粪便、畜禽医疗废物等固废</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污水处理区（污水处理设施）、粪便脱水间、危险废物暂存间、发电机房及储油间、兽药室、粪污管道、</w:t>
            </w:r>
            <w:r>
              <w:rPr>
                <w:rFonts w:hint="eastAsia" w:ascii="Times New Roman" w:hAnsi="Times New Roman" w:cs="Times New Roman"/>
                <w:b w:val="0"/>
                <w:bCs/>
                <w:color w:val="auto"/>
                <w:sz w:val="21"/>
                <w:szCs w:val="21"/>
                <w:highlight w:val="none"/>
                <w:lang w:eastAsia="zh-CN"/>
              </w:rPr>
              <w:t>干粪棚</w:t>
            </w:r>
            <w:r>
              <w:rPr>
                <w:rFonts w:hint="default" w:ascii="Times New Roman" w:hAnsi="Times New Roman" w:eastAsia="宋体" w:cs="Times New Roman"/>
                <w:b w:val="0"/>
                <w:bCs/>
                <w:color w:val="auto"/>
                <w:sz w:val="21"/>
                <w:szCs w:val="21"/>
                <w:highlight w:val="none"/>
              </w:rPr>
              <w:t>等采取重点防渗处理；圈舍</w:t>
            </w:r>
            <w:r>
              <w:rPr>
                <w:rFonts w:hint="eastAsia" w:ascii="Times New Roman" w:hAnsi="Times New Roman" w:cs="Times New Roman"/>
                <w:b w:val="0"/>
                <w:bCs/>
                <w:color w:val="auto"/>
                <w:sz w:val="21"/>
                <w:szCs w:val="21"/>
                <w:highlight w:val="none"/>
                <w:lang w:eastAsia="zh-CN"/>
              </w:rPr>
              <w:t>预处理池</w:t>
            </w:r>
            <w:r>
              <w:rPr>
                <w:rFonts w:hint="default" w:ascii="Times New Roman" w:hAnsi="Times New Roman" w:eastAsia="宋体" w:cs="Times New Roman"/>
                <w:b w:val="0"/>
                <w:bCs/>
                <w:color w:val="auto"/>
                <w:sz w:val="21"/>
                <w:szCs w:val="21"/>
                <w:highlight w:val="none"/>
              </w:rPr>
              <w:t>、隔油池等需采取一般防渗；办公区、食堂地面以及站内道路等一般路面硬化。</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防渗措施</w:t>
            </w:r>
          </w:p>
        </w:tc>
        <w:tc>
          <w:tcPr>
            <w:tcW w:w="2865" w:type="dxa"/>
            <w:gridSpan w:val="2"/>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参照《畜禽养殖污染防治管理办法》第十三条和GB18598中相关标准执行</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Pr>
        <w:tc>
          <w:tcPr>
            <w:tcW w:w="571"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r>
              <w:rPr>
                <w:rFonts w:hint="eastAsia"/>
                <w:color w:val="auto"/>
                <w:sz w:val="21"/>
                <w:szCs w:val="21"/>
                <w:highlight w:val="none"/>
              </w:rPr>
              <w:t>环境</w:t>
            </w:r>
            <w:r>
              <w:rPr>
                <w:rFonts w:hint="default"/>
                <w:color w:val="auto"/>
                <w:sz w:val="21"/>
                <w:szCs w:val="21"/>
                <w:highlight w:val="none"/>
              </w:rPr>
              <w:t xml:space="preserve"> </w:t>
            </w:r>
            <w:r>
              <w:rPr>
                <w:rFonts w:hint="eastAsia"/>
                <w:color w:val="auto"/>
                <w:sz w:val="21"/>
                <w:szCs w:val="21"/>
                <w:highlight w:val="none"/>
              </w:rPr>
              <w:t>风险</w:t>
            </w:r>
          </w:p>
        </w:tc>
        <w:tc>
          <w:tcPr>
            <w:tcW w:w="2123" w:type="dxa"/>
            <w:gridSpan w:val="2"/>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废水的事故外排；医疗废弃物混入生活垃圾；沼气泄漏，柴油泄漏；</w:t>
            </w:r>
          </w:p>
        </w:tc>
        <w:tc>
          <w:tcPr>
            <w:tcW w:w="3523"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场区设有事故应急池</w:t>
            </w:r>
            <w:r>
              <w:rPr>
                <w:rFonts w:hint="eastAsia" w:ascii="Times New Roman" w:hAnsi="Times New Roman" w:cs="Times New Roman"/>
                <w:b w:val="0"/>
                <w:bCs/>
                <w:color w:val="auto"/>
                <w:sz w:val="21"/>
                <w:szCs w:val="21"/>
                <w:highlight w:val="none"/>
                <w:lang w:val="en-US" w:eastAsia="zh-CN"/>
              </w:rPr>
              <w:t>20</w:t>
            </w:r>
            <w:r>
              <w:rPr>
                <w:rFonts w:hint="default" w:ascii="Times New Roman" w:hAnsi="Times New Roman" w:eastAsia="宋体" w:cs="Times New Roman"/>
                <w:b w:val="0"/>
                <w:bCs/>
                <w:color w:val="auto"/>
                <w:sz w:val="21"/>
                <w:szCs w:val="21"/>
                <w:highlight w:val="none"/>
              </w:rPr>
              <w:t>00m</w:t>
            </w:r>
            <w:r>
              <w:rPr>
                <w:rFonts w:hint="default" w:ascii="Times New Roman" w:hAnsi="Times New Roman" w:eastAsia="宋体" w:cs="Times New Roman"/>
                <w:b w:val="0"/>
                <w:bCs/>
                <w:color w:val="auto"/>
                <w:sz w:val="21"/>
                <w:szCs w:val="21"/>
                <w:highlight w:val="none"/>
                <w:vertAlign w:val="superscript"/>
              </w:rPr>
              <w:t>3</w:t>
            </w:r>
            <w:r>
              <w:rPr>
                <w:rFonts w:hint="default" w:ascii="Times New Roman" w:hAnsi="Times New Roman" w:eastAsia="宋体" w:cs="Times New Roman"/>
                <w:b w:val="0"/>
                <w:bCs/>
                <w:color w:val="auto"/>
                <w:sz w:val="21"/>
                <w:szCs w:val="21"/>
                <w:highlight w:val="none"/>
              </w:rPr>
              <w:t>，废水进入事故应急池，待设施恢复正常运行再泵入污水处理站进行后段处理；设置单独危废暂存间暂存医疗废物，并定期交有资质单位处理；沼气泄漏检测系统；柴油发电机房设围堰</w:t>
            </w:r>
          </w:p>
        </w:tc>
        <w:tc>
          <w:tcPr>
            <w:tcW w:w="210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w:t>
            </w:r>
          </w:p>
        </w:tc>
        <w:tc>
          <w:tcPr>
            <w:tcW w:w="2820"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事故应急池（</w:t>
            </w:r>
            <w:r>
              <w:rPr>
                <w:rFonts w:hint="eastAsia" w:ascii="Times New Roman" w:hAnsi="Times New Roman" w:cs="Times New Roman"/>
                <w:b w:val="0"/>
                <w:bCs/>
                <w:color w:val="auto"/>
                <w:sz w:val="21"/>
                <w:szCs w:val="21"/>
                <w:highlight w:val="none"/>
                <w:lang w:val="en-US" w:eastAsia="zh-CN"/>
              </w:rPr>
              <w:t>20</w:t>
            </w:r>
            <w:r>
              <w:rPr>
                <w:rFonts w:hint="default" w:ascii="Times New Roman" w:hAnsi="Times New Roman" w:eastAsia="宋体" w:cs="Times New Roman"/>
                <w:b w:val="0"/>
                <w:bCs/>
                <w:color w:val="auto"/>
                <w:sz w:val="21"/>
                <w:szCs w:val="21"/>
                <w:highlight w:val="none"/>
              </w:rPr>
              <w:t>00m</w:t>
            </w:r>
            <w:r>
              <w:rPr>
                <w:rFonts w:hint="default" w:ascii="Times New Roman" w:hAnsi="Times New Roman" w:eastAsia="宋体" w:cs="Times New Roman"/>
                <w:b w:val="0"/>
                <w:bCs/>
                <w:color w:val="auto"/>
                <w:sz w:val="21"/>
                <w:szCs w:val="21"/>
                <w:highlight w:val="none"/>
                <w:vertAlign w:val="superscript"/>
              </w:rPr>
              <w:t>3</w:t>
            </w:r>
            <w:r>
              <w:rPr>
                <w:rFonts w:hint="default" w:ascii="Times New Roman" w:hAnsi="Times New Roman" w:eastAsia="宋体" w:cs="Times New Roman"/>
                <w:b w:val="0"/>
                <w:bCs/>
                <w:color w:val="auto"/>
                <w:sz w:val="21"/>
                <w:szCs w:val="21"/>
                <w:highlight w:val="none"/>
              </w:rPr>
              <w:t>）、危废暂存间、沼气泄漏检测系统、柴油发电机房设置围堰（重点防渗）</w:t>
            </w:r>
          </w:p>
        </w:tc>
        <w:tc>
          <w:tcPr>
            <w:tcW w:w="2857"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Pr>
        <w:tc>
          <w:tcPr>
            <w:tcW w:w="571" w:type="dxa"/>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r>
              <w:rPr>
                <w:rFonts w:hint="eastAsia"/>
                <w:color w:val="auto"/>
                <w:sz w:val="21"/>
                <w:szCs w:val="21"/>
                <w:highlight w:val="none"/>
              </w:rPr>
              <w:t>生态</w:t>
            </w:r>
            <w:r>
              <w:rPr>
                <w:rFonts w:hint="default"/>
                <w:color w:val="auto"/>
                <w:sz w:val="21"/>
                <w:szCs w:val="21"/>
                <w:highlight w:val="none"/>
              </w:rPr>
              <w:t xml:space="preserve"> </w:t>
            </w:r>
            <w:r>
              <w:rPr>
                <w:rFonts w:hint="eastAsia"/>
                <w:color w:val="auto"/>
                <w:sz w:val="21"/>
                <w:szCs w:val="21"/>
                <w:highlight w:val="none"/>
              </w:rPr>
              <w:t>保护</w:t>
            </w:r>
          </w:p>
        </w:tc>
        <w:tc>
          <w:tcPr>
            <w:tcW w:w="13423" w:type="dxa"/>
            <w:gridSpan w:val="6"/>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rPr>
              <w:t>厂区周围设置乔木、灌木绿化，</w:t>
            </w:r>
            <w:r>
              <w:rPr>
                <w:rFonts w:hint="eastAsia" w:ascii="Times New Roman" w:hAnsi="Times New Roman" w:cs="Times New Roman"/>
                <w:b w:val="0"/>
                <w:bCs/>
                <w:color w:val="auto"/>
                <w:sz w:val="21"/>
                <w:szCs w:val="21"/>
                <w:highlight w:val="none"/>
                <w:lang w:eastAsia="zh-CN"/>
              </w:rPr>
              <w:t>牛</w:t>
            </w:r>
            <w:r>
              <w:rPr>
                <w:rFonts w:hint="default" w:ascii="Times New Roman" w:hAnsi="Times New Roman" w:eastAsia="宋体" w:cs="Times New Roman"/>
                <w:b w:val="0"/>
                <w:bCs/>
                <w:color w:val="auto"/>
                <w:sz w:val="21"/>
                <w:szCs w:val="21"/>
                <w:highlight w:val="none"/>
              </w:rPr>
              <w:t>舍周围种植牧草绿化，厂区绿化面积为</w:t>
            </w:r>
            <w:r>
              <w:rPr>
                <w:rFonts w:hint="eastAsia" w:ascii="Times New Roman" w:hAnsi="Times New Roman" w:cs="Times New Roman"/>
                <w:b w:val="0"/>
                <w:bCs/>
                <w:color w:val="auto"/>
                <w:sz w:val="21"/>
                <w:szCs w:val="21"/>
                <w:highlight w:val="none"/>
                <w:lang w:val="en-US" w:eastAsia="zh-CN"/>
              </w:rPr>
              <w:t>75.2亩。</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Pr>
        <w:tc>
          <w:tcPr>
            <w:tcW w:w="571" w:type="dxa"/>
            <w:vMerge w:val="restart"/>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r>
              <w:rPr>
                <w:rFonts w:hint="eastAsia"/>
                <w:color w:val="auto"/>
                <w:sz w:val="21"/>
                <w:szCs w:val="21"/>
                <w:highlight w:val="none"/>
              </w:rPr>
              <w:t>环境</w:t>
            </w:r>
            <w:r>
              <w:rPr>
                <w:rFonts w:hint="default"/>
                <w:color w:val="auto"/>
                <w:sz w:val="21"/>
                <w:szCs w:val="21"/>
                <w:highlight w:val="none"/>
              </w:rPr>
              <w:t xml:space="preserve"> </w:t>
            </w:r>
            <w:r>
              <w:rPr>
                <w:rFonts w:hint="eastAsia"/>
                <w:color w:val="auto"/>
                <w:sz w:val="21"/>
                <w:szCs w:val="21"/>
                <w:highlight w:val="none"/>
              </w:rPr>
              <w:t>管理</w:t>
            </w:r>
          </w:p>
        </w:tc>
        <w:tc>
          <w:tcPr>
            <w:tcW w:w="13423" w:type="dxa"/>
            <w:gridSpan w:val="6"/>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施工过程中做好防腐、防渗、结构及隐蔽工程监理并做好交接及验收记录</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gridAfter w:val="1"/>
          <w:wAfter w:w="8" w:type="dxa"/>
        </w:trPr>
        <w:tc>
          <w:tcPr>
            <w:tcW w:w="571" w:type="dxa"/>
            <w:vMerge w:val="continue"/>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color w:val="auto"/>
                <w:sz w:val="21"/>
                <w:szCs w:val="21"/>
                <w:highlight w:val="none"/>
              </w:rPr>
            </w:pPr>
          </w:p>
        </w:tc>
        <w:tc>
          <w:tcPr>
            <w:tcW w:w="13423" w:type="dxa"/>
            <w:gridSpan w:val="6"/>
            <w:tcBorders>
              <w:tl2br w:val="nil"/>
              <w:tr2bl w:val="nil"/>
            </w:tcBorders>
            <w:noWrap w:val="0"/>
            <w:vAlign w:val="center"/>
          </w:tcPr>
          <w:p>
            <w:pPr>
              <w:pStyle w:val="1856"/>
              <w:keepNext w:val="0"/>
              <w:keepLines w:val="0"/>
              <w:suppressLineNumbers w:val="0"/>
              <w:spacing w:beforeAutospacing="0" w:afterAutospacing="0" w:line="240" w:lineRule="auto"/>
              <w:ind w:left="0" w:right="0"/>
              <w:rPr>
                <w:rFonts w:hint="default"/>
                <w:b w:val="0"/>
                <w:bCs/>
                <w:color w:val="auto"/>
                <w:sz w:val="21"/>
                <w:szCs w:val="21"/>
                <w:highlight w:val="none"/>
              </w:rPr>
            </w:pPr>
            <w:r>
              <w:rPr>
                <w:rFonts w:hint="eastAsia"/>
                <w:b w:val="0"/>
                <w:bCs/>
                <w:color w:val="auto"/>
                <w:sz w:val="21"/>
                <w:szCs w:val="21"/>
                <w:highlight w:val="none"/>
              </w:rPr>
              <w:t>落实本报告对项目原料、工艺等提出的环保措施；建立完整的监理档案提高管理水平，严防操作事故发生；环境保护措施的设计必须由具有国家</w:t>
            </w:r>
            <w:r>
              <w:rPr>
                <w:rFonts w:hint="default"/>
                <w:b w:val="0"/>
                <w:bCs/>
                <w:color w:val="auto"/>
                <w:sz w:val="21"/>
                <w:szCs w:val="21"/>
                <w:highlight w:val="none"/>
              </w:rPr>
              <w:t xml:space="preserve"> </w:t>
            </w:r>
            <w:r>
              <w:rPr>
                <w:rFonts w:hint="eastAsia"/>
                <w:b w:val="0"/>
                <w:bCs/>
                <w:color w:val="auto"/>
                <w:sz w:val="21"/>
                <w:szCs w:val="21"/>
                <w:highlight w:val="none"/>
              </w:rPr>
              <w:t>认可资质的设计单位设计，材质的选用必须具备相应合格证明；建立一套完整规范的环境管理制度，并落实到具体人员；危废移交记录；堆肥制</w:t>
            </w:r>
            <w:r>
              <w:rPr>
                <w:rFonts w:hint="default"/>
                <w:b w:val="0"/>
                <w:bCs/>
                <w:color w:val="auto"/>
                <w:sz w:val="21"/>
                <w:szCs w:val="21"/>
                <w:highlight w:val="none"/>
              </w:rPr>
              <w:t xml:space="preserve"> </w:t>
            </w:r>
            <w:r>
              <w:rPr>
                <w:rFonts w:hint="eastAsia"/>
                <w:b w:val="0"/>
                <w:bCs/>
                <w:color w:val="auto"/>
                <w:sz w:val="21"/>
                <w:szCs w:val="21"/>
                <w:highlight w:val="none"/>
              </w:rPr>
              <w:t>品去向记录，落实区域负责人制度（如育肥舍、</w:t>
            </w:r>
            <w:r>
              <w:rPr>
                <w:rFonts w:hint="eastAsia"/>
                <w:b w:val="0"/>
                <w:bCs/>
                <w:color w:val="auto"/>
                <w:sz w:val="21"/>
                <w:szCs w:val="21"/>
                <w:highlight w:val="none"/>
                <w:lang w:eastAsia="zh-CN"/>
              </w:rPr>
              <w:t>堆肥车间</w:t>
            </w:r>
            <w:r>
              <w:rPr>
                <w:rFonts w:hint="eastAsia"/>
                <w:b w:val="0"/>
                <w:bCs/>
                <w:color w:val="auto"/>
                <w:sz w:val="21"/>
                <w:szCs w:val="21"/>
                <w:highlight w:val="none"/>
              </w:rPr>
              <w:t>、粪肥储存间、污水处理站等），落实环保奖惩制度，建议对各</w:t>
            </w:r>
            <w:r>
              <w:rPr>
                <w:rFonts w:hint="eastAsia"/>
                <w:b w:val="0"/>
                <w:bCs/>
                <w:color w:val="auto"/>
                <w:sz w:val="21"/>
                <w:szCs w:val="21"/>
                <w:highlight w:val="none"/>
                <w:lang w:eastAsia="zh-CN"/>
              </w:rPr>
              <w:t>牛</w:t>
            </w:r>
            <w:r>
              <w:rPr>
                <w:rFonts w:hint="eastAsia"/>
                <w:b w:val="0"/>
                <w:bCs/>
                <w:color w:val="auto"/>
                <w:sz w:val="21"/>
                <w:szCs w:val="21"/>
                <w:highlight w:val="none"/>
              </w:rPr>
              <w:t>舍安装水表，对其</w:t>
            </w:r>
            <w:r>
              <w:rPr>
                <w:rFonts w:hint="default"/>
                <w:b w:val="0"/>
                <w:bCs/>
                <w:color w:val="auto"/>
                <w:sz w:val="21"/>
                <w:szCs w:val="21"/>
                <w:highlight w:val="none"/>
              </w:rPr>
              <w:t xml:space="preserve"> </w:t>
            </w:r>
            <w:r>
              <w:rPr>
                <w:rFonts w:hint="eastAsia"/>
                <w:b w:val="0"/>
                <w:bCs/>
                <w:color w:val="auto"/>
                <w:sz w:val="21"/>
                <w:szCs w:val="21"/>
                <w:highlight w:val="none"/>
              </w:rPr>
              <w:t>用水量进行统计，作为负责人环保考核的依据之一。</w:t>
            </w:r>
          </w:p>
        </w:tc>
      </w:tr>
    </w:tbl>
    <w:p>
      <w:pPr>
        <w:pStyle w:val="114"/>
        <w:rPr>
          <w:rFonts w:hint="default" w:ascii="Times New Roman" w:hAnsi="Times New Roman" w:eastAsia="宋体" w:cs="Times New Roman"/>
          <w:color w:val="auto"/>
          <w:sz w:val="24"/>
          <w:szCs w:val="24"/>
          <w:highlight w:val="none"/>
        </w:rPr>
        <w:sectPr>
          <w:pgSz w:w="16838" w:h="11906" w:orient="landscape"/>
          <w:pgMar w:top="1800" w:right="1440" w:bottom="1800" w:left="1440" w:header="992"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342"/>
    <w:bookmarkEnd w:id="343"/>
    <w:bookmarkEnd w:id="351"/>
    <w:bookmarkEnd w:id="352"/>
    <w:bookmarkEnd w:id="353"/>
    <w:bookmarkEnd w:id="354"/>
    <w:p>
      <w:pPr>
        <w:pStyle w:val="6"/>
        <w:rPr>
          <w:rFonts w:cs="Times New Roman"/>
          <w:color w:val="auto"/>
          <w:highlight w:val="none"/>
        </w:rPr>
      </w:pPr>
      <w:bookmarkStart w:id="382" w:name="_Toc793"/>
      <w:r>
        <w:rPr>
          <w:rFonts w:cs="Times New Roman"/>
          <w:color w:val="auto"/>
          <w:highlight w:val="none"/>
        </w:rPr>
        <w:t>环境影响评价结论</w:t>
      </w:r>
      <w:bookmarkEnd w:id="382"/>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83" w:name="_Toc22702"/>
      <w:bookmarkStart w:id="384" w:name="_Toc376177334"/>
      <w:bookmarkStart w:id="385" w:name="_Toc405412960"/>
      <w:bookmarkStart w:id="386" w:name="_Toc222041521"/>
      <w:r>
        <w:rPr>
          <w:rFonts w:hint="eastAsia" w:ascii="Times New Roman" w:hAnsi="Times New Roman" w:eastAsia="宋体" w:cs="Times New Roman"/>
          <w:color w:val="auto"/>
          <w:highlight w:val="none"/>
          <w:lang w:val="en-US" w:eastAsia="zh-CN"/>
        </w:rPr>
        <w:t>项目概况</w:t>
      </w:r>
      <w:bookmarkEnd w:id="383"/>
    </w:p>
    <w:p>
      <w:pPr>
        <w:ind w:firstLine="480" w:firstLineChars="200"/>
        <w:rPr>
          <w:rFonts w:hint="eastAsia" w:ascii="Times New Roman" w:hAnsi="Times New Roman" w:cs="Times New Roman"/>
          <w:bCs/>
          <w:color w:val="auto"/>
          <w:sz w:val="24"/>
          <w:szCs w:val="24"/>
          <w:highlight w:val="none"/>
          <w:lang w:val="en-US" w:eastAsia="zh-CN"/>
        </w:rPr>
      </w:pPr>
      <w:r>
        <w:rPr>
          <w:rFonts w:hint="eastAsia" w:ascii="Times New Roman" w:hAnsi="Times New Roman" w:cs="Times New Roman"/>
          <w:bCs/>
          <w:color w:val="auto"/>
          <w:sz w:val="24"/>
          <w:szCs w:val="24"/>
          <w:highlight w:val="none"/>
          <w:lang w:eastAsia="zh-CN"/>
        </w:rPr>
        <w:t>四川巴中国家粮食和物资储备库有限公司</w:t>
      </w:r>
      <w:r>
        <w:rPr>
          <w:rFonts w:ascii="Times New Roman" w:hAnsi="Times New Roman" w:cs="Times New Roman"/>
          <w:bCs/>
          <w:color w:val="auto"/>
          <w:sz w:val="24"/>
          <w:szCs w:val="24"/>
          <w:highlight w:val="none"/>
        </w:rPr>
        <w:t>拟投资</w:t>
      </w:r>
      <w:r>
        <w:rPr>
          <w:rFonts w:hint="eastAsia" w:ascii="Times New Roman" w:hAnsi="Times New Roman" w:cs="Times New Roman"/>
          <w:bCs/>
          <w:color w:val="auto"/>
          <w:sz w:val="24"/>
          <w:szCs w:val="24"/>
          <w:highlight w:val="none"/>
          <w:lang w:val="en-US" w:eastAsia="zh-CN"/>
        </w:rPr>
        <w:t>27688.93</w:t>
      </w:r>
      <w:r>
        <w:rPr>
          <w:rFonts w:ascii="Times New Roman" w:hAnsi="Times New Roman" w:cs="Times New Roman"/>
          <w:bCs/>
          <w:color w:val="auto"/>
          <w:sz w:val="24"/>
          <w:szCs w:val="24"/>
          <w:highlight w:val="none"/>
        </w:rPr>
        <w:t>万元</w:t>
      </w:r>
      <w:r>
        <w:rPr>
          <w:rFonts w:hint="eastAsia" w:ascii="Times New Roman" w:hAnsi="Times New Roman" w:cs="Times New Roman"/>
          <w:bCs/>
          <w:color w:val="auto"/>
          <w:sz w:val="24"/>
          <w:szCs w:val="24"/>
          <w:highlight w:val="none"/>
          <w:lang w:eastAsia="zh-CN"/>
        </w:rPr>
        <w:t>在</w:t>
      </w:r>
      <w:r>
        <w:rPr>
          <w:rFonts w:ascii="Times New Roman" w:hAnsi="Times New Roman" w:cs="Times New Roman"/>
          <w:bCs/>
          <w:color w:val="auto"/>
          <w:sz w:val="24"/>
          <w:szCs w:val="24"/>
          <w:highlight w:val="none"/>
        </w:rPr>
        <w:t>四川省</w:t>
      </w:r>
      <w:r>
        <w:rPr>
          <w:rFonts w:hint="eastAsia" w:ascii="Times New Roman" w:hAnsi="Times New Roman" w:cs="Times New Roman"/>
          <w:bCs/>
          <w:color w:val="auto"/>
          <w:sz w:val="24"/>
          <w:szCs w:val="24"/>
          <w:highlight w:val="none"/>
          <w:lang w:eastAsia="zh-CN"/>
        </w:rPr>
        <w:t>巴中市巴州区鼎山镇首市村建设巴州区鼎山镇首市村巴山牛肉标准化育肥场项目</w:t>
      </w:r>
      <w:r>
        <w:rPr>
          <w:rFonts w:ascii="Times New Roman" w:hAnsi="Times New Roman" w:cs="Times New Roman"/>
          <w:bCs/>
          <w:color w:val="auto"/>
          <w:sz w:val="24"/>
          <w:szCs w:val="24"/>
          <w:highlight w:val="none"/>
        </w:rPr>
        <w:t>，</w:t>
      </w:r>
      <w:r>
        <w:rPr>
          <w:rFonts w:hint="eastAsia" w:ascii="Times New Roman" w:hAnsi="Times New Roman" w:cs="Times New Roman"/>
          <w:bCs/>
          <w:color w:val="auto"/>
          <w:sz w:val="24"/>
          <w:szCs w:val="24"/>
          <w:highlight w:val="none"/>
          <w:lang w:val="en-US" w:eastAsia="zh-CN"/>
        </w:rPr>
        <w:t>占地512.52亩，总建筑面积132773.58m</w:t>
      </w:r>
      <w:r>
        <w:rPr>
          <w:rFonts w:hint="eastAsia" w:ascii="Times New Roman" w:hAnsi="Times New Roman" w:cs="Times New Roman"/>
          <w:bCs/>
          <w:color w:val="auto"/>
          <w:sz w:val="24"/>
          <w:szCs w:val="24"/>
          <w:highlight w:val="none"/>
          <w:vertAlign w:val="superscript"/>
          <w:lang w:val="en-US" w:eastAsia="zh-CN"/>
        </w:rPr>
        <w:t>2</w:t>
      </w:r>
      <w:r>
        <w:rPr>
          <w:rFonts w:hint="eastAsia" w:ascii="Times New Roman" w:hAnsi="Times New Roman" w:cs="Times New Roman"/>
          <w:bCs/>
          <w:color w:val="auto"/>
          <w:sz w:val="24"/>
          <w:szCs w:val="24"/>
          <w:highlight w:val="none"/>
          <w:lang w:val="en-US" w:eastAsia="zh-CN"/>
        </w:rPr>
        <w:t>。建设育肥区牛舍、隔离区、青贮料干草区、综合楼、污水池、门卫、消毒室、设备用房等，配套建设其他附属设施。</w:t>
      </w:r>
    </w:p>
    <w:p>
      <w:pPr>
        <w:ind w:firstLine="480" w:firstLineChars="200"/>
        <w:rPr>
          <w:rFonts w:ascii="Times New Roman" w:hAnsi="Times New Roman" w:cs="Times New Roman"/>
          <w:bCs/>
          <w:color w:val="auto"/>
          <w:sz w:val="24"/>
          <w:szCs w:val="24"/>
          <w:highlight w:val="none"/>
        </w:rPr>
      </w:pPr>
      <w:r>
        <w:rPr>
          <w:rFonts w:hint="eastAsia" w:ascii="Times New Roman" w:hAnsi="Times New Roman" w:cs="Times New Roman"/>
          <w:bCs/>
          <w:color w:val="auto"/>
          <w:sz w:val="24"/>
          <w:highlight w:val="none"/>
        </w:rPr>
        <w:t>建成后常年存栏</w:t>
      </w:r>
      <w:r>
        <w:rPr>
          <w:rFonts w:hint="eastAsia" w:ascii="Times New Roman" w:hAnsi="Times New Roman" w:eastAsia="宋体" w:cs="Times New Roman"/>
          <w:color w:val="auto"/>
          <w:sz w:val="24"/>
          <w:highlight w:val="none"/>
          <w:lang w:val="en-US" w:eastAsia="zh-CN"/>
        </w:rPr>
        <w:t>12500</w:t>
      </w:r>
      <w:r>
        <w:rPr>
          <w:rFonts w:hint="default" w:ascii="Times New Roman" w:hAnsi="Times New Roman" w:eastAsia="宋体" w:cs="Times New Roman"/>
          <w:color w:val="auto"/>
          <w:sz w:val="24"/>
          <w:highlight w:val="none"/>
        </w:rPr>
        <w:t>头肉牛</w:t>
      </w:r>
      <w:r>
        <w:rPr>
          <w:rFonts w:hint="eastAsia" w:ascii="Times New Roman" w:hAnsi="Times New Roman" w:eastAsia="宋体" w:cs="Times New Roman"/>
          <w:color w:val="auto"/>
          <w:sz w:val="24"/>
          <w:highlight w:val="none"/>
          <w:lang w:eastAsia="zh-CN"/>
        </w:rPr>
        <w:t>，</w:t>
      </w:r>
      <w:r>
        <w:rPr>
          <w:rFonts w:hint="eastAsia" w:ascii="Times New Roman" w:hAnsi="Times New Roman" w:cs="Times New Roman"/>
          <w:bCs/>
          <w:color w:val="auto"/>
          <w:sz w:val="24"/>
          <w:highlight w:val="none"/>
        </w:rPr>
        <w:t>出栏</w:t>
      </w:r>
      <w:r>
        <w:rPr>
          <w:rFonts w:hint="eastAsia" w:ascii="Times New Roman" w:hAnsi="Times New Roman" w:cs="Times New Roman"/>
          <w:bCs/>
          <w:color w:val="auto"/>
          <w:sz w:val="24"/>
          <w:highlight w:val="none"/>
          <w:lang w:val="en-US" w:eastAsia="zh-CN"/>
        </w:rPr>
        <w:t>17000</w:t>
      </w:r>
      <w:r>
        <w:rPr>
          <w:rFonts w:hint="eastAsia" w:ascii="Times New Roman" w:hAnsi="Times New Roman" w:cs="Times New Roman"/>
          <w:bCs/>
          <w:color w:val="auto"/>
          <w:sz w:val="24"/>
          <w:highlight w:val="none"/>
        </w:rPr>
        <w:t>头</w:t>
      </w:r>
      <w:r>
        <w:rPr>
          <w:rFonts w:hint="eastAsia" w:ascii="Times New Roman" w:hAnsi="Times New Roman" w:cs="Times New Roman"/>
          <w:bCs/>
          <w:color w:val="auto"/>
          <w:sz w:val="24"/>
          <w:highlight w:val="none"/>
          <w:lang w:eastAsia="zh-CN"/>
        </w:rPr>
        <w:t>肉牛。</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387" w:name="_Toc6801"/>
      <w:bookmarkStart w:id="388" w:name="_Toc414180977"/>
      <w:bookmarkStart w:id="389" w:name="_Toc470789141"/>
      <w:r>
        <w:rPr>
          <w:rFonts w:hint="eastAsia" w:ascii="Times New Roman" w:hAnsi="Times New Roman" w:eastAsia="宋体" w:cs="Times New Roman"/>
          <w:color w:val="auto"/>
          <w:highlight w:val="none"/>
          <w:lang w:val="en-US" w:eastAsia="zh-CN"/>
        </w:rPr>
        <w:t>环境影响评价结论</w:t>
      </w:r>
      <w:bookmarkEnd w:id="384"/>
      <w:bookmarkEnd w:id="385"/>
      <w:bookmarkEnd w:id="386"/>
      <w:bookmarkEnd w:id="387"/>
      <w:bookmarkEnd w:id="388"/>
      <w:bookmarkEnd w:id="389"/>
    </w:p>
    <w:p>
      <w:pPr>
        <w:pStyle w:val="8"/>
        <w:spacing w:before="0" w:after="0" w:line="360" w:lineRule="auto"/>
        <w:ind w:left="0" w:firstLine="0"/>
        <w:rPr>
          <w:rFonts w:hint="default" w:ascii="Times New Roman" w:hAnsi="Times New Roman" w:eastAsia="宋体" w:cs="Times New Roman"/>
          <w:color w:val="auto"/>
          <w:highlight w:val="none"/>
          <w:lang w:val="en-US" w:eastAsia="zh-CN"/>
        </w:rPr>
      </w:pPr>
      <w:bookmarkStart w:id="390" w:name="_Toc18740"/>
      <w:bookmarkStart w:id="391" w:name="_Toc348041447"/>
      <w:r>
        <w:rPr>
          <w:rFonts w:hint="default" w:ascii="Times New Roman" w:hAnsi="Times New Roman" w:eastAsia="宋体" w:cs="Times New Roman"/>
          <w:color w:val="auto"/>
          <w:highlight w:val="none"/>
          <w:lang w:val="en-US" w:eastAsia="zh-CN"/>
        </w:rPr>
        <w:t>产业政策符合性</w:t>
      </w:r>
      <w:bookmarkEnd w:id="390"/>
      <w:bookmarkEnd w:id="391"/>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bookmarkStart w:id="392" w:name="_Toc348041448"/>
      <w:r>
        <w:rPr>
          <w:rFonts w:hint="eastAsia" w:ascii="Times New Roman" w:hAnsi="Times New Roman" w:eastAsia="宋体" w:cs="Times New Roman"/>
          <w:color w:val="auto"/>
          <w:kern w:val="2"/>
          <w:sz w:val="24"/>
          <w:szCs w:val="24"/>
          <w:highlight w:val="none"/>
          <w:lang w:val="en-US" w:eastAsia="zh-CN" w:bidi="ar-SA"/>
        </w:rPr>
        <w:t>本项目为巴州区鼎山镇首市村巴山肉牛标准化育肥场。</w:t>
      </w:r>
      <w:r>
        <w:rPr>
          <w:rFonts w:ascii="Times New Roman" w:hAnsi="Times New Roman" w:eastAsia="宋体" w:cs="Times New Roman"/>
          <w:color w:val="auto"/>
          <w:kern w:val="2"/>
          <w:sz w:val="24"/>
          <w:szCs w:val="24"/>
          <w:highlight w:val="none"/>
          <w:lang w:val="en-US" w:eastAsia="zh-CN" w:bidi="ar-SA"/>
        </w:rPr>
        <w:t>根据国民经济行业分类和代码【GB/T4754-2017】</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2019年本）</w:t>
      </w:r>
      <w:r>
        <w:rPr>
          <w:rFonts w:ascii="Times New Roman" w:hAnsi="Times New Roman" w:eastAsia="宋体" w:cs="Times New Roman"/>
          <w:color w:val="auto"/>
          <w:kern w:val="2"/>
          <w:sz w:val="24"/>
          <w:szCs w:val="24"/>
          <w:highlight w:val="none"/>
          <w:lang w:val="en-US" w:eastAsia="zh-CN" w:bidi="ar-SA"/>
        </w:rPr>
        <w:t>，本项目代码为“</w:t>
      </w:r>
      <w:r>
        <w:rPr>
          <w:rFonts w:hint="eastAsia" w:ascii="Times New Roman" w:hAnsi="Times New Roman" w:eastAsia="宋体" w:cs="Times New Roman"/>
          <w:color w:val="auto"/>
          <w:kern w:val="2"/>
          <w:sz w:val="24"/>
          <w:szCs w:val="24"/>
          <w:highlight w:val="none"/>
          <w:lang w:val="en-US" w:eastAsia="zh-CN" w:bidi="ar-SA"/>
        </w:rPr>
        <w:t>0311</w:t>
      </w:r>
      <w:r>
        <w:rPr>
          <w:rFonts w:ascii="Times New Roman" w:hAnsi="Times New Roman" w:eastAsia="宋体" w:cs="Times New Roman"/>
          <w:color w:val="auto"/>
          <w:kern w:val="2"/>
          <w:sz w:val="24"/>
          <w:szCs w:val="24"/>
          <w:highlight w:val="none"/>
          <w:lang w:val="en-US" w:eastAsia="zh-CN" w:bidi="ar-SA"/>
        </w:rPr>
        <w:t xml:space="preserve"> </w:t>
      </w:r>
      <w:r>
        <w:rPr>
          <w:rFonts w:hint="eastAsia" w:ascii="Times New Roman" w:hAnsi="Times New Roman" w:eastAsia="宋体" w:cs="Times New Roman"/>
          <w:color w:val="auto"/>
          <w:kern w:val="2"/>
          <w:sz w:val="24"/>
          <w:szCs w:val="24"/>
          <w:highlight w:val="none"/>
          <w:lang w:val="en-US" w:eastAsia="zh-CN" w:bidi="ar-SA"/>
        </w:rPr>
        <w:t>牛</w:t>
      </w:r>
      <w:r>
        <w:rPr>
          <w:rFonts w:ascii="Times New Roman" w:hAnsi="Times New Roman" w:eastAsia="宋体" w:cs="Times New Roman"/>
          <w:color w:val="auto"/>
          <w:kern w:val="2"/>
          <w:sz w:val="24"/>
          <w:szCs w:val="24"/>
          <w:highlight w:val="none"/>
          <w:lang w:val="en-US" w:eastAsia="zh-CN" w:bidi="ar-SA"/>
        </w:rPr>
        <w:t>的饲养”。</w:t>
      </w:r>
      <w:r>
        <w:rPr>
          <w:rFonts w:hint="eastAsia" w:ascii="Times New Roman" w:hAnsi="Times New Roman" w:eastAsia="宋体" w:cs="Times New Roman"/>
          <w:color w:val="auto"/>
          <w:kern w:val="2"/>
          <w:sz w:val="24"/>
          <w:szCs w:val="24"/>
          <w:highlight w:val="none"/>
          <w:lang w:val="en-US" w:eastAsia="zh-CN" w:bidi="ar-SA"/>
        </w:rPr>
        <w:t>根据《产业结构调整指导目录（2019 年本）》，本项目属于“第一类鼓励类”“一、农林业”中的 “4、畜禽标准化规模养殖技术开发与应用”。</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同时，巴州区发展和改革局以川投资备【2204-511902-04-01-295288】FGQB-0083号文对本项目进行了备案。</w:t>
      </w:r>
    </w:p>
    <w:p>
      <w:pPr>
        <w:pStyle w:val="8"/>
        <w:spacing w:before="0" w:after="0" w:line="360" w:lineRule="auto"/>
        <w:ind w:left="0" w:firstLine="0"/>
        <w:rPr>
          <w:rFonts w:hint="default" w:ascii="Times New Roman" w:hAnsi="Times New Roman" w:eastAsia="宋体" w:cs="Times New Roman"/>
          <w:color w:val="auto"/>
          <w:highlight w:val="none"/>
          <w:lang w:val="en-US" w:eastAsia="zh-CN"/>
        </w:rPr>
      </w:pPr>
      <w:bookmarkStart w:id="393" w:name="_Toc27607"/>
      <w:r>
        <w:rPr>
          <w:rFonts w:hint="default" w:ascii="Times New Roman" w:hAnsi="Times New Roman" w:eastAsia="宋体" w:cs="Times New Roman"/>
          <w:color w:val="auto"/>
          <w:highlight w:val="none"/>
          <w:lang w:val="en-US" w:eastAsia="zh-CN"/>
        </w:rPr>
        <w:t>规划符合性</w:t>
      </w:r>
      <w:bookmarkEnd w:id="392"/>
      <w:r>
        <w:rPr>
          <w:rFonts w:hint="default" w:ascii="Times New Roman" w:hAnsi="Times New Roman" w:eastAsia="宋体" w:cs="Times New Roman"/>
          <w:color w:val="auto"/>
          <w:highlight w:val="none"/>
          <w:lang w:val="en-US" w:eastAsia="zh-CN"/>
        </w:rPr>
        <w:t>及选址合理性</w:t>
      </w:r>
      <w:bookmarkEnd w:id="393"/>
    </w:p>
    <w:p>
      <w:pPr>
        <w:pStyle w:val="158"/>
        <w:ind w:firstLine="480"/>
        <w:rPr>
          <w:b w:val="0"/>
          <w:bCs w:val="0"/>
          <w:color w:val="auto"/>
          <w:sz w:val="24"/>
          <w:szCs w:val="24"/>
          <w:highlight w:val="none"/>
        </w:rPr>
      </w:pPr>
      <w:r>
        <w:rPr>
          <w:rFonts w:hint="eastAsia"/>
          <w:b w:val="0"/>
          <w:bCs w:val="0"/>
          <w:color w:val="auto"/>
          <w:sz w:val="24"/>
          <w:szCs w:val="24"/>
          <w:highlight w:val="none"/>
        </w:rPr>
        <w:t>本项目符合</w:t>
      </w:r>
      <w:r>
        <w:rPr>
          <w:rFonts w:hint="default" w:ascii="Times New Roman" w:hAnsi="Times New Roman" w:eastAsia="宋体" w:cs="Times New Roman"/>
          <w:b w:val="0"/>
          <w:bCs w:val="0"/>
          <w:color w:val="auto"/>
          <w:sz w:val="24"/>
          <w:szCs w:val="24"/>
          <w:highlight w:val="none"/>
        </w:rPr>
        <w:t>《四川省畜牧业发展“十三五”规划（2016-2020）》</w:t>
      </w:r>
      <w:r>
        <w:rPr>
          <w:rFonts w:hint="eastAsia" w:ascii="Times New Roman" w:hAnsi="Times New Roman" w:eastAsia="宋体" w:cs="Times New Roman"/>
          <w:b w:val="0"/>
          <w:bCs w:val="0"/>
          <w:color w:val="auto"/>
          <w:sz w:val="24"/>
          <w:szCs w:val="24"/>
          <w:highlight w:val="none"/>
          <w:lang w:eastAsia="zh-CN"/>
        </w:rPr>
        <w:t>、</w:t>
      </w:r>
      <w:r>
        <w:rPr>
          <w:rFonts w:hint="eastAsia" w:cs="Times New Roman"/>
          <w:b w:val="0"/>
          <w:bCs w:val="0"/>
          <w:color w:val="auto"/>
          <w:sz w:val="24"/>
          <w:szCs w:val="24"/>
          <w:highlight w:val="none"/>
        </w:rPr>
        <w:t>《</w:t>
      </w:r>
      <w:r>
        <w:rPr>
          <w:rFonts w:ascii="ˎ̥" w:hAnsi="ˎ̥"/>
          <w:b w:val="0"/>
          <w:bCs w:val="0"/>
          <w:color w:val="auto"/>
          <w:sz w:val="24"/>
          <w:szCs w:val="24"/>
          <w:highlight w:val="none"/>
        </w:rPr>
        <w:t>四川省“十</w:t>
      </w:r>
      <w:r>
        <w:rPr>
          <w:rFonts w:hint="eastAsia" w:ascii="ˎ̥" w:hAnsi="ˎ̥"/>
          <w:b w:val="0"/>
          <w:bCs w:val="0"/>
          <w:color w:val="auto"/>
          <w:sz w:val="24"/>
          <w:szCs w:val="24"/>
          <w:highlight w:val="none"/>
          <w:lang w:eastAsia="zh-CN"/>
        </w:rPr>
        <w:t>四</w:t>
      </w:r>
      <w:r>
        <w:rPr>
          <w:rFonts w:ascii="ˎ̥" w:hAnsi="ˎ̥"/>
          <w:b w:val="0"/>
          <w:bCs w:val="0"/>
          <w:color w:val="auto"/>
          <w:sz w:val="24"/>
          <w:szCs w:val="24"/>
          <w:highlight w:val="none"/>
        </w:rPr>
        <w:t>五”生态</w:t>
      </w:r>
      <w:r>
        <w:rPr>
          <w:rFonts w:hint="eastAsia" w:ascii="ˎ̥" w:hAnsi="ˎ̥"/>
          <w:b w:val="0"/>
          <w:bCs w:val="0"/>
          <w:color w:val="auto"/>
          <w:sz w:val="24"/>
          <w:szCs w:val="24"/>
          <w:highlight w:val="none"/>
          <w:lang w:eastAsia="zh-CN"/>
        </w:rPr>
        <w:t>环节</w:t>
      </w:r>
      <w:r>
        <w:rPr>
          <w:rFonts w:ascii="ˎ̥" w:hAnsi="ˎ̥"/>
          <w:b w:val="0"/>
          <w:bCs w:val="0"/>
          <w:color w:val="auto"/>
          <w:sz w:val="24"/>
          <w:szCs w:val="24"/>
          <w:highlight w:val="none"/>
        </w:rPr>
        <w:t>保护规划</w:t>
      </w:r>
      <w:r>
        <w:rPr>
          <w:rFonts w:hint="eastAsia" w:cs="Times New Roman"/>
          <w:b w:val="0"/>
          <w:bCs w:val="0"/>
          <w:color w:val="auto"/>
          <w:sz w:val="24"/>
          <w:szCs w:val="24"/>
          <w:highlight w:val="none"/>
        </w:rPr>
        <w:t>》</w:t>
      </w:r>
      <w:r>
        <w:rPr>
          <w:rFonts w:hint="eastAsia" w:cs="Times New Roman"/>
          <w:b w:val="0"/>
          <w:bCs w:val="0"/>
          <w:color w:val="auto"/>
          <w:sz w:val="24"/>
          <w:szCs w:val="24"/>
          <w:highlight w:val="none"/>
          <w:lang w:eastAsia="zh-CN"/>
        </w:rPr>
        <w:t>、</w:t>
      </w:r>
      <w:r>
        <w:rPr>
          <w:rFonts w:hint="eastAsia" w:cs="Times New Roman"/>
          <w:b w:val="0"/>
          <w:bCs w:val="0"/>
          <w:color w:val="auto"/>
          <w:sz w:val="24"/>
          <w:szCs w:val="24"/>
          <w:highlight w:val="none"/>
        </w:rPr>
        <w:t>《巴中市“十四五”生态环境保护规划》</w:t>
      </w:r>
      <w:r>
        <w:rPr>
          <w:rFonts w:hint="eastAsia" w:cs="Times New Roman"/>
          <w:b w:val="0"/>
          <w:bCs w:val="0"/>
          <w:color w:val="auto"/>
          <w:sz w:val="24"/>
          <w:szCs w:val="24"/>
          <w:highlight w:val="none"/>
          <w:lang w:eastAsia="zh-CN"/>
        </w:rPr>
        <w:t>、</w:t>
      </w:r>
      <w:r>
        <w:rPr>
          <w:rFonts w:hint="eastAsia" w:cs="Times New Roman"/>
          <w:b w:val="0"/>
          <w:bCs w:val="0"/>
          <w:color w:val="auto"/>
          <w:sz w:val="24"/>
          <w:szCs w:val="24"/>
          <w:highlight w:val="none"/>
        </w:rPr>
        <w:t>《巴中市“十四五” 推进农业农村现代化规划》</w:t>
      </w:r>
      <w:r>
        <w:rPr>
          <w:rFonts w:hint="eastAsia" w:cs="Times New Roman"/>
          <w:b w:val="0"/>
          <w:bCs w:val="0"/>
          <w:color w:val="auto"/>
          <w:sz w:val="24"/>
          <w:szCs w:val="24"/>
          <w:highlight w:val="none"/>
          <w:lang w:eastAsia="zh-CN"/>
        </w:rPr>
        <w:t>、</w:t>
      </w:r>
      <w:r>
        <w:rPr>
          <w:rFonts w:hint="eastAsia" w:cs="Times New Roman"/>
          <w:b w:val="0"/>
          <w:bCs w:val="0"/>
          <w:color w:val="auto"/>
          <w:sz w:val="24"/>
          <w:szCs w:val="24"/>
          <w:highlight w:val="none"/>
        </w:rPr>
        <w:t>《</w:t>
      </w:r>
      <w:r>
        <w:rPr>
          <w:rFonts w:hint="eastAsia" w:cs="Times New Roman"/>
          <w:b w:val="0"/>
          <w:bCs w:val="0"/>
          <w:color w:val="auto"/>
          <w:sz w:val="24"/>
          <w:szCs w:val="24"/>
          <w:highlight w:val="none"/>
          <w:lang w:eastAsia="zh-CN"/>
        </w:rPr>
        <w:t>巴州区</w:t>
      </w:r>
      <w:r>
        <w:rPr>
          <w:rFonts w:hint="eastAsia" w:cs="Times New Roman"/>
          <w:b w:val="0"/>
          <w:bCs w:val="0"/>
          <w:color w:val="auto"/>
          <w:sz w:val="24"/>
          <w:szCs w:val="24"/>
          <w:highlight w:val="none"/>
        </w:rPr>
        <w:t>土地利用总体规划》（2006-2020年）</w:t>
      </w:r>
      <w:r>
        <w:rPr>
          <w:rFonts w:hint="eastAsia" w:cs="Times New Roman"/>
          <w:b w:val="0"/>
          <w:bCs w:val="0"/>
          <w:color w:val="auto"/>
          <w:sz w:val="24"/>
          <w:szCs w:val="24"/>
          <w:highlight w:val="none"/>
          <w:lang w:eastAsia="zh-CN"/>
        </w:rPr>
        <w:t>、</w:t>
      </w:r>
      <w:r>
        <w:rPr>
          <w:rFonts w:hint="eastAsia" w:cs="Times New Roman"/>
          <w:b w:val="0"/>
          <w:bCs w:val="0"/>
          <w:color w:val="auto"/>
          <w:sz w:val="24"/>
          <w:szCs w:val="24"/>
          <w:highlight w:val="none"/>
        </w:rPr>
        <w:t>《中华人民共和国水污染防治法》</w:t>
      </w:r>
      <w:r>
        <w:rPr>
          <w:rFonts w:hint="eastAsia" w:cs="Times New Roman"/>
          <w:b w:val="0"/>
          <w:bCs w:val="0"/>
          <w:color w:val="auto"/>
          <w:sz w:val="24"/>
          <w:szCs w:val="24"/>
          <w:highlight w:val="none"/>
          <w:lang w:eastAsia="zh-CN"/>
        </w:rPr>
        <w:t>、</w:t>
      </w:r>
      <w:r>
        <w:rPr>
          <w:rFonts w:hint="eastAsia"/>
          <w:b w:val="0"/>
          <w:bCs w:val="0"/>
          <w:color w:val="auto"/>
          <w:sz w:val="24"/>
          <w:szCs w:val="24"/>
          <w:highlight w:val="none"/>
        </w:rPr>
        <w:t>《水污染防治行动计划》（简称“水十条”）、《土壤污染防治行动计划》（简称“土十条”）和《土壤污染防治行动计划四川省工作方案》、《畜禽规模养殖污染防治条例》、《国务院办公厅关于加快推进畜禽养殖废弃物资源化利用的意见》、</w:t>
      </w:r>
      <w:r>
        <w:rPr>
          <w:rFonts w:hint="default" w:ascii="Times New Roman" w:hAnsi="Times New Roman" w:eastAsia="宋体" w:cs="Times New Roman"/>
          <w:b w:val="0"/>
          <w:bCs w:val="0"/>
          <w:color w:val="auto"/>
          <w:sz w:val="24"/>
          <w:szCs w:val="24"/>
          <w:highlight w:val="none"/>
        </w:rPr>
        <w:t>《</w:t>
      </w:r>
      <w:r>
        <w:rPr>
          <w:rFonts w:hint="eastAsia" w:ascii="Times New Roman" w:hAnsi="Times New Roman" w:eastAsia="宋体" w:cs="Times New Roman"/>
          <w:b w:val="0"/>
          <w:bCs w:val="0"/>
          <w:color w:val="auto"/>
          <w:sz w:val="24"/>
          <w:szCs w:val="24"/>
          <w:highlight w:val="none"/>
          <w:lang w:eastAsia="zh-CN"/>
        </w:rPr>
        <w:t>农</w:t>
      </w:r>
      <w:r>
        <w:rPr>
          <w:rFonts w:hint="default" w:ascii="Times New Roman" w:hAnsi="Times New Roman" w:eastAsia="宋体" w:cs="Times New Roman"/>
          <w:b w:val="0"/>
          <w:bCs w:val="0"/>
          <w:color w:val="auto"/>
          <w:sz w:val="24"/>
          <w:szCs w:val="24"/>
          <w:highlight w:val="none"/>
        </w:rPr>
        <w:t>业农村部办公厅 生态环境部办公厅关于进一步明确畜禽粪污还田利用要求强化养殖污染监管的通知》（农办牧〔2020〕23号）</w:t>
      </w:r>
      <w:r>
        <w:rPr>
          <w:rFonts w:hint="eastAsia"/>
          <w:b w:val="0"/>
          <w:bCs w:val="0"/>
          <w:color w:val="auto"/>
          <w:sz w:val="24"/>
          <w:szCs w:val="24"/>
          <w:highlight w:val="none"/>
        </w:rPr>
        <w:t>等</w:t>
      </w:r>
      <w:r>
        <w:rPr>
          <w:b w:val="0"/>
          <w:bCs w:val="0"/>
          <w:color w:val="auto"/>
          <w:sz w:val="24"/>
          <w:szCs w:val="24"/>
          <w:highlight w:val="none"/>
        </w:rPr>
        <w:t>相关要求</w:t>
      </w:r>
      <w:r>
        <w:rPr>
          <w:rFonts w:hint="eastAsia"/>
          <w:b w:val="0"/>
          <w:bCs w:val="0"/>
          <w:color w:val="auto"/>
          <w:sz w:val="24"/>
          <w:szCs w:val="24"/>
          <w:highlight w:val="none"/>
        </w:rPr>
        <w:t>。本项目符合“三线一单”要求，不在生态红线，未突破环境质量底线，未突破资源利用上线，不在环境负面清单内。</w:t>
      </w:r>
    </w:p>
    <w:p>
      <w:pPr>
        <w:adjustRightInd w:val="0"/>
        <w:snapToGrid w:val="0"/>
        <w:ind w:firstLine="518" w:firstLineChars="216"/>
        <w:rPr>
          <w:color w:val="auto"/>
          <w:highlight w:val="none"/>
        </w:rPr>
      </w:pPr>
      <w:r>
        <w:rPr>
          <w:rFonts w:ascii="Times New Roman" w:hAnsi="Times New Roman" w:cs="Times New Roman"/>
          <w:bCs/>
          <w:color w:val="auto"/>
          <w:sz w:val="24"/>
          <w:szCs w:val="24"/>
          <w:highlight w:val="none"/>
        </w:rPr>
        <w:t>本项目选址于</w:t>
      </w:r>
      <w:r>
        <w:rPr>
          <w:rFonts w:hint="eastAsia" w:ascii="Times New Roman" w:hAnsi="Times New Roman" w:eastAsia="宋体" w:cs="Times New Roman"/>
          <w:color w:val="auto"/>
          <w:kern w:val="2"/>
          <w:sz w:val="24"/>
          <w:szCs w:val="24"/>
          <w:highlight w:val="none"/>
          <w:lang w:val="en-US" w:eastAsia="zh-CN" w:bidi="ar-SA"/>
        </w:rPr>
        <w:t>巴州区鼎山镇首市村</w:t>
      </w:r>
      <w:r>
        <w:rPr>
          <w:rFonts w:hint="eastAsia" w:ascii="Times New Roman" w:hAnsi="Times New Roman" w:cs="Times New Roman"/>
          <w:bCs/>
          <w:color w:val="auto"/>
          <w:sz w:val="24"/>
          <w:szCs w:val="24"/>
          <w:highlight w:val="none"/>
        </w:rPr>
        <w:t>，建设单位同</w:t>
      </w:r>
      <w:r>
        <w:rPr>
          <w:rFonts w:hint="eastAsia" w:ascii="Times New Roman" w:hAnsi="Times New Roman" w:cs="Times New Roman"/>
          <w:bCs/>
          <w:color w:val="auto"/>
          <w:sz w:val="24"/>
          <w:szCs w:val="24"/>
          <w:highlight w:val="none"/>
          <w:lang w:eastAsia="zh-CN"/>
        </w:rPr>
        <w:t>鼎山村</w:t>
      </w:r>
      <w:r>
        <w:rPr>
          <w:rFonts w:hint="eastAsia" w:ascii="Times New Roman" w:hAnsi="Times New Roman" w:cs="Times New Roman"/>
          <w:bCs/>
          <w:color w:val="auto"/>
          <w:sz w:val="24"/>
          <w:szCs w:val="24"/>
          <w:highlight w:val="none"/>
        </w:rPr>
        <w:t>签订了土地</w:t>
      </w:r>
      <w:r>
        <w:rPr>
          <w:rFonts w:hint="eastAsia" w:ascii="Times New Roman" w:hAnsi="Times New Roman" w:cs="Times New Roman"/>
          <w:bCs/>
          <w:color w:val="auto"/>
          <w:sz w:val="24"/>
          <w:szCs w:val="24"/>
          <w:highlight w:val="none"/>
          <w:lang w:eastAsia="zh-CN"/>
        </w:rPr>
        <w:t>流转合同</w:t>
      </w:r>
      <w:r>
        <w:rPr>
          <w:rFonts w:hint="eastAsia" w:ascii="Times New Roman" w:hAnsi="Times New Roman" w:cs="Times New Roman"/>
          <w:bCs/>
          <w:color w:val="auto"/>
          <w:sz w:val="24"/>
          <w:szCs w:val="24"/>
          <w:highlight w:val="none"/>
        </w:rPr>
        <w:t>，用地</w:t>
      </w:r>
      <w:r>
        <w:rPr>
          <w:rFonts w:hint="eastAsia" w:ascii="Times New Roman" w:hAnsi="Times New Roman" w:cs="Times New Roman"/>
          <w:bCs/>
          <w:color w:val="auto"/>
          <w:sz w:val="24"/>
          <w:szCs w:val="24"/>
          <w:highlight w:val="none"/>
          <w:lang w:val="en-US" w:eastAsia="zh-CN"/>
        </w:rPr>
        <w:t>512.52</w:t>
      </w:r>
      <w:r>
        <w:rPr>
          <w:rFonts w:hint="eastAsia" w:ascii="Times New Roman" w:hAnsi="Times New Roman" w:cs="Times New Roman"/>
          <w:bCs/>
          <w:color w:val="auto"/>
          <w:sz w:val="24"/>
          <w:szCs w:val="24"/>
          <w:highlight w:val="none"/>
        </w:rPr>
        <w:t>亩（详见附件3）。</w:t>
      </w:r>
      <w:r>
        <w:rPr>
          <w:rFonts w:hint="eastAsia" w:ascii="Times New Roman" w:hAnsi="Times New Roman" w:cs="Times New Roman"/>
          <w:color w:val="auto"/>
          <w:sz w:val="24"/>
          <w:highlight w:val="none"/>
        </w:rPr>
        <w:t>本项目</w:t>
      </w:r>
      <w:r>
        <w:rPr>
          <w:rFonts w:hint="eastAsia" w:ascii="Times New Roman" w:hAnsi="Times New Roman" w:cs="Times New Roman"/>
          <w:color w:val="auto"/>
          <w:sz w:val="24"/>
          <w:highlight w:val="none"/>
          <w:lang w:eastAsia="zh-CN"/>
        </w:rPr>
        <w:t>不在</w:t>
      </w:r>
      <w:r>
        <w:rPr>
          <w:rFonts w:hint="eastAsia" w:ascii="Times New Roman" w:hAnsi="Times New Roman" w:cs="Times New Roman"/>
          <w:color w:val="auto"/>
          <w:sz w:val="24"/>
          <w:highlight w:val="none"/>
        </w:rPr>
        <w:t>《</w:t>
      </w:r>
      <w:r>
        <w:rPr>
          <w:rFonts w:hint="eastAsia" w:ascii="Times New Roman" w:hAnsi="Times New Roman" w:cs="Times New Roman"/>
          <w:color w:val="auto"/>
          <w:sz w:val="24"/>
          <w:highlight w:val="none"/>
          <w:lang w:eastAsia="zh-CN"/>
        </w:rPr>
        <w:t>巴中市巴州区</w:t>
      </w:r>
      <w:r>
        <w:rPr>
          <w:rFonts w:hint="eastAsia" w:ascii="Times New Roman" w:hAnsi="Times New Roman" w:cs="Times New Roman"/>
          <w:color w:val="auto"/>
          <w:sz w:val="24"/>
          <w:highlight w:val="none"/>
        </w:rPr>
        <w:t>畜禽养殖</w:t>
      </w:r>
      <w:r>
        <w:rPr>
          <w:rFonts w:hint="eastAsia" w:ascii="Times New Roman" w:hAnsi="Times New Roman" w:cs="Times New Roman"/>
          <w:color w:val="auto"/>
          <w:sz w:val="24"/>
          <w:highlight w:val="none"/>
          <w:lang w:eastAsia="zh-CN"/>
        </w:rPr>
        <w:t>调整后划定方案</w:t>
      </w:r>
      <w:r>
        <w:rPr>
          <w:rFonts w:hint="eastAsia" w:ascii="Times New Roman" w:hAnsi="Times New Roman" w:cs="Times New Roman"/>
          <w:color w:val="auto"/>
          <w:sz w:val="24"/>
          <w:highlight w:val="none"/>
        </w:rPr>
        <w:t>》规定的</w:t>
      </w:r>
      <w:r>
        <w:rPr>
          <w:rFonts w:hint="eastAsia" w:ascii="Times New Roman" w:hAnsi="Times New Roman" w:cs="Times New Roman"/>
          <w:color w:val="auto"/>
          <w:sz w:val="24"/>
          <w:highlight w:val="none"/>
          <w:lang w:eastAsia="zh-CN"/>
        </w:rPr>
        <w:t>禁养</w:t>
      </w:r>
      <w:r>
        <w:rPr>
          <w:rFonts w:hint="eastAsia" w:ascii="Times New Roman" w:hAnsi="Times New Roman" w:cs="Times New Roman"/>
          <w:color w:val="auto"/>
          <w:sz w:val="24"/>
          <w:highlight w:val="none"/>
        </w:rPr>
        <w:t>区，符合</w:t>
      </w:r>
      <w:r>
        <w:rPr>
          <w:rFonts w:hint="eastAsia" w:ascii="Times New Roman" w:hAnsi="Times New Roman" w:cs="Times New Roman"/>
          <w:color w:val="auto"/>
          <w:sz w:val="24"/>
          <w:highlight w:val="none"/>
          <w:lang w:eastAsia="zh-CN"/>
        </w:rPr>
        <w:t>巴州区</w:t>
      </w:r>
      <w:r>
        <w:rPr>
          <w:rFonts w:hint="eastAsia" w:ascii="Times New Roman" w:hAnsi="Times New Roman" w:cs="Times New Roman"/>
          <w:color w:val="auto"/>
          <w:sz w:val="24"/>
          <w:highlight w:val="none"/>
        </w:rPr>
        <w:t>养殖规划。本项目卫生防护距离范围内本项目卫生防护距离200m范围内有</w:t>
      </w:r>
      <w:r>
        <w:rPr>
          <w:rFonts w:hint="eastAsia" w:ascii="Times New Roman" w:hAnsi="Times New Roman" w:cs="Times New Roman"/>
          <w:color w:val="auto"/>
          <w:sz w:val="24"/>
          <w:highlight w:val="none"/>
          <w:lang w:val="en-US" w:eastAsia="zh-CN"/>
        </w:rPr>
        <w:t>3</w:t>
      </w:r>
      <w:r>
        <w:rPr>
          <w:rFonts w:hint="eastAsia" w:ascii="Times New Roman" w:hAnsi="Times New Roman" w:cs="Times New Roman"/>
          <w:color w:val="auto"/>
          <w:sz w:val="24"/>
          <w:highlight w:val="none"/>
        </w:rPr>
        <w:t>栋农户自用房，拟由公司长期租赁用作项目</w:t>
      </w:r>
      <w:r>
        <w:rPr>
          <w:rFonts w:hint="eastAsia" w:ascii="Times New Roman" w:hAnsi="Times New Roman" w:cs="Times New Roman"/>
          <w:color w:val="auto"/>
          <w:sz w:val="24"/>
          <w:highlight w:val="none"/>
          <w:lang w:eastAsia="zh-CN"/>
        </w:rPr>
        <w:t>生产管理用房</w:t>
      </w:r>
      <w:r>
        <w:rPr>
          <w:rFonts w:hint="eastAsia" w:ascii="Times New Roman" w:hAnsi="Times New Roman" w:cs="Times New Roman"/>
          <w:color w:val="auto"/>
          <w:sz w:val="24"/>
          <w:highlight w:val="none"/>
        </w:rPr>
        <w:t>；</w:t>
      </w:r>
      <w:r>
        <w:rPr>
          <w:rFonts w:hint="eastAsia" w:ascii="Times New Roman" w:hAnsi="Times New Roman" w:cs="Times New Roman"/>
          <w:color w:val="auto"/>
          <w:sz w:val="24"/>
          <w:highlight w:val="none"/>
          <w:lang w:eastAsia="zh-CN"/>
        </w:rPr>
        <w:t>无环保搬迁，</w:t>
      </w:r>
      <w:r>
        <w:rPr>
          <w:rFonts w:hint="eastAsia" w:ascii="Times New Roman" w:hAnsi="Times New Roman" w:cs="Times New Roman"/>
          <w:color w:val="auto"/>
          <w:sz w:val="24"/>
          <w:highlight w:val="none"/>
        </w:rPr>
        <w:t>本项目选址符合《村镇规划卫生规范》（</w:t>
      </w:r>
      <w:r>
        <w:rPr>
          <w:rFonts w:ascii="Times New Roman" w:hAnsi="Times New Roman" w:cs="Times New Roman"/>
          <w:color w:val="auto"/>
          <w:sz w:val="24"/>
          <w:highlight w:val="none"/>
        </w:rPr>
        <w:t>GB18055-20</w:t>
      </w:r>
      <w:r>
        <w:rPr>
          <w:rFonts w:hint="eastAsia" w:ascii="Times New Roman" w:hAnsi="Times New Roman" w:cs="Times New Roman"/>
          <w:color w:val="auto"/>
          <w:sz w:val="24"/>
          <w:highlight w:val="none"/>
        </w:rPr>
        <w:t>12）要求。</w:t>
      </w:r>
      <w:r>
        <w:rPr>
          <w:rFonts w:ascii="Times New Roman" w:hAnsi="Times New Roman" w:cs="Times New Roman"/>
          <w:bCs/>
          <w:color w:val="auto"/>
          <w:sz w:val="24"/>
          <w:highlight w:val="none"/>
        </w:rPr>
        <w:t>该项目选址符合</w:t>
      </w:r>
      <w:r>
        <w:rPr>
          <w:rFonts w:hint="eastAsia" w:ascii="Times New Roman" w:hAnsi="Times New Roman" w:cs="Times New Roman"/>
          <w:bCs/>
          <w:color w:val="auto"/>
          <w:sz w:val="24"/>
          <w:highlight w:val="none"/>
        </w:rPr>
        <w:t>《</w:t>
      </w:r>
      <w:r>
        <w:rPr>
          <w:rFonts w:hint="eastAsia" w:ascii="Times New Roman" w:hAnsi="Times New Roman" w:cs="Times New Roman"/>
          <w:color w:val="auto"/>
          <w:sz w:val="24"/>
          <w:highlight w:val="none"/>
        </w:rPr>
        <w:t>畜禽规模养殖污染防治条例</w:t>
      </w:r>
      <w:r>
        <w:rPr>
          <w:rFonts w:hint="eastAsia" w:ascii="Times New Roman" w:hAnsi="Times New Roman" w:cs="Times New Roman"/>
          <w:bCs/>
          <w:color w:val="auto"/>
          <w:sz w:val="24"/>
          <w:highlight w:val="none"/>
        </w:rPr>
        <w:t>》（</w:t>
      </w:r>
      <w:r>
        <w:rPr>
          <w:rFonts w:hint="eastAsia" w:ascii="Times New Roman" w:hAnsi="Times New Roman" w:cs="Times New Roman"/>
          <w:color w:val="auto"/>
          <w:sz w:val="24"/>
          <w:highlight w:val="none"/>
        </w:rPr>
        <w:t>国务院令</w:t>
      </w:r>
      <w:r>
        <w:rPr>
          <w:rFonts w:hint="eastAsia" w:ascii="Times New Roman" w:hAnsi="Times New Roman" w:cs="Times New Roman"/>
          <w:bCs/>
          <w:color w:val="auto"/>
          <w:sz w:val="24"/>
          <w:highlight w:val="none"/>
        </w:rPr>
        <w:t>第643号）、《畜禽养殖业污染防治技术规范》（HJ/T81-2001）中选址要求，不在当地农业部门划定禁养区内，选址基本合理可行。</w:t>
      </w:r>
    </w:p>
    <w:p>
      <w:pPr>
        <w:pStyle w:val="8"/>
        <w:spacing w:before="0" w:after="0" w:line="360" w:lineRule="auto"/>
        <w:ind w:left="0" w:firstLine="0"/>
        <w:rPr>
          <w:rFonts w:hint="default" w:ascii="Times New Roman" w:hAnsi="Times New Roman" w:eastAsia="宋体" w:cs="Times New Roman"/>
          <w:color w:val="auto"/>
          <w:highlight w:val="none"/>
        </w:rPr>
      </w:pPr>
      <w:bookmarkStart w:id="394" w:name="_Toc5627"/>
      <w:bookmarkStart w:id="395" w:name="_Toc405412961"/>
      <w:r>
        <w:rPr>
          <w:rFonts w:hint="default" w:ascii="Times New Roman" w:hAnsi="Times New Roman" w:eastAsia="宋体" w:cs="Times New Roman"/>
          <w:color w:val="auto"/>
          <w:highlight w:val="none"/>
        </w:rPr>
        <w:t>项目所在区域环境质量现状</w:t>
      </w:r>
      <w:bookmarkEnd w:id="394"/>
    </w:p>
    <w:p>
      <w:pPr>
        <w:tabs>
          <w:tab w:val="left" w:pos="9540"/>
        </w:tabs>
        <w:ind w:right="42" w:rightChars="20" w:firstLine="516" w:firstLineChars="215"/>
        <w:jc w:val="left"/>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大气环境</w:t>
      </w:r>
      <w:r>
        <w:rPr>
          <w:rFonts w:hint="eastAsia" w:ascii="Times New Roman" w:hAnsi="Times New Roman" w:cs="Times New Roman"/>
          <w:color w:val="auto"/>
          <w:kern w:val="0"/>
          <w:sz w:val="24"/>
          <w:highlight w:val="none"/>
        </w:rPr>
        <w:t>：项目所在区域环境空气质量达标，属于达标区。</w:t>
      </w:r>
      <w:r>
        <w:rPr>
          <w:rFonts w:hint="eastAsia" w:ascii="Times New Roman" w:hAnsi="Times New Roman"/>
          <w:color w:val="auto"/>
          <w:sz w:val="24"/>
          <w:highlight w:val="none"/>
        </w:rPr>
        <w:t>项目所在区域环境空气中氨、硫化氢</w:t>
      </w:r>
      <w:r>
        <w:rPr>
          <w:rFonts w:hint="eastAsia" w:ascii="Times New Roman" w:hAnsi="Times New Roman"/>
          <w:color w:val="auto"/>
          <w:sz w:val="24"/>
          <w:highlight w:val="none"/>
          <w:lang w:eastAsia="zh-CN"/>
        </w:rPr>
        <w:t>、臭气浓度</w:t>
      </w:r>
      <w:r>
        <w:rPr>
          <w:rFonts w:hint="eastAsia" w:ascii="Times New Roman" w:hAnsi="Times New Roman"/>
          <w:color w:val="auto"/>
          <w:sz w:val="24"/>
          <w:highlight w:val="none"/>
        </w:rPr>
        <w:t>监测指标</w:t>
      </w:r>
      <w:r>
        <w:rPr>
          <w:rFonts w:hint="eastAsia" w:ascii="Times New Roman" w:hAnsi="Times New Roman"/>
          <w:bCs/>
          <w:color w:val="auto"/>
          <w:sz w:val="24"/>
          <w:highlight w:val="none"/>
        </w:rPr>
        <w:t>满足</w:t>
      </w:r>
      <w:r>
        <w:rPr>
          <w:rFonts w:hint="eastAsia" w:ascii="Times New Roman" w:hAnsi="Times New Roman"/>
          <w:color w:val="auto"/>
          <w:sz w:val="24"/>
          <w:highlight w:val="none"/>
        </w:rPr>
        <w:t>相关标准</w:t>
      </w:r>
      <w:r>
        <w:rPr>
          <w:rFonts w:hint="eastAsia" w:ascii="Times New Roman" w:hAnsi="Times New Roman"/>
          <w:bCs/>
          <w:color w:val="auto"/>
          <w:sz w:val="24"/>
          <w:highlight w:val="none"/>
        </w:rPr>
        <w:t>限值要求。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ascii="Times New Roman" w:hAnsi="Times New Roman" w:cs="Times New Roman"/>
          <w:color w:val="auto"/>
          <w:sz w:val="24"/>
          <w:highlight w:val="none"/>
        </w:rPr>
        <w:t>地表水环境</w:t>
      </w:r>
      <w:r>
        <w:rPr>
          <w:rFonts w:hint="eastAsia" w:ascii="Times New Roman" w:hAnsi="Times New Roman" w:cs="Times New Roman"/>
          <w:color w:val="auto"/>
          <w:sz w:val="24"/>
          <w:highlight w:val="none"/>
        </w:rPr>
        <w:t>：</w:t>
      </w:r>
      <w:r>
        <w:rPr>
          <w:rFonts w:hint="eastAsia" w:ascii="Times New Roman" w:hAnsi="Times New Roman" w:eastAsia="宋体" w:cs="Times New Roman"/>
          <w:color w:val="auto"/>
          <w:sz w:val="24"/>
          <w:szCs w:val="24"/>
          <w:highlight w:val="none"/>
          <w:lang w:val="en-US" w:eastAsia="zh-CN"/>
        </w:rPr>
        <w:t>本项目废水不外排，项目所在地位于纸长河附近，纸长河属于巴河支流，因此纸长河的地表水评价参考巴河的水质监测断面。</w:t>
      </w:r>
      <w:r>
        <w:rPr>
          <w:rFonts w:hint="default" w:ascii="Times New Roman" w:hAnsi="Times New Roman" w:eastAsia="宋体" w:cs="Times New Roman"/>
          <w:color w:val="auto"/>
          <w:sz w:val="24"/>
          <w:szCs w:val="24"/>
          <w:highlight w:val="none"/>
          <w:lang w:val="en-US" w:eastAsia="zh-CN"/>
        </w:rPr>
        <w:t>根据巴中市生态环境局发布的《2020年巴中市生态环境状况公报》可知，2020年</w:t>
      </w:r>
      <w:r>
        <w:rPr>
          <w:rFonts w:hint="eastAsia" w:ascii="Times New Roman" w:hAnsi="Times New Roman" w:eastAsia="宋体" w:cs="Times New Roman"/>
          <w:color w:val="auto"/>
          <w:sz w:val="24"/>
          <w:szCs w:val="24"/>
          <w:highlight w:val="none"/>
          <w:lang w:val="en-US" w:eastAsia="zh-CN"/>
        </w:rPr>
        <w:t>巴州区巴河水傍岩控制断面水质为</w:t>
      </w:r>
      <w:r>
        <w:rPr>
          <w:rFonts w:hint="eastAsia" w:ascii="宋体" w:hAnsi="宋体" w:eastAsia="宋体" w:cs="宋体"/>
          <w:color w:val="auto"/>
          <w:sz w:val="24"/>
          <w:szCs w:val="24"/>
          <w:highlight w:val="none"/>
          <w:lang w:val="en-US" w:eastAsia="zh-CN"/>
        </w:rPr>
        <w:t>Ⅱ类</w:t>
      </w:r>
      <w:r>
        <w:rPr>
          <w:rFonts w:hint="eastAsia" w:ascii="Times New Roman" w:hAnsi="Times New Roman" w:eastAsia="宋体" w:cs="Times New Roman"/>
          <w:color w:val="auto"/>
          <w:sz w:val="24"/>
          <w:szCs w:val="24"/>
          <w:highlight w:val="none"/>
          <w:lang w:val="en-US" w:eastAsia="zh-CN"/>
        </w:rPr>
        <w:t>，2019年为</w:t>
      </w:r>
      <w:r>
        <w:rPr>
          <w:rFonts w:hint="eastAsia" w:ascii="宋体" w:hAnsi="宋体" w:eastAsia="宋体" w:cs="宋体"/>
          <w:color w:val="auto"/>
          <w:sz w:val="24"/>
          <w:szCs w:val="24"/>
          <w:highlight w:val="none"/>
          <w:lang w:val="en-US" w:eastAsia="zh-CN"/>
        </w:rPr>
        <w:t>Ⅲ</w:t>
      </w:r>
      <w:r>
        <w:rPr>
          <w:rFonts w:hint="eastAsia" w:ascii="Times New Roman" w:hAnsi="Times New Roman" w:eastAsia="宋体" w:cs="Times New Roman"/>
          <w:color w:val="auto"/>
          <w:sz w:val="24"/>
          <w:szCs w:val="24"/>
          <w:highlight w:val="none"/>
          <w:lang w:val="en-US" w:eastAsia="zh-CN"/>
        </w:rPr>
        <w:t>类，水质有所改善，能够</w:t>
      </w:r>
      <w:r>
        <w:rPr>
          <w:rFonts w:hint="default" w:ascii="Times New Roman" w:hAnsi="Times New Roman" w:eastAsia="宋体" w:cs="Times New Roman"/>
          <w:color w:val="auto"/>
          <w:sz w:val="24"/>
          <w:szCs w:val="24"/>
          <w:highlight w:val="none"/>
          <w:lang w:val="en-US" w:eastAsia="zh-CN"/>
        </w:rPr>
        <w:t>满足《地表水环境质量标准》（GB 3838-2002）中的Ⅲ类水域标准要求。</w:t>
      </w:r>
    </w:p>
    <w:p>
      <w:pPr>
        <w:tabs>
          <w:tab w:val="left" w:pos="9540"/>
        </w:tabs>
        <w:ind w:right="42" w:rightChars="20" w:firstLine="516" w:firstLineChars="215"/>
        <w:rPr>
          <w:rFonts w:ascii="Times New Roman" w:hAnsi="Times New Roman"/>
          <w:color w:val="auto"/>
          <w:sz w:val="24"/>
          <w:highlight w:val="none"/>
        </w:rPr>
      </w:pPr>
      <w:r>
        <w:rPr>
          <w:rFonts w:hint="eastAsia" w:ascii="Times New Roman" w:hAnsi="Times New Roman" w:cs="Times New Roman"/>
          <w:color w:val="auto"/>
          <w:kern w:val="0"/>
          <w:sz w:val="24"/>
          <w:highlight w:val="none"/>
        </w:rPr>
        <w:t>地下水环境：</w:t>
      </w:r>
      <w:r>
        <w:rPr>
          <w:rFonts w:hint="eastAsia" w:ascii="Times New Roman" w:hAnsi="Times New Roman"/>
          <w:color w:val="auto"/>
          <w:sz w:val="24"/>
          <w:highlight w:val="none"/>
        </w:rPr>
        <w:t>各监测点位地下水中监测因子均满足《地下水质量标准》（</w:t>
      </w:r>
      <w:r>
        <w:rPr>
          <w:rFonts w:ascii="Times New Roman" w:hAnsi="Times New Roman"/>
          <w:color w:val="auto"/>
          <w:sz w:val="24"/>
          <w:highlight w:val="none"/>
        </w:rPr>
        <w:t>GB/T14848-2017</w:t>
      </w:r>
      <w:r>
        <w:rPr>
          <w:rFonts w:hint="eastAsia" w:ascii="Times New Roman" w:hAnsi="Times New Roman"/>
          <w:color w:val="auto"/>
          <w:sz w:val="24"/>
          <w:highlight w:val="none"/>
        </w:rPr>
        <w:t>）</w:t>
      </w:r>
      <w:r>
        <w:rPr>
          <w:rFonts w:hint="eastAsia" w:ascii="宋体" w:hAnsi="宋体"/>
          <w:color w:val="auto"/>
          <w:sz w:val="24"/>
          <w:highlight w:val="none"/>
        </w:rPr>
        <w:t>Ⅲ</w:t>
      </w:r>
      <w:r>
        <w:rPr>
          <w:rFonts w:hint="eastAsia" w:ascii="Times New Roman" w:hAnsi="Times New Roman"/>
          <w:color w:val="auto"/>
          <w:sz w:val="24"/>
          <w:highlight w:val="none"/>
        </w:rPr>
        <w:t>类标准。</w:t>
      </w:r>
    </w:p>
    <w:p>
      <w:pPr>
        <w:tabs>
          <w:tab w:val="left" w:pos="9540"/>
        </w:tabs>
        <w:ind w:right="42" w:rightChars="20" w:firstLine="516" w:firstLineChars="215"/>
        <w:rPr>
          <w:rFonts w:hint="eastAsia"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土壤环境：本项目厂址区域土壤中各污染物含量均低于《土壤环境质量-农用地土壤污染风险管控标准》（试行）（GB15618-2018）中表1规定的风险筛选值，说明本项目所在厂址处土壤污染风险低。</w:t>
      </w:r>
    </w:p>
    <w:p>
      <w:pPr>
        <w:tabs>
          <w:tab w:val="left" w:pos="9540"/>
        </w:tabs>
        <w:ind w:right="42" w:rightChars="20" w:firstLine="516" w:firstLineChars="215"/>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声环境：本项目场界各监测点昼、夜环境噪声均低于《声环境质量标准》（GB3096-2008）中2类标准限值的要求；区域声环境质量较好。</w:t>
      </w:r>
    </w:p>
    <w:p>
      <w:pPr>
        <w:pStyle w:val="8"/>
        <w:spacing w:before="0" w:after="0" w:line="360" w:lineRule="auto"/>
        <w:ind w:left="0" w:firstLine="0"/>
        <w:rPr>
          <w:rFonts w:hint="default" w:ascii="Times New Roman" w:hAnsi="Times New Roman" w:eastAsia="宋体" w:cs="Times New Roman"/>
          <w:color w:val="auto"/>
          <w:highlight w:val="none"/>
        </w:rPr>
      </w:pPr>
      <w:bookmarkStart w:id="396" w:name="_Toc18518"/>
      <w:r>
        <w:rPr>
          <w:rFonts w:hint="default" w:ascii="Times New Roman" w:hAnsi="Times New Roman" w:eastAsia="宋体" w:cs="Times New Roman"/>
          <w:color w:val="auto"/>
          <w:highlight w:val="none"/>
        </w:rPr>
        <w:t>环境影响评价</w:t>
      </w:r>
      <w:bookmarkEnd w:id="396"/>
    </w:p>
    <w:p>
      <w:pPr>
        <w:ind w:firstLine="482" w:firstLineChars="200"/>
        <w:rPr>
          <w:rFonts w:ascii="Times New Roman" w:hAnsi="Times New Roman" w:cs="Times New Roman"/>
          <w:b/>
          <w:color w:val="auto"/>
          <w:sz w:val="24"/>
          <w:szCs w:val="24"/>
          <w:highlight w:val="none"/>
        </w:rPr>
      </w:pPr>
      <w:bookmarkStart w:id="397" w:name="_Toc405412968"/>
      <w:r>
        <w:rPr>
          <w:rFonts w:ascii="Times New Roman" w:hAnsi="Times New Roman" w:cs="Times New Roman"/>
          <w:b/>
          <w:color w:val="auto"/>
          <w:sz w:val="24"/>
          <w:szCs w:val="24"/>
          <w:highlight w:val="none"/>
        </w:rPr>
        <w:t>1、施工期环境影响</w:t>
      </w:r>
    </w:p>
    <w:p>
      <w:pPr>
        <w:tabs>
          <w:tab w:val="left" w:pos="9540"/>
        </w:tabs>
        <w:ind w:firstLine="480" w:firstLineChars="200"/>
        <w:jc w:val="left"/>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本项目建设施工期环境因素主要为车辆运输和设备安装过程中产生的噪声，其将对区域声学环境产生短暂影响。施工期对环境的影响是属于局部、短期、可恢复性的。施工场地周围200m内无学校和集中居住区等敏感目标，对周围环境的影响较小。</w:t>
      </w:r>
    </w:p>
    <w:p>
      <w:pPr>
        <w:ind w:firstLine="482" w:firstLineChars="200"/>
        <w:rPr>
          <w:rFonts w:ascii="Times New Roman" w:hAnsi="Times New Roman" w:cs="Times New Roman"/>
          <w:b/>
          <w:color w:val="auto"/>
          <w:sz w:val="24"/>
          <w:highlight w:val="none"/>
        </w:rPr>
      </w:pPr>
      <w:r>
        <w:rPr>
          <w:rFonts w:ascii="Times New Roman" w:hAnsi="Times New Roman" w:cs="Times New Roman"/>
          <w:b/>
          <w:color w:val="auto"/>
          <w:sz w:val="24"/>
          <w:highlight w:val="none"/>
        </w:rPr>
        <w:t>2、运营期环境评价结论</w:t>
      </w:r>
    </w:p>
    <w:bookmarkEnd w:id="397"/>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（1）运营期大气环境影响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根据预测结果，本项目厂界H</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S、NH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的预测排放浓度均能满足《恶臭污染物排放标准》（GB14554-93）表1中二级标准要求，对环境空气影响很小。</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根据计算，本项目的卫生防护距离确定以牛舍、污水处理站、干粪棚边界为起点外扩200m包络线。根据现场踏勘调查，本项目卫生防护距离</w:t>
      </w:r>
      <w:r>
        <w:rPr>
          <w:rFonts w:ascii="Times New Roman" w:hAnsi="Times New Roman" w:eastAsia="宋体" w:cs="Times New Roman"/>
          <w:color w:val="auto"/>
          <w:sz w:val="24"/>
          <w:szCs w:val="24"/>
          <w:highlight w:val="none"/>
        </w:rPr>
        <w:t>200m</w:t>
      </w:r>
      <w:r>
        <w:rPr>
          <w:rFonts w:hint="eastAsia" w:ascii="Times New Roman" w:hAnsi="Times New Roman" w:eastAsia="宋体" w:cs="Times New Roman"/>
          <w:color w:val="auto"/>
          <w:sz w:val="24"/>
          <w:szCs w:val="24"/>
          <w:highlight w:val="none"/>
        </w:rPr>
        <w:t>范围内有</w:t>
      </w:r>
      <w:r>
        <w:rPr>
          <w:rFonts w:hint="eastAsia" w:ascii="Times New Roman" w:hAnsi="Times New Roman" w:eastAsia="宋体" w:cs="Times New Roman"/>
          <w:color w:val="auto"/>
          <w:sz w:val="24"/>
          <w:szCs w:val="24"/>
          <w:highlight w:val="none"/>
          <w:lang w:eastAsia="zh-CN"/>
        </w:rPr>
        <w:t>无敏感点居住</w:t>
      </w:r>
      <w:r>
        <w:rPr>
          <w:rFonts w:hint="eastAsia" w:ascii="Times New Roman" w:hAnsi="Times New Roman" w:eastAsia="宋体" w:cs="Times New Roman"/>
          <w:color w:val="auto"/>
          <w:sz w:val="24"/>
          <w:szCs w:val="24"/>
          <w:highlight w:val="none"/>
        </w:rPr>
        <w:t>；根据卫生防护距离计算结果，提出如下卫生防护距离设置要求：在卫生防护距离范围内</w:t>
      </w:r>
      <w:r>
        <w:rPr>
          <w:rFonts w:hint="eastAsia" w:ascii="Times New Roman" w:hAnsi="Times New Roman" w:eastAsia="宋体" w:cs="Times New Roman"/>
          <w:bCs/>
          <w:color w:val="auto"/>
          <w:sz w:val="24"/>
          <w:szCs w:val="24"/>
          <w:highlight w:val="none"/>
        </w:rPr>
        <w:t>不得规划新建集中居民区、医院、学校及食品医药加工企业等易受本项目恶臭影响的建设项目。</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沼气将用于养殖场内的燃烧使用，经净化后的沼气属于清洁能源，燃烧后的产物为二氧化碳和水，不会污染环境。食堂油烟经油烟净化装置处理后能满足《饮食业油烟排放标准》（GB18483-2001）中相关标准要求。柴油发电机废气经发电机配置的排风系统排放，排放口设置朝向绿化，对环境无明显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综上，项目运营期废气</w:t>
      </w:r>
      <w:r>
        <w:rPr>
          <w:rFonts w:ascii="Times New Roman" w:hAnsi="Times New Roman" w:eastAsia="宋体" w:cs="Times New Roman"/>
          <w:color w:val="auto"/>
          <w:sz w:val="24"/>
          <w:szCs w:val="24"/>
          <w:highlight w:val="none"/>
        </w:rPr>
        <w:t>不会对项目所在地环境空气质量造成明显不利影响。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（2）运营期水环境影响</w:t>
      </w:r>
    </w:p>
    <w:p>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养殖场</w:t>
      </w:r>
      <w:r>
        <w:rPr>
          <w:rFonts w:hint="eastAsia" w:ascii="Times New Roman" w:hAnsi="Times New Roman" w:eastAsia="宋体" w:cs="Times New Roman"/>
          <w:color w:val="auto"/>
          <w:sz w:val="24"/>
          <w:szCs w:val="24"/>
          <w:highlight w:val="none"/>
        </w:rPr>
        <w:t>养殖废水和生活污水经收集后，进入拟建的“</w:t>
      </w:r>
      <w:r>
        <w:rPr>
          <w:rFonts w:hint="default" w:ascii="Times New Roman" w:hAnsi="Times New Roman" w:eastAsia="宋体" w:cs="Times New Roman"/>
          <w:color w:val="auto"/>
          <w:sz w:val="24"/>
          <w:szCs w:val="24"/>
          <w:highlight w:val="none"/>
        </w:rPr>
        <w:t>固液分离+UASB厌氧+絮凝沉淀+两级A/O系统+混凝絮凝沉淀+消毒</w:t>
      </w:r>
      <w:r>
        <w:rPr>
          <w:rFonts w:hint="eastAsia" w:ascii="Times New Roman" w:hAnsi="Times New Roman" w:eastAsia="宋体" w:cs="Times New Roman"/>
          <w:color w:val="auto"/>
          <w:sz w:val="24"/>
          <w:szCs w:val="24"/>
          <w:highlight w:val="none"/>
        </w:rPr>
        <w:t>”污水处理设施处理达《农田灌溉水质标准》（</w:t>
      </w:r>
      <w:r>
        <w:rPr>
          <w:rFonts w:hint="eastAsia" w:ascii="Times New Roman" w:hAnsi="Times New Roman" w:eastAsia="宋体" w:cs="Times New Roman"/>
          <w:color w:val="auto"/>
          <w:sz w:val="24"/>
          <w:szCs w:val="24"/>
          <w:highlight w:val="none"/>
          <w:lang w:eastAsia="zh-CN"/>
        </w:rPr>
        <w:t>GB5084-2021</w:t>
      </w:r>
      <w:r>
        <w:rPr>
          <w:rFonts w:hint="eastAsia" w:ascii="Times New Roman" w:hAnsi="Times New Roman" w:eastAsia="宋体" w:cs="Times New Roman"/>
          <w:color w:val="auto"/>
          <w:sz w:val="24"/>
          <w:szCs w:val="24"/>
          <w:highlight w:val="none"/>
        </w:rPr>
        <w:t>）中</w:t>
      </w:r>
      <w:r>
        <w:rPr>
          <w:rFonts w:hint="eastAsia" w:ascii="Times New Roman" w:hAnsi="Times New Roman" w:eastAsia="宋体" w:cs="Times New Roman"/>
          <w:color w:val="auto"/>
          <w:sz w:val="24"/>
          <w:szCs w:val="24"/>
          <w:highlight w:val="none"/>
          <w:lang w:eastAsia="zh-CN"/>
        </w:rPr>
        <w:t>蔬菜</w:t>
      </w:r>
      <w:r>
        <w:rPr>
          <w:rFonts w:hint="eastAsia" w:ascii="Times New Roman" w:hAnsi="Times New Roman" w:eastAsia="宋体" w:cs="Times New Roman"/>
          <w:color w:val="auto"/>
          <w:sz w:val="24"/>
          <w:szCs w:val="24"/>
          <w:highlight w:val="none"/>
        </w:rPr>
        <w:t>标准后暂存于储存池内，</w:t>
      </w:r>
      <w:r>
        <w:rPr>
          <w:rFonts w:hint="eastAsia" w:ascii="Times New Roman" w:hAnsi="Times New Roman" w:eastAsia="宋体" w:cs="Times New Roman"/>
          <w:color w:val="auto"/>
          <w:sz w:val="24"/>
          <w:szCs w:val="24"/>
          <w:highlight w:val="none"/>
          <w:lang w:eastAsia="zh-CN"/>
        </w:rPr>
        <w:t>用于周围耕地灌溉，不外排，</w:t>
      </w:r>
      <w:r>
        <w:rPr>
          <w:rFonts w:hint="eastAsia" w:ascii="Times New Roman" w:hAnsi="Times New Roman" w:eastAsia="宋体" w:cs="Times New Roman"/>
          <w:color w:val="auto"/>
          <w:sz w:val="24"/>
          <w:szCs w:val="24"/>
          <w:highlight w:val="none"/>
        </w:rPr>
        <w:t>不会对周边地表水环境造成明显不利影响。</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建设单位做好污水处理站、粪便脱水间、</w:t>
      </w:r>
      <w:r>
        <w:rPr>
          <w:rFonts w:hint="eastAsia" w:ascii="Times New Roman" w:hAnsi="Times New Roman" w:eastAsia="宋体" w:cs="Times New Roman"/>
          <w:color w:val="auto"/>
          <w:sz w:val="24"/>
          <w:szCs w:val="24"/>
          <w:highlight w:val="none"/>
          <w:lang w:eastAsia="zh-CN"/>
        </w:rPr>
        <w:t>干粪棚、</w:t>
      </w:r>
      <w:r>
        <w:rPr>
          <w:rFonts w:hint="eastAsia" w:ascii="Times New Roman" w:hAnsi="Times New Roman" w:eastAsia="宋体" w:cs="Times New Roman"/>
          <w:color w:val="auto"/>
          <w:sz w:val="24"/>
          <w:szCs w:val="24"/>
          <w:highlight w:val="none"/>
        </w:rPr>
        <w:t>危险废物暂存间、柴油发电机房、场区地面等防渗措施后，项目对地下水环境影响较小。</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（3）运营期声环境影响</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本项目运营期对声环境的影响主要来自于</w:t>
      </w:r>
      <w:r>
        <w:rPr>
          <w:rFonts w:hint="eastAsia" w:ascii="Times New Roman" w:hAnsi="Times New Roman" w:eastAsia="宋体" w:cs="Times New Roman"/>
          <w:color w:val="auto"/>
          <w:sz w:val="24"/>
          <w:szCs w:val="24"/>
          <w:highlight w:val="none"/>
          <w:lang w:eastAsia="zh-CN"/>
        </w:rPr>
        <w:t>牛</w:t>
      </w:r>
      <w:r>
        <w:rPr>
          <w:rFonts w:hint="eastAsia" w:ascii="Times New Roman" w:hAnsi="Times New Roman" w:eastAsia="宋体" w:cs="Times New Roman"/>
          <w:color w:val="auto"/>
          <w:sz w:val="24"/>
          <w:szCs w:val="24"/>
          <w:highlight w:val="none"/>
        </w:rPr>
        <w:t>叫声、风机、水泵等，针对声源特征，评价提出以下措施：选择低噪声的设备，</w:t>
      </w:r>
      <w:r>
        <w:rPr>
          <w:rFonts w:ascii="Times New Roman" w:hAnsi="Times New Roman" w:eastAsia="宋体" w:cs="Times New Roman"/>
          <w:color w:val="auto"/>
          <w:sz w:val="24"/>
          <w:szCs w:val="24"/>
          <w:highlight w:val="none"/>
        </w:rPr>
        <w:t>采用减振吊装、落地式安装设备采用弹簧减振器或橡胶减振垫</w:t>
      </w:r>
      <w:r>
        <w:rPr>
          <w:rFonts w:hint="eastAsia" w:ascii="Times New Roman" w:hAnsi="Times New Roman" w:eastAsia="宋体" w:cs="Times New Roman"/>
          <w:color w:val="auto"/>
          <w:sz w:val="24"/>
          <w:szCs w:val="24"/>
          <w:highlight w:val="none"/>
        </w:rPr>
        <w:t>；对设备进行定期检修，加强润滑作用，保持设备良好的运转状态，尽量降低噪声；要求给风机、污水处理站水泵等产噪设备安装减震垫，</w:t>
      </w:r>
      <w:r>
        <w:rPr>
          <w:rFonts w:ascii="Times New Roman" w:hAnsi="Times New Roman" w:eastAsia="宋体" w:cs="Times New Roman"/>
          <w:color w:val="auto"/>
          <w:sz w:val="24"/>
          <w:szCs w:val="24"/>
          <w:highlight w:val="none"/>
        </w:rPr>
        <w:t>风机进出口风管处安装消声设备</w:t>
      </w:r>
      <w:r>
        <w:rPr>
          <w:rFonts w:hint="eastAsia" w:ascii="Times New Roman" w:hAnsi="Times New Roman" w:eastAsia="宋体" w:cs="Times New Roman"/>
          <w:color w:val="auto"/>
          <w:sz w:val="24"/>
          <w:szCs w:val="24"/>
          <w:highlight w:val="none"/>
        </w:rPr>
        <w:t>。采取上述措施后，项目投产运营后厂界噪声值满足《工业企业厂界环境噪声排放标准》（GB12348-2008）2类标准要求；</w:t>
      </w:r>
      <w:r>
        <w:rPr>
          <w:rFonts w:ascii="Times New Roman" w:hAnsi="Times New Roman" w:eastAsia="宋体" w:cs="Times New Roman"/>
          <w:color w:val="auto"/>
          <w:sz w:val="24"/>
          <w:szCs w:val="24"/>
          <w:highlight w:val="none"/>
        </w:rPr>
        <w:t>不会改变区域声学环境质量。</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（4）运营期固体废物影响</w:t>
      </w:r>
    </w:p>
    <w:p>
      <w:pPr>
        <w:spacing w:line="360" w:lineRule="auto"/>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项目运营期产生的固体废物包括</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粪、污水处理设施污泥及沼渣、病死</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、畜禽医疗废物、生活垃圾、废脱硫剂和废包装材料</w:t>
      </w:r>
      <w:r>
        <w:rPr>
          <w:rFonts w:hint="eastAsia" w:ascii="Times New Roman" w:hAnsi="Times New Roman" w:eastAsia="宋体" w:cs="Times New Roman"/>
          <w:color w:val="auto"/>
          <w:sz w:val="24"/>
          <w:szCs w:val="24"/>
          <w:highlight w:val="none"/>
        </w:rPr>
        <w:t>等。其中</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粪、污水处理设施污泥及沼渣</w:t>
      </w:r>
      <w:r>
        <w:rPr>
          <w:rFonts w:hint="eastAsia" w:ascii="Times New Roman" w:hAnsi="Times New Roman" w:eastAsia="宋体" w:cs="Times New Roman"/>
          <w:color w:val="auto"/>
          <w:sz w:val="24"/>
          <w:szCs w:val="24"/>
          <w:highlight w:val="none"/>
          <w:lang w:val="en-US" w:eastAsia="zh-CN"/>
        </w:rPr>
        <w:t>暂存</w:t>
      </w:r>
      <w:r>
        <w:rPr>
          <w:rFonts w:hint="default" w:ascii="Times New Roman" w:hAnsi="Times New Roman" w:eastAsia="宋体" w:cs="Times New Roman"/>
          <w:color w:val="auto"/>
          <w:sz w:val="24"/>
          <w:szCs w:val="24"/>
          <w:highlight w:val="none"/>
          <w:lang w:val="en-US" w:eastAsia="zh-CN"/>
        </w:rPr>
        <w:t>后运输至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ascii="Times New Roman" w:hAnsi="Times New Roman" w:eastAsia="宋体" w:cs="Times New Roman"/>
          <w:color w:val="auto"/>
          <w:sz w:val="24"/>
          <w:szCs w:val="24"/>
          <w:highlight w:val="none"/>
        </w:rPr>
        <w:t>；病死</w:t>
      </w:r>
      <w:r>
        <w:rPr>
          <w:rFonts w:hint="eastAsia" w:ascii="Times New Roman" w:hAnsi="Times New Roman" w:eastAsia="宋体" w:cs="Times New Roman"/>
          <w:color w:val="auto"/>
          <w:sz w:val="24"/>
          <w:szCs w:val="24"/>
          <w:highlight w:val="none"/>
          <w:lang w:eastAsia="zh-CN"/>
        </w:rPr>
        <w:t>牛</w:t>
      </w:r>
      <w:r>
        <w:rPr>
          <w:rFonts w:ascii="Times New Roman" w:hAnsi="Times New Roman" w:eastAsia="宋体" w:cs="Times New Roman"/>
          <w:color w:val="auto"/>
          <w:sz w:val="24"/>
          <w:szCs w:val="24"/>
          <w:highlight w:val="none"/>
        </w:rPr>
        <w:t>采用</w:t>
      </w:r>
      <w:r>
        <w:rPr>
          <w:rFonts w:hint="eastAsia" w:ascii="Times New Roman" w:hAnsi="Times New Roman" w:eastAsia="宋体" w:cs="Times New Roman"/>
          <w:color w:val="auto"/>
          <w:sz w:val="24"/>
          <w:szCs w:val="24"/>
          <w:highlight w:val="none"/>
          <w:lang w:eastAsia="zh-CN"/>
        </w:rPr>
        <w:t>无害化降解处理机</w:t>
      </w:r>
      <w:r>
        <w:rPr>
          <w:rFonts w:ascii="Times New Roman" w:hAnsi="Times New Roman" w:eastAsia="宋体" w:cs="Times New Roman"/>
          <w:color w:val="auto"/>
          <w:sz w:val="24"/>
          <w:szCs w:val="24"/>
          <w:highlight w:val="none"/>
        </w:rPr>
        <w:t>处理，处理后</w:t>
      </w:r>
      <w:r>
        <w:rPr>
          <w:rFonts w:hint="default" w:ascii="Times New Roman" w:hAnsi="Times New Roman" w:eastAsia="宋体" w:cs="Times New Roman"/>
          <w:color w:val="auto"/>
          <w:sz w:val="24"/>
          <w:szCs w:val="24"/>
          <w:highlight w:val="none"/>
          <w:lang w:val="en-US" w:eastAsia="zh-CN"/>
        </w:rPr>
        <w:t>运输至</w:t>
      </w:r>
      <w:r>
        <w:rPr>
          <w:rFonts w:hint="eastAsia" w:ascii="Times New Roman" w:hAnsi="Times New Roman" w:eastAsia="宋体" w:cs="Times New Roman"/>
          <w:color w:val="auto"/>
          <w:sz w:val="24"/>
          <w:szCs w:val="24"/>
          <w:highlight w:val="none"/>
          <w:lang w:val="en-US" w:eastAsia="zh-CN"/>
        </w:rPr>
        <w:t>南江县万事康生物科技有限公司</w:t>
      </w:r>
      <w:r>
        <w:rPr>
          <w:rFonts w:hint="default" w:ascii="Times New Roman" w:hAnsi="Times New Roman" w:eastAsia="宋体" w:cs="Times New Roman"/>
          <w:color w:val="auto"/>
          <w:sz w:val="24"/>
          <w:szCs w:val="24"/>
          <w:highlight w:val="none"/>
          <w:lang w:val="en-US" w:eastAsia="zh-CN"/>
        </w:rPr>
        <w:t>用作生产有机肥原料使用</w:t>
      </w:r>
      <w:r>
        <w:rPr>
          <w:rFonts w:ascii="Times New Roman" w:hAnsi="Times New Roman" w:eastAsia="宋体" w:cs="Times New Roman"/>
          <w:color w:val="auto"/>
          <w:sz w:val="24"/>
          <w:szCs w:val="24"/>
          <w:highlight w:val="none"/>
        </w:rPr>
        <w:t>；畜禽医疗废物暂存于危险废物暂存间，交由危险废物处置单位进行处置；生活垃圾袋装收集后暂存于生活垃圾暂存间，及时运往垃圾中转站，由环卫部门统一清运处置；废脱硫剂集中收集后交由原厂家回收再生利用；废包装材料统一收集后送至废品回收站收购。</w:t>
      </w:r>
    </w:p>
    <w:p>
      <w:pPr>
        <w:spacing w:line="360" w:lineRule="auto"/>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项目采取的各项固体废弃物处置措施可行，从一定程度上体现了固体废物无害化和资源化利用的原则，只要在生产运营中将各项处理措施落到实处，可有效防止固体废物的逸散和对环境的二次污染，不会对周围环境造成明显不利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5</w:t>
      </w:r>
      <w:r>
        <w:rPr>
          <w:rFonts w:hint="eastAsia" w:ascii="Times New Roman" w:hAnsi="Times New Roman" w:eastAsia="宋体" w:cs="Times New Roman"/>
          <w:color w:val="auto"/>
          <w:sz w:val="24"/>
          <w:szCs w:val="24"/>
          <w:highlight w:val="none"/>
        </w:rPr>
        <w:t>）运营期生态环境影响</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评价区生态系统受到本项目影响相对较小，在严格采取评价提出的生态保护措施后，其生态特征不会从根本上发生改变，体系仍然维持原有的稳定性和生态承载能力。项目虽然在对周围生态环境产生一定的影响，但是其处理达标的大量废水用于周边耕地灌溉，提高了农作物如玉米的灌溉保证率，有利于提高农作物的产量和质量，本工程的建设对周围农业环境有较大的有益作用。</w:t>
      </w:r>
    </w:p>
    <w:p>
      <w:pPr>
        <w:pStyle w:val="8"/>
        <w:spacing w:before="0" w:after="0" w:line="360" w:lineRule="auto"/>
        <w:ind w:left="0" w:firstLine="0"/>
        <w:rPr>
          <w:rFonts w:hint="default" w:ascii="Times New Roman" w:hAnsi="Times New Roman" w:eastAsia="宋体" w:cs="Times New Roman"/>
          <w:color w:val="auto"/>
          <w:highlight w:val="none"/>
        </w:rPr>
      </w:pPr>
      <w:bookmarkStart w:id="398" w:name="_Toc10778"/>
      <w:r>
        <w:rPr>
          <w:rFonts w:hint="default" w:ascii="Times New Roman" w:hAnsi="Times New Roman" w:eastAsia="宋体" w:cs="Times New Roman"/>
          <w:color w:val="auto"/>
          <w:highlight w:val="none"/>
        </w:rPr>
        <w:t>环境风险</w:t>
      </w:r>
      <w:bookmarkEnd w:id="398"/>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本项目营运期间涉及的主要危险物质包括柴油</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甲烷</w:t>
      </w:r>
      <w:r>
        <w:rPr>
          <w:rFonts w:hint="eastAsia" w:ascii="Times New Roman" w:hAnsi="Times New Roman" w:eastAsia="宋体" w:cs="Times New Roman"/>
          <w:color w:val="auto"/>
          <w:sz w:val="24"/>
          <w:szCs w:val="24"/>
          <w:highlight w:val="none"/>
          <w:lang w:eastAsia="zh-CN"/>
        </w:rPr>
        <w:t>、过氧乙酸</w:t>
      </w:r>
      <w:r>
        <w:rPr>
          <w:rFonts w:hint="eastAsia" w:ascii="Times New Roman" w:hAnsi="Times New Roman" w:eastAsia="宋体" w:cs="Times New Roman"/>
          <w:color w:val="auto"/>
          <w:sz w:val="24"/>
          <w:szCs w:val="24"/>
          <w:highlight w:val="none"/>
        </w:rPr>
        <w:t>，不构成重大危险源，项目环境风险事故的发生概率极小。建设单位通过采取一系列的风险防范措施，同时制定相应的事故应急预案，可有效地防止环境风险事故的发生；一旦发生事故，依靠安全防护设施和事故应急措施也能及时控制事故，防止事故的蔓延。减少事故带来的人员伤亡、财产损失和环境影响，项目的环境风险水平是可以接受的。综合分析，从环境风险角度分析本项目建设可行。</w:t>
      </w:r>
    </w:p>
    <w:p>
      <w:pPr>
        <w:pStyle w:val="8"/>
        <w:spacing w:before="0" w:after="0" w:line="360" w:lineRule="auto"/>
        <w:ind w:left="0" w:firstLine="0"/>
        <w:rPr>
          <w:rFonts w:hint="eastAsia" w:ascii="Times New Roman" w:hAnsi="Times New Roman" w:eastAsia="宋体" w:cs="Times New Roman"/>
          <w:color w:val="auto"/>
          <w:highlight w:val="none"/>
        </w:rPr>
      </w:pPr>
      <w:bookmarkStart w:id="399" w:name="_Toc14529"/>
      <w:r>
        <w:rPr>
          <w:rFonts w:hint="default" w:ascii="Times New Roman" w:hAnsi="Times New Roman" w:eastAsia="宋体" w:cs="Times New Roman"/>
          <w:color w:val="auto"/>
          <w:highlight w:val="none"/>
        </w:rPr>
        <w:t>环境保护措施及环境影响经济损益分析</w:t>
      </w:r>
      <w:bookmarkEnd w:id="399"/>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采取的污染防治措施和生态保护措施，技术上成熟可靠，治理效果较好，采取的环境保护措施在经济、技术上均可行。只要建设单位切实落实设计和评价提出的各项污染防治措施，使各类污染物均做到达标排放，则该项目的建设和营运对周围环境的影响是可以承受的，能够做到社会效益、环境效益和经济效益的统一，可达到三者协调发展的目的。</w:t>
      </w:r>
    </w:p>
    <w:p>
      <w:pPr>
        <w:pStyle w:val="8"/>
        <w:spacing w:before="0" w:after="0" w:line="360" w:lineRule="auto"/>
        <w:ind w:left="0" w:firstLine="0"/>
        <w:rPr>
          <w:rFonts w:hint="default" w:ascii="Times New Roman" w:hAnsi="Times New Roman" w:eastAsia="宋体" w:cs="Times New Roman"/>
          <w:color w:val="auto"/>
          <w:highlight w:val="none"/>
        </w:rPr>
      </w:pPr>
      <w:bookmarkStart w:id="400" w:name="_Toc21928"/>
      <w:r>
        <w:rPr>
          <w:rFonts w:hint="eastAsia" w:ascii="Times New Roman" w:hAnsi="Times New Roman" w:eastAsia="宋体" w:cs="Times New Roman"/>
          <w:color w:val="auto"/>
          <w:highlight w:val="none"/>
        </w:rPr>
        <w:t>环境</w:t>
      </w:r>
      <w:r>
        <w:rPr>
          <w:rFonts w:hint="default" w:ascii="Times New Roman" w:hAnsi="Times New Roman" w:eastAsia="宋体" w:cs="Times New Roman"/>
          <w:color w:val="auto"/>
          <w:highlight w:val="none"/>
        </w:rPr>
        <w:t>管理与监测计划</w:t>
      </w:r>
      <w:bookmarkEnd w:id="400"/>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建设单位根据工程的不同阶段，制定相关的环境管理计划并严格实施；项目施工期、运营期提供资金和设备保障，保证项目环境监测计划的执行。</w:t>
      </w:r>
    </w:p>
    <w:p>
      <w:pPr>
        <w:pStyle w:val="8"/>
        <w:spacing w:before="0" w:after="0" w:line="360" w:lineRule="auto"/>
        <w:ind w:left="0" w:firstLine="0"/>
        <w:rPr>
          <w:rFonts w:hint="eastAsia" w:ascii="Times New Roman" w:hAnsi="Times New Roman" w:eastAsia="宋体" w:cs="Times New Roman"/>
          <w:color w:val="auto"/>
          <w:highlight w:val="none"/>
        </w:rPr>
      </w:pPr>
      <w:bookmarkStart w:id="401" w:name="_Toc13902"/>
      <w:r>
        <w:rPr>
          <w:rFonts w:hint="eastAsia" w:ascii="Times New Roman" w:hAnsi="Times New Roman" w:eastAsia="宋体" w:cs="Times New Roman"/>
          <w:color w:val="auto"/>
          <w:highlight w:val="none"/>
        </w:rPr>
        <w:t>总量控制</w:t>
      </w:r>
      <w:bookmarkEnd w:id="401"/>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根据工程分析和国家总量控制指标，本项目确定需要进行总量控制的主要污染物为COD、NH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-N。由于废水经污水处理设施处理后全部有效利用，不外排。因此，本项目COD、NH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-N排放量为0，不对COD、NH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-N进行总量调剂。</w:t>
      </w:r>
    </w:p>
    <w:p>
      <w:pPr>
        <w:pStyle w:val="8"/>
        <w:spacing w:before="0" w:after="0" w:line="360" w:lineRule="auto"/>
        <w:ind w:left="0" w:firstLine="0"/>
        <w:rPr>
          <w:rFonts w:hint="eastAsia" w:ascii="Times New Roman" w:hAnsi="Times New Roman" w:eastAsia="宋体" w:cs="Times New Roman"/>
          <w:color w:val="auto"/>
          <w:highlight w:val="none"/>
        </w:rPr>
      </w:pPr>
      <w:bookmarkStart w:id="402" w:name="_Toc30839"/>
      <w:r>
        <w:rPr>
          <w:rFonts w:hint="eastAsia" w:ascii="Times New Roman" w:hAnsi="Times New Roman" w:eastAsia="宋体" w:cs="Times New Roman"/>
          <w:color w:val="auto"/>
          <w:highlight w:val="none"/>
        </w:rPr>
        <w:t>公众参与</w:t>
      </w:r>
      <w:bookmarkEnd w:id="402"/>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根据《</w:t>
      </w:r>
      <w:r>
        <w:rPr>
          <w:rFonts w:hint="eastAsia" w:ascii="Times New Roman" w:hAnsi="Times New Roman" w:eastAsia="宋体" w:cs="Times New Roman"/>
          <w:color w:val="auto"/>
          <w:sz w:val="24"/>
          <w:szCs w:val="24"/>
          <w:highlight w:val="none"/>
          <w:lang w:val="en"/>
        </w:rPr>
        <w:t>环境影响评价公众参与办法</w:t>
      </w:r>
      <w:r>
        <w:rPr>
          <w:rFonts w:hint="eastAsia" w:ascii="Times New Roman" w:hAnsi="Times New Roman" w:eastAsia="宋体" w:cs="Times New Roman"/>
          <w:color w:val="auto"/>
          <w:sz w:val="24"/>
          <w:szCs w:val="24"/>
          <w:highlight w:val="none"/>
        </w:rPr>
        <w:t>》（生态环境部令第4号）中的相关要求，</w:t>
      </w:r>
      <w:r>
        <w:rPr>
          <w:rFonts w:hint="eastAsia" w:ascii="Times New Roman" w:hAnsi="Times New Roman" w:eastAsia="宋体" w:cs="Times New Roman"/>
          <w:color w:val="auto"/>
          <w:sz w:val="24"/>
          <w:szCs w:val="24"/>
          <w:highlight w:val="none"/>
          <w:lang w:eastAsia="zh-CN"/>
        </w:rPr>
        <w:t>四川巴中国家粮食和物资储备库有限公司</w:t>
      </w:r>
      <w:r>
        <w:rPr>
          <w:rFonts w:hint="eastAsia" w:ascii="Times New Roman" w:hAnsi="Times New Roman" w:eastAsia="宋体" w:cs="Times New Roman"/>
          <w:color w:val="auto"/>
          <w:sz w:val="24"/>
          <w:szCs w:val="24"/>
          <w:highlight w:val="none"/>
        </w:rPr>
        <w:t>通过网络、刊登报纸、现场张贴等方式进行了本项目环境影响评价公众参与信息公示，在公示期间未收到反对项目建设的反馈意见，项目建设得到了公众的广泛认同和支持。</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四川巴中国家粮食和物资储备库有限公司</w:t>
      </w:r>
      <w:r>
        <w:rPr>
          <w:rFonts w:hint="eastAsia" w:ascii="Times New Roman" w:hAnsi="Times New Roman" w:eastAsia="宋体" w:cs="Times New Roman"/>
          <w:color w:val="auto"/>
          <w:sz w:val="24"/>
          <w:szCs w:val="24"/>
          <w:highlight w:val="none"/>
        </w:rPr>
        <w:t>应重视环境保护，严格执行国家有关规定及标准，落实各项环保治理措施，加强环境管理，减轻</w:t>
      </w:r>
      <w:r>
        <w:rPr>
          <w:rFonts w:hint="eastAsia" w:ascii="Times New Roman" w:hAnsi="Times New Roman" w:eastAsia="宋体" w:cs="Times New Roman"/>
          <w:color w:val="auto"/>
          <w:sz w:val="24"/>
          <w:szCs w:val="24"/>
          <w:highlight w:val="none"/>
          <w:lang w:eastAsia="zh-CN"/>
        </w:rPr>
        <w:t>本项目</w:t>
      </w:r>
      <w:r>
        <w:rPr>
          <w:rFonts w:hint="eastAsia" w:ascii="Times New Roman" w:hAnsi="Times New Roman" w:eastAsia="宋体" w:cs="Times New Roman"/>
          <w:color w:val="auto"/>
          <w:sz w:val="24"/>
          <w:szCs w:val="24"/>
          <w:highlight w:val="none"/>
        </w:rPr>
        <w:t>对周围环境的影响。</w:t>
      </w:r>
    </w:p>
    <w:p>
      <w:pPr>
        <w:pStyle w:val="8"/>
        <w:spacing w:before="0" w:after="0" w:line="360" w:lineRule="auto"/>
        <w:ind w:left="0" w:firstLine="0"/>
        <w:rPr>
          <w:rFonts w:hint="eastAsia" w:ascii="Times New Roman" w:hAnsi="Times New Roman" w:eastAsia="宋体" w:cs="Times New Roman"/>
          <w:color w:val="auto"/>
          <w:highlight w:val="none"/>
        </w:rPr>
      </w:pPr>
      <w:bookmarkStart w:id="403" w:name="_Toc217283834"/>
      <w:bookmarkStart w:id="404" w:name="_Toc216236132"/>
      <w:bookmarkStart w:id="405" w:name="_Toc10016"/>
      <w:bookmarkStart w:id="406" w:name="_Toc214882616"/>
      <w:r>
        <w:rPr>
          <w:rFonts w:hint="eastAsia" w:ascii="Times New Roman" w:hAnsi="Times New Roman" w:eastAsia="宋体" w:cs="Times New Roman"/>
          <w:color w:val="auto"/>
          <w:highlight w:val="none"/>
        </w:rPr>
        <w:t>环境影响可行性结论</w:t>
      </w:r>
      <w:bookmarkEnd w:id="403"/>
      <w:bookmarkEnd w:id="404"/>
      <w:bookmarkEnd w:id="405"/>
      <w:bookmarkEnd w:id="406"/>
    </w:p>
    <w:p>
      <w:pPr>
        <w:spacing w:line="360" w:lineRule="auto"/>
        <w:ind w:firstLine="482" w:firstLineChars="200"/>
        <w:rPr>
          <w:rFonts w:hint="eastAsia"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rPr>
        <w:t>本项目的建设符合国家现行产业政策，满足相关规划要求。项目采取的污染防治措施技术经济可行，可实现污染物达标排放，满足总量控制要求，项目的实施不会改变区域的环境功能。项目风险防范措施可靠有效，认真落实环境风险防范措施后，项目环境风险为可接受水平，从环境风险角度分析项目是可行的。在严格执行“三同时”制度、全面落实本评价提出的环保措施和风险防范措施的前提下，项目的建设不会改变当地的环境质量及生态环境现状；项目建设得到了公众的广泛认同和支持。因此，从环境保护的角度分析，本项目的建设可行。</w:t>
      </w:r>
    </w:p>
    <w:p>
      <w:pPr>
        <w:pStyle w:val="7"/>
        <w:keepNext/>
        <w:keepLines/>
        <w:pageBreakBefore w:val="0"/>
        <w:widowControl w:val="0"/>
        <w:kinsoku/>
        <w:wordWrap/>
        <w:overflowPunct/>
        <w:topLinePunct w:val="0"/>
        <w:autoSpaceDE/>
        <w:autoSpaceDN/>
        <w:bidi w:val="0"/>
        <w:adjustRightInd/>
        <w:snapToGrid/>
        <w:spacing w:line="440" w:lineRule="exact"/>
        <w:ind w:left="578" w:hanging="578"/>
        <w:textAlignment w:val="auto"/>
        <w:rPr>
          <w:rFonts w:hint="eastAsia" w:ascii="Times New Roman" w:hAnsi="Times New Roman" w:eastAsia="宋体" w:cs="Times New Roman"/>
          <w:color w:val="auto"/>
          <w:highlight w:val="none"/>
          <w:lang w:val="en-US" w:eastAsia="zh-CN"/>
        </w:rPr>
      </w:pPr>
      <w:bookmarkStart w:id="407" w:name="_Toc29221901"/>
      <w:bookmarkStart w:id="408" w:name="_Toc5995"/>
      <w:r>
        <w:rPr>
          <w:rFonts w:hint="eastAsia" w:ascii="Times New Roman" w:hAnsi="Times New Roman" w:eastAsia="宋体" w:cs="Times New Roman"/>
          <w:color w:val="auto"/>
          <w:highlight w:val="none"/>
          <w:lang w:val="en-US" w:eastAsia="zh-CN"/>
        </w:rPr>
        <w:t>建议及要求</w:t>
      </w:r>
      <w:bookmarkEnd w:id="407"/>
      <w:bookmarkEnd w:id="408"/>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建设单位在生产过程中应严格控制风险，认真落实各项治理措施；加强项目环保设施的日常管理工作，强化环保设施的维修、保养，保证环保设施的正常稳定运行，确保污染物稳定达标排放；杜绝污染物非正常排放。</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建设项目在建设过程中，应严格执行环保设施与主体工程同时设计、同时施工、同时投产的“三同时”制度。建设项目实施后，应加强环境保护管理工作，制定必要的规章制度，实现各项污染物稳定达标排放。</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3、加强项目污染物排放的日常监测，建立污染源档案，接受当地环保部门监管，预防事故排放；定期为</w:t>
      </w:r>
      <w:r>
        <w:rPr>
          <w:rFonts w:hint="eastAsia" w:ascii="Times New Roman" w:hAnsi="Times New Roman" w:eastAsia="宋体" w:cs="Times New Roman"/>
          <w:color w:val="auto"/>
          <w:sz w:val="24"/>
          <w:szCs w:val="24"/>
          <w:highlight w:val="none"/>
          <w:lang w:eastAsia="zh-CN"/>
        </w:rPr>
        <w:t>肉牛</w:t>
      </w:r>
      <w:r>
        <w:rPr>
          <w:rFonts w:hint="eastAsia" w:ascii="Times New Roman" w:hAnsi="Times New Roman" w:eastAsia="宋体" w:cs="Times New Roman"/>
          <w:color w:val="auto"/>
          <w:sz w:val="24"/>
          <w:szCs w:val="24"/>
          <w:highlight w:val="none"/>
        </w:rPr>
        <w:t>作全面健康检查，避免疫情发生。</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4、项目建设应重视引进和建立先进的环保管理模式，完善管理机制，强化企业职工自身的环保意识和事故风险意识。</w:t>
      </w:r>
    </w:p>
    <w:p>
      <w:pPr>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加强企业体系管理，开展清洁生产审核，提高员工的素质和能力，提高企业的管理水平和清洁生产水平；进一步优化养殖工艺，从源强上削减污染物的产生量。加强对职工环境保护的宣传教育工作，提高全体员工的环保意识，做到环境保护，人人有责，积极探索进一步提高清洁生产水平。</w:t>
      </w:r>
      <w:bookmarkEnd w:id="395"/>
    </w:p>
    <w:sectPr>
      <w:pgSz w:w="11906" w:h="16838"/>
      <w:pgMar w:top="1440" w:right="1800" w:bottom="1440" w:left="1800" w:header="992"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3" w:usb2="00000009" w:usb3="00000000" w:csb0="400001FF" w:csb1="FFFF0000"/>
  </w:font>
  <w:font w:name="宋体">
    <w:panose1 w:val="02010600030101010101"/>
    <w:charset w:val="2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2FF" w:usb1="400004FF" w:usb2="00000000" w:usb3="00000000" w:csb0="2000019F" w:csb1="00000000"/>
  </w:font>
  <w:font w:name="Arial Black">
    <w:panose1 w:val="020B0A04020102020204"/>
    <w:charset w:val="00"/>
    <w:family w:val="swiss"/>
    <w:pitch w:val="default"/>
    <w:sig w:usb0="00000287" w:usb1="00000000" w:usb2="00000000" w:usb3="00000000" w:csb0="2000009F" w:csb1="DFD70000"/>
  </w:font>
  <w:font w:name="MHei-Medium">
    <w:altName w:val="微软雅黑"/>
    <w:panose1 w:val="00000000000000000000"/>
    <w:charset w:val="00"/>
    <w:family w:val="auto"/>
    <w:pitch w:val="default"/>
    <w:sig w:usb0="00000000" w:usb1="00000000" w:usb2="00000000" w:usb3="00000000" w:csb0="00040001" w:csb1="00000000"/>
  </w:font>
  <w:font w:name="Garamond">
    <w:panose1 w:val="02020404030301010803"/>
    <w:charset w:val="00"/>
    <w:family w:val="roman"/>
    <w:pitch w:val="default"/>
    <w:sig w:usb0="00000287" w:usb1="00000000" w:usb2="00000000" w:usb3="00000000" w:csb0="0000009F" w:csb1="DFD70000"/>
  </w:font>
  <w:font w:name="Times">
    <w:altName w:val="Times New Roman"/>
    <w:panose1 w:val="02020603050405020304"/>
    <w:charset w:val="00"/>
    <w:family w:val="roman"/>
    <w:pitch w:val="default"/>
    <w:sig w:usb0="00000000" w:usb1="00000000" w:usb2="00000009" w:usb3="00000000" w:csb0="000001FF" w:csb1="00000000"/>
  </w:font>
  <w:font w:name="MingLiU">
    <w:panose1 w:val="02020509000000000000"/>
    <w:charset w:val="88"/>
    <w:family w:val="modern"/>
    <w:pitch w:val="default"/>
    <w:sig w:usb0="A00002FF" w:usb1="28CFFCFA" w:usb2="00000016" w:usb3="00000000" w:csb0="00100001"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新宋体">
    <w:panose1 w:val="02010609030101010101"/>
    <w:charset w:val="86"/>
    <w:family w:val="modern"/>
    <w:pitch w:val="default"/>
    <w:sig w:usb0="00000003" w:usb1="288F0000" w:usb2="00000006" w:usb3="00000000" w:csb0="00040001" w:csb1="00000000"/>
  </w:font>
  <w:font w:name="TimesNewRoman">
    <w:altName w:val="Times New Roman"/>
    <w:panose1 w:val="00000000000000000000"/>
    <w:charset w:val="00"/>
    <w:family w:val="roman"/>
    <w:pitch w:val="default"/>
    <w:sig w:usb0="00000000" w:usb1="00000000" w:usb2="00000010" w:usb3="00000000" w:csb0="00060001" w:csb1="00000000"/>
  </w:font>
  <w:font w:name="幼圆">
    <w:panose1 w:val="02010509060101010101"/>
    <w:charset w:val="86"/>
    <w:family w:val="modern"/>
    <w:pitch w:val="default"/>
    <w:sig w:usb0="00000001" w:usb1="080E0000" w:usb2="00000000" w:usb3="00000000" w:csb0="00040000" w:csb1="00000000"/>
  </w:font>
  <w:font w:name="Century Gothic">
    <w:panose1 w:val="020B0502020202020204"/>
    <w:charset w:val="00"/>
    <w:family w:val="swiss"/>
    <w:pitch w:val="default"/>
    <w:sig w:usb0="00000287" w:usb1="00000000" w:usb2="00000000" w:usb3="00000000" w:csb0="2000009F" w:csb1="DFD7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方正姚体">
    <w:panose1 w:val="02010601030101010101"/>
    <w:charset w:val="86"/>
    <w:family w:val="auto"/>
    <w:pitch w:val="default"/>
    <w:sig w:usb0="00000003" w:usb1="080E0000" w:usb2="0000000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1" w:csb1="00000000"/>
  </w:font>
  <w:font w:name="”“Times New Roman”“">
    <w:altName w:val="宋体"/>
    <w:panose1 w:val="00000000000000000000"/>
    <w:charset w:val="86"/>
    <w:family w:val="roman"/>
    <w:pitch w:val="default"/>
    <w:sig w:usb0="00000000" w:usb1="00000000" w:usb2="00000010" w:usb3="00000000" w:csb0="00040000" w:csb1="00000000"/>
  </w:font>
  <w:font w:name="Constantia">
    <w:panose1 w:val="02030602050306030303"/>
    <w:charset w:val="00"/>
    <w:family w:val="roman"/>
    <w:pitch w:val="default"/>
    <w:sig w:usb0="A00002EF" w:usb1="4000204B" w:usb2="00000000" w:usb3="00000000" w:csb0="2000019F" w:csb1="00000000"/>
  </w:font>
  <w:font w:name="Bookman Old Style">
    <w:panose1 w:val="02050604050505020204"/>
    <w:charset w:val="00"/>
    <w:family w:val="roman"/>
    <w:pitch w:val="default"/>
    <w:sig w:usb0="00000287" w:usb1="00000000" w:usb2="00000000" w:usb3="00000000" w:csb0="2000009F" w:csb1="DFD70000"/>
  </w:font>
  <w:font w:name="AngsanaUPC">
    <w:panose1 w:val="02020603050405020304"/>
    <w:charset w:val="00"/>
    <w:family w:val="roman"/>
    <w:pitch w:val="default"/>
    <w:sig w:usb0="81000003" w:usb1="00000000" w:usb2="00000000" w:usb3="00000000" w:csb0="00010001" w:csb1="00000000"/>
  </w:font>
  <w:font w:name="Plotter">
    <w:altName w:val="Lucida Console"/>
    <w:panose1 w:val="00000000000000000000"/>
    <w:charset w:val="00"/>
    <w:family w:val="modern"/>
    <w:pitch w:val="default"/>
    <w:sig w:usb0="00000000"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Symusic">
    <w:panose1 w:val="00000400000000000000"/>
    <w:charset w:val="00"/>
    <w:family w:val="auto"/>
    <w:pitch w:val="default"/>
    <w:sig w:usb0="00000001" w:usb1="00000000" w:usb2="00000000" w:usb3="00000000" w:csb0="000001FF" w:csb1="00000000"/>
  </w:font>
  <w:font w:name="PMingLiU">
    <w:panose1 w:val="02020500000000000000"/>
    <w:charset w:val="88"/>
    <w:family w:val="roman"/>
    <w:pitch w:val="default"/>
    <w:sig w:usb0="A00002FF" w:usb1="28CFFCFA" w:usb2="00000016" w:usb3="00000000" w:csb0="00100001" w:csb1="00000000"/>
  </w:font>
  <w:font w:name="華康中楷體">
    <w:altName w:val="Microsoft JhengHei"/>
    <w:panose1 w:val="00000000000000000000"/>
    <w:charset w:val="88"/>
    <w:family w:val="modern"/>
    <w:pitch w:val="default"/>
    <w:sig w:usb0="00000000" w:usb1="00000000" w:usb2="00000010" w:usb3="00000000" w:csb0="00100000" w:csb1="00000000"/>
  </w:font>
  <w:font w:name="MS Gothic">
    <w:panose1 w:val="020B0609070205080204"/>
    <w:charset w:val="80"/>
    <w:family w:val="modern"/>
    <w:pitch w:val="default"/>
    <w:sig w:usb0="E00002FF" w:usb1="6AC7FDFB" w:usb2="00000012" w:usb3="00000000" w:csb0="4002009F" w:csb1="DFD70000"/>
  </w:font>
  <w:font w:name="汉鼎简书宋">
    <w:altName w:val="宋体"/>
    <w:panose1 w:val="00000000000000000000"/>
    <w:charset w:val="86"/>
    <w:family w:val="modern"/>
    <w:pitch w:val="default"/>
    <w:sig w:usb0="00000000" w:usb1="00000000" w:usb2="00000010" w:usb3="00000000" w:csb0="00040000" w:csb1="00000000"/>
  </w:font>
  <w:font w:name="经典叠圆体简">
    <w:altName w:val="宋体"/>
    <w:panose1 w:val="00000000000000000000"/>
    <w:charset w:val="86"/>
    <w:family w:val="modern"/>
    <w:pitch w:val="default"/>
    <w:sig w:usb0="00000000" w:usb1="00000000" w:usb2="0000001E" w:usb3="00000000" w:csb0="00040000" w:csb1="00000000"/>
  </w:font>
  <w:font w:name="DFKai-SB">
    <w:panose1 w:val="03000509000000000000"/>
    <w:charset w:val="88"/>
    <w:family w:val="script"/>
    <w:pitch w:val="default"/>
    <w:sig w:usb0="00000003" w:usb1="082E0000" w:usb2="00000016" w:usb3="00000000" w:csb0="00100001" w:csb1="00000000"/>
  </w:font>
  <w:font w:name="Batang">
    <w:panose1 w:val="02030600000101010101"/>
    <w:charset w:val="81"/>
    <w:family w:val="roman"/>
    <w:pitch w:val="default"/>
    <w:sig w:usb0="B00002AF" w:usb1="69D77CFB" w:usb2="00000030" w:usb3="00000000" w:csb0="4008009F" w:csb1="DFD70000"/>
  </w:font>
  <w:font w:name="方正宋三简体">
    <w:altName w:val="宋体"/>
    <w:panose1 w:val="00000000000000000000"/>
    <w:charset w:val="86"/>
    <w:family w:val="auto"/>
    <w:pitch w:val="default"/>
    <w:sig w:usb0="00000000" w:usb1="00000000" w:usb2="0000001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
    <w:altName w:val="Malgun Gothic"/>
    <w:panose1 w:val="00000000000000000000"/>
    <w:charset w:val="81"/>
    <w:family w:val="auto"/>
    <w:pitch w:val="default"/>
    <w:sig w:usb0="00000000" w:usb1="00000000" w:usb2="00000010" w:usb3="00000000" w:csb0="00080000" w:csb1="00000000"/>
  </w:font>
  <w:font w:name="?????">
    <w:altName w:val="Arial"/>
    <w:panose1 w:val="00000000000000000000"/>
    <w:charset w:val="00"/>
    <w:family w:val="modern"/>
    <w:pitch w:val="default"/>
    <w:sig w:usb0="00000000" w:usb1="00000000" w:usb2="00000000" w:usb3="00000000" w:csb0="00000001" w:csb1="00000000"/>
  </w:font>
  <w:font w:name="Century">
    <w:panose1 w:val="02040604050505020304"/>
    <w:charset w:val="00"/>
    <w:family w:val="auto"/>
    <w:pitch w:val="default"/>
    <w:sig w:usb0="00000287" w:usb1="00000000" w:usb2="00000000" w:usb3="00000000" w:csb0="2000009F" w:csb1="DFD70000"/>
  </w:font>
  <w:font w:name="Gulim">
    <w:panose1 w:val="020B0600000101010101"/>
    <w:charset w:val="81"/>
    <w:family w:val="swiss"/>
    <w:pitch w:val="default"/>
    <w:sig w:usb0="B00002AF" w:usb1="69D77CFB" w:usb2="00000030" w:usb3="00000000" w:csb0="4008009F" w:csb1="DFD70000"/>
  </w:font>
  <w:font w:name="Microsoft JhengHei">
    <w:panose1 w:val="020B0604030504040204"/>
    <w:charset w:val="88"/>
    <w:family w:val="auto"/>
    <w:pitch w:val="default"/>
    <w:sig w:usb0="00000087" w:usb1="28AF4000" w:usb2="00000016" w:usb3="00000000" w:csb0="00100009"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Wingdings 2">
    <w:panose1 w:val="05020102010507070707"/>
    <w:charset w:val="00"/>
    <w:family w:val="auto"/>
    <w:pitch w:val="default"/>
    <w:sig w:usb0="00000000" w:usb1="00000000" w:usb2="00000000" w:usb3="00000000" w:csb0="80000000" w:csb1="0000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 w:name="Lucida Console">
    <w:panose1 w:val="020B0609040504020204"/>
    <w:charset w:val="00"/>
    <w:family w:val="auto"/>
    <w:pitch w:val="default"/>
    <w:sig w:usb0="8000028F" w:usb1="00001800" w:usb2="00000000" w:usb3="00000000" w:csb0="0000001F" w:csb1="D7D70000"/>
  </w:font>
  <w:font w:name="Malgun Gothic">
    <w:panose1 w:val="020B0503020000020004"/>
    <w:charset w:val="81"/>
    <w:family w:val="auto"/>
    <w:pitch w:val="default"/>
    <w:sig w:usb0="900002AF" w:usb1="01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jc w:val="center"/>
    </w:pPr>
    <w:r>
      <w:rPr>
        <w:sz w:val="18"/>
      </w:rPr>
      <w:pict>
        <v:shape id="_x0000_s3073" o:spid="_x0000_s3073" o:spt="202" type="#_x0000_t202" style="position:absolute;left:0pt;margin-left:207.8pt;margin-top:778.65pt;height:144pt;width:144pt;mso-position-horizontal-relative:margin;mso-position-vertical-relative:page;mso-wrap-style:none;z-index:251661312;mso-width-relative:page;mso-height-relative:page;" filled="f" stroked="f" coordsize="21600,21600">
          <v:path/>
          <v:fill on="f" focussize="0,0"/>
          <v:stroke on="f"/>
          <v:imagedata o:title=""/>
          <o:lock v:ext="edit" aspectratio="f"/>
          <v:textbox inset="0mm,0mm,0mm,0mm" style="mso-fit-shape-to-text:t;">
            <w:txbxContent>
              <w:sdt>
                <w:sdtPr>
                  <w:id w:val="1063152907"/>
                </w:sdtPr>
                <w:sdtContent>
                  <w:p>
                    <w:pPr>
                      <w:pStyle w:val="56"/>
                      <w:jc w:val="cente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vi</w:t>
                    </w:r>
                    <w:r>
                      <w:rPr>
                        <w:rFonts w:ascii="Times New Roman" w:hAnsi="Times New Roman" w:cs="Times New Roman"/>
                      </w:rPr>
                      <w:fldChar w:fldCharType="end"/>
                    </w:r>
                  </w:p>
                </w:sdtContent>
              </w:sdt>
              <w:p>
                <w:pPr>
                  <w:pStyle w:val="114"/>
                </w:pP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jc w:val="center"/>
    </w:pPr>
    <w:r>
      <w:rPr>
        <w:sz w:val="18"/>
      </w:rPr>
      <w:pict>
        <v:shape id="_x0000_s3074" o:spid="_x0000_s307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sdt>
                <w:sdtPr>
                  <w:id w:val="1063152908"/>
                </w:sdtPr>
                <w:sdtContent>
                  <w:p>
                    <w:pPr>
                      <w:pStyle w:val="56"/>
                      <w:jc w:val="cente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lang w:val="zh-CN"/>
                      </w:rPr>
                      <w:t>107</w:t>
                    </w:r>
                    <w:r>
                      <w:rPr>
                        <w:rFonts w:ascii="Times New Roman" w:hAnsi="Times New Roman" w:cs="Times New Roman"/>
                      </w:rPr>
                      <w:fldChar w:fldCharType="end"/>
                    </w:r>
                  </w:p>
                </w:sdtContent>
              </w:sdt>
              <w:p>
                <w:pPr>
                  <w:pStyle w:val="2"/>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w:pict>
        <v:shape id="_x0000_s3079" o:spid="_x0000_s3079"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56"/>
                  <w:rPr>
                    <w:rFonts w:hint="eastAsia"/>
                  </w:rPr>
                </w:pPr>
                <w:r>
                  <w:rPr>
                    <w:rFonts w:hint="eastAsia"/>
                  </w:rPr>
                  <w:fldChar w:fldCharType="begin"/>
                </w:r>
                <w:r>
                  <w:rPr>
                    <w:rFonts w:hint="eastAsia"/>
                  </w:rPr>
                  <w:instrText xml:space="preserve"> PAGE  \* MERGEFORMAT </w:instrText>
                </w:r>
                <w:r>
                  <w:rPr>
                    <w:rFonts w:hint="eastAsia"/>
                  </w:rPr>
                  <w:fldChar w:fldCharType="separate"/>
                </w:r>
                <w:r>
                  <w:t>88</w:t>
                </w:r>
                <w:r>
                  <w:rPr>
                    <w:rFonts w:hint="eastAsia"/>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w:pict>
        <v:shape id="_x0000_s3075" o:spid="_x0000_s3075"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56"/>
                  <w:rPr>
                    <w:rFonts w:hint="eastAsia"/>
                  </w:rPr>
                </w:pPr>
                <w:r>
                  <w:rPr>
                    <w:rFonts w:hint="eastAsia"/>
                  </w:rPr>
                  <w:fldChar w:fldCharType="begin"/>
                </w:r>
                <w:r>
                  <w:rPr>
                    <w:rFonts w:hint="eastAsia"/>
                  </w:rPr>
                  <w:instrText xml:space="preserve"> PAGE  \* MERGEFORMAT </w:instrText>
                </w:r>
                <w:r>
                  <w:rPr>
                    <w:rFonts w:hint="eastAsia"/>
                  </w:rPr>
                  <w:fldChar w:fldCharType="separate"/>
                </w:r>
                <w:r>
                  <w:t>88</w:t>
                </w:r>
                <w:r>
                  <w:rPr>
                    <w:rFonts w:hint="eastAsia"/>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insoku w:val="0"/>
      <w:overflowPunct w:val="0"/>
      <w:spacing w:line="14" w:lineRule="auto"/>
      <w:rPr>
        <w:rFonts w:ascii="Times New Roman" w:cs="Times New Roman"/>
        <w:sz w:val="20"/>
        <w:szCs w:val="20"/>
      </w:rPr>
    </w:pPr>
    <w:r>
      <w:pict>
        <v:shape id="文本框 2" o:spid="_x0000_s3076" o:spt="202" type="#_x0000_t202" style="position:absolute;left:0pt;margin-top:0pt;height:11.15pt;width:17.7pt;mso-position-horizontal:center;mso-position-horizontal-relative:margin;z-index:251659264;mso-width-relative:page;mso-height-relative:page;" filled="f" stroked="f" coordsize="21600,21600" o:allowincell="f">
          <v:path/>
          <v:fill on="f" focussize="0,0"/>
          <v:stroke on="f"/>
          <v:imagedata o:title=""/>
          <o:lock v:ext="edit" aspectratio="f"/>
          <v:textbox inset="0mm,0mm,0mm,0mm">
            <w:txbxContent>
              <w:p>
                <w:pPr>
                  <w:pStyle w:val="4"/>
                  <w:kinsoku w:val="0"/>
                  <w:overflowPunct w:val="0"/>
                  <w:spacing w:line="206" w:lineRule="exact"/>
                  <w:ind w:left="40"/>
                  <w:rPr>
                    <w:rFonts w:ascii="Times New Roman" w:cs="Times New Roman"/>
                    <w:sz w:val="18"/>
                    <w:szCs w:val="18"/>
                  </w:rPr>
                </w:pPr>
                <w:r>
                  <w:rPr>
                    <w:rFonts w:ascii="Times New Roman" w:cs="Times New Roman"/>
                    <w:w w:val="101"/>
                    <w:sz w:val="18"/>
                    <w:szCs w:val="18"/>
                  </w:rPr>
                  <w:fldChar w:fldCharType="begin"/>
                </w:r>
                <w:r>
                  <w:rPr>
                    <w:rFonts w:ascii="Times New Roman" w:cs="Times New Roman"/>
                    <w:w w:val="101"/>
                    <w:sz w:val="18"/>
                    <w:szCs w:val="18"/>
                  </w:rPr>
                  <w:instrText xml:space="preserve"> PAGE </w:instrText>
                </w:r>
                <w:r>
                  <w:rPr>
                    <w:rFonts w:ascii="Times New Roman" w:cs="Times New Roman"/>
                    <w:w w:val="101"/>
                    <w:sz w:val="18"/>
                    <w:szCs w:val="18"/>
                  </w:rPr>
                  <w:fldChar w:fldCharType="separate"/>
                </w:r>
                <w:r>
                  <w:rPr>
                    <w:rFonts w:ascii="Times New Roman" w:cs="Times New Roman"/>
                    <w:w w:val="101"/>
                    <w:sz w:val="18"/>
                    <w:szCs w:val="18"/>
                  </w:rPr>
                  <w:t>130</w:t>
                </w:r>
                <w:r>
                  <w:rPr>
                    <w:rFonts w:ascii="Times New Roman" w:cs="Times New Roman"/>
                    <w:w w:val="101"/>
                    <w:sz w:val="18"/>
                    <w:szCs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rPr>
        <w:rFonts w:ascii="黑体" w:hAnsi="黑体" w:eastAsia="黑体" w:cs="Times New Roman"/>
        <w:b/>
        <w:sz w:val="21"/>
        <w:szCs w:val="21"/>
      </w:rPr>
    </w:pPr>
    <w:r>
      <w:rPr>
        <w:rFonts w:hint="eastAsia"/>
        <w:sz w:val="21"/>
        <w:szCs w:val="21"/>
      </w:rPr>
      <w:t>巴州区鼎山镇首市村巴山肉牛标准化</w:t>
    </w:r>
    <w:r>
      <w:rPr>
        <w:rFonts w:hint="eastAsia"/>
        <w:sz w:val="21"/>
        <w:szCs w:val="21"/>
        <w:lang w:eastAsia="zh-CN"/>
      </w:rPr>
      <w:t>育肥场</w:t>
    </w:r>
    <w:r>
      <w:rPr>
        <w:sz w:val="21"/>
        <w:szCs w:val="21"/>
      </w:rPr>
      <w:t>环境影响报告</w:t>
    </w:r>
    <w:r>
      <w:rPr>
        <w:rFonts w:hint="eastAsia"/>
        <w:sz w:val="21"/>
        <w:szCs w:val="21"/>
      </w:rPr>
      <w:t>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rPr>
        <w:rFonts w:hint="eastAsia" w:ascii="宋体" w:hAnsi="宋体"/>
        <w:sz w:val="32"/>
        <w:szCs w:val="32"/>
      </w:rPr>
    </w:pPr>
    <w:r>
      <w:rPr>
        <w:rFonts w:hint="eastAsia"/>
        <w:sz w:val="21"/>
        <w:szCs w:val="21"/>
      </w:rPr>
      <w:t>巴州区鼎山镇首市村巴山肉牛标准化</w:t>
    </w:r>
    <w:r>
      <w:rPr>
        <w:rFonts w:hint="eastAsia"/>
        <w:sz w:val="21"/>
        <w:szCs w:val="21"/>
        <w:lang w:eastAsia="zh-CN"/>
      </w:rPr>
      <w:t>育肥场</w:t>
    </w:r>
    <w:r>
      <w:rPr>
        <w:sz w:val="21"/>
        <w:szCs w:val="21"/>
      </w:rPr>
      <w:t>环境影响报告</w:t>
    </w:r>
    <w:r>
      <w:rPr>
        <w:rFonts w:hint="eastAsia"/>
        <w:sz w:val="21"/>
        <w:szCs w:val="21"/>
      </w:rPr>
      <w:t>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1BA4B3"/>
    <w:multiLevelType w:val="singleLevel"/>
    <w:tmpl w:val="8A1BA4B3"/>
    <w:lvl w:ilvl="0" w:tentative="0">
      <w:start w:val="1"/>
      <w:numFmt w:val="decimal"/>
      <w:suff w:val="nothing"/>
      <w:lvlText w:val="（%1）"/>
      <w:lvlJc w:val="left"/>
    </w:lvl>
  </w:abstractNum>
  <w:abstractNum w:abstractNumId="1">
    <w:nsid w:val="8BCF9EE3"/>
    <w:multiLevelType w:val="singleLevel"/>
    <w:tmpl w:val="8BCF9EE3"/>
    <w:lvl w:ilvl="0" w:tentative="0">
      <w:start w:val="1"/>
      <w:numFmt w:val="chineseCounting"/>
      <w:suff w:val="nothing"/>
      <w:lvlText w:val="（%1）"/>
      <w:lvlJc w:val="left"/>
      <w:rPr>
        <w:rFonts w:hint="eastAsia"/>
      </w:rPr>
    </w:lvl>
  </w:abstractNum>
  <w:abstractNum w:abstractNumId="2">
    <w:nsid w:val="8CB3D2AF"/>
    <w:multiLevelType w:val="singleLevel"/>
    <w:tmpl w:val="8CB3D2AF"/>
    <w:lvl w:ilvl="0" w:tentative="0">
      <w:start w:val="3"/>
      <w:numFmt w:val="decimal"/>
      <w:suff w:val="nothing"/>
      <w:lvlText w:val="%1、"/>
      <w:lvlJc w:val="left"/>
    </w:lvl>
  </w:abstractNum>
  <w:abstractNum w:abstractNumId="3">
    <w:nsid w:val="8E624148"/>
    <w:multiLevelType w:val="singleLevel"/>
    <w:tmpl w:val="8E624148"/>
    <w:lvl w:ilvl="0" w:tentative="0">
      <w:start w:val="1"/>
      <w:numFmt w:val="decimal"/>
      <w:lvlText w:val="表2.7-%1"/>
      <w:lvlJc w:val="left"/>
      <w:pPr>
        <w:tabs>
          <w:tab w:val="left" w:pos="420"/>
        </w:tabs>
        <w:ind w:left="425" w:leftChars="0" w:hanging="425" w:firstLineChars="0"/>
      </w:pPr>
      <w:rPr>
        <w:rFonts w:hint="default"/>
      </w:rPr>
    </w:lvl>
  </w:abstractNum>
  <w:abstractNum w:abstractNumId="4">
    <w:nsid w:val="8F1899C7"/>
    <w:multiLevelType w:val="singleLevel"/>
    <w:tmpl w:val="8F1899C7"/>
    <w:lvl w:ilvl="0" w:tentative="0">
      <w:start w:val="1"/>
      <w:numFmt w:val="decimal"/>
      <w:lvlText w:val="表2.4-%1"/>
      <w:lvlJc w:val="left"/>
      <w:pPr>
        <w:tabs>
          <w:tab w:val="left" w:pos="420"/>
        </w:tabs>
        <w:ind w:left="425" w:leftChars="0" w:hanging="425" w:firstLineChars="0"/>
      </w:pPr>
      <w:rPr>
        <w:rFonts w:hint="default"/>
      </w:rPr>
    </w:lvl>
  </w:abstractNum>
  <w:abstractNum w:abstractNumId="5">
    <w:nsid w:val="911D1130"/>
    <w:multiLevelType w:val="singleLevel"/>
    <w:tmpl w:val="911D1130"/>
    <w:lvl w:ilvl="0" w:tentative="0">
      <w:start w:val="1"/>
      <w:numFmt w:val="decimal"/>
      <w:lvlText w:val="图2.7-%1"/>
      <w:lvlJc w:val="left"/>
      <w:pPr>
        <w:tabs>
          <w:tab w:val="left" w:pos="420"/>
        </w:tabs>
        <w:ind w:left="425" w:leftChars="0" w:hanging="425" w:firstLineChars="0"/>
      </w:pPr>
      <w:rPr>
        <w:rFonts w:hint="default"/>
      </w:rPr>
    </w:lvl>
  </w:abstractNum>
  <w:abstractNum w:abstractNumId="6">
    <w:nsid w:val="96822B05"/>
    <w:multiLevelType w:val="singleLevel"/>
    <w:tmpl w:val="96822B05"/>
    <w:lvl w:ilvl="0" w:tentative="0">
      <w:start w:val="1"/>
      <w:numFmt w:val="decimal"/>
      <w:suff w:val="nothing"/>
      <w:lvlText w:val="图3.2-%1"/>
      <w:lvlJc w:val="left"/>
      <w:pPr>
        <w:ind w:left="0" w:firstLine="403"/>
      </w:pPr>
      <w:rPr>
        <w:rFonts w:hint="default"/>
      </w:rPr>
    </w:lvl>
  </w:abstractNum>
  <w:abstractNum w:abstractNumId="7">
    <w:nsid w:val="994D5AB2"/>
    <w:multiLevelType w:val="singleLevel"/>
    <w:tmpl w:val="994D5AB2"/>
    <w:lvl w:ilvl="0" w:tentative="0">
      <w:start w:val="1"/>
      <w:numFmt w:val="decimal"/>
      <w:lvlText w:val="表6.2-%1"/>
      <w:lvlJc w:val="left"/>
      <w:pPr>
        <w:tabs>
          <w:tab w:val="left" w:pos="420"/>
        </w:tabs>
        <w:ind w:left="425" w:leftChars="0" w:hanging="425" w:firstLineChars="0"/>
      </w:pPr>
      <w:rPr>
        <w:rFonts w:hint="default" w:ascii="Times New Roman" w:hAnsi="Times New Roman"/>
      </w:rPr>
    </w:lvl>
  </w:abstractNum>
  <w:abstractNum w:abstractNumId="8">
    <w:nsid w:val="9E448740"/>
    <w:multiLevelType w:val="singleLevel"/>
    <w:tmpl w:val="9E448740"/>
    <w:lvl w:ilvl="0" w:tentative="0">
      <w:start w:val="1"/>
      <w:numFmt w:val="decimal"/>
      <w:lvlText w:val="表8.7-%1"/>
      <w:lvlJc w:val="left"/>
      <w:pPr>
        <w:tabs>
          <w:tab w:val="left" w:pos="420"/>
        </w:tabs>
        <w:ind w:left="425" w:leftChars="0" w:hanging="425" w:firstLineChars="0"/>
      </w:pPr>
      <w:rPr>
        <w:rFonts w:hint="default"/>
      </w:rPr>
    </w:lvl>
  </w:abstractNum>
  <w:abstractNum w:abstractNumId="9">
    <w:nsid w:val="A0B8AD70"/>
    <w:multiLevelType w:val="singleLevel"/>
    <w:tmpl w:val="A0B8AD70"/>
    <w:lvl w:ilvl="0" w:tentative="0">
      <w:start w:val="1"/>
      <w:numFmt w:val="decimal"/>
      <w:lvlText w:val="图5.2-%1"/>
      <w:lvlJc w:val="left"/>
      <w:pPr>
        <w:tabs>
          <w:tab w:val="left" w:pos="420"/>
        </w:tabs>
        <w:ind w:left="425" w:leftChars="0" w:hanging="425" w:firstLineChars="0"/>
      </w:pPr>
      <w:rPr>
        <w:rFonts w:hint="default" w:ascii="Times New Roman" w:hAnsi="Times New Roman" w:eastAsia="宋体" w:cs="宋体"/>
      </w:rPr>
    </w:lvl>
  </w:abstractNum>
  <w:abstractNum w:abstractNumId="10">
    <w:nsid w:val="AA32CCE3"/>
    <w:multiLevelType w:val="singleLevel"/>
    <w:tmpl w:val="AA32CCE3"/>
    <w:lvl w:ilvl="0" w:tentative="0">
      <w:start w:val="5"/>
      <w:numFmt w:val="decimal"/>
      <w:suff w:val="nothing"/>
      <w:lvlText w:val="%1、"/>
      <w:lvlJc w:val="left"/>
    </w:lvl>
  </w:abstractNum>
  <w:abstractNum w:abstractNumId="11">
    <w:nsid w:val="AAD160A1"/>
    <w:multiLevelType w:val="singleLevel"/>
    <w:tmpl w:val="AAD160A1"/>
    <w:lvl w:ilvl="0" w:tentative="0">
      <w:start w:val="2"/>
      <w:numFmt w:val="decimal"/>
      <w:suff w:val="nothing"/>
      <w:lvlText w:val="%1）"/>
      <w:lvlJc w:val="left"/>
    </w:lvl>
  </w:abstractNum>
  <w:abstractNum w:abstractNumId="12">
    <w:nsid w:val="AB3F428D"/>
    <w:multiLevelType w:val="singleLevel"/>
    <w:tmpl w:val="AB3F428D"/>
    <w:lvl w:ilvl="0" w:tentative="0">
      <w:start w:val="1"/>
      <w:numFmt w:val="decimal"/>
      <w:lvlText w:val="图2-%1"/>
      <w:lvlJc w:val="left"/>
      <w:pPr>
        <w:tabs>
          <w:tab w:val="left" w:pos="420"/>
        </w:tabs>
        <w:ind w:left="425" w:leftChars="0" w:hanging="425" w:firstLineChars="0"/>
      </w:pPr>
      <w:rPr>
        <w:rFonts w:hint="default"/>
      </w:rPr>
    </w:lvl>
  </w:abstractNum>
  <w:abstractNum w:abstractNumId="13">
    <w:nsid w:val="B29342E2"/>
    <w:multiLevelType w:val="singleLevel"/>
    <w:tmpl w:val="B29342E2"/>
    <w:lvl w:ilvl="0" w:tentative="0">
      <w:start w:val="1"/>
      <w:numFmt w:val="decimal"/>
      <w:lvlText w:val="表7.2-%1"/>
      <w:lvlJc w:val="left"/>
      <w:pPr>
        <w:tabs>
          <w:tab w:val="left" w:pos="420"/>
        </w:tabs>
        <w:ind w:left="425" w:leftChars="0" w:hanging="425" w:firstLineChars="0"/>
      </w:pPr>
      <w:rPr>
        <w:rFonts w:hint="default"/>
      </w:rPr>
    </w:lvl>
  </w:abstractNum>
  <w:abstractNum w:abstractNumId="14">
    <w:nsid w:val="B9A6DAD0"/>
    <w:multiLevelType w:val="singleLevel"/>
    <w:tmpl w:val="B9A6DAD0"/>
    <w:lvl w:ilvl="0" w:tentative="0">
      <w:start w:val="2"/>
      <w:numFmt w:val="decimal"/>
      <w:suff w:val="nothing"/>
      <w:lvlText w:val="%1、"/>
      <w:lvlJc w:val="left"/>
    </w:lvl>
  </w:abstractNum>
  <w:abstractNum w:abstractNumId="15">
    <w:nsid w:val="C16A6611"/>
    <w:multiLevelType w:val="multilevel"/>
    <w:tmpl w:val="C16A6611"/>
    <w:lvl w:ilvl="0" w:tentative="0">
      <w:start w:val="1"/>
      <w:numFmt w:val="decimal"/>
      <w:lvlText w:val="表7-%1"/>
      <w:lvlJc w:val="left"/>
      <w:pPr>
        <w:tabs>
          <w:tab w:val="left" w:pos="987"/>
        </w:tabs>
        <w:ind w:left="420" w:firstLine="0"/>
      </w:pPr>
      <w:rPr>
        <w:rFonts w:hint="default" w:ascii="Times New Roman" w:hAnsi="Times New Roman" w:eastAsia="宋体" w:cs="Times New Roman"/>
      </w:rPr>
    </w:lvl>
    <w:lvl w:ilvl="1" w:tentative="0">
      <w:start w:val="1"/>
      <w:numFmt w:val="lowerLetter"/>
      <w:lvlText w:val="%2)"/>
      <w:lvlJc w:val="left"/>
      <w:pPr>
        <w:tabs>
          <w:tab w:val="left" w:pos="1740"/>
        </w:tabs>
        <w:ind w:left="1740" w:hanging="420"/>
      </w:pPr>
      <w:rPr>
        <w:rFonts w:hint="eastAsia" w:cs="Times New Roman"/>
      </w:rPr>
    </w:lvl>
    <w:lvl w:ilvl="2" w:tentative="0">
      <w:start w:val="1"/>
      <w:numFmt w:val="lowerRoman"/>
      <w:lvlText w:val="%3."/>
      <w:lvlJc w:val="right"/>
      <w:pPr>
        <w:tabs>
          <w:tab w:val="left" w:pos="2160"/>
        </w:tabs>
        <w:ind w:left="2160" w:hanging="420"/>
      </w:pPr>
      <w:rPr>
        <w:rFonts w:hint="eastAsia" w:cs="Times New Roman"/>
      </w:rPr>
    </w:lvl>
    <w:lvl w:ilvl="3" w:tentative="0">
      <w:start w:val="1"/>
      <w:numFmt w:val="decimal"/>
      <w:lvlText w:val="%4."/>
      <w:lvlJc w:val="left"/>
      <w:pPr>
        <w:tabs>
          <w:tab w:val="left" w:pos="2580"/>
        </w:tabs>
        <w:ind w:left="2580" w:hanging="420"/>
      </w:pPr>
      <w:rPr>
        <w:rFonts w:hint="eastAsia" w:cs="Times New Roman"/>
      </w:rPr>
    </w:lvl>
    <w:lvl w:ilvl="4" w:tentative="0">
      <w:start w:val="1"/>
      <w:numFmt w:val="lowerLetter"/>
      <w:lvlText w:val="%5)"/>
      <w:lvlJc w:val="left"/>
      <w:pPr>
        <w:tabs>
          <w:tab w:val="left" w:pos="3000"/>
        </w:tabs>
        <w:ind w:left="3000" w:hanging="420"/>
      </w:pPr>
      <w:rPr>
        <w:rFonts w:hint="eastAsia" w:cs="Times New Roman"/>
      </w:rPr>
    </w:lvl>
    <w:lvl w:ilvl="5" w:tentative="0">
      <w:start w:val="1"/>
      <w:numFmt w:val="lowerRoman"/>
      <w:lvlText w:val="%6."/>
      <w:lvlJc w:val="right"/>
      <w:pPr>
        <w:tabs>
          <w:tab w:val="left" w:pos="3420"/>
        </w:tabs>
        <w:ind w:left="3420" w:hanging="420"/>
      </w:pPr>
      <w:rPr>
        <w:rFonts w:hint="eastAsia" w:cs="Times New Roman"/>
      </w:rPr>
    </w:lvl>
    <w:lvl w:ilvl="6" w:tentative="0">
      <w:start w:val="1"/>
      <w:numFmt w:val="decimal"/>
      <w:lvlText w:val="%7."/>
      <w:lvlJc w:val="left"/>
      <w:pPr>
        <w:tabs>
          <w:tab w:val="left" w:pos="3840"/>
        </w:tabs>
        <w:ind w:left="3840" w:hanging="420"/>
      </w:pPr>
      <w:rPr>
        <w:rFonts w:hint="eastAsia" w:cs="Times New Roman"/>
      </w:rPr>
    </w:lvl>
    <w:lvl w:ilvl="7" w:tentative="0">
      <w:start w:val="1"/>
      <w:numFmt w:val="lowerLetter"/>
      <w:lvlText w:val="%8)"/>
      <w:lvlJc w:val="left"/>
      <w:pPr>
        <w:tabs>
          <w:tab w:val="left" w:pos="4260"/>
        </w:tabs>
        <w:ind w:left="4260" w:hanging="420"/>
      </w:pPr>
      <w:rPr>
        <w:rFonts w:hint="eastAsia" w:cs="Times New Roman"/>
      </w:rPr>
    </w:lvl>
    <w:lvl w:ilvl="8" w:tentative="0">
      <w:start w:val="1"/>
      <w:numFmt w:val="lowerRoman"/>
      <w:lvlText w:val="%9."/>
      <w:lvlJc w:val="right"/>
      <w:pPr>
        <w:tabs>
          <w:tab w:val="left" w:pos="4680"/>
        </w:tabs>
        <w:ind w:left="4680" w:hanging="420"/>
      </w:pPr>
      <w:rPr>
        <w:rFonts w:hint="eastAsia" w:cs="Times New Roman"/>
      </w:rPr>
    </w:lvl>
  </w:abstractNum>
  <w:abstractNum w:abstractNumId="16">
    <w:nsid w:val="C94E2897"/>
    <w:multiLevelType w:val="singleLevel"/>
    <w:tmpl w:val="C94E2897"/>
    <w:lvl w:ilvl="0" w:tentative="0">
      <w:start w:val="1"/>
      <w:numFmt w:val="decimal"/>
      <w:lvlText w:val="表2.8-%1"/>
      <w:lvlJc w:val="left"/>
      <w:pPr>
        <w:tabs>
          <w:tab w:val="left" w:pos="420"/>
        </w:tabs>
        <w:ind w:left="425" w:leftChars="0" w:hanging="425" w:firstLineChars="0"/>
      </w:pPr>
      <w:rPr>
        <w:rFonts w:hint="default" w:ascii="Times New Roman" w:hAnsi="Times New Roman" w:eastAsia="宋体" w:cs="宋体"/>
      </w:rPr>
    </w:lvl>
  </w:abstractNum>
  <w:abstractNum w:abstractNumId="17">
    <w:nsid w:val="D20FC690"/>
    <w:multiLevelType w:val="singleLevel"/>
    <w:tmpl w:val="D20FC690"/>
    <w:lvl w:ilvl="0" w:tentative="0">
      <w:start w:val="1"/>
      <w:numFmt w:val="decimal"/>
      <w:lvlText w:val="表2.7-%1"/>
      <w:lvlJc w:val="left"/>
      <w:pPr>
        <w:tabs>
          <w:tab w:val="left" w:pos="420"/>
        </w:tabs>
        <w:ind w:left="425" w:hanging="425"/>
      </w:pPr>
      <w:rPr>
        <w:rFonts w:hint="default"/>
      </w:rPr>
    </w:lvl>
  </w:abstractNum>
  <w:abstractNum w:abstractNumId="18">
    <w:nsid w:val="D285D15E"/>
    <w:multiLevelType w:val="multilevel"/>
    <w:tmpl w:val="D285D15E"/>
    <w:lvl w:ilvl="0" w:tentative="0">
      <w:start w:val="1"/>
      <w:numFmt w:val="decimal"/>
      <w:lvlText w:val="表5.2-%1"/>
      <w:lvlJc w:val="center"/>
      <w:pPr>
        <w:tabs>
          <w:tab w:val="left" w:pos="567"/>
        </w:tabs>
        <w:ind w:left="0" w:firstLine="0"/>
      </w:pPr>
      <w:rPr>
        <w:rFonts w:hint="default" w:ascii="Times New Roman" w:hAnsi="Times New Roman" w:eastAsia="宋体" w:cs="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DC81B1A3"/>
    <w:multiLevelType w:val="singleLevel"/>
    <w:tmpl w:val="DC81B1A3"/>
    <w:lvl w:ilvl="0" w:tentative="0">
      <w:start w:val="1"/>
      <w:numFmt w:val="decimal"/>
      <w:lvlText w:val="表6.4-%1"/>
      <w:lvlJc w:val="left"/>
      <w:pPr>
        <w:tabs>
          <w:tab w:val="left" w:pos="420"/>
        </w:tabs>
        <w:ind w:left="425" w:hanging="425"/>
      </w:pPr>
      <w:rPr>
        <w:rFonts w:hint="default"/>
      </w:rPr>
    </w:lvl>
  </w:abstractNum>
  <w:abstractNum w:abstractNumId="20">
    <w:nsid w:val="E60480BF"/>
    <w:multiLevelType w:val="singleLevel"/>
    <w:tmpl w:val="E60480BF"/>
    <w:lvl w:ilvl="0" w:tentative="0">
      <w:start w:val="1"/>
      <w:numFmt w:val="chineseCounting"/>
      <w:suff w:val="nothing"/>
      <w:lvlText w:val="（%1）"/>
      <w:lvlJc w:val="left"/>
      <w:rPr>
        <w:rFonts w:hint="eastAsia"/>
      </w:rPr>
    </w:lvl>
  </w:abstractNum>
  <w:abstractNum w:abstractNumId="21">
    <w:nsid w:val="E849755C"/>
    <w:multiLevelType w:val="singleLevel"/>
    <w:tmpl w:val="E849755C"/>
    <w:lvl w:ilvl="0" w:tentative="0">
      <w:start w:val="1"/>
      <w:numFmt w:val="decimal"/>
      <w:lvlText w:val="表9.5-%1"/>
      <w:lvlJc w:val="left"/>
      <w:pPr>
        <w:tabs>
          <w:tab w:val="left" w:pos="420"/>
        </w:tabs>
        <w:ind w:left="425" w:leftChars="0" w:hanging="425" w:firstLineChars="0"/>
      </w:pPr>
      <w:rPr>
        <w:rFonts w:hint="default" w:ascii="Times New Roman" w:hAnsi="Times New Roman"/>
        <w:sz w:val="21"/>
      </w:rPr>
    </w:lvl>
  </w:abstractNum>
  <w:abstractNum w:abstractNumId="22">
    <w:nsid w:val="F154CA4A"/>
    <w:multiLevelType w:val="singleLevel"/>
    <w:tmpl w:val="F154CA4A"/>
    <w:lvl w:ilvl="0" w:tentative="0">
      <w:start w:val="1"/>
      <w:numFmt w:val="chineseCounting"/>
      <w:suff w:val="nothing"/>
      <w:lvlText w:val="（%1）"/>
      <w:lvlJc w:val="left"/>
      <w:rPr>
        <w:rFonts w:hint="eastAsia"/>
      </w:rPr>
    </w:lvl>
  </w:abstractNum>
  <w:abstractNum w:abstractNumId="23">
    <w:nsid w:val="F2DFF6EC"/>
    <w:multiLevelType w:val="singleLevel"/>
    <w:tmpl w:val="F2DFF6EC"/>
    <w:lvl w:ilvl="0" w:tentative="0">
      <w:start w:val="1"/>
      <w:numFmt w:val="decimal"/>
      <w:suff w:val="nothing"/>
      <w:lvlText w:val="（%1）"/>
      <w:lvlJc w:val="left"/>
    </w:lvl>
  </w:abstractNum>
  <w:abstractNum w:abstractNumId="24">
    <w:nsid w:val="F6F75C3B"/>
    <w:multiLevelType w:val="singleLevel"/>
    <w:tmpl w:val="F6F75C3B"/>
    <w:lvl w:ilvl="0" w:tentative="0">
      <w:start w:val="1"/>
      <w:numFmt w:val="decimal"/>
      <w:suff w:val="nothing"/>
      <w:lvlText w:val="（%1）"/>
      <w:lvlJc w:val="left"/>
    </w:lvl>
  </w:abstractNum>
  <w:abstractNum w:abstractNumId="25">
    <w:nsid w:val="FF28115D"/>
    <w:multiLevelType w:val="singleLevel"/>
    <w:tmpl w:val="FF28115D"/>
    <w:lvl w:ilvl="0" w:tentative="0">
      <w:start w:val="1"/>
      <w:numFmt w:val="decimal"/>
      <w:suff w:val="nothing"/>
      <w:lvlText w:val="表9.2-%1"/>
      <w:lvlJc w:val="left"/>
      <w:pPr>
        <w:ind w:left="0" w:firstLine="403"/>
      </w:pPr>
      <w:rPr>
        <w:rFonts w:hint="default"/>
        <w:sz w:val="21"/>
      </w:rPr>
    </w:lvl>
  </w:abstractNum>
  <w:abstractNum w:abstractNumId="26">
    <w:nsid w:val="061B8949"/>
    <w:multiLevelType w:val="singleLevel"/>
    <w:tmpl w:val="061B8949"/>
    <w:lvl w:ilvl="0" w:tentative="0">
      <w:start w:val="1"/>
      <w:numFmt w:val="decimal"/>
      <w:lvlText w:val="表6.3-%1"/>
      <w:lvlJc w:val="left"/>
      <w:pPr>
        <w:tabs>
          <w:tab w:val="left" w:pos="420"/>
        </w:tabs>
        <w:ind w:left="425" w:leftChars="0" w:hanging="425" w:firstLineChars="0"/>
      </w:pPr>
      <w:rPr>
        <w:rFonts w:hint="default"/>
      </w:rPr>
    </w:lvl>
  </w:abstractNum>
  <w:abstractNum w:abstractNumId="27">
    <w:nsid w:val="07B0947B"/>
    <w:multiLevelType w:val="singleLevel"/>
    <w:tmpl w:val="07B0947B"/>
    <w:lvl w:ilvl="0" w:tentative="0">
      <w:start w:val="1"/>
      <w:numFmt w:val="decimal"/>
      <w:lvlText w:val="表6.7-%1"/>
      <w:lvlJc w:val="left"/>
      <w:pPr>
        <w:tabs>
          <w:tab w:val="left" w:pos="420"/>
        </w:tabs>
        <w:ind w:left="425" w:leftChars="0" w:hanging="425" w:firstLineChars="0"/>
      </w:pPr>
      <w:rPr>
        <w:rFonts w:hint="default" w:ascii="Times New Roman" w:hAnsi="Times New Roman"/>
      </w:rPr>
    </w:lvl>
  </w:abstractNum>
  <w:abstractNum w:abstractNumId="28">
    <w:nsid w:val="0B952E13"/>
    <w:multiLevelType w:val="singleLevel"/>
    <w:tmpl w:val="0B952E13"/>
    <w:lvl w:ilvl="0" w:tentative="0">
      <w:start w:val="1"/>
      <w:numFmt w:val="decimal"/>
      <w:lvlText w:val="表6.4-%1"/>
      <w:lvlJc w:val="left"/>
      <w:pPr>
        <w:tabs>
          <w:tab w:val="left" w:pos="420"/>
        </w:tabs>
        <w:ind w:left="425" w:leftChars="0" w:hanging="425" w:firstLineChars="0"/>
      </w:pPr>
      <w:rPr>
        <w:rFonts w:hint="default" w:ascii="Times New Roman" w:hAnsi="Times New Roman"/>
      </w:rPr>
    </w:lvl>
  </w:abstractNum>
  <w:abstractNum w:abstractNumId="29">
    <w:nsid w:val="0DBD4FDA"/>
    <w:multiLevelType w:val="singleLevel"/>
    <w:tmpl w:val="0DBD4FDA"/>
    <w:lvl w:ilvl="0" w:tentative="0">
      <w:start w:val="1"/>
      <w:numFmt w:val="decimal"/>
      <w:suff w:val="nothing"/>
      <w:lvlText w:val="图3.2-%1"/>
      <w:lvlJc w:val="left"/>
      <w:pPr>
        <w:tabs>
          <w:tab w:val="left" w:pos="0"/>
        </w:tabs>
        <w:ind w:left="0" w:firstLine="403"/>
      </w:pPr>
      <w:rPr>
        <w:rFonts w:hint="default" w:ascii="Times New Roman" w:hAnsi="Times New Roman" w:eastAsia="宋体" w:cs="宋体"/>
        <w:sz w:val="21"/>
        <w:szCs w:val="21"/>
      </w:rPr>
    </w:lvl>
  </w:abstractNum>
  <w:abstractNum w:abstractNumId="30">
    <w:nsid w:val="0DE03F97"/>
    <w:multiLevelType w:val="singleLevel"/>
    <w:tmpl w:val="0DE03F97"/>
    <w:lvl w:ilvl="0" w:tentative="0">
      <w:start w:val="3"/>
      <w:numFmt w:val="decimal"/>
      <w:suff w:val="nothing"/>
      <w:lvlText w:val="%1、"/>
      <w:lvlJc w:val="left"/>
    </w:lvl>
  </w:abstractNum>
  <w:abstractNum w:abstractNumId="31">
    <w:nsid w:val="20DB679B"/>
    <w:multiLevelType w:val="singleLevel"/>
    <w:tmpl w:val="20DB679B"/>
    <w:lvl w:ilvl="0" w:tentative="0">
      <w:start w:val="9"/>
      <w:numFmt w:val="decimal"/>
      <w:suff w:val="nothing"/>
      <w:lvlText w:val="%1、"/>
      <w:lvlJc w:val="left"/>
    </w:lvl>
  </w:abstractNum>
  <w:abstractNum w:abstractNumId="32">
    <w:nsid w:val="265D4F52"/>
    <w:multiLevelType w:val="singleLevel"/>
    <w:tmpl w:val="265D4F52"/>
    <w:lvl w:ilvl="0" w:tentative="0">
      <w:start w:val="1"/>
      <w:numFmt w:val="decimal"/>
      <w:lvlText w:val="表9.3-%1"/>
      <w:lvlJc w:val="left"/>
      <w:pPr>
        <w:tabs>
          <w:tab w:val="left" w:pos="420"/>
        </w:tabs>
        <w:ind w:left="425" w:leftChars="0" w:hanging="425" w:firstLineChars="0"/>
      </w:pPr>
      <w:rPr>
        <w:rFonts w:hint="default"/>
        <w:sz w:val="21"/>
      </w:rPr>
    </w:lvl>
  </w:abstractNum>
  <w:abstractNum w:abstractNumId="33">
    <w:nsid w:val="2D6D70D3"/>
    <w:multiLevelType w:val="multilevel"/>
    <w:tmpl w:val="2D6D70D3"/>
    <w:lvl w:ilvl="0" w:tentative="0">
      <w:start w:val="1"/>
      <w:numFmt w:val="decimal"/>
      <w:pStyle w:val="6"/>
      <w:lvlText w:val="%1"/>
      <w:lvlJc w:val="left"/>
      <w:pPr>
        <w:ind w:left="432" w:hanging="432"/>
      </w:pPr>
    </w:lvl>
    <w:lvl w:ilvl="1" w:tentative="0">
      <w:start w:val="1"/>
      <w:numFmt w:val="decimal"/>
      <w:pStyle w:val="7"/>
      <w:lvlText w:val="%1.%2"/>
      <w:lvlJc w:val="left"/>
      <w:pPr>
        <w:ind w:left="576" w:hanging="576"/>
      </w:pPr>
    </w:lvl>
    <w:lvl w:ilvl="2" w:tentative="0">
      <w:start w:val="1"/>
      <w:numFmt w:val="decimal"/>
      <w:pStyle w:val="8"/>
      <w:lvlText w:val="%1.%2.%3"/>
      <w:lvlJc w:val="left"/>
      <w:pPr>
        <w:ind w:left="1146" w:hanging="720"/>
      </w:pPr>
    </w:lvl>
    <w:lvl w:ilvl="3" w:tentative="0">
      <w:start w:val="1"/>
      <w:numFmt w:val="decimal"/>
      <w:pStyle w:val="9"/>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34">
    <w:nsid w:val="33AAE1F2"/>
    <w:multiLevelType w:val="singleLevel"/>
    <w:tmpl w:val="33AAE1F2"/>
    <w:lvl w:ilvl="0" w:tentative="0">
      <w:start w:val="1"/>
      <w:numFmt w:val="decimal"/>
      <w:suff w:val="nothing"/>
      <w:lvlText w:val="（%1）"/>
      <w:lvlJc w:val="left"/>
    </w:lvl>
  </w:abstractNum>
  <w:abstractNum w:abstractNumId="35">
    <w:nsid w:val="3446EEEC"/>
    <w:multiLevelType w:val="singleLevel"/>
    <w:tmpl w:val="3446EEEC"/>
    <w:lvl w:ilvl="0" w:tentative="0">
      <w:start w:val="1"/>
      <w:numFmt w:val="upperLetter"/>
      <w:suff w:val="nothing"/>
      <w:lvlText w:val="%1、"/>
      <w:lvlJc w:val="left"/>
    </w:lvl>
  </w:abstractNum>
  <w:abstractNum w:abstractNumId="36">
    <w:nsid w:val="38E7A645"/>
    <w:multiLevelType w:val="singleLevel"/>
    <w:tmpl w:val="38E7A645"/>
    <w:lvl w:ilvl="0" w:tentative="0">
      <w:start w:val="1"/>
      <w:numFmt w:val="decimal"/>
      <w:lvlText w:val="表2.6-%1"/>
      <w:lvlJc w:val="left"/>
      <w:pPr>
        <w:tabs>
          <w:tab w:val="left" w:pos="420"/>
        </w:tabs>
        <w:ind w:left="425" w:leftChars="0" w:hanging="425" w:firstLineChars="0"/>
      </w:pPr>
      <w:rPr>
        <w:rFonts w:hint="default"/>
      </w:rPr>
    </w:lvl>
  </w:abstractNum>
  <w:abstractNum w:abstractNumId="37">
    <w:nsid w:val="3DED4B97"/>
    <w:multiLevelType w:val="singleLevel"/>
    <w:tmpl w:val="3DED4B97"/>
    <w:lvl w:ilvl="0" w:tentative="0">
      <w:start w:val="1"/>
      <w:numFmt w:val="decimal"/>
      <w:lvlText w:val="表2.5-%1 "/>
      <w:lvlJc w:val="left"/>
      <w:pPr>
        <w:tabs>
          <w:tab w:val="left" w:pos="420"/>
        </w:tabs>
        <w:ind w:left="425" w:leftChars="0" w:hanging="425" w:firstLineChars="0"/>
      </w:pPr>
      <w:rPr>
        <w:rFonts w:hint="default"/>
      </w:rPr>
    </w:lvl>
  </w:abstractNum>
  <w:abstractNum w:abstractNumId="38">
    <w:nsid w:val="40466041"/>
    <w:multiLevelType w:val="singleLevel"/>
    <w:tmpl w:val="40466041"/>
    <w:lvl w:ilvl="0" w:tentative="0">
      <w:start w:val="1"/>
      <w:numFmt w:val="decimal"/>
      <w:lvlText w:val="表3.1-%1"/>
      <w:lvlJc w:val="left"/>
      <w:pPr>
        <w:tabs>
          <w:tab w:val="left" w:pos="420"/>
        </w:tabs>
        <w:ind w:left="425" w:leftChars="0" w:hanging="425" w:firstLineChars="0"/>
      </w:pPr>
      <w:rPr>
        <w:rFonts w:hint="default"/>
      </w:rPr>
    </w:lvl>
  </w:abstractNum>
  <w:abstractNum w:abstractNumId="39">
    <w:nsid w:val="415725CE"/>
    <w:multiLevelType w:val="singleLevel"/>
    <w:tmpl w:val="415725CE"/>
    <w:lvl w:ilvl="0" w:tentative="0">
      <w:start w:val="1"/>
      <w:numFmt w:val="decimal"/>
      <w:lvlText w:val="表6.6-%1"/>
      <w:lvlJc w:val="left"/>
      <w:pPr>
        <w:tabs>
          <w:tab w:val="left" w:pos="420"/>
        </w:tabs>
        <w:ind w:left="425" w:leftChars="0" w:hanging="425" w:firstLineChars="0"/>
      </w:pPr>
      <w:rPr>
        <w:rFonts w:hint="default"/>
      </w:rPr>
    </w:lvl>
  </w:abstractNum>
  <w:abstractNum w:abstractNumId="40">
    <w:nsid w:val="4C58F4B8"/>
    <w:multiLevelType w:val="singleLevel"/>
    <w:tmpl w:val="4C58F4B8"/>
    <w:lvl w:ilvl="0" w:tentative="0">
      <w:start w:val="2"/>
      <w:numFmt w:val="decimal"/>
      <w:lvlText w:val="(%1)"/>
      <w:lvlJc w:val="left"/>
      <w:pPr>
        <w:tabs>
          <w:tab w:val="left" w:pos="312"/>
        </w:tabs>
      </w:pPr>
    </w:lvl>
  </w:abstractNum>
  <w:abstractNum w:abstractNumId="41">
    <w:nsid w:val="53A3138B"/>
    <w:multiLevelType w:val="singleLevel"/>
    <w:tmpl w:val="53A3138B"/>
    <w:lvl w:ilvl="0" w:tentative="0">
      <w:start w:val="2"/>
      <w:numFmt w:val="decimal"/>
      <w:suff w:val="nothing"/>
      <w:lvlText w:val="（%1）"/>
      <w:lvlJc w:val="left"/>
    </w:lvl>
  </w:abstractNum>
  <w:abstractNum w:abstractNumId="42">
    <w:nsid w:val="548383E0"/>
    <w:multiLevelType w:val="singleLevel"/>
    <w:tmpl w:val="548383E0"/>
    <w:lvl w:ilvl="0" w:tentative="0">
      <w:start w:val="1"/>
      <w:numFmt w:val="decimal"/>
      <w:lvlText w:val="表9.1-%1"/>
      <w:lvlJc w:val="left"/>
      <w:pPr>
        <w:tabs>
          <w:tab w:val="left" w:pos="420"/>
        </w:tabs>
        <w:ind w:left="425" w:leftChars="0" w:hanging="425" w:firstLineChars="0"/>
      </w:pPr>
      <w:rPr>
        <w:rFonts w:hint="default" w:ascii="Times New Roman" w:hAnsi="Times New Roman"/>
        <w:sz w:val="21"/>
      </w:rPr>
    </w:lvl>
  </w:abstractNum>
  <w:abstractNum w:abstractNumId="43">
    <w:nsid w:val="603757FD"/>
    <w:multiLevelType w:val="singleLevel"/>
    <w:tmpl w:val="603757FD"/>
    <w:lvl w:ilvl="0" w:tentative="0">
      <w:start w:val="1"/>
      <w:numFmt w:val="decimal"/>
      <w:suff w:val="nothing"/>
      <w:lvlText w:val="（%1）"/>
      <w:lvlJc w:val="left"/>
    </w:lvl>
  </w:abstractNum>
  <w:abstractNum w:abstractNumId="44">
    <w:nsid w:val="6B810809"/>
    <w:multiLevelType w:val="multilevel"/>
    <w:tmpl w:val="6B810809"/>
    <w:lvl w:ilvl="0" w:tentative="0">
      <w:start w:val="1"/>
      <w:numFmt w:val="decimal"/>
      <w:pStyle w:val="2499"/>
      <w:lvlText w:val="表3-%1"/>
      <w:lvlJc w:val="left"/>
      <w:pPr>
        <w:ind w:left="4530" w:hanging="420"/>
      </w:pPr>
      <w:rPr>
        <w:rFonts w:hint="eastAsia" w:ascii="Times New Roman" w:hAnsi="Times New Roman" w:cs="Times New Roman"/>
        <w:b w:val="0"/>
        <w:bCs w:val="0"/>
        <w:i w:val="0"/>
        <w:iCs w:val="0"/>
        <w:caps w:val="0"/>
        <w:smallCaps w:val="0"/>
        <w:strike w:val="0"/>
        <w:dstrike w:val="0"/>
        <w:outline w:val="0"/>
        <w:shadow w:val="0"/>
        <w:emboss w:val="0"/>
        <w:imprint w:val="0"/>
        <w:vanish w:val="0"/>
        <w:spacing w:val="0"/>
        <w:position w:val="0"/>
        <w:u w:val="none"/>
        <w:vertAlign w:val="baseline"/>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45">
    <w:nsid w:val="776A9672"/>
    <w:multiLevelType w:val="singleLevel"/>
    <w:tmpl w:val="776A9672"/>
    <w:lvl w:ilvl="0" w:tentative="0">
      <w:start w:val="1"/>
      <w:numFmt w:val="decimal"/>
      <w:suff w:val="nothing"/>
      <w:lvlText w:val="表3.2-%1"/>
      <w:lvlJc w:val="left"/>
      <w:pPr>
        <w:tabs>
          <w:tab w:val="left" w:pos="0"/>
        </w:tabs>
        <w:ind w:left="0" w:firstLine="403"/>
      </w:pPr>
      <w:rPr>
        <w:rFonts w:hint="default" w:ascii="Times New Roman" w:hAnsi="Times New Roman"/>
      </w:rPr>
    </w:lvl>
  </w:abstractNum>
  <w:abstractNum w:abstractNumId="46">
    <w:nsid w:val="78E6BBFD"/>
    <w:multiLevelType w:val="singleLevel"/>
    <w:tmpl w:val="78E6BBFD"/>
    <w:lvl w:ilvl="0" w:tentative="0">
      <w:start w:val="1"/>
      <w:numFmt w:val="decimal"/>
      <w:suff w:val="nothing"/>
      <w:lvlText w:val="表2.3-%1"/>
      <w:lvlJc w:val="left"/>
      <w:pPr>
        <w:tabs>
          <w:tab w:val="left" w:pos="0"/>
        </w:tabs>
        <w:ind w:left="0" w:firstLine="403"/>
      </w:pPr>
      <w:rPr>
        <w:rFonts w:hint="default" w:ascii="宋体" w:hAnsi="宋体" w:eastAsia="宋体" w:cs="宋体"/>
      </w:rPr>
    </w:lvl>
  </w:abstractNum>
  <w:abstractNum w:abstractNumId="47">
    <w:nsid w:val="7C9A9436"/>
    <w:multiLevelType w:val="singleLevel"/>
    <w:tmpl w:val="7C9A9436"/>
    <w:lvl w:ilvl="0" w:tentative="0">
      <w:start w:val="6"/>
      <w:numFmt w:val="decimal"/>
      <w:suff w:val="nothing"/>
      <w:lvlText w:val="%1、"/>
      <w:lvlJc w:val="left"/>
    </w:lvl>
  </w:abstractNum>
  <w:abstractNum w:abstractNumId="48">
    <w:nsid w:val="7F494D18"/>
    <w:multiLevelType w:val="singleLevel"/>
    <w:tmpl w:val="7F494D18"/>
    <w:lvl w:ilvl="0" w:tentative="0">
      <w:start w:val="1"/>
      <w:numFmt w:val="decimal"/>
      <w:suff w:val="nothing"/>
      <w:lvlText w:val="%1、"/>
      <w:lvlJc w:val="left"/>
    </w:lvl>
  </w:abstractNum>
  <w:num w:numId="1">
    <w:abstractNumId w:val="33"/>
  </w:num>
  <w:num w:numId="2">
    <w:abstractNumId w:val="44"/>
  </w:num>
  <w:num w:numId="3">
    <w:abstractNumId w:val="34"/>
  </w:num>
  <w:num w:numId="4">
    <w:abstractNumId w:val="46"/>
  </w:num>
  <w:num w:numId="5">
    <w:abstractNumId w:val="4"/>
  </w:num>
  <w:num w:numId="6">
    <w:abstractNumId w:val="37"/>
  </w:num>
  <w:num w:numId="7">
    <w:abstractNumId w:val="36"/>
  </w:num>
  <w:num w:numId="8">
    <w:abstractNumId w:val="47"/>
  </w:num>
  <w:num w:numId="9">
    <w:abstractNumId w:val="12"/>
  </w:num>
  <w:num w:numId="10">
    <w:abstractNumId w:val="17"/>
  </w:num>
  <w:num w:numId="11">
    <w:abstractNumId w:val="14"/>
  </w:num>
  <w:num w:numId="12">
    <w:abstractNumId w:val="40"/>
  </w:num>
  <w:num w:numId="13">
    <w:abstractNumId w:val="3"/>
  </w:num>
  <w:num w:numId="14">
    <w:abstractNumId w:val="5"/>
  </w:num>
  <w:num w:numId="15">
    <w:abstractNumId w:val="23"/>
  </w:num>
  <w:num w:numId="16">
    <w:abstractNumId w:val="20"/>
  </w:num>
  <w:num w:numId="17">
    <w:abstractNumId w:val="1"/>
  </w:num>
  <w:num w:numId="18">
    <w:abstractNumId w:val="22"/>
  </w:num>
  <w:num w:numId="19">
    <w:abstractNumId w:val="16"/>
  </w:num>
  <w:num w:numId="20">
    <w:abstractNumId w:val="38"/>
  </w:num>
  <w:num w:numId="21">
    <w:abstractNumId w:val="11"/>
  </w:num>
  <w:num w:numId="22">
    <w:abstractNumId w:val="31"/>
  </w:num>
  <w:num w:numId="23">
    <w:abstractNumId w:val="6"/>
  </w:num>
  <w:num w:numId="24">
    <w:abstractNumId w:val="48"/>
  </w:num>
  <w:num w:numId="25">
    <w:abstractNumId w:val="45"/>
  </w:num>
  <w:num w:numId="26">
    <w:abstractNumId w:val="29"/>
  </w:num>
  <w:num w:numId="27">
    <w:abstractNumId w:val="43"/>
  </w:num>
  <w:num w:numId="28">
    <w:abstractNumId w:val="41"/>
  </w:num>
  <w:num w:numId="29">
    <w:abstractNumId w:val="0"/>
  </w:num>
  <w:num w:numId="30">
    <w:abstractNumId w:val="10"/>
  </w:num>
  <w:num w:numId="3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
  </w:num>
  <w:num w:numId="33">
    <w:abstractNumId w:val="19"/>
  </w:num>
  <w:num w:numId="34">
    <w:abstractNumId w:val="18"/>
  </w:num>
  <w:num w:numId="35">
    <w:abstractNumId w:val="9"/>
  </w:num>
  <w:num w:numId="36">
    <w:abstractNumId w:val="35"/>
  </w:num>
  <w:num w:numId="37">
    <w:abstractNumId w:val="24"/>
  </w:num>
  <w:num w:numId="38">
    <w:abstractNumId w:val="15"/>
  </w:num>
  <w:num w:numId="39">
    <w:abstractNumId w:val="7"/>
  </w:num>
  <w:num w:numId="40">
    <w:abstractNumId w:val="26"/>
  </w:num>
  <w:num w:numId="41">
    <w:abstractNumId w:val="28"/>
  </w:num>
  <w:num w:numId="42">
    <w:abstractNumId w:val="30"/>
  </w:num>
  <w:num w:numId="43">
    <w:abstractNumId w:val="39"/>
  </w:num>
  <w:num w:numId="44">
    <w:abstractNumId w:val="27"/>
  </w:num>
  <w:num w:numId="45">
    <w:abstractNumId w:val="13"/>
  </w:num>
  <w:num w:numId="46">
    <w:abstractNumId w:val="8"/>
  </w:num>
  <w:num w:numId="47">
    <w:abstractNumId w:val="42"/>
  </w:num>
  <w:num w:numId="48">
    <w:abstractNumId w:val="25"/>
  </w:num>
  <w:num w:numId="49">
    <w:abstractNumId w:val="32"/>
  </w:num>
  <w:num w:numId="5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Y4MDFiOGE3Nzc5MWMyODU4ZGE0NjYzOTlkNzgwMWIifQ=="/>
    <w:docVar w:name="KSO_WPS_MARK_KEY" w:val="182b7fd8-bff0-46b7-8545-275536bbc4e1"/>
  </w:docVars>
  <w:rsids>
    <w:rsidRoot w:val="00610CEB"/>
    <w:rsid w:val="00000921"/>
    <w:rsid w:val="00000C36"/>
    <w:rsid w:val="00000E4D"/>
    <w:rsid w:val="000012BC"/>
    <w:rsid w:val="00001EA9"/>
    <w:rsid w:val="00002780"/>
    <w:rsid w:val="00002D0C"/>
    <w:rsid w:val="000030FB"/>
    <w:rsid w:val="0000345E"/>
    <w:rsid w:val="00003EE2"/>
    <w:rsid w:val="0000462C"/>
    <w:rsid w:val="00004ECA"/>
    <w:rsid w:val="00005259"/>
    <w:rsid w:val="00005ADC"/>
    <w:rsid w:val="0000666E"/>
    <w:rsid w:val="00007F7D"/>
    <w:rsid w:val="000104F2"/>
    <w:rsid w:val="000116BB"/>
    <w:rsid w:val="00011B56"/>
    <w:rsid w:val="00011DD1"/>
    <w:rsid w:val="00012383"/>
    <w:rsid w:val="00012C74"/>
    <w:rsid w:val="00012DE5"/>
    <w:rsid w:val="00013677"/>
    <w:rsid w:val="00013D10"/>
    <w:rsid w:val="000145A3"/>
    <w:rsid w:val="00014817"/>
    <w:rsid w:val="00014A3C"/>
    <w:rsid w:val="0001541B"/>
    <w:rsid w:val="0001544E"/>
    <w:rsid w:val="00015C7D"/>
    <w:rsid w:val="00016AD2"/>
    <w:rsid w:val="00016ED8"/>
    <w:rsid w:val="0001710E"/>
    <w:rsid w:val="00017AEA"/>
    <w:rsid w:val="00021240"/>
    <w:rsid w:val="0002173D"/>
    <w:rsid w:val="00021DBA"/>
    <w:rsid w:val="000223A5"/>
    <w:rsid w:val="00022851"/>
    <w:rsid w:val="00022AC1"/>
    <w:rsid w:val="00022B1A"/>
    <w:rsid w:val="00022E68"/>
    <w:rsid w:val="000231FF"/>
    <w:rsid w:val="00023305"/>
    <w:rsid w:val="0002354A"/>
    <w:rsid w:val="000235BA"/>
    <w:rsid w:val="000243A7"/>
    <w:rsid w:val="00026075"/>
    <w:rsid w:val="000269E6"/>
    <w:rsid w:val="00026E2C"/>
    <w:rsid w:val="000276D9"/>
    <w:rsid w:val="0003015F"/>
    <w:rsid w:val="00030360"/>
    <w:rsid w:val="00030D16"/>
    <w:rsid w:val="00031976"/>
    <w:rsid w:val="000325DD"/>
    <w:rsid w:val="00032770"/>
    <w:rsid w:val="0003317E"/>
    <w:rsid w:val="0003364E"/>
    <w:rsid w:val="000348D3"/>
    <w:rsid w:val="0003492E"/>
    <w:rsid w:val="00034DBB"/>
    <w:rsid w:val="000351AF"/>
    <w:rsid w:val="0003547D"/>
    <w:rsid w:val="00035721"/>
    <w:rsid w:val="00035BC5"/>
    <w:rsid w:val="00035C56"/>
    <w:rsid w:val="00040CFC"/>
    <w:rsid w:val="00041C2E"/>
    <w:rsid w:val="00041CC2"/>
    <w:rsid w:val="00042B94"/>
    <w:rsid w:val="00042F1F"/>
    <w:rsid w:val="000436C0"/>
    <w:rsid w:val="000437C1"/>
    <w:rsid w:val="0004387A"/>
    <w:rsid w:val="000438B5"/>
    <w:rsid w:val="00043F4E"/>
    <w:rsid w:val="000443B2"/>
    <w:rsid w:val="00044476"/>
    <w:rsid w:val="00044EB4"/>
    <w:rsid w:val="00045170"/>
    <w:rsid w:val="0004576B"/>
    <w:rsid w:val="00045BB8"/>
    <w:rsid w:val="000464C9"/>
    <w:rsid w:val="00047746"/>
    <w:rsid w:val="00047935"/>
    <w:rsid w:val="000505F7"/>
    <w:rsid w:val="000510FB"/>
    <w:rsid w:val="00051740"/>
    <w:rsid w:val="0005195B"/>
    <w:rsid w:val="00051E21"/>
    <w:rsid w:val="00052442"/>
    <w:rsid w:val="00053CC1"/>
    <w:rsid w:val="00053F82"/>
    <w:rsid w:val="00054473"/>
    <w:rsid w:val="00054F32"/>
    <w:rsid w:val="000552A4"/>
    <w:rsid w:val="00055DB6"/>
    <w:rsid w:val="000577C4"/>
    <w:rsid w:val="00057A99"/>
    <w:rsid w:val="000602CB"/>
    <w:rsid w:val="0006050D"/>
    <w:rsid w:val="00060DE5"/>
    <w:rsid w:val="000611F8"/>
    <w:rsid w:val="00061CEA"/>
    <w:rsid w:val="0006211B"/>
    <w:rsid w:val="00062DB5"/>
    <w:rsid w:val="00062DEA"/>
    <w:rsid w:val="00064095"/>
    <w:rsid w:val="00064F72"/>
    <w:rsid w:val="00065D71"/>
    <w:rsid w:val="00065F81"/>
    <w:rsid w:val="000663A1"/>
    <w:rsid w:val="00066905"/>
    <w:rsid w:val="00067A2A"/>
    <w:rsid w:val="00067C50"/>
    <w:rsid w:val="00070378"/>
    <w:rsid w:val="00070644"/>
    <w:rsid w:val="00071A2C"/>
    <w:rsid w:val="00071CA0"/>
    <w:rsid w:val="000723F8"/>
    <w:rsid w:val="00072F14"/>
    <w:rsid w:val="0007334F"/>
    <w:rsid w:val="00074B27"/>
    <w:rsid w:val="00075620"/>
    <w:rsid w:val="00075885"/>
    <w:rsid w:val="0007600D"/>
    <w:rsid w:val="0007660D"/>
    <w:rsid w:val="00077AD2"/>
    <w:rsid w:val="00080963"/>
    <w:rsid w:val="00080D17"/>
    <w:rsid w:val="0008117A"/>
    <w:rsid w:val="000812E4"/>
    <w:rsid w:val="000813C5"/>
    <w:rsid w:val="00081CD2"/>
    <w:rsid w:val="000827CF"/>
    <w:rsid w:val="00084686"/>
    <w:rsid w:val="00086157"/>
    <w:rsid w:val="00091197"/>
    <w:rsid w:val="000918F6"/>
    <w:rsid w:val="00092BAB"/>
    <w:rsid w:val="00092C18"/>
    <w:rsid w:val="000931CB"/>
    <w:rsid w:val="000935B3"/>
    <w:rsid w:val="000938AA"/>
    <w:rsid w:val="00093FF8"/>
    <w:rsid w:val="00096CC6"/>
    <w:rsid w:val="00096CFD"/>
    <w:rsid w:val="000A07DA"/>
    <w:rsid w:val="000A08D6"/>
    <w:rsid w:val="000A0EFC"/>
    <w:rsid w:val="000A12B9"/>
    <w:rsid w:val="000A1BC7"/>
    <w:rsid w:val="000A2D95"/>
    <w:rsid w:val="000A2F4C"/>
    <w:rsid w:val="000A3866"/>
    <w:rsid w:val="000A43CD"/>
    <w:rsid w:val="000A509C"/>
    <w:rsid w:val="000A5462"/>
    <w:rsid w:val="000A5C25"/>
    <w:rsid w:val="000A5DA2"/>
    <w:rsid w:val="000A64C1"/>
    <w:rsid w:val="000B0232"/>
    <w:rsid w:val="000B0E09"/>
    <w:rsid w:val="000B0F18"/>
    <w:rsid w:val="000B1B65"/>
    <w:rsid w:val="000B22D3"/>
    <w:rsid w:val="000B3127"/>
    <w:rsid w:val="000B4669"/>
    <w:rsid w:val="000B47EA"/>
    <w:rsid w:val="000B6317"/>
    <w:rsid w:val="000B6458"/>
    <w:rsid w:val="000B6F5D"/>
    <w:rsid w:val="000C0AB5"/>
    <w:rsid w:val="000C1875"/>
    <w:rsid w:val="000C1FC8"/>
    <w:rsid w:val="000C2D39"/>
    <w:rsid w:val="000C2E16"/>
    <w:rsid w:val="000C3D2C"/>
    <w:rsid w:val="000C44F7"/>
    <w:rsid w:val="000C609F"/>
    <w:rsid w:val="000C62D7"/>
    <w:rsid w:val="000C6B39"/>
    <w:rsid w:val="000C6DB3"/>
    <w:rsid w:val="000C7082"/>
    <w:rsid w:val="000C7252"/>
    <w:rsid w:val="000D0435"/>
    <w:rsid w:val="000D0FD9"/>
    <w:rsid w:val="000D1465"/>
    <w:rsid w:val="000D25F1"/>
    <w:rsid w:val="000D26E0"/>
    <w:rsid w:val="000D2F2B"/>
    <w:rsid w:val="000D3039"/>
    <w:rsid w:val="000D3178"/>
    <w:rsid w:val="000D3204"/>
    <w:rsid w:val="000D4372"/>
    <w:rsid w:val="000D468F"/>
    <w:rsid w:val="000D511A"/>
    <w:rsid w:val="000D5276"/>
    <w:rsid w:val="000D5D98"/>
    <w:rsid w:val="000E23C7"/>
    <w:rsid w:val="000E2E03"/>
    <w:rsid w:val="000E31C3"/>
    <w:rsid w:val="000E33C6"/>
    <w:rsid w:val="000E3EF0"/>
    <w:rsid w:val="000E4A15"/>
    <w:rsid w:val="000E6DC9"/>
    <w:rsid w:val="000E71BB"/>
    <w:rsid w:val="000E73A9"/>
    <w:rsid w:val="000E743B"/>
    <w:rsid w:val="000E79B3"/>
    <w:rsid w:val="000E7CED"/>
    <w:rsid w:val="000F0BFB"/>
    <w:rsid w:val="000F1009"/>
    <w:rsid w:val="000F1219"/>
    <w:rsid w:val="000F1336"/>
    <w:rsid w:val="000F1C53"/>
    <w:rsid w:val="000F218E"/>
    <w:rsid w:val="000F4156"/>
    <w:rsid w:val="000F4917"/>
    <w:rsid w:val="000F57D9"/>
    <w:rsid w:val="000F5921"/>
    <w:rsid w:val="000F5D89"/>
    <w:rsid w:val="000F662D"/>
    <w:rsid w:val="000F6CBC"/>
    <w:rsid w:val="000F6FE2"/>
    <w:rsid w:val="000F7745"/>
    <w:rsid w:val="000F7BAF"/>
    <w:rsid w:val="00101606"/>
    <w:rsid w:val="00101A2F"/>
    <w:rsid w:val="00101B93"/>
    <w:rsid w:val="001024D6"/>
    <w:rsid w:val="00102CC2"/>
    <w:rsid w:val="0010387D"/>
    <w:rsid w:val="00104FBD"/>
    <w:rsid w:val="001054CF"/>
    <w:rsid w:val="001057AF"/>
    <w:rsid w:val="001059E7"/>
    <w:rsid w:val="00105A36"/>
    <w:rsid w:val="00106330"/>
    <w:rsid w:val="00106D40"/>
    <w:rsid w:val="00107888"/>
    <w:rsid w:val="001108DB"/>
    <w:rsid w:val="00111554"/>
    <w:rsid w:val="00111B5B"/>
    <w:rsid w:val="001122B6"/>
    <w:rsid w:val="0011266D"/>
    <w:rsid w:val="00112F6D"/>
    <w:rsid w:val="001139ED"/>
    <w:rsid w:val="00115CD7"/>
    <w:rsid w:val="00115E20"/>
    <w:rsid w:val="0011665C"/>
    <w:rsid w:val="00116824"/>
    <w:rsid w:val="00116F1E"/>
    <w:rsid w:val="00117284"/>
    <w:rsid w:val="001173F5"/>
    <w:rsid w:val="00117822"/>
    <w:rsid w:val="00117F73"/>
    <w:rsid w:val="00120419"/>
    <w:rsid w:val="00120E02"/>
    <w:rsid w:val="0012114C"/>
    <w:rsid w:val="00121DEA"/>
    <w:rsid w:val="0012241F"/>
    <w:rsid w:val="0012243B"/>
    <w:rsid w:val="001227C4"/>
    <w:rsid w:val="001228EA"/>
    <w:rsid w:val="00122A65"/>
    <w:rsid w:val="00123782"/>
    <w:rsid w:val="00123E4C"/>
    <w:rsid w:val="00124515"/>
    <w:rsid w:val="001245E6"/>
    <w:rsid w:val="0012508F"/>
    <w:rsid w:val="00125172"/>
    <w:rsid w:val="0012645D"/>
    <w:rsid w:val="00126776"/>
    <w:rsid w:val="00126B09"/>
    <w:rsid w:val="00126C51"/>
    <w:rsid w:val="001271BD"/>
    <w:rsid w:val="00127435"/>
    <w:rsid w:val="00130002"/>
    <w:rsid w:val="001307D8"/>
    <w:rsid w:val="001312EC"/>
    <w:rsid w:val="00132174"/>
    <w:rsid w:val="001321A5"/>
    <w:rsid w:val="00132D30"/>
    <w:rsid w:val="00132F2F"/>
    <w:rsid w:val="00134A14"/>
    <w:rsid w:val="00134AF1"/>
    <w:rsid w:val="00135ECD"/>
    <w:rsid w:val="00135FB5"/>
    <w:rsid w:val="00136B21"/>
    <w:rsid w:val="00136C4C"/>
    <w:rsid w:val="001370A9"/>
    <w:rsid w:val="00137F83"/>
    <w:rsid w:val="00140C68"/>
    <w:rsid w:val="00140C83"/>
    <w:rsid w:val="00141587"/>
    <w:rsid w:val="00141651"/>
    <w:rsid w:val="00142879"/>
    <w:rsid w:val="00143123"/>
    <w:rsid w:val="0014329E"/>
    <w:rsid w:val="00143660"/>
    <w:rsid w:val="0014398A"/>
    <w:rsid w:val="00143C8D"/>
    <w:rsid w:val="0014417E"/>
    <w:rsid w:val="0014458C"/>
    <w:rsid w:val="00144EFD"/>
    <w:rsid w:val="00145B39"/>
    <w:rsid w:val="001469BD"/>
    <w:rsid w:val="00146F99"/>
    <w:rsid w:val="00147711"/>
    <w:rsid w:val="00147A20"/>
    <w:rsid w:val="00147BF7"/>
    <w:rsid w:val="00150EA2"/>
    <w:rsid w:val="00152590"/>
    <w:rsid w:val="00152AA6"/>
    <w:rsid w:val="00152D3D"/>
    <w:rsid w:val="00152F26"/>
    <w:rsid w:val="00154645"/>
    <w:rsid w:val="0015737B"/>
    <w:rsid w:val="00157F12"/>
    <w:rsid w:val="001604A9"/>
    <w:rsid w:val="00160852"/>
    <w:rsid w:val="00160BE7"/>
    <w:rsid w:val="0016136D"/>
    <w:rsid w:val="00161E28"/>
    <w:rsid w:val="00163781"/>
    <w:rsid w:val="0016454D"/>
    <w:rsid w:val="001647D2"/>
    <w:rsid w:val="00164A3E"/>
    <w:rsid w:val="00165229"/>
    <w:rsid w:val="00166C3A"/>
    <w:rsid w:val="001720DD"/>
    <w:rsid w:val="00172C33"/>
    <w:rsid w:val="00173047"/>
    <w:rsid w:val="00175424"/>
    <w:rsid w:val="001763FD"/>
    <w:rsid w:val="00176504"/>
    <w:rsid w:val="00176C37"/>
    <w:rsid w:val="00176F51"/>
    <w:rsid w:val="001800C0"/>
    <w:rsid w:val="001805F4"/>
    <w:rsid w:val="00180854"/>
    <w:rsid w:val="00180BD4"/>
    <w:rsid w:val="00181488"/>
    <w:rsid w:val="00181841"/>
    <w:rsid w:val="00181EA7"/>
    <w:rsid w:val="00182E39"/>
    <w:rsid w:val="00183110"/>
    <w:rsid w:val="00183418"/>
    <w:rsid w:val="001837C0"/>
    <w:rsid w:val="00183D84"/>
    <w:rsid w:val="00184790"/>
    <w:rsid w:val="00184831"/>
    <w:rsid w:val="0018525F"/>
    <w:rsid w:val="00185EB6"/>
    <w:rsid w:val="00186B34"/>
    <w:rsid w:val="00187138"/>
    <w:rsid w:val="00187A7D"/>
    <w:rsid w:val="00190246"/>
    <w:rsid w:val="001907FA"/>
    <w:rsid w:val="00191A8B"/>
    <w:rsid w:val="00192DEF"/>
    <w:rsid w:val="00193873"/>
    <w:rsid w:val="00193E96"/>
    <w:rsid w:val="001940D7"/>
    <w:rsid w:val="001941D7"/>
    <w:rsid w:val="0019448E"/>
    <w:rsid w:val="00195897"/>
    <w:rsid w:val="00196E98"/>
    <w:rsid w:val="00197B75"/>
    <w:rsid w:val="00197EBB"/>
    <w:rsid w:val="001A0652"/>
    <w:rsid w:val="001A0AA1"/>
    <w:rsid w:val="001A1024"/>
    <w:rsid w:val="001A1CAB"/>
    <w:rsid w:val="001A213A"/>
    <w:rsid w:val="001A23AE"/>
    <w:rsid w:val="001A2BDE"/>
    <w:rsid w:val="001A2FBF"/>
    <w:rsid w:val="001A31B5"/>
    <w:rsid w:val="001A33CF"/>
    <w:rsid w:val="001A35A7"/>
    <w:rsid w:val="001A3D39"/>
    <w:rsid w:val="001A3E03"/>
    <w:rsid w:val="001A4A73"/>
    <w:rsid w:val="001A5452"/>
    <w:rsid w:val="001A582F"/>
    <w:rsid w:val="001A5A9C"/>
    <w:rsid w:val="001A7F1E"/>
    <w:rsid w:val="001A7FE4"/>
    <w:rsid w:val="001B035A"/>
    <w:rsid w:val="001B0CD3"/>
    <w:rsid w:val="001B1BB7"/>
    <w:rsid w:val="001B524E"/>
    <w:rsid w:val="001B541C"/>
    <w:rsid w:val="001B5850"/>
    <w:rsid w:val="001B66BB"/>
    <w:rsid w:val="001B705F"/>
    <w:rsid w:val="001C0296"/>
    <w:rsid w:val="001C0C3F"/>
    <w:rsid w:val="001C10A5"/>
    <w:rsid w:val="001C1AD1"/>
    <w:rsid w:val="001C37A1"/>
    <w:rsid w:val="001C4A37"/>
    <w:rsid w:val="001C4B35"/>
    <w:rsid w:val="001C51D2"/>
    <w:rsid w:val="001C5E36"/>
    <w:rsid w:val="001C5F4C"/>
    <w:rsid w:val="001C5FC4"/>
    <w:rsid w:val="001C617D"/>
    <w:rsid w:val="001C671F"/>
    <w:rsid w:val="001C7034"/>
    <w:rsid w:val="001C7739"/>
    <w:rsid w:val="001C7F99"/>
    <w:rsid w:val="001D088E"/>
    <w:rsid w:val="001D156F"/>
    <w:rsid w:val="001D2A62"/>
    <w:rsid w:val="001D2B7A"/>
    <w:rsid w:val="001D35FE"/>
    <w:rsid w:val="001D3DFC"/>
    <w:rsid w:val="001D3F21"/>
    <w:rsid w:val="001D45C9"/>
    <w:rsid w:val="001D4DF2"/>
    <w:rsid w:val="001D51F2"/>
    <w:rsid w:val="001D69A7"/>
    <w:rsid w:val="001D729A"/>
    <w:rsid w:val="001D7A1C"/>
    <w:rsid w:val="001E008F"/>
    <w:rsid w:val="001E0874"/>
    <w:rsid w:val="001E385A"/>
    <w:rsid w:val="001E4AE5"/>
    <w:rsid w:val="001E5514"/>
    <w:rsid w:val="001E562A"/>
    <w:rsid w:val="001E62BD"/>
    <w:rsid w:val="001E6F8A"/>
    <w:rsid w:val="001E7840"/>
    <w:rsid w:val="001F007E"/>
    <w:rsid w:val="001F0697"/>
    <w:rsid w:val="001F178F"/>
    <w:rsid w:val="001F2A4F"/>
    <w:rsid w:val="001F2E68"/>
    <w:rsid w:val="001F30F1"/>
    <w:rsid w:val="001F3118"/>
    <w:rsid w:val="001F3443"/>
    <w:rsid w:val="001F3FC2"/>
    <w:rsid w:val="001F541D"/>
    <w:rsid w:val="001F56F0"/>
    <w:rsid w:val="001F5A70"/>
    <w:rsid w:val="001F60C4"/>
    <w:rsid w:val="001F7554"/>
    <w:rsid w:val="001F79C1"/>
    <w:rsid w:val="00200F39"/>
    <w:rsid w:val="00201060"/>
    <w:rsid w:val="002017EF"/>
    <w:rsid w:val="00201AC0"/>
    <w:rsid w:val="00201DDD"/>
    <w:rsid w:val="00204443"/>
    <w:rsid w:val="00206970"/>
    <w:rsid w:val="00207C68"/>
    <w:rsid w:val="00210055"/>
    <w:rsid w:val="00210597"/>
    <w:rsid w:val="002107E2"/>
    <w:rsid w:val="00210A48"/>
    <w:rsid w:val="00210C0B"/>
    <w:rsid w:val="00210F5E"/>
    <w:rsid w:val="00211615"/>
    <w:rsid w:val="00214CC2"/>
    <w:rsid w:val="0021520D"/>
    <w:rsid w:val="00215457"/>
    <w:rsid w:val="002156C3"/>
    <w:rsid w:val="002168F9"/>
    <w:rsid w:val="00217448"/>
    <w:rsid w:val="00217638"/>
    <w:rsid w:val="00217740"/>
    <w:rsid w:val="00217DEE"/>
    <w:rsid w:val="00217FB1"/>
    <w:rsid w:val="00221102"/>
    <w:rsid w:val="00221452"/>
    <w:rsid w:val="00222036"/>
    <w:rsid w:val="00222294"/>
    <w:rsid w:val="0022480E"/>
    <w:rsid w:val="002252BF"/>
    <w:rsid w:val="00227BFC"/>
    <w:rsid w:val="002306D2"/>
    <w:rsid w:val="002311C3"/>
    <w:rsid w:val="00231EB0"/>
    <w:rsid w:val="00232048"/>
    <w:rsid w:val="00232070"/>
    <w:rsid w:val="002322D6"/>
    <w:rsid w:val="0023249A"/>
    <w:rsid w:val="00232583"/>
    <w:rsid w:val="002327FC"/>
    <w:rsid w:val="00233105"/>
    <w:rsid w:val="00233714"/>
    <w:rsid w:val="00233813"/>
    <w:rsid w:val="00233975"/>
    <w:rsid w:val="00234093"/>
    <w:rsid w:val="00234171"/>
    <w:rsid w:val="0023559A"/>
    <w:rsid w:val="002363B7"/>
    <w:rsid w:val="00236A95"/>
    <w:rsid w:val="00236C9A"/>
    <w:rsid w:val="00236DEF"/>
    <w:rsid w:val="0023745C"/>
    <w:rsid w:val="00237AF3"/>
    <w:rsid w:val="00237CC1"/>
    <w:rsid w:val="002404B1"/>
    <w:rsid w:val="00240B70"/>
    <w:rsid w:val="00240E0F"/>
    <w:rsid w:val="00241143"/>
    <w:rsid w:val="00241D53"/>
    <w:rsid w:val="0024341D"/>
    <w:rsid w:val="00243A6F"/>
    <w:rsid w:val="00243D3C"/>
    <w:rsid w:val="0024428B"/>
    <w:rsid w:val="002442B9"/>
    <w:rsid w:val="002455A2"/>
    <w:rsid w:val="00247CEC"/>
    <w:rsid w:val="00250094"/>
    <w:rsid w:val="00250A62"/>
    <w:rsid w:val="00252551"/>
    <w:rsid w:val="002525C8"/>
    <w:rsid w:val="0025478E"/>
    <w:rsid w:val="00254DF9"/>
    <w:rsid w:val="00255562"/>
    <w:rsid w:val="00256960"/>
    <w:rsid w:val="002569CB"/>
    <w:rsid w:val="0026055D"/>
    <w:rsid w:val="00260D9A"/>
    <w:rsid w:val="002614C5"/>
    <w:rsid w:val="002614F2"/>
    <w:rsid w:val="00261AFF"/>
    <w:rsid w:val="00262586"/>
    <w:rsid w:val="00263025"/>
    <w:rsid w:val="00263EF4"/>
    <w:rsid w:val="00263FB8"/>
    <w:rsid w:val="00264424"/>
    <w:rsid w:val="00265351"/>
    <w:rsid w:val="002656F4"/>
    <w:rsid w:val="002663C8"/>
    <w:rsid w:val="002666A3"/>
    <w:rsid w:val="0026675F"/>
    <w:rsid w:val="002702A5"/>
    <w:rsid w:val="00270F31"/>
    <w:rsid w:val="002711D5"/>
    <w:rsid w:val="00271A2A"/>
    <w:rsid w:val="00271A94"/>
    <w:rsid w:val="002730BB"/>
    <w:rsid w:val="002739B5"/>
    <w:rsid w:val="00273D1B"/>
    <w:rsid w:val="00274279"/>
    <w:rsid w:val="00274CB8"/>
    <w:rsid w:val="0027533D"/>
    <w:rsid w:val="0027569B"/>
    <w:rsid w:val="00276225"/>
    <w:rsid w:val="002766C8"/>
    <w:rsid w:val="002768E4"/>
    <w:rsid w:val="00277021"/>
    <w:rsid w:val="00280101"/>
    <w:rsid w:val="0028024E"/>
    <w:rsid w:val="00280CB9"/>
    <w:rsid w:val="0028139D"/>
    <w:rsid w:val="002817D1"/>
    <w:rsid w:val="0028333B"/>
    <w:rsid w:val="00283749"/>
    <w:rsid w:val="0028546F"/>
    <w:rsid w:val="00285A18"/>
    <w:rsid w:val="00286D76"/>
    <w:rsid w:val="00286EF4"/>
    <w:rsid w:val="002872BB"/>
    <w:rsid w:val="00287710"/>
    <w:rsid w:val="00290784"/>
    <w:rsid w:val="00290B85"/>
    <w:rsid w:val="00291BF3"/>
    <w:rsid w:val="00291C6B"/>
    <w:rsid w:val="00291EA6"/>
    <w:rsid w:val="002929C6"/>
    <w:rsid w:val="002938D4"/>
    <w:rsid w:val="00294473"/>
    <w:rsid w:val="0029479A"/>
    <w:rsid w:val="00295C03"/>
    <w:rsid w:val="00295D51"/>
    <w:rsid w:val="00295E5A"/>
    <w:rsid w:val="002967F2"/>
    <w:rsid w:val="00296E0F"/>
    <w:rsid w:val="002977A5"/>
    <w:rsid w:val="00297CEE"/>
    <w:rsid w:val="002A0386"/>
    <w:rsid w:val="002A1292"/>
    <w:rsid w:val="002A1411"/>
    <w:rsid w:val="002A1548"/>
    <w:rsid w:val="002A22D3"/>
    <w:rsid w:val="002A30EE"/>
    <w:rsid w:val="002A31DB"/>
    <w:rsid w:val="002A3CB2"/>
    <w:rsid w:val="002A49ED"/>
    <w:rsid w:val="002A4CAE"/>
    <w:rsid w:val="002A5BA3"/>
    <w:rsid w:val="002A6338"/>
    <w:rsid w:val="002A6F76"/>
    <w:rsid w:val="002A7877"/>
    <w:rsid w:val="002B0FBA"/>
    <w:rsid w:val="002B133B"/>
    <w:rsid w:val="002B1B91"/>
    <w:rsid w:val="002B2A14"/>
    <w:rsid w:val="002B3757"/>
    <w:rsid w:val="002B3D1C"/>
    <w:rsid w:val="002B3EB0"/>
    <w:rsid w:val="002B400F"/>
    <w:rsid w:val="002B57D1"/>
    <w:rsid w:val="002B5BB7"/>
    <w:rsid w:val="002B6786"/>
    <w:rsid w:val="002B6B14"/>
    <w:rsid w:val="002B6E5A"/>
    <w:rsid w:val="002B708A"/>
    <w:rsid w:val="002B737F"/>
    <w:rsid w:val="002B75A3"/>
    <w:rsid w:val="002C0655"/>
    <w:rsid w:val="002C0D54"/>
    <w:rsid w:val="002C1467"/>
    <w:rsid w:val="002C1B1E"/>
    <w:rsid w:val="002C1B60"/>
    <w:rsid w:val="002C2B43"/>
    <w:rsid w:val="002C3399"/>
    <w:rsid w:val="002C35B2"/>
    <w:rsid w:val="002C35E9"/>
    <w:rsid w:val="002C36D5"/>
    <w:rsid w:val="002C4110"/>
    <w:rsid w:val="002C5C27"/>
    <w:rsid w:val="002C5D1E"/>
    <w:rsid w:val="002C6430"/>
    <w:rsid w:val="002C68AD"/>
    <w:rsid w:val="002C6F5E"/>
    <w:rsid w:val="002C7C38"/>
    <w:rsid w:val="002C7EBC"/>
    <w:rsid w:val="002D040B"/>
    <w:rsid w:val="002D07A5"/>
    <w:rsid w:val="002D0F14"/>
    <w:rsid w:val="002D10C4"/>
    <w:rsid w:val="002D10FE"/>
    <w:rsid w:val="002D1D73"/>
    <w:rsid w:val="002D3509"/>
    <w:rsid w:val="002D47C1"/>
    <w:rsid w:val="002D53F3"/>
    <w:rsid w:val="002D5B23"/>
    <w:rsid w:val="002D5FD3"/>
    <w:rsid w:val="002D67BD"/>
    <w:rsid w:val="002D7546"/>
    <w:rsid w:val="002D764B"/>
    <w:rsid w:val="002D77C5"/>
    <w:rsid w:val="002E0197"/>
    <w:rsid w:val="002E030A"/>
    <w:rsid w:val="002E24ED"/>
    <w:rsid w:val="002E2589"/>
    <w:rsid w:val="002E285A"/>
    <w:rsid w:val="002E368C"/>
    <w:rsid w:val="002E4200"/>
    <w:rsid w:val="002E5132"/>
    <w:rsid w:val="002E5250"/>
    <w:rsid w:val="002E5985"/>
    <w:rsid w:val="002E64D0"/>
    <w:rsid w:val="002E77B6"/>
    <w:rsid w:val="002F0119"/>
    <w:rsid w:val="002F05ED"/>
    <w:rsid w:val="002F1A78"/>
    <w:rsid w:val="002F1BF3"/>
    <w:rsid w:val="002F21D2"/>
    <w:rsid w:val="002F2698"/>
    <w:rsid w:val="002F2B29"/>
    <w:rsid w:val="002F318A"/>
    <w:rsid w:val="002F31A2"/>
    <w:rsid w:val="002F329B"/>
    <w:rsid w:val="002F38DC"/>
    <w:rsid w:val="002F40C9"/>
    <w:rsid w:val="002F5363"/>
    <w:rsid w:val="002F5AE3"/>
    <w:rsid w:val="002F666C"/>
    <w:rsid w:val="002F71D7"/>
    <w:rsid w:val="002F7ACF"/>
    <w:rsid w:val="002F7FBF"/>
    <w:rsid w:val="00301054"/>
    <w:rsid w:val="0030224D"/>
    <w:rsid w:val="00302492"/>
    <w:rsid w:val="00303F89"/>
    <w:rsid w:val="0030429E"/>
    <w:rsid w:val="00304DAA"/>
    <w:rsid w:val="00305EC3"/>
    <w:rsid w:val="00306546"/>
    <w:rsid w:val="00310852"/>
    <w:rsid w:val="00310F8E"/>
    <w:rsid w:val="00311F0D"/>
    <w:rsid w:val="00312843"/>
    <w:rsid w:val="003131BA"/>
    <w:rsid w:val="00314983"/>
    <w:rsid w:val="00315748"/>
    <w:rsid w:val="0031585E"/>
    <w:rsid w:val="00315E05"/>
    <w:rsid w:val="00316A87"/>
    <w:rsid w:val="00316E5F"/>
    <w:rsid w:val="00317449"/>
    <w:rsid w:val="00317D73"/>
    <w:rsid w:val="00322089"/>
    <w:rsid w:val="003220CA"/>
    <w:rsid w:val="0032225D"/>
    <w:rsid w:val="00322994"/>
    <w:rsid w:val="00323562"/>
    <w:rsid w:val="00323B93"/>
    <w:rsid w:val="00324DB6"/>
    <w:rsid w:val="003250D5"/>
    <w:rsid w:val="00325150"/>
    <w:rsid w:val="00325CB3"/>
    <w:rsid w:val="003261DE"/>
    <w:rsid w:val="0032629E"/>
    <w:rsid w:val="003274F0"/>
    <w:rsid w:val="0032780D"/>
    <w:rsid w:val="00327A7A"/>
    <w:rsid w:val="003311F5"/>
    <w:rsid w:val="0033120A"/>
    <w:rsid w:val="003312AD"/>
    <w:rsid w:val="00331AF3"/>
    <w:rsid w:val="00331E66"/>
    <w:rsid w:val="003326BB"/>
    <w:rsid w:val="00333C22"/>
    <w:rsid w:val="00333F0A"/>
    <w:rsid w:val="00334C53"/>
    <w:rsid w:val="00335023"/>
    <w:rsid w:val="00335523"/>
    <w:rsid w:val="003360AD"/>
    <w:rsid w:val="00336863"/>
    <w:rsid w:val="00336DCB"/>
    <w:rsid w:val="00341A9B"/>
    <w:rsid w:val="00341F16"/>
    <w:rsid w:val="003421E2"/>
    <w:rsid w:val="00342775"/>
    <w:rsid w:val="00343342"/>
    <w:rsid w:val="003437AF"/>
    <w:rsid w:val="00343D0A"/>
    <w:rsid w:val="0034438F"/>
    <w:rsid w:val="0034481E"/>
    <w:rsid w:val="00344A64"/>
    <w:rsid w:val="003452E7"/>
    <w:rsid w:val="003453E4"/>
    <w:rsid w:val="0034589D"/>
    <w:rsid w:val="00345BA3"/>
    <w:rsid w:val="00345BC5"/>
    <w:rsid w:val="00345F0E"/>
    <w:rsid w:val="00345F7A"/>
    <w:rsid w:val="003464C6"/>
    <w:rsid w:val="00346631"/>
    <w:rsid w:val="003468AA"/>
    <w:rsid w:val="00347D9C"/>
    <w:rsid w:val="003501A9"/>
    <w:rsid w:val="00351064"/>
    <w:rsid w:val="00351D66"/>
    <w:rsid w:val="00352240"/>
    <w:rsid w:val="00352B60"/>
    <w:rsid w:val="0035375E"/>
    <w:rsid w:val="003548F1"/>
    <w:rsid w:val="00354C7B"/>
    <w:rsid w:val="00355AF5"/>
    <w:rsid w:val="00355DD5"/>
    <w:rsid w:val="003575D5"/>
    <w:rsid w:val="00360547"/>
    <w:rsid w:val="00360EEA"/>
    <w:rsid w:val="00361371"/>
    <w:rsid w:val="00361DC8"/>
    <w:rsid w:val="00362842"/>
    <w:rsid w:val="00363355"/>
    <w:rsid w:val="00364F29"/>
    <w:rsid w:val="00365950"/>
    <w:rsid w:val="00370055"/>
    <w:rsid w:val="00371507"/>
    <w:rsid w:val="003715F1"/>
    <w:rsid w:val="0037192D"/>
    <w:rsid w:val="00371AED"/>
    <w:rsid w:val="00371C2B"/>
    <w:rsid w:val="00372BA8"/>
    <w:rsid w:val="0037388B"/>
    <w:rsid w:val="003738D0"/>
    <w:rsid w:val="00373C03"/>
    <w:rsid w:val="00374287"/>
    <w:rsid w:val="00374845"/>
    <w:rsid w:val="00374A33"/>
    <w:rsid w:val="00374B3B"/>
    <w:rsid w:val="00374F02"/>
    <w:rsid w:val="00376323"/>
    <w:rsid w:val="00377488"/>
    <w:rsid w:val="00380046"/>
    <w:rsid w:val="00380EA6"/>
    <w:rsid w:val="0038180A"/>
    <w:rsid w:val="00382649"/>
    <w:rsid w:val="003827EC"/>
    <w:rsid w:val="00382B30"/>
    <w:rsid w:val="00382BC0"/>
    <w:rsid w:val="0038333D"/>
    <w:rsid w:val="00385033"/>
    <w:rsid w:val="003859BF"/>
    <w:rsid w:val="00385B0F"/>
    <w:rsid w:val="003864D8"/>
    <w:rsid w:val="0038692F"/>
    <w:rsid w:val="0038697F"/>
    <w:rsid w:val="00386C01"/>
    <w:rsid w:val="00387364"/>
    <w:rsid w:val="00387B6B"/>
    <w:rsid w:val="003908B9"/>
    <w:rsid w:val="00390CB8"/>
    <w:rsid w:val="00391261"/>
    <w:rsid w:val="003940E9"/>
    <w:rsid w:val="00394B9D"/>
    <w:rsid w:val="003952E1"/>
    <w:rsid w:val="00395500"/>
    <w:rsid w:val="00397E41"/>
    <w:rsid w:val="003A0B2F"/>
    <w:rsid w:val="003A0E8E"/>
    <w:rsid w:val="003A1975"/>
    <w:rsid w:val="003A205A"/>
    <w:rsid w:val="003A29AE"/>
    <w:rsid w:val="003A2C12"/>
    <w:rsid w:val="003A300C"/>
    <w:rsid w:val="003A3AED"/>
    <w:rsid w:val="003A3E1A"/>
    <w:rsid w:val="003A4233"/>
    <w:rsid w:val="003A4760"/>
    <w:rsid w:val="003A507A"/>
    <w:rsid w:val="003A5680"/>
    <w:rsid w:val="003B014B"/>
    <w:rsid w:val="003B055F"/>
    <w:rsid w:val="003B0708"/>
    <w:rsid w:val="003B07C8"/>
    <w:rsid w:val="003B15E5"/>
    <w:rsid w:val="003B1755"/>
    <w:rsid w:val="003B1986"/>
    <w:rsid w:val="003B1E45"/>
    <w:rsid w:val="003B23B7"/>
    <w:rsid w:val="003B3654"/>
    <w:rsid w:val="003B36F1"/>
    <w:rsid w:val="003B3BDD"/>
    <w:rsid w:val="003B47AC"/>
    <w:rsid w:val="003B509D"/>
    <w:rsid w:val="003B5731"/>
    <w:rsid w:val="003B68A6"/>
    <w:rsid w:val="003B6BE9"/>
    <w:rsid w:val="003B6E1B"/>
    <w:rsid w:val="003B7229"/>
    <w:rsid w:val="003B747E"/>
    <w:rsid w:val="003B7523"/>
    <w:rsid w:val="003B7E4F"/>
    <w:rsid w:val="003C0991"/>
    <w:rsid w:val="003C0BDE"/>
    <w:rsid w:val="003C0FBF"/>
    <w:rsid w:val="003C141D"/>
    <w:rsid w:val="003C1A51"/>
    <w:rsid w:val="003C3C40"/>
    <w:rsid w:val="003C4887"/>
    <w:rsid w:val="003C515F"/>
    <w:rsid w:val="003C5528"/>
    <w:rsid w:val="003C5C67"/>
    <w:rsid w:val="003C615F"/>
    <w:rsid w:val="003C7C37"/>
    <w:rsid w:val="003D0BEF"/>
    <w:rsid w:val="003D0C8A"/>
    <w:rsid w:val="003D0F4F"/>
    <w:rsid w:val="003D17C9"/>
    <w:rsid w:val="003D224E"/>
    <w:rsid w:val="003D2302"/>
    <w:rsid w:val="003D23A5"/>
    <w:rsid w:val="003D27DE"/>
    <w:rsid w:val="003D3B12"/>
    <w:rsid w:val="003D4362"/>
    <w:rsid w:val="003D5186"/>
    <w:rsid w:val="003D5394"/>
    <w:rsid w:val="003D6685"/>
    <w:rsid w:val="003D67DE"/>
    <w:rsid w:val="003D6983"/>
    <w:rsid w:val="003D6C93"/>
    <w:rsid w:val="003D7250"/>
    <w:rsid w:val="003D727E"/>
    <w:rsid w:val="003D746D"/>
    <w:rsid w:val="003D7666"/>
    <w:rsid w:val="003D794B"/>
    <w:rsid w:val="003E0272"/>
    <w:rsid w:val="003E04A3"/>
    <w:rsid w:val="003E1ADD"/>
    <w:rsid w:val="003E2D0E"/>
    <w:rsid w:val="003E2D86"/>
    <w:rsid w:val="003E3342"/>
    <w:rsid w:val="003E3885"/>
    <w:rsid w:val="003E49D9"/>
    <w:rsid w:val="003E596E"/>
    <w:rsid w:val="003E5A02"/>
    <w:rsid w:val="003E5B79"/>
    <w:rsid w:val="003E7679"/>
    <w:rsid w:val="003F1652"/>
    <w:rsid w:val="003F1E86"/>
    <w:rsid w:val="003F292F"/>
    <w:rsid w:val="003F29F6"/>
    <w:rsid w:val="003F3055"/>
    <w:rsid w:val="003F3564"/>
    <w:rsid w:val="003F3ECF"/>
    <w:rsid w:val="003F437B"/>
    <w:rsid w:val="003F54F3"/>
    <w:rsid w:val="003F7240"/>
    <w:rsid w:val="003F74DF"/>
    <w:rsid w:val="0040072F"/>
    <w:rsid w:val="00401795"/>
    <w:rsid w:val="00401CAF"/>
    <w:rsid w:val="00402567"/>
    <w:rsid w:val="00402907"/>
    <w:rsid w:val="004046FA"/>
    <w:rsid w:val="00404940"/>
    <w:rsid w:val="004052B7"/>
    <w:rsid w:val="0040591E"/>
    <w:rsid w:val="00406F84"/>
    <w:rsid w:val="004073C5"/>
    <w:rsid w:val="00407503"/>
    <w:rsid w:val="00407858"/>
    <w:rsid w:val="00407BEC"/>
    <w:rsid w:val="004108A4"/>
    <w:rsid w:val="00410A01"/>
    <w:rsid w:val="00410A29"/>
    <w:rsid w:val="00411F9A"/>
    <w:rsid w:val="0041206E"/>
    <w:rsid w:val="0041257F"/>
    <w:rsid w:val="00412756"/>
    <w:rsid w:val="004130AB"/>
    <w:rsid w:val="0041383C"/>
    <w:rsid w:val="00413A94"/>
    <w:rsid w:val="00413B22"/>
    <w:rsid w:val="00414095"/>
    <w:rsid w:val="004150E1"/>
    <w:rsid w:val="00416F65"/>
    <w:rsid w:val="004178B6"/>
    <w:rsid w:val="0042004A"/>
    <w:rsid w:val="004206D3"/>
    <w:rsid w:val="00420F84"/>
    <w:rsid w:val="004218EC"/>
    <w:rsid w:val="00421B13"/>
    <w:rsid w:val="0042256F"/>
    <w:rsid w:val="004239BF"/>
    <w:rsid w:val="00423EEE"/>
    <w:rsid w:val="004242EC"/>
    <w:rsid w:val="00426870"/>
    <w:rsid w:val="00427E28"/>
    <w:rsid w:val="00430256"/>
    <w:rsid w:val="00430BF3"/>
    <w:rsid w:val="00433CFB"/>
    <w:rsid w:val="00434C46"/>
    <w:rsid w:val="004355CB"/>
    <w:rsid w:val="00435698"/>
    <w:rsid w:val="00435AF9"/>
    <w:rsid w:val="00437337"/>
    <w:rsid w:val="00437742"/>
    <w:rsid w:val="004378F9"/>
    <w:rsid w:val="00437F0B"/>
    <w:rsid w:val="00441181"/>
    <w:rsid w:val="0044153C"/>
    <w:rsid w:val="00441D96"/>
    <w:rsid w:val="004420EE"/>
    <w:rsid w:val="0044452B"/>
    <w:rsid w:val="004447F2"/>
    <w:rsid w:val="00445163"/>
    <w:rsid w:val="00445B02"/>
    <w:rsid w:val="00446608"/>
    <w:rsid w:val="00446FE2"/>
    <w:rsid w:val="004471CA"/>
    <w:rsid w:val="00447593"/>
    <w:rsid w:val="004476B2"/>
    <w:rsid w:val="00447A4D"/>
    <w:rsid w:val="0045026E"/>
    <w:rsid w:val="00450378"/>
    <w:rsid w:val="00450A1E"/>
    <w:rsid w:val="004514C6"/>
    <w:rsid w:val="00451945"/>
    <w:rsid w:val="00451D41"/>
    <w:rsid w:val="00451E70"/>
    <w:rsid w:val="00451EBB"/>
    <w:rsid w:val="004520DF"/>
    <w:rsid w:val="0045281F"/>
    <w:rsid w:val="00452C84"/>
    <w:rsid w:val="00452C88"/>
    <w:rsid w:val="00453ADB"/>
    <w:rsid w:val="00453BF8"/>
    <w:rsid w:val="00453DBC"/>
    <w:rsid w:val="00454CF2"/>
    <w:rsid w:val="004558E5"/>
    <w:rsid w:val="00456D7A"/>
    <w:rsid w:val="00457469"/>
    <w:rsid w:val="004576E2"/>
    <w:rsid w:val="004609C5"/>
    <w:rsid w:val="00460DB2"/>
    <w:rsid w:val="00460F6F"/>
    <w:rsid w:val="004619A2"/>
    <w:rsid w:val="0046248B"/>
    <w:rsid w:val="00462B29"/>
    <w:rsid w:val="00463DF9"/>
    <w:rsid w:val="00463E46"/>
    <w:rsid w:val="00464377"/>
    <w:rsid w:val="00464E3D"/>
    <w:rsid w:val="00465197"/>
    <w:rsid w:val="00465D1E"/>
    <w:rsid w:val="00465E12"/>
    <w:rsid w:val="00466131"/>
    <w:rsid w:val="004664C8"/>
    <w:rsid w:val="00467224"/>
    <w:rsid w:val="0047004D"/>
    <w:rsid w:val="00470259"/>
    <w:rsid w:val="0047221E"/>
    <w:rsid w:val="00472333"/>
    <w:rsid w:val="004723A3"/>
    <w:rsid w:val="0047276C"/>
    <w:rsid w:val="0047404A"/>
    <w:rsid w:val="00474740"/>
    <w:rsid w:val="004749ED"/>
    <w:rsid w:val="00475297"/>
    <w:rsid w:val="00476101"/>
    <w:rsid w:val="00476152"/>
    <w:rsid w:val="004769C3"/>
    <w:rsid w:val="0047709F"/>
    <w:rsid w:val="0047745A"/>
    <w:rsid w:val="00477E7A"/>
    <w:rsid w:val="00481F22"/>
    <w:rsid w:val="00482F5C"/>
    <w:rsid w:val="00483DC6"/>
    <w:rsid w:val="00484913"/>
    <w:rsid w:val="00485618"/>
    <w:rsid w:val="0049102F"/>
    <w:rsid w:val="00491854"/>
    <w:rsid w:val="00491BE3"/>
    <w:rsid w:val="00491F0B"/>
    <w:rsid w:val="004924C5"/>
    <w:rsid w:val="004928BB"/>
    <w:rsid w:val="004928CC"/>
    <w:rsid w:val="0049294A"/>
    <w:rsid w:val="00492AB9"/>
    <w:rsid w:val="00492C5B"/>
    <w:rsid w:val="00493DAD"/>
    <w:rsid w:val="004942F9"/>
    <w:rsid w:val="0049475E"/>
    <w:rsid w:val="0049482C"/>
    <w:rsid w:val="00494870"/>
    <w:rsid w:val="004950A5"/>
    <w:rsid w:val="00497295"/>
    <w:rsid w:val="00497E03"/>
    <w:rsid w:val="004A0730"/>
    <w:rsid w:val="004A1A2F"/>
    <w:rsid w:val="004A2202"/>
    <w:rsid w:val="004A2E67"/>
    <w:rsid w:val="004A2FA5"/>
    <w:rsid w:val="004A2FBF"/>
    <w:rsid w:val="004A326B"/>
    <w:rsid w:val="004A3811"/>
    <w:rsid w:val="004A433E"/>
    <w:rsid w:val="004A4599"/>
    <w:rsid w:val="004A5258"/>
    <w:rsid w:val="004A64C1"/>
    <w:rsid w:val="004A6537"/>
    <w:rsid w:val="004A7557"/>
    <w:rsid w:val="004A7A72"/>
    <w:rsid w:val="004A7EDE"/>
    <w:rsid w:val="004B0D6B"/>
    <w:rsid w:val="004B204C"/>
    <w:rsid w:val="004B20BF"/>
    <w:rsid w:val="004B29C0"/>
    <w:rsid w:val="004B33AF"/>
    <w:rsid w:val="004B4D01"/>
    <w:rsid w:val="004B65DE"/>
    <w:rsid w:val="004B65ED"/>
    <w:rsid w:val="004B68F3"/>
    <w:rsid w:val="004B7A1C"/>
    <w:rsid w:val="004B7ACD"/>
    <w:rsid w:val="004B7D40"/>
    <w:rsid w:val="004C0385"/>
    <w:rsid w:val="004C0436"/>
    <w:rsid w:val="004C0481"/>
    <w:rsid w:val="004C19CB"/>
    <w:rsid w:val="004C1BC5"/>
    <w:rsid w:val="004C1E04"/>
    <w:rsid w:val="004C20E4"/>
    <w:rsid w:val="004C217D"/>
    <w:rsid w:val="004C24D3"/>
    <w:rsid w:val="004C32B6"/>
    <w:rsid w:val="004C39DE"/>
    <w:rsid w:val="004C3BE0"/>
    <w:rsid w:val="004C4AE6"/>
    <w:rsid w:val="004C59CC"/>
    <w:rsid w:val="004C6181"/>
    <w:rsid w:val="004C6B93"/>
    <w:rsid w:val="004C6E49"/>
    <w:rsid w:val="004D007A"/>
    <w:rsid w:val="004D1284"/>
    <w:rsid w:val="004D1786"/>
    <w:rsid w:val="004D2E05"/>
    <w:rsid w:val="004D3304"/>
    <w:rsid w:val="004D357E"/>
    <w:rsid w:val="004D3674"/>
    <w:rsid w:val="004D539F"/>
    <w:rsid w:val="004D6224"/>
    <w:rsid w:val="004D6AA7"/>
    <w:rsid w:val="004D6E5D"/>
    <w:rsid w:val="004D7605"/>
    <w:rsid w:val="004D778B"/>
    <w:rsid w:val="004E0A53"/>
    <w:rsid w:val="004E1C7E"/>
    <w:rsid w:val="004E22CB"/>
    <w:rsid w:val="004E233C"/>
    <w:rsid w:val="004E2E09"/>
    <w:rsid w:val="004E43E1"/>
    <w:rsid w:val="004E4AF1"/>
    <w:rsid w:val="004E53D7"/>
    <w:rsid w:val="004E5781"/>
    <w:rsid w:val="004E5F54"/>
    <w:rsid w:val="004E64A4"/>
    <w:rsid w:val="004E672B"/>
    <w:rsid w:val="004E7BA3"/>
    <w:rsid w:val="004F0590"/>
    <w:rsid w:val="004F0754"/>
    <w:rsid w:val="004F0BE5"/>
    <w:rsid w:val="004F0D63"/>
    <w:rsid w:val="004F0EAA"/>
    <w:rsid w:val="004F1A4D"/>
    <w:rsid w:val="004F2ED0"/>
    <w:rsid w:val="004F3403"/>
    <w:rsid w:val="004F4821"/>
    <w:rsid w:val="004F4A5E"/>
    <w:rsid w:val="004F4F7A"/>
    <w:rsid w:val="004F4FDF"/>
    <w:rsid w:val="004F571A"/>
    <w:rsid w:val="004F5DA4"/>
    <w:rsid w:val="004F6092"/>
    <w:rsid w:val="004F6310"/>
    <w:rsid w:val="004F6695"/>
    <w:rsid w:val="004F6855"/>
    <w:rsid w:val="004F6BF0"/>
    <w:rsid w:val="004F7374"/>
    <w:rsid w:val="00500DF6"/>
    <w:rsid w:val="00501773"/>
    <w:rsid w:val="00501B29"/>
    <w:rsid w:val="00502345"/>
    <w:rsid w:val="00503067"/>
    <w:rsid w:val="00503125"/>
    <w:rsid w:val="00503640"/>
    <w:rsid w:val="005045B7"/>
    <w:rsid w:val="0050489B"/>
    <w:rsid w:val="00504B82"/>
    <w:rsid w:val="0050767D"/>
    <w:rsid w:val="005079E9"/>
    <w:rsid w:val="00511475"/>
    <w:rsid w:val="0051332F"/>
    <w:rsid w:val="0051363D"/>
    <w:rsid w:val="0051418E"/>
    <w:rsid w:val="00514554"/>
    <w:rsid w:val="005146F5"/>
    <w:rsid w:val="00515887"/>
    <w:rsid w:val="00516D88"/>
    <w:rsid w:val="005174BB"/>
    <w:rsid w:val="0052208A"/>
    <w:rsid w:val="0052292F"/>
    <w:rsid w:val="00523000"/>
    <w:rsid w:val="005231A7"/>
    <w:rsid w:val="0052346A"/>
    <w:rsid w:val="00523F11"/>
    <w:rsid w:val="00524D25"/>
    <w:rsid w:val="00524FFE"/>
    <w:rsid w:val="005252F9"/>
    <w:rsid w:val="00525688"/>
    <w:rsid w:val="00525C30"/>
    <w:rsid w:val="00525E7D"/>
    <w:rsid w:val="005263F6"/>
    <w:rsid w:val="0052672D"/>
    <w:rsid w:val="00526D89"/>
    <w:rsid w:val="00527457"/>
    <w:rsid w:val="00527721"/>
    <w:rsid w:val="00527CDC"/>
    <w:rsid w:val="005302A7"/>
    <w:rsid w:val="005305F4"/>
    <w:rsid w:val="0053083D"/>
    <w:rsid w:val="00530F33"/>
    <w:rsid w:val="00531567"/>
    <w:rsid w:val="00531825"/>
    <w:rsid w:val="00531CD4"/>
    <w:rsid w:val="00531E88"/>
    <w:rsid w:val="00532753"/>
    <w:rsid w:val="00532F66"/>
    <w:rsid w:val="005346AB"/>
    <w:rsid w:val="005368CA"/>
    <w:rsid w:val="00537476"/>
    <w:rsid w:val="005402AA"/>
    <w:rsid w:val="00540C9D"/>
    <w:rsid w:val="00540E62"/>
    <w:rsid w:val="005411AD"/>
    <w:rsid w:val="005414F7"/>
    <w:rsid w:val="00541F99"/>
    <w:rsid w:val="005427EF"/>
    <w:rsid w:val="00542CAB"/>
    <w:rsid w:val="005440C0"/>
    <w:rsid w:val="005449E4"/>
    <w:rsid w:val="0054560A"/>
    <w:rsid w:val="00545BA8"/>
    <w:rsid w:val="0054724E"/>
    <w:rsid w:val="00547576"/>
    <w:rsid w:val="00547663"/>
    <w:rsid w:val="0054788E"/>
    <w:rsid w:val="00547AD2"/>
    <w:rsid w:val="00550508"/>
    <w:rsid w:val="0055082C"/>
    <w:rsid w:val="00550B7E"/>
    <w:rsid w:val="00550C1A"/>
    <w:rsid w:val="00550D37"/>
    <w:rsid w:val="00552C83"/>
    <w:rsid w:val="00553B77"/>
    <w:rsid w:val="00553DE7"/>
    <w:rsid w:val="005553CA"/>
    <w:rsid w:val="00555E4C"/>
    <w:rsid w:val="00557042"/>
    <w:rsid w:val="00557A54"/>
    <w:rsid w:val="00560345"/>
    <w:rsid w:val="00561B34"/>
    <w:rsid w:val="00561E5A"/>
    <w:rsid w:val="0056204F"/>
    <w:rsid w:val="0056237A"/>
    <w:rsid w:val="005623E6"/>
    <w:rsid w:val="0056311B"/>
    <w:rsid w:val="0056478A"/>
    <w:rsid w:val="0056490F"/>
    <w:rsid w:val="00564C75"/>
    <w:rsid w:val="00564F2C"/>
    <w:rsid w:val="00565A81"/>
    <w:rsid w:val="00565C92"/>
    <w:rsid w:val="00566FAB"/>
    <w:rsid w:val="00567413"/>
    <w:rsid w:val="0056787F"/>
    <w:rsid w:val="00570A54"/>
    <w:rsid w:val="00570AAE"/>
    <w:rsid w:val="00570B6E"/>
    <w:rsid w:val="00572236"/>
    <w:rsid w:val="00572371"/>
    <w:rsid w:val="00572B27"/>
    <w:rsid w:val="00573BB1"/>
    <w:rsid w:val="00573EFA"/>
    <w:rsid w:val="00574580"/>
    <w:rsid w:val="00574CB6"/>
    <w:rsid w:val="0057560B"/>
    <w:rsid w:val="0057766F"/>
    <w:rsid w:val="005777BA"/>
    <w:rsid w:val="005812DD"/>
    <w:rsid w:val="005817BC"/>
    <w:rsid w:val="00581AC5"/>
    <w:rsid w:val="005827E9"/>
    <w:rsid w:val="0058292E"/>
    <w:rsid w:val="00582CA2"/>
    <w:rsid w:val="00583516"/>
    <w:rsid w:val="00584016"/>
    <w:rsid w:val="0058418B"/>
    <w:rsid w:val="0058428F"/>
    <w:rsid w:val="00584D6A"/>
    <w:rsid w:val="00584D71"/>
    <w:rsid w:val="005854D1"/>
    <w:rsid w:val="00585D25"/>
    <w:rsid w:val="00587548"/>
    <w:rsid w:val="00587EB2"/>
    <w:rsid w:val="005902C3"/>
    <w:rsid w:val="00590EAF"/>
    <w:rsid w:val="00591D3A"/>
    <w:rsid w:val="00591EE0"/>
    <w:rsid w:val="005929BF"/>
    <w:rsid w:val="00592F3F"/>
    <w:rsid w:val="00593C4F"/>
    <w:rsid w:val="005941F4"/>
    <w:rsid w:val="00594702"/>
    <w:rsid w:val="005949AB"/>
    <w:rsid w:val="005953B5"/>
    <w:rsid w:val="00595770"/>
    <w:rsid w:val="0059645C"/>
    <w:rsid w:val="005966C4"/>
    <w:rsid w:val="00597FAF"/>
    <w:rsid w:val="005A0AE5"/>
    <w:rsid w:val="005A0CB3"/>
    <w:rsid w:val="005A1D09"/>
    <w:rsid w:val="005A32B1"/>
    <w:rsid w:val="005A3F35"/>
    <w:rsid w:val="005A492C"/>
    <w:rsid w:val="005A4DC0"/>
    <w:rsid w:val="005A5420"/>
    <w:rsid w:val="005A7204"/>
    <w:rsid w:val="005A7653"/>
    <w:rsid w:val="005A783E"/>
    <w:rsid w:val="005A7CEB"/>
    <w:rsid w:val="005A7DDA"/>
    <w:rsid w:val="005B033A"/>
    <w:rsid w:val="005B04FF"/>
    <w:rsid w:val="005B1602"/>
    <w:rsid w:val="005B1BA1"/>
    <w:rsid w:val="005B2012"/>
    <w:rsid w:val="005B2B19"/>
    <w:rsid w:val="005B2DD6"/>
    <w:rsid w:val="005B3FF7"/>
    <w:rsid w:val="005B41DA"/>
    <w:rsid w:val="005B468C"/>
    <w:rsid w:val="005B4856"/>
    <w:rsid w:val="005B609C"/>
    <w:rsid w:val="005B61D5"/>
    <w:rsid w:val="005B6A73"/>
    <w:rsid w:val="005B6C56"/>
    <w:rsid w:val="005B7AAA"/>
    <w:rsid w:val="005C00F0"/>
    <w:rsid w:val="005C097D"/>
    <w:rsid w:val="005C1A7B"/>
    <w:rsid w:val="005C2BFC"/>
    <w:rsid w:val="005C3289"/>
    <w:rsid w:val="005C3685"/>
    <w:rsid w:val="005C38F1"/>
    <w:rsid w:val="005C39EF"/>
    <w:rsid w:val="005C3D7D"/>
    <w:rsid w:val="005C4D93"/>
    <w:rsid w:val="005C53C3"/>
    <w:rsid w:val="005C56F8"/>
    <w:rsid w:val="005C580F"/>
    <w:rsid w:val="005C6B12"/>
    <w:rsid w:val="005C6CB7"/>
    <w:rsid w:val="005C6E8F"/>
    <w:rsid w:val="005C6EA6"/>
    <w:rsid w:val="005C7123"/>
    <w:rsid w:val="005D002B"/>
    <w:rsid w:val="005D0590"/>
    <w:rsid w:val="005D183B"/>
    <w:rsid w:val="005D18E6"/>
    <w:rsid w:val="005D2BD8"/>
    <w:rsid w:val="005D4B52"/>
    <w:rsid w:val="005D5680"/>
    <w:rsid w:val="005D5730"/>
    <w:rsid w:val="005D573A"/>
    <w:rsid w:val="005D57AA"/>
    <w:rsid w:val="005D6E02"/>
    <w:rsid w:val="005D7A32"/>
    <w:rsid w:val="005D7A63"/>
    <w:rsid w:val="005E0244"/>
    <w:rsid w:val="005E0842"/>
    <w:rsid w:val="005E228F"/>
    <w:rsid w:val="005E24B1"/>
    <w:rsid w:val="005E26BE"/>
    <w:rsid w:val="005E353D"/>
    <w:rsid w:val="005E3E77"/>
    <w:rsid w:val="005E3FEA"/>
    <w:rsid w:val="005E40FA"/>
    <w:rsid w:val="005E4164"/>
    <w:rsid w:val="005E4926"/>
    <w:rsid w:val="005E4B18"/>
    <w:rsid w:val="005E4D6F"/>
    <w:rsid w:val="005E4EDA"/>
    <w:rsid w:val="005E508F"/>
    <w:rsid w:val="005E6654"/>
    <w:rsid w:val="005E708F"/>
    <w:rsid w:val="005E75E6"/>
    <w:rsid w:val="005E7D18"/>
    <w:rsid w:val="005F0052"/>
    <w:rsid w:val="005F09F1"/>
    <w:rsid w:val="005F22FD"/>
    <w:rsid w:val="005F23A1"/>
    <w:rsid w:val="005F2B71"/>
    <w:rsid w:val="005F35A8"/>
    <w:rsid w:val="005F3CE3"/>
    <w:rsid w:val="005F45EE"/>
    <w:rsid w:val="005F5F8A"/>
    <w:rsid w:val="005F6805"/>
    <w:rsid w:val="005F6A1E"/>
    <w:rsid w:val="005F73FE"/>
    <w:rsid w:val="005F74C3"/>
    <w:rsid w:val="005F77E3"/>
    <w:rsid w:val="00600461"/>
    <w:rsid w:val="00601522"/>
    <w:rsid w:val="00602FA9"/>
    <w:rsid w:val="00603975"/>
    <w:rsid w:val="006043FA"/>
    <w:rsid w:val="00604512"/>
    <w:rsid w:val="00604613"/>
    <w:rsid w:val="006050AC"/>
    <w:rsid w:val="0060566E"/>
    <w:rsid w:val="00605897"/>
    <w:rsid w:val="00605B39"/>
    <w:rsid w:val="00606123"/>
    <w:rsid w:val="006078D3"/>
    <w:rsid w:val="00610383"/>
    <w:rsid w:val="00610CEB"/>
    <w:rsid w:val="0061263C"/>
    <w:rsid w:val="00612855"/>
    <w:rsid w:val="00613352"/>
    <w:rsid w:val="00613760"/>
    <w:rsid w:val="0061408F"/>
    <w:rsid w:val="006152F9"/>
    <w:rsid w:val="00617D4C"/>
    <w:rsid w:val="00620990"/>
    <w:rsid w:val="00620A09"/>
    <w:rsid w:val="00620F49"/>
    <w:rsid w:val="0062245F"/>
    <w:rsid w:val="00622658"/>
    <w:rsid w:val="00623315"/>
    <w:rsid w:val="0062482C"/>
    <w:rsid w:val="00624BCD"/>
    <w:rsid w:val="00624E62"/>
    <w:rsid w:val="006253CD"/>
    <w:rsid w:val="0062589A"/>
    <w:rsid w:val="00626ADA"/>
    <w:rsid w:val="00626B2F"/>
    <w:rsid w:val="00626E7D"/>
    <w:rsid w:val="006301AD"/>
    <w:rsid w:val="00631D1E"/>
    <w:rsid w:val="006323CF"/>
    <w:rsid w:val="00632670"/>
    <w:rsid w:val="0063466F"/>
    <w:rsid w:val="0063732A"/>
    <w:rsid w:val="00640F25"/>
    <w:rsid w:val="006410F9"/>
    <w:rsid w:val="006414C2"/>
    <w:rsid w:val="00642629"/>
    <w:rsid w:val="00642A71"/>
    <w:rsid w:val="00643681"/>
    <w:rsid w:val="006437EF"/>
    <w:rsid w:val="006439C9"/>
    <w:rsid w:val="00646267"/>
    <w:rsid w:val="006466F7"/>
    <w:rsid w:val="00646994"/>
    <w:rsid w:val="00647500"/>
    <w:rsid w:val="006518BF"/>
    <w:rsid w:val="006518C3"/>
    <w:rsid w:val="00651B6D"/>
    <w:rsid w:val="00651EA1"/>
    <w:rsid w:val="0065374D"/>
    <w:rsid w:val="00653C04"/>
    <w:rsid w:val="00654660"/>
    <w:rsid w:val="00654848"/>
    <w:rsid w:val="0065595B"/>
    <w:rsid w:val="00655FCB"/>
    <w:rsid w:val="0065666F"/>
    <w:rsid w:val="006569CE"/>
    <w:rsid w:val="00656FE1"/>
    <w:rsid w:val="00662875"/>
    <w:rsid w:val="0066317C"/>
    <w:rsid w:val="0066402D"/>
    <w:rsid w:val="00664E8B"/>
    <w:rsid w:val="00665630"/>
    <w:rsid w:val="00665EE0"/>
    <w:rsid w:val="0066608F"/>
    <w:rsid w:val="006667D0"/>
    <w:rsid w:val="00666AA2"/>
    <w:rsid w:val="00666B3F"/>
    <w:rsid w:val="006676EF"/>
    <w:rsid w:val="00667A5A"/>
    <w:rsid w:val="0067034A"/>
    <w:rsid w:val="006705A0"/>
    <w:rsid w:val="00671454"/>
    <w:rsid w:val="006718B6"/>
    <w:rsid w:val="00671BED"/>
    <w:rsid w:val="00671D92"/>
    <w:rsid w:val="006721FF"/>
    <w:rsid w:val="0067260B"/>
    <w:rsid w:val="00673889"/>
    <w:rsid w:val="006738D8"/>
    <w:rsid w:val="00673D17"/>
    <w:rsid w:val="00673E53"/>
    <w:rsid w:val="0067415F"/>
    <w:rsid w:val="00675585"/>
    <w:rsid w:val="00675A25"/>
    <w:rsid w:val="00677018"/>
    <w:rsid w:val="0067709B"/>
    <w:rsid w:val="00680258"/>
    <w:rsid w:val="00681644"/>
    <w:rsid w:val="00683EEF"/>
    <w:rsid w:val="0068414A"/>
    <w:rsid w:val="006853FB"/>
    <w:rsid w:val="006856B8"/>
    <w:rsid w:val="00685E96"/>
    <w:rsid w:val="0068611D"/>
    <w:rsid w:val="00686ECD"/>
    <w:rsid w:val="0068750C"/>
    <w:rsid w:val="0068762C"/>
    <w:rsid w:val="00687715"/>
    <w:rsid w:val="0069034E"/>
    <w:rsid w:val="0069040D"/>
    <w:rsid w:val="00693542"/>
    <w:rsid w:val="006936BC"/>
    <w:rsid w:val="00695148"/>
    <w:rsid w:val="00696A3D"/>
    <w:rsid w:val="00696A90"/>
    <w:rsid w:val="0069733D"/>
    <w:rsid w:val="00697921"/>
    <w:rsid w:val="006A3F12"/>
    <w:rsid w:val="006A4668"/>
    <w:rsid w:val="006A49A5"/>
    <w:rsid w:val="006B0482"/>
    <w:rsid w:val="006B0EA6"/>
    <w:rsid w:val="006B1365"/>
    <w:rsid w:val="006B1D31"/>
    <w:rsid w:val="006B29A2"/>
    <w:rsid w:val="006B2F39"/>
    <w:rsid w:val="006B3278"/>
    <w:rsid w:val="006B345A"/>
    <w:rsid w:val="006B3522"/>
    <w:rsid w:val="006B3CA0"/>
    <w:rsid w:val="006B41D9"/>
    <w:rsid w:val="006B4434"/>
    <w:rsid w:val="006B50D4"/>
    <w:rsid w:val="006B5780"/>
    <w:rsid w:val="006B5C5A"/>
    <w:rsid w:val="006B6C93"/>
    <w:rsid w:val="006B7189"/>
    <w:rsid w:val="006C05A1"/>
    <w:rsid w:val="006C06EC"/>
    <w:rsid w:val="006C0963"/>
    <w:rsid w:val="006C1B34"/>
    <w:rsid w:val="006C2635"/>
    <w:rsid w:val="006C2DA0"/>
    <w:rsid w:val="006C38BE"/>
    <w:rsid w:val="006C6001"/>
    <w:rsid w:val="006C76ED"/>
    <w:rsid w:val="006D0B11"/>
    <w:rsid w:val="006D0BB7"/>
    <w:rsid w:val="006D0C42"/>
    <w:rsid w:val="006D4497"/>
    <w:rsid w:val="006D558E"/>
    <w:rsid w:val="006D6C0A"/>
    <w:rsid w:val="006D6FB1"/>
    <w:rsid w:val="006D79B6"/>
    <w:rsid w:val="006E126A"/>
    <w:rsid w:val="006E13C5"/>
    <w:rsid w:val="006E164D"/>
    <w:rsid w:val="006E33FD"/>
    <w:rsid w:val="006E51CC"/>
    <w:rsid w:val="006E5250"/>
    <w:rsid w:val="006E6096"/>
    <w:rsid w:val="006E66EE"/>
    <w:rsid w:val="006E6CBC"/>
    <w:rsid w:val="006E7911"/>
    <w:rsid w:val="006F0412"/>
    <w:rsid w:val="006F063A"/>
    <w:rsid w:val="006F1205"/>
    <w:rsid w:val="006F27D8"/>
    <w:rsid w:val="006F2E50"/>
    <w:rsid w:val="006F3514"/>
    <w:rsid w:val="006F363A"/>
    <w:rsid w:val="006F4280"/>
    <w:rsid w:val="006F460B"/>
    <w:rsid w:val="006F523A"/>
    <w:rsid w:val="006F55D7"/>
    <w:rsid w:val="006F5B9B"/>
    <w:rsid w:val="006F5F55"/>
    <w:rsid w:val="006F5F87"/>
    <w:rsid w:val="006F6CD5"/>
    <w:rsid w:val="00700985"/>
    <w:rsid w:val="00702344"/>
    <w:rsid w:val="00702403"/>
    <w:rsid w:val="00702E40"/>
    <w:rsid w:val="0070332E"/>
    <w:rsid w:val="00703650"/>
    <w:rsid w:val="00703D5D"/>
    <w:rsid w:val="007047FD"/>
    <w:rsid w:val="0070505B"/>
    <w:rsid w:val="0070518E"/>
    <w:rsid w:val="00706460"/>
    <w:rsid w:val="0070647F"/>
    <w:rsid w:val="007103E9"/>
    <w:rsid w:val="0071117E"/>
    <w:rsid w:val="00712A3E"/>
    <w:rsid w:val="00712A4D"/>
    <w:rsid w:val="00713042"/>
    <w:rsid w:val="007134E1"/>
    <w:rsid w:val="0071372E"/>
    <w:rsid w:val="00713A87"/>
    <w:rsid w:val="00713F36"/>
    <w:rsid w:val="00714166"/>
    <w:rsid w:val="00714525"/>
    <w:rsid w:val="00715019"/>
    <w:rsid w:val="00715427"/>
    <w:rsid w:val="0071552F"/>
    <w:rsid w:val="00715BAC"/>
    <w:rsid w:val="00715C60"/>
    <w:rsid w:val="00715F42"/>
    <w:rsid w:val="00716A28"/>
    <w:rsid w:val="00717467"/>
    <w:rsid w:val="0071752E"/>
    <w:rsid w:val="00717705"/>
    <w:rsid w:val="00717F7F"/>
    <w:rsid w:val="00720292"/>
    <w:rsid w:val="00722147"/>
    <w:rsid w:val="0072252C"/>
    <w:rsid w:val="00722717"/>
    <w:rsid w:val="00722A64"/>
    <w:rsid w:val="00723C30"/>
    <w:rsid w:val="0072469A"/>
    <w:rsid w:val="00724D1A"/>
    <w:rsid w:val="007251A2"/>
    <w:rsid w:val="007259B3"/>
    <w:rsid w:val="007263CA"/>
    <w:rsid w:val="007266C4"/>
    <w:rsid w:val="007270AA"/>
    <w:rsid w:val="00727D2B"/>
    <w:rsid w:val="00730D54"/>
    <w:rsid w:val="00731466"/>
    <w:rsid w:val="0073151B"/>
    <w:rsid w:val="007326D5"/>
    <w:rsid w:val="00732851"/>
    <w:rsid w:val="00732C15"/>
    <w:rsid w:val="00733132"/>
    <w:rsid w:val="00735A51"/>
    <w:rsid w:val="00737062"/>
    <w:rsid w:val="0073780F"/>
    <w:rsid w:val="007407F9"/>
    <w:rsid w:val="00740EE4"/>
    <w:rsid w:val="00742A5D"/>
    <w:rsid w:val="007434BC"/>
    <w:rsid w:val="00744230"/>
    <w:rsid w:val="00744D3A"/>
    <w:rsid w:val="00745C2F"/>
    <w:rsid w:val="00745E05"/>
    <w:rsid w:val="00746BFF"/>
    <w:rsid w:val="00746FCE"/>
    <w:rsid w:val="00747DE2"/>
    <w:rsid w:val="00750059"/>
    <w:rsid w:val="00750642"/>
    <w:rsid w:val="00751082"/>
    <w:rsid w:val="007512C1"/>
    <w:rsid w:val="007533A4"/>
    <w:rsid w:val="007534FB"/>
    <w:rsid w:val="007536F5"/>
    <w:rsid w:val="00753703"/>
    <w:rsid w:val="00754822"/>
    <w:rsid w:val="00755846"/>
    <w:rsid w:val="0075634B"/>
    <w:rsid w:val="00756C18"/>
    <w:rsid w:val="00756C7B"/>
    <w:rsid w:val="00757DBF"/>
    <w:rsid w:val="00760444"/>
    <w:rsid w:val="00761095"/>
    <w:rsid w:val="007615EB"/>
    <w:rsid w:val="0076160C"/>
    <w:rsid w:val="00762669"/>
    <w:rsid w:val="007635FC"/>
    <w:rsid w:val="00763620"/>
    <w:rsid w:val="0076454D"/>
    <w:rsid w:val="00765A50"/>
    <w:rsid w:val="00766048"/>
    <w:rsid w:val="00766812"/>
    <w:rsid w:val="00767A0A"/>
    <w:rsid w:val="0077033B"/>
    <w:rsid w:val="007704D6"/>
    <w:rsid w:val="007706ED"/>
    <w:rsid w:val="00770A29"/>
    <w:rsid w:val="00771FC7"/>
    <w:rsid w:val="00772765"/>
    <w:rsid w:val="00772C33"/>
    <w:rsid w:val="00774CCB"/>
    <w:rsid w:val="0077552C"/>
    <w:rsid w:val="0077611D"/>
    <w:rsid w:val="007768B9"/>
    <w:rsid w:val="00776914"/>
    <w:rsid w:val="00777BDB"/>
    <w:rsid w:val="00782091"/>
    <w:rsid w:val="007821E4"/>
    <w:rsid w:val="007822CB"/>
    <w:rsid w:val="00782772"/>
    <w:rsid w:val="00782C09"/>
    <w:rsid w:val="00784635"/>
    <w:rsid w:val="007849F9"/>
    <w:rsid w:val="00784C12"/>
    <w:rsid w:val="00785158"/>
    <w:rsid w:val="00785640"/>
    <w:rsid w:val="0078584B"/>
    <w:rsid w:val="00786BFF"/>
    <w:rsid w:val="00786E5F"/>
    <w:rsid w:val="00787317"/>
    <w:rsid w:val="00787464"/>
    <w:rsid w:val="00787E1C"/>
    <w:rsid w:val="00787E83"/>
    <w:rsid w:val="00791B53"/>
    <w:rsid w:val="00792E88"/>
    <w:rsid w:val="00793135"/>
    <w:rsid w:val="00793B73"/>
    <w:rsid w:val="00794164"/>
    <w:rsid w:val="007944FC"/>
    <w:rsid w:val="007949DD"/>
    <w:rsid w:val="0079560D"/>
    <w:rsid w:val="0079568E"/>
    <w:rsid w:val="00796198"/>
    <w:rsid w:val="00796F26"/>
    <w:rsid w:val="0079732C"/>
    <w:rsid w:val="00797B65"/>
    <w:rsid w:val="007A033F"/>
    <w:rsid w:val="007A08FD"/>
    <w:rsid w:val="007A096B"/>
    <w:rsid w:val="007A1232"/>
    <w:rsid w:val="007A1322"/>
    <w:rsid w:val="007A1854"/>
    <w:rsid w:val="007A1945"/>
    <w:rsid w:val="007A20F8"/>
    <w:rsid w:val="007A2B70"/>
    <w:rsid w:val="007A36E4"/>
    <w:rsid w:val="007A3C2D"/>
    <w:rsid w:val="007A3F80"/>
    <w:rsid w:val="007A4108"/>
    <w:rsid w:val="007A4515"/>
    <w:rsid w:val="007A5BBA"/>
    <w:rsid w:val="007A7AB9"/>
    <w:rsid w:val="007B026F"/>
    <w:rsid w:val="007B0620"/>
    <w:rsid w:val="007B062A"/>
    <w:rsid w:val="007B0D0A"/>
    <w:rsid w:val="007B0E75"/>
    <w:rsid w:val="007B4287"/>
    <w:rsid w:val="007B457F"/>
    <w:rsid w:val="007B7210"/>
    <w:rsid w:val="007C0708"/>
    <w:rsid w:val="007C0B69"/>
    <w:rsid w:val="007C0C0E"/>
    <w:rsid w:val="007C0F76"/>
    <w:rsid w:val="007C2CCF"/>
    <w:rsid w:val="007C32EC"/>
    <w:rsid w:val="007C4190"/>
    <w:rsid w:val="007C540D"/>
    <w:rsid w:val="007C5485"/>
    <w:rsid w:val="007C6497"/>
    <w:rsid w:val="007C6CC5"/>
    <w:rsid w:val="007C6F32"/>
    <w:rsid w:val="007D09E4"/>
    <w:rsid w:val="007D4883"/>
    <w:rsid w:val="007D5181"/>
    <w:rsid w:val="007D5388"/>
    <w:rsid w:val="007D5C2D"/>
    <w:rsid w:val="007D6FFD"/>
    <w:rsid w:val="007D7D63"/>
    <w:rsid w:val="007E0C54"/>
    <w:rsid w:val="007E1275"/>
    <w:rsid w:val="007E1A52"/>
    <w:rsid w:val="007E38A7"/>
    <w:rsid w:val="007E4899"/>
    <w:rsid w:val="007E5AF9"/>
    <w:rsid w:val="007E6C95"/>
    <w:rsid w:val="007E6FD2"/>
    <w:rsid w:val="007E75CF"/>
    <w:rsid w:val="007E7C34"/>
    <w:rsid w:val="007F109A"/>
    <w:rsid w:val="007F18CD"/>
    <w:rsid w:val="007F1C7B"/>
    <w:rsid w:val="007F2BF4"/>
    <w:rsid w:val="007F2DF4"/>
    <w:rsid w:val="007F3433"/>
    <w:rsid w:val="007F42FC"/>
    <w:rsid w:val="007F4369"/>
    <w:rsid w:val="007F4593"/>
    <w:rsid w:val="007F46B6"/>
    <w:rsid w:val="007F507E"/>
    <w:rsid w:val="007F5427"/>
    <w:rsid w:val="007F593A"/>
    <w:rsid w:val="007F5E02"/>
    <w:rsid w:val="007F6107"/>
    <w:rsid w:val="007F7090"/>
    <w:rsid w:val="007F71B8"/>
    <w:rsid w:val="007F7B68"/>
    <w:rsid w:val="008011BB"/>
    <w:rsid w:val="00801428"/>
    <w:rsid w:val="008015E1"/>
    <w:rsid w:val="008015F8"/>
    <w:rsid w:val="00801875"/>
    <w:rsid w:val="00801997"/>
    <w:rsid w:val="008021A9"/>
    <w:rsid w:val="00802A12"/>
    <w:rsid w:val="0080322C"/>
    <w:rsid w:val="00803564"/>
    <w:rsid w:val="00803ECD"/>
    <w:rsid w:val="00804309"/>
    <w:rsid w:val="0080454F"/>
    <w:rsid w:val="00805B06"/>
    <w:rsid w:val="008078BD"/>
    <w:rsid w:val="00807AA9"/>
    <w:rsid w:val="00811444"/>
    <w:rsid w:val="0081193E"/>
    <w:rsid w:val="00812462"/>
    <w:rsid w:val="0081293F"/>
    <w:rsid w:val="00812CFE"/>
    <w:rsid w:val="00812DEE"/>
    <w:rsid w:val="00812FCC"/>
    <w:rsid w:val="00813A02"/>
    <w:rsid w:val="00813B1D"/>
    <w:rsid w:val="0081444F"/>
    <w:rsid w:val="0081657F"/>
    <w:rsid w:val="00816901"/>
    <w:rsid w:val="00821A31"/>
    <w:rsid w:val="008221C4"/>
    <w:rsid w:val="008226DD"/>
    <w:rsid w:val="008230EC"/>
    <w:rsid w:val="008234C6"/>
    <w:rsid w:val="00823C38"/>
    <w:rsid w:val="00823E54"/>
    <w:rsid w:val="00824C91"/>
    <w:rsid w:val="00824CE2"/>
    <w:rsid w:val="00824EF0"/>
    <w:rsid w:val="0082625E"/>
    <w:rsid w:val="008267C4"/>
    <w:rsid w:val="00826E49"/>
    <w:rsid w:val="00826E54"/>
    <w:rsid w:val="00826F08"/>
    <w:rsid w:val="00830770"/>
    <w:rsid w:val="00830868"/>
    <w:rsid w:val="00830C77"/>
    <w:rsid w:val="00832004"/>
    <w:rsid w:val="00832232"/>
    <w:rsid w:val="008326B1"/>
    <w:rsid w:val="00832D8B"/>
    <w:rsid w:val="00833109"/>
    <w:rsid w:val="0083422C"/>
    <w:rsid w:val="008351C9"/>
    <w:rsid w:val="008366C0"/>
    <w:rsid w:val="00836719"/>
    <w:rsid w:val="00836B44"/>
    <w:rsid w:val="00836EFE"/>
    <w:rsid w:val="008372BF"/>
    <w:rsid w:val="008402FD"/>
    <w:rsid w:val="00840A5C"/>
    <w:rsid w:val="008414D1"/>
    <w:rsid w:val="00842C4D"/>
    <w:rsid w:val="00842E1C"/>
    <w:rsid w:val="00843E12"/>
    <w:rsid w:val="00845746"/>
    <w:rsid w:val="0084665C"/>
    <w:rsid w:val="0084689A"/>
    <w:rsid w:val="00846C3D"/>
    <w:rsid w:val="00846EE6"/>
    <w:rsid w:val="00847C70"/>
    <w:rsid w:val="00847D47"/>
    <w:rsid w:val="00850206"/>
    <w:rsid w:val="00851592"/>
    <w:rsid w:val="008525AF"/>
    <w:rsid w:val="0085301E"/>
    <w:rsid w:val="00854936"/>
    <w:rsid w:val="00855493"/>
    <w:rsid w:val="008567D8"/>
    <w:rsid w:val="00856C01"/>
    <w:rsid w:val="00856CF7"/>
    <w:rsid w:val="00857A31"/>
    <w:rsid w:val="00857ADD"/>
    <w:rsid w:val="00857C31"/>
    <w:rsid w:val="0086094E"/>
    <w:rsid w:val="00860A01"/>
    <w:rsid w:val="00860AE9"/>
    <w:rsid w:val="00860B34"/>
    <w:rsid w:val="00860CAB"/>
    <w:rsid w:val="00862A52"/>
    <w:rsid w:val="00862AA3"/>
    <w:rsid w:val="00863053"/>
    <w:rsid w:val="0086355C"/>
    <w:rsid w:val="008637D4"/>
    <w:rsid w:val="00864BB8"/>
    <w:rsid w:val="00864C56"/>
    <w:rsid w:val="00864FA7"/>
    <w:rsid w:val="00865ABE"/>
    <w:rsid w:val="00865F49"/>
    <w:rsid w:val="0086663E"/>
    <w:rsid w:val="00866A43"/>
    <w:rsid w:val="00867077"/>
    <w:rsid w:val="00867C4D"/>
    <w:rsid w:val="0087218A"/>
    <w:rsid w:val="008722BC"/>
    <w:rsid w:val="0087249E"/>
    <w:rsid w:val="00872884"/>
    <w:rsid w:val="00873B5B"/>
    <w:rsid w:val="00874A1A"/>
    <w:rsid w:val="00874A41"/>
    <w:rsid w:val="008751AF"/>
    <w:rsid w:val="008753C4"/>
    <w:rsid w:val="008764E0"/>
    <w:rsid w:val="00876791"/>
    <w:rsid w:val="008768D4"/>
    <w:rsid w:val="00876BA6"/>
    <w:rsid w:val="008772A3"/>
    <w:rsid w:val="008773F1"/>
    <w:rsid w:val="00880020"/>
    <w:rsid w:val="00881B11"/>
    <w:rsid w:val="00882E15"/>
    <w:rsid w:val="00884379"/>
    <w:rsid w:val="00884518"/>
    <w:rsid w:val="008849E2"/>
    <w:rsid w:val="00884A15"/>
    <w:rsid w:val="00885012"/>
    <w:rsid w:val="00885438"/>
    <w:rsid w:val="008863E4"/>
    <w:rsid w:val="00890060"/>
    <w:rsid w:val="00891605"/>
    <w:rsid w:val="00891CAD"/>
    <w:rsid w:val="00892ADF"/>
    <w:rsid w:val="00893031"/>
    <w:rsid w:val="008944E6"/>
    <w:rsid w:val="008949CA"/>
    <w:rsid w:val="00894A30"/>
    <w:rsid w:val="008959DA"/>
    <w:rsid w:val="00896788"/>
    <w:rsid w:val="0089698A"/>
    <w:rsid w:val="00896F9F"/>
    <w:rsid w:val="008972E9"/>
    <w:rsid w:val="008A007A"/>
    <w:rsid w:val="008A04AF"/>
    <w:rsid w:val="008A08A1"/>
    <w:rsid w:val="008A0919"/>
    <w:rsid w:val="008A0C90"/>
    <w:rsid w:val="008A0FA8"/>
    <w:rsid w:val="008A25FF"/>
    <w:rsid w:val="008A2F25"/>
    <w:rsid w:val="008A33D9"/>
    <w:rsid w:val="008A4E1D"/>
    <w:rsid w:val="008A5951"/>
    <w:rsid w:val="008A5E3E"/>
    <w:rsid w:val="008A6557"/>
    <w:rsid w:val="008A6B26"/>
    <w:rsid w:val="008A7131"/>
    <w:rsid w:val="008A7BF7"/>
    <w:rsid w:val="008B17FC"/>
    <w:rsid w:val="008B3201"/>
    <w:rsid w:val="008B3F21"/>
    <w:rsid w:val="008B452D"/>
    <w:rsid w:val="008B4F4E"/>
    <w:rsid w:val="008B5331"/>
    <w:rsid w:val="008B59D2"/>
    <w:rsid w:val="008B5C29"/>
    <w:rsid w:val="008B5DDC"/>
    <w:rsid w:val="008B620F"/>
    <w:rsid w:val="008B69C6"/>
    <w:rsid w:val="008B6ABA"/>
    <w:rsid w:val="008B7CEF"/>
    <w:rsid w:val="008C2B54"/>
    <w:rsid w:val="008C3414"/>
    <w:rsid w:val="008C3539"/>
    <w:rsid w:val="008C56BA"/>
    <w:rsid w:val="008C5873"/>
    <w:rsid w:val="008D0425"/>
    <w:rsid w:val="008D05BB"/>
    <w:rsid w:val="008D186B"/>
    <w:rsid w:val="008D2722"/>
    <w:rsid w:val="008D32BA"/>
    <w:rsid w:val="008D3346"/>
    <w:rsid w:val="008D36E8"/>
    <w:rsid w:val="008D396D"/>
    <w:rsid w:val="008D3FA9"/>
    <w:rsid w:val="008D5438"/>
    <w:rsid w:val="008D6C58"/>
    <w:rsid w:val="008E0325"/>
    <w:rsid w:val="008E1E1A"/>
    <w:rsid w:val="008E4DBD"/>
    <w:rsid w:val="008E5B51"/>
    <w:rsid w:val="008E6132"/>
    <w:rsid w:val="008E6F54"/>
    <w:rsid w:val="008E7A14"/>
    <w:rsid w:val="008E7B73"/>
    <w:rsid w:val="008F0694"/>
    <w:rsid w:val="008F1149"/>
    <w:rsid w:val="008F1650"/>
    <w:rsid w:val="008F27ED"/>
    <w:rsid w:val="008F297B"/>
    <w:rsid w:val="008F3148"/>
    <w:rsid w:val="008F3F7A"/>
    <w:rsid w:val="008F4164"/>
    <w:rsid w:val="008F4679"/>
    <w:rsid w:val="008F56BB"/>
    <w:rsid w:val="008F60E1"/>
    <w:rsid w:val="008F6122"/>
    <w:rsid w:val="008F7C6F"/>
    <w:rsid w:val="00900E6D"/>
    <w:rsid w:val="009014A9"/>
    <w:rsid w:val="00903C7D"/>
    <w:rsid w:val="00903D6A"/>
    <w:rsid w:val="00904029"/>
    <w:rsid w:val="00904249"/>
    <w:rsid w:val="009048D5"/>
    <w:rsid w:val="0091021E"/>
    <w:rsid w:val="00910879"/>
    <w:rsid w:val="009151DA"/>
    <w:rsid w:val="00915ABD"/>
    <w:rsid w:val="00915C62"/>
    <w:rsid w:val="00916089"/>
    <w:rsid w:val="0091640E"/>
    <w:rsid w:val="00916F28"/>
    <w:rsid w:val="00917493"/>
    <w:rsid w:val="009176E3"/>
    <w:rsid w:val="00917953"/>
    <w:rsid w:val="00917D36"/>
    <w:rsid w:val="00920140"/>
    <w:rsid w:val="009212F3"/>
    <w:rsid w:val="00921A74"/>
    <w:rsid w:val="00921EDC"/>
    <w:rsid w:val="00922F97"/>
    <w:rsid w:val="00923568"/>
    <w:rsid w:val="009235FC"/>
    <w:rsid w:val="0092410C"/>
    <w:rsid w:val="0092479B"/>
    <w:rsid w:val="00924F59"/>
    <w:rsid w:val="009254D5"/>
    <w:rsid w:val="00926338"/>
    <w:rsid w:val="00927536"/>
    <w:rsid w:val="00930566"/>
    <w:rsid w:val="00930F62"/>
    <w:rsid w:val="009313C4"/>
    <w:rsid w:val="009313D4"/>
    <w:rsid w:val="00931EF0"/>
    <w:rsid w:val="0093379A"/>
    <w:rsid w:val="0093546D"/>
    <w:rsid w:val="00937099"/>
    <w:rsid w:val="00940878"/>
    <w:rsid w:val="00940CDF"/>
    <w:rsid w:val="00941812"/>
    <w:rsid w:val="00941843"/>
    <w:rsid w:val="00941DF8"/>
    <w:rsid w:val="00942345"/>
    <w:rsid w:val="00943AA2"/>
    <w:rsid w:val="00944A60"/>
    <w:rsid w:val="00946E67"/>
    <w:rsid w:val="0094704C"/>
    <w:rsid w:val="00947B45"/>
    <w:rsid w:val="0095016F"/>
    <w:rsid w:val="009503A9"/>
    <w:rsid w:val="0095077B"/>
    <w:rsid w:val="00950788"/>
    <w:rsid w:val="0095162E"/>
    <w:rsid w:val="00951704"/>
    <w:rsid w:val="009519E8"/>
    <w:rsid w:val="00951C67"/>
    <w:rsid w:val="00952D62"/>
    <w:rsid w:val="009535BD"/>
    <w:rsid w:val="00954380"/>
    <w:rsid w:val="00954CB7"/>
    <w:rsid w:val="0095546C"/>
    <w:rsid w:val="00955630"/>
    <w:rsid w:val="00955960"/>
    <w:rsid w:val="009563D0"/>
    <w:rsid w:val="00957475"/>
    <w:rsid w:val="0096201B"/>
    <w:rsid w:val="0096364E"/>
    <w:rsid w:val="00963DA4"/>
    <w:rsid w:val="009640CD"/>
    <w:rsid w:val="00964C23"/>
    <w:rsid w:val="0096632F"/>
    <w:rsid w:val="00966D08"/>
    <w:rsid w:val="00967C5D"/>
    <w:rsid w:val="00967C9D"/>
    <w:rsid w:val="009703A0"/>
    <w:rsid w:val="009705EC"/>
    <w:rsid w:val="0097074D"/>
    <w:rsid w:val="0097280A"/>
    <w:rsid w:val="00972C78"/>
    <w:rsid w:val="00972D3E"/>
    <w:rsid w:val="009730B8"/>
    <w:rsid w:val="00973634"/>
    <w:rsid w:val="00973C4A"/>
    <w:rsid w:val="00973CC0"/>
    <w:rsid w:val="00974CCB"/>
    <w:rsid w:val="00974F63"/>
    <w:rsid w:val="009756C7"/>
    <w:rsid w:val="009759A3"/>
    <w:rsid w:val="00975B53"/>
    <w:rsid w:val="00975EF4"/>
    <w:rsid w:val="00976AEE"/>
    <w:rsid w:val="00976C40"/>
    <w:rsid w:val="00977A59"/>
    <w:rsid w:val="0098025E"/>
    <w:rsid w:val="00980527"/>
    <w:rsid w:val="00980E5B"/>
    <w:rsid w:val="00981C1C"/>
    <w:rsid w:val="00981CBF"/>
    <w:rsid w:val="00982B82"/>
    <w:rsid w:val="00982D15"/>
    <w:rsid w:val="009837A6"/>
    <w:rsid w:val="00983822"/>
    <w:rsid w:val="0098386F"/>
    <w:rsid w:val="009841E6"/>
    <w:rsid w:val="00984B89"/>
    <w:rsid w:val="009850A2"/>
    <w:rsid w:val="00985537"/>
    <w:rsid w:val="0098559F"/>
    <w:rsid w:val="00985703"/>
    <w:rsid w:val="00986FA6"/>
    <w:rsid w:val="009873A1"/>
    <w:rsid w:val="00987D5D"/>
    <w:rsid w:val="00990387"/>
    <w:rsid w:val="00990462"/>
    <w:rsid w:val="00990AD8"/>
    <w:rsid w:val="009914D5"/>
    <w:rsid w:val="00991AC5"/>
    <w:rsid w:val="0099217E"/>
    <w:rsid w:val="00992407"/>
    <w:rsid w:val="00993015"/>
    <w:rsid w:val="00995DAB"/>
    <w:rsid w:val="00996074"/>
    <w:rsid w:val="0099665C"/>
    <w:rsid w:val="00996EEA"/>
    <w:rsid w:val="00997E50"/>
    <w:rsid w:val="00997FC9"/>
    <w:rsid w:val="009A0852"/>
    <w:rsid w:val="009A0ABF"/>
    <w:rsid w:val="009A0B80"/>
    <w:rsid w:val="009A0FFC"/>
    <w:rsid w:val="009A2762"/>
    <w:rsid w:val="009A2941"/>
    <w:rsid w:val="009A32F6"/>
    <w:rsid w:val="009A3327"/>
    <w:rsid w:val="009A362B"/>
    <w:rsid w:val="009A3D16"/>
    <w:rsid w:val="009A3D3D"/>
    <w:rsid w:val="009A4A4B"/>
    <w:rsid w:val="009A4BA7"/>
    <w:rsid w:val="009A61B3"/>
    <w:rsid w:val="009A65C3"/>
    <w:rsid w:val="009A6D4B"/>
    <w:rsid w:val="009A7040"/>
    <w:rsid w:val="009B0C1F"/>
    <w:rsid w:val="009B18FE"/>
    <w:rsid w:val="009B1963"/>
    <w:rsid w:val="009B236F"/>
    <w:rsid w:val="009B2535"/>
    <w:rsid w:val="009B2669"/>
    <w:rsid w:val="009B37C9"/>
    <w:rsid w:val="009B4153"/>
    <w:rsid w:val="009B4C8C"/>
    <w:rsid w:val="009B6C49"/>
    <w:rsid w:val="009B73D4"/>
    <w:rsid w:val="009C016C"/>
    <w:rsid w:val="009C0467"/>
    <w:rsid w:val="009C04BE"/>
    <w:rsid w:val="009C0BEC"/>
    <w:rsid w:val="009C137F"/>
    <w:rsid w:val="009C35F9"/>
    <w:rsid w:val="009C3A94"/>
    <w:rsid w:val="009C3CF7"/>
    <w:rsid w:val="009C4055"/>
    <w:rsid w:val="009C47CD"/>
    <w:rsid w:val="009C4CE8"/>
    <w:rsid w:val="009C67A0"/>
    <w:rsid w:val="009C692B"/>
    <w:rsid w:val="009C7478"/>
    <w:rsid w:val="009C760B"/>
    <w:rsid w:val="009C7883"/>
    <w:rsid w:val="009C7A04"/>
    <w:rsid w:val="009C7B7A"/>
    <w:rsid w:val="009D01C2"/>
    <w:rsid w:val="009D1A20"/>
    <w:rsid w:val="009D2232"/>
    <w:rsid w:val="009D3538"/>
    <w:rsid w:val="009D42CA"/>
    <w:rsid w:val="009D47E6"/>
    <w:rsid w:val="009D4BB8"/>
    <w:rsid w:val="009D4D39"/>
    <w:rsid w:val="009D53B7"/>
    <w:rsid w:val="009D5EBF"/>
    <w:rsid w:val="009D61BD"/>
    <w:rsid w:val="009D70C9"/>
    <w:rsid w:val="009E13D8"/>
    <w:rsid w:val="009E1B29"/>
    <w:rsid w:val="009E3040"/>
    <w:rsid w:val="009E39CC"/>
    <w:rsid w:val="009E4488"/>
    <w:rsid w:val="009E45A4"/>
    <w:rsid w:val="009E5064"/>
    <w:rsid w:val="009E5A38"/>
    <w:rsid w:val="009E63D5"/>
    <w:rsid w:val="009E661B"/>
    <w:rsid w:val="009E74E2"/>
    <w:rsid w:val="009E7889"/>
    <w:rsid w:val="009E7B92"/>
    <w:rsid w:val="009F039C"/>
    <w:rsid w:val="009F0CB0"/>
    <w:rsid w:val="009F224B"/>
    <w:rsid w:val="009F2DE6"/>
    <w:rsid w:val="009F2E71"/>
    <w:rsid w:val="009F310E"/>
    <w:rsid w:val="009F3691"/>
    <w:rsid w:val="009F3D11"/>
    <w:rsid w:val="009F4CA4"/>
    <w:rsid w:val="009F5451"/>
    <w:rsid w:val="009F5755"/>
    <w:rsid w:val="009F5B1C"/>
    <w:rsid w:val="009F5EFD"/>
    <w:rsid w:val="009F61B5"/>
    <w:rsid w:val="009F62BF"/>
    <w:rsid w:val="009F6735"/>
    <w:rsid w:val="009F7A68"/>
    <w:rsid w:val="009F7ECB"/>
    <w:rsid w:val="00A01065"/>
    <w:rsid w:val="00A01BF0"/>
    <w:rsid w:val="00A01FCD"/>
    <w:rsid w:val="00A02008"/>
    <w:rsid w:val="00A028B9"/>
    <w:rsid w:val="00A03097"/>
    <w:rsid w:val="00A0415C"/>
    <w:rsid w:val="00A0464E"/>
    <w:rsid w:val="00A04F56"/>
    <w:rsid w:val="00A050C1"/>
    <w:rsid w:val="00A055F0"/>
    <w:rsid w:val="00A058F3"/>
    <w:rsid w:val="00A0595E"/>
    <w:rsid w:val="00A07371"/>
    <w:rsid w:val="00A07399"/>
    <w:rsid w:val="00A079BD"/>
    <w:rsid w:val="00A07C0D"/>
    <w:rsid w:val="00A101E9"/>
    <w:rsid w:val="00A1022E"/>
    <w:rsid w:val="00A10323"/>
    <w:rsid w:val="00A117FA"/>
    <w:rsid w:val="00A120F3"/>
    <w:rsid w:val="00A14DB0"/>
    <w:rsid w:val="00A150EA"/>
    <w:rsid w:val="00A154FD"/>
    <w:rsid w:val="00A15B87"/>
    <w:rsid w:val="00A16231"/>
    <w:rsid w:val="00A1750F"/>
    <w:rsid w:val="00A2060B"/>
    <w:rsid w:val="00A21E57"/>
    <w:rsid w:val="00A2201E"/>
    <w:rsid w:val="00A227C5"/>
    <w:rsid w:val="00A22932"/>
    <w:rsid w:val="00A22BB2"/>
    <w:rsid w:val="00A22CEA"/>
    <w:rsid w:val="00A22D84"/>
    <w:rsid w:val="00A23209"/>
    <w:rsid w:val="00A23A49"/>
    <w:rsid w:val="00A24000"/>
    <w:rsid w:val="00A24E0D"/>
    <w:rsid w:val="00A24FD4"/>
    <w:rsid w:val="00A27077"/>
    <w:rsid w:val="00A272BE"/>
    <w:rsid w:val="00A3105C"/>
    <w:rsid w:val="00A3108B"/>
    <w:rsid w:val="00A313DE"/>
    <w:rsid w:val="00A31B4C"/>
    <w:rsid w:val="00A31E97"/>
    <w:rsid w:val="00A32572"/>
    <w:rsid w:val="00A342B9"/>
    <w:rsid w:val="00A344A0"/>
    <w:rsid w:val="00A3581A"/>
    <w:rsid w:val="00A35EF0"/>
    <w:rsid w:val="00A36178"/>
    <w:rsid w:val="00A361A1"/>
    <w:rsid w:val="00A362BD"/>
    <w:rsid w:val="00A36851"/>
    <w:rsid w:val="00A36A04"/>
    <w:rsid w:val="00A3735B"/>
    <w:rsid w:val="00A3778C"/>
    <w:rsid w:val="00A40377"/>
    <w:rsid w:val="00A409AF"/>
    <w:rsid w:val="00A40B65"/>
    <w:rsid w:val="00A40EDE"/>
    <w:rsid w:val="00A41412"/>
    <w:rsid w:val="00A41B5B"/>
    <w:rsid w:val="00A41BFD"/>
    <w:rsid w:val="00A426F1"/>
    <w:rsid w:val="00A43285"/>
    <w:rsid w:val="00A43595"/>
    <w:rsid w:val="00A4659C"/>
    <w:rsid w:val="00A46A8D"/>
    <w:rsid w:val="00A46AA9"/>
    <w:rsid w:val="00A46B74"/>
    <w:rsid w:val="00A50092"/>
    <w:rsid w:val="00A5092B"/>
    <w:rsid w:val="00A50CF0"/>
    <w:rsid w:val="00A51DB6"/>
    <w:rsid w:val="00A52AD9"/>
    <w:rsid w:val="00A5352C"/>
    <w:rsid w:val="00A53AC7"/>
    <w:rsid w:val="00A53B2B"/>
    <w:rsid w:val="00A55B65"/>
    <w:rsid w:val="00A56864"/>
    <w:rsid w:val="00A57C2F"/>
    <w:rsid w:val="00A600BC"/>
    <w:rsid w:val="00A61184"/>
    <w:rsid w:val="00A622AF"/>
    <w:rsid w:val="00A631E5"/>
    <w:rsid w:val="00A634FF"/>
    <w:rsid w:val="00A63A1A"/>
    <w:rsid w:val="00A63DEC"/>
    <w:rsid w:val="00A64B27"/>
    <w:rsid w:val="00A65122"/>
    <w:rsid w:val="00A653EC"/>
    <w:rsid w:val="00A65671"/>
    <w:rsid w:val="00A6588E"/>
    <w:rsid w:val="00A65DEE"/>
    <w:rsid w:val="00A66322"/>
    <w:rsid w:val="00A66B72"/>
    <w:rsid w:val="00A6707E"/>
    <w:rsid w:val="00A6753C"/>
    <w:rsid w:val="00A67BE6"/>
    <w:rsid w:val="00A67E51"/>
    <w:rsid w:val="00A70820"/>
    <w:rsid w:val="00A7162A"/>
    <w:rsid w:val="00A71876"/>
    <w:rsid w:val="00A71A84"/>
    <w:rsid w:val="00A73255"/>
    <w:rsid w:val="00A73533"/>
    <w:rsid w:val="00A73A03"/>
    <w:rsid w:val="00A73F95"/>
    <w:rsid w:val="00A74E9D"/>
    <w:rsid w:val="00A74EBE"/>
    <w:rsid w:val="00A758FE"/>
    <w:rsid w:val="00A767B7"/>
    <w:rsid w:val="00A80205"/>
    <w:rsid w:val="00A80EE7"/>
    <w:rsid w:val="00A8119E"/>
    <w:rsid w:val="00A8141D"/>
    <w:rsid w:val="00A81657"/>
    <w:rsid w:val="00A8374B"/>
    <w:rsid w:val="00A83B42"/>
    <w:rsid w:val="00A84553"/>
    <w:rsid w:val="00A85A05"/>
    <w:rsid w:val="00A85AAA"/>
    <w:rsid w:val="00A85EBA"/>
    <w:rsid w:val="00A86F0B"/>
    <w:rsid w:val="00A87AC2"/>
    <w:rsid w:val="00A909E9"/>
    <w:rsid w:val="00A911DA"/>
    <w:rsid w:val="00A91D68"/>
    <w:rsid w:val="00A92D63"/>
    <w:rsid w:val="00A92F11"/>
    <w:rsid w:val="00A94AEB"/>
    <w:rsid w:val="00A94DCF"/>
    <w:rsid w:val="00A95643"/>
    <w:rsid w:val="00A9633A"/>
    <w:rsid w:val="00A96DDC"/>
    <w:rsid w:val="00A97A27"/>
    <w:rsid w:val="00AA021B"/>
    <w:rsid w:val="00AA04E4"/>
    <w:rsid w:val="00AA0724"/>
    <w:rsid w:val="00AA1281"/>
    <w:rsid w:val="00AA3612"/>
    <w:rsid w:val="00AA39A4"/>
    <w:rsid w:val="00AA3BD4"/>
    <w:rsid w:val="00AA3F5F"/>
    <w:rsid w:val="00AA405C"/>
    <w:rsid w:val="00AA4092"/>
    <w:rsid w:val="00AA445D"/>
    <w:rsid w:val="00AA512E"/>
    <w:rsid w:val="00AA603A"/>
    <w:rsid w:val="00AA6EF1"/>
    <w:rsid w:val="00AA75E8"/>
    <w:rsid w:val="00AA7A0B"/>
    <w:rsid w:val="00AA7B29"/>
    <w:rsid w:val="00AA7E74"/>
    <w:rsid w:val="00AB0285"/>
    <w:rsid w:val="00AB075E"/>
    <w:rsid w:val="00AB1677"/>
    <w:rsid w:val="00AB1B95"/>
    <w:rsid w:val="00AB1DAC"/>
    <w:rsid w:val="00AB3503"/>
    <w:rsid w:val="00AB3CE1"/>
    <w:rsid w:val="00AB3E78"/>
    <w:rsid w:val="00AB4723"/>
    <w:rsid w:val="00AB55DE"/>
    <w:rsid w:val="00AB5C8F"/>
    <w:rsid w:val="00AB66DA"/>
    <w:rsid w:val="00AB7021"/>
    <w:rsid w:val="00AB7285"/>
    <w:rsid w:val="00AB793F"/>
    <w:rsid w:val="00AB7BF3"/>
    <w:rsid w:val="00AC0581"/>
    <w:rsid w:val="00AC08A3"/>
    <w:rsid w:val="00AC1194"/>
    <w:rsid w:val="00AC143C"/>
    <w:rsid w:val="00AC2B48"/>
    <w:rsid w:val="00AC3123"/>
    <w:rsid w:val="00AC6137"/>
    <w:rsid w:val="00AC6396"/>
    <w:rsid w:val="00AC64D5"/>
    <w:rsid w:val="00AC6616"/>
    <w:rsid w:val="00AC678B"/>
    <w:rsid w:val="00AC6A82"/>
    <w:rsid w:val="00AD0118"/>
    <w:rsid w:val="00AD0628"/>
    <w:rsid w:val="00AD1A03"/>
    <w:rsid w:val="00AD2548"/>
    <w:rsid w:val="00AD297B"/>
    <w:rsid w:val="00AD2D16"/>
    <w:rsid w:val="00AD3460"/>
    <w:rsid w:val="00AD36A3"/>
    <w:rsid w:val="00AD473C"/>
    <w:rsid w:val="00AD5167"/>
    <w:rsid w:val="00AD5D55"/>
    <w:rsid w:val="00AD6B29"/>
    <w:rsid w:val="00AD7F50"/>
    <w:rsid w:val="00AD7F65"/>
    <w:rsid w:val="00AE07B7"/>
    <w:rsid w:val="00AE0B85"/>
    <w:rsid w:val="00AE0E73"/>
    <w:rsid w:val="00AE23DF"/>
    <w:rsid w:val="00AE2BC7"/>
    <w:rsid w:val="00AE3EB5"/>
    <w:rsid w:val="00AE5A86"/>
    <w:rsid w:val="00AE5B5C"/>
    <w:rsid w:val="00AE5F13"/>
    <w:rsid w:val="00AE6629"/>
    <w:rsid w:val="00AE6A8D"/>
    <w:rsid w:val="00AE6D6B"/>
    <w:rsid w:val="00AF08A1"/>
    <w:rsid w:val="00AF08AE"/>
    <w:rsid w:val="00AF0B7D"/>
    <w:rsid w:val="00AF169A"/>
    <w:rsid w:val="00AF1FC6"/>
    <w:rsid w:val="00AF243A"/>
    <w:rsid w:val="00AF2A6A"/>
    <w:rsid w:val="00AF60DA"/>
    <w:rsid w:val="00AF615F"/>
    <w:rsid w:val="00AF75A8"/>
    <w:rsid w:val="00AF7645"/>
    <w:rsid w:val="00B0060D"/>
    <w:rsid w:val="00B008FA"/>
    <w:rsid w:val="00B01568"/>
    <w:rsid w:val="00B01C15"/>
    <w:rsid w:val="00B029D0"/>
    <w:rsid w:val="00B02A8D"/>
    <w:rsid w:val="00B02D36"/>
    <w:rsid w:val="00B030EB"/>
    <w:rsid w:val="00B0349C"/>
    <w:rsid w:val="00B03AFC"/>
    <w:rsid w:val="00B042BC"/>
    <w:rsid w:val="00B0493B"/>
    <w:rsid w:val="00B04C52"/>
    <w:rsid w:val="00B05042"/>
    <w:rsid w:val="00B054B5"/>
    <w:rsid w:val="00B0565F"/>
    <w:rsid w:val="00B0613D"/>
    <w:rsid w:val="00B062DC"/>
    <w:rsid w:val="00B06912"/>
    <w:rsid w:val="00B06CCA"/>
    <w:rsid w:val="00B07626"/>
    <w:rsid w:val="00B076F8"/>
    <w:rsid w:val="00B117CB"/>
    <w:rsid w:val="00B11982"/>
    <w:rsid w:val="00B11D3E"/>
    <w:rsid w:val="00B132E9"/>
    <w:rsid w:val="00B14284"/>
    <w:rsid w:val="00B15379"/>
    <w:rsid w:val="00B15EC7"/>
    <w:rsid w:val="00B16133"/>
    <w:rsid w:val="00B16BB8"/>
    <w:rsid w:val="00B16DDB"/>
    <w:rsid w:val="00B17044"/>
    <w:rsid w:val="00B179DB"/>
    <w:rsid w:val="00B202F5"/>
    <w:rsid w:val="00B20823"/>
    <w:rsid w:val="00B21049"/>
    <w:rsid w:val="00B2217A"/>
    <w:rsid w:val="00B2244A"/>
    <w:rsid w:val="00B24260"/>
    <w:rsid w:val="00B2443F"/>
    <w:rsid w:val="00B249D0"/>
    <w:rsid w:val="00B24A4A"/>
    <w:rsid w:val="00B25463"/>
    <w:rsid w:val="00B25ECB"/>
    <w:rsid w:val="00B269E1"/>
    <w:rsid w:val="00B26D7C"/>
    <w:rsid w:val="00B26FDB"/>
    <w:rsid w:val="00B27501"/>
    <w:rsid w:val="00B30A39"/>
    <w:rsid w:val="00B31A61"/>
    <w:rsid w:val="00B31DE9"/>
    <w:rsid w:val="00B33781"/>
    <w:rsid w:val="00B33B00"/>
    <w:rsid w:val="00B33E36"/>
    <w:rsid w:val="00B34982"/>
    <w:rsid w:val="00B358B6"/>
    <w:rsid w:val="00B36165"/>
    <w:rsid w:val="00B37087"/>
    <w:rsid w:val="00B37439"/>
    <w:rsid w:val="00B374C9"/>
    <w:rsid w:val="00B37C23"/>
    <w:rsid w:val="00B42B14"/>
    <w:rsid w:val="00B4391A"/>
    <w:rsid w:val="00B43C2F"/>
    <w:rsid w:val="00B44788"/>
    <w:rsid w:val="00B456EC"/>
    <w:rsid w:val="00B4672E"/>
    <w:rsid w:val="00B475C9"/>
    <w:rsid w:val="00B47821"/>
    <w:rsid w:val="00B47952"/>
    <w:rsid w:val="00B47B7D"/>
    <w:rsid w:val="00B47D06"/>
    <w:rsid w:val="00B50B85"/>
    <w:rsid w:val="00B51227"/>
    <w:rsid w:val="00B512FC"/>
    <w:rsid w:val="00B51E4C"/>
    <w:rsid w:val="00B52469"/>
    <w:rsid w:val="00B542F3"/>
    <w:rsid w:val="00B55409"/>
    <w:rsid w:val="00B556F8"/>
    <w:rsid w:val="00B557B4"/>
    <w:rsid w:val="00B55E7D"/>
    <w:rsid w:val="00B56608"/>
    <w:rsid w:val="00B56E72"/>
    <w:rsid w:val="00B57C34"/>
    <w:rsid w:val="00B57EC0"/>
    <w:rsid w:val="00B6018C"/>
    <w:rsid w:val="00B608EA"/>
    <w:rsid w:val="00B60C3D"/>
    <w:rsid w:val="00B6159F"/>
    <w:rsid w:val="00B617FE"/>
    <w:rsid w:val="00B624D3"/>
    <w:rsid w:val="00B63648"/>
    <w:rsid w:val="00B64045"/>
    <w:rsid w:val="00B64891"/>
    <w:rsid w:val="00B64B78"/>
    <w:rsid w:val="00B65E70"/>
    <w:rsid w:val="00B66802"/>
    <w:rsid w:val="00B669EB"/>
    <w:rsid w:val="00B67142"/>
    <w:rsid w:val="00B70378"/>
    <w:rsid w:val="00B7077B"/>
    <w:rsid w:val="00B70887"/>
    <w:rsid w:val="00B70917"/>
    <w:rsid w:val="00B70DB3"/>
    <w:rsid w:val="00B70EEF"/>
    <w:rsid w:val="00B7149F"/>
    <w:rsid w:val="00B72408"/>
    <w:rsid w:val="00B72614"/>
    <w:rsid w:val="00B72670"/>
    <w:rsid w:val="00B72792"/>
    <w:rsid w:val="00B73598"/>
    <w:rsid w:val="00B7389E"/>
    <w:rsid w:val="00B738BA"/>
    <w:rsid w:val="00B738FF"/>
    <w:rsid w:val="00B739BC"/>
    <w:rsid w:val="00B74127"/>
    <w:rsid w:val="00B74CEA"/>
    <w:rsid w:val="00B75EBC"/>
    <w:rsid w:val="00B75F56"/>
    <w:rsid w:val="00B7646E"/>
    <w:rsid w:val="00B76E96"/>
    <w:rsid w:val="00B771F5"/>
    <w:rsid w:val="00B77E28"/>
    <w:rsid w:val="00B8043A"/>
    <w:rsid w:val="00B80D06"/>
    <w:rsid w:val="00B814A5"/>
    <w:rsid w:val="00B821E5"/>
    <w:rsid w:val="00B8407D"/>
    <w:rsid w:val="00B855EF"/>
    <w:rsid w:val="00B86DD9"/>
    <w:rsid w:val="00B87854"/>
    <w:rsid w:val="00B8794C"/>
    <w:rsid w:val="00B90703"/>
    <w:rsid w:val="00B91057"/>
    <w:rsid w:val="00B91315"/>
    <w:rsid w:val="00B913DA"/>
    <w:rsid w:val="00B91A53"/>
    <w:rsid w:val="00B9249A"/>
    <w:rsid w:val="00B92718"/>
    <w:rsid w:val="00B92802"/>
    <w:rsid w:val="00B93231"/>
    <w:rsid w:val="00B93A42"/>
    <w:rsid w:val="00B94910"/>
    <w:rsid w:val="00B949BC"/>
    <w:rsid w:val="00B94C64"/>
    <w:rsid w:val="00B95DB0"/>
    <w:rsid w:val="00B96D23"/>
    <w:rsid w:val="00BA0199"/>
    <w:rsid w:val="00BA0260"/>
    <w:rsid w:val="00BA1230"/>
    <w:rsid w:val="00BA1627"/>
    <w:rsid w:val="00BA261B"/>
    <w:rsid w:val="00BA3CF2"/>
    <w:rsid w:val="00BA3DE3"/>
    <w:rsid w:val="00BA43C9"/>
    <w:rsid w:val="00BA4B47"/>
    <w:rsid w:val="00BA58F9"/>
    <w:rsid w:val="00BA5948"/>
    <w:rsid w:val="00BA6039"/>
    <w:rsid w:val="00BA6BA2"/>
    <w:rsid w:val="00BA6E34"/>
    <w:rsid w:val="00BA7774"/>
    <w:rsid w:val="00BB08CE"/>
    <w:rsid w:val="00BB0946"/>
    <w:rsid w:val="00BB0AB7"/>
    <w:rsid w:val="00BB151E"/>
    <w:rsid w:val="00BB153D"/>
    <w:rsid w:val="00BB18F9"/>
    <w:rsid w:val="00BB2B35"/>
    <w:rsid w:val="00BB2D12"/>
    <w:rsid w:val="00BB2D80"/>
    <w:rsid w:val="00BB2E6F"/>
    <w:rsid w:val="00BB5698"/>
    <w:rsid w:val="00BB5D20"/>
    <w:rsid w:val="00BB5D6F"/>
    <w:rsid w:val="00BB5F83"/>
    <w:rsid w:val="00BB6773"/>
    <w:rsid w:val="00BB711E"/>
    <w:rsid w:val="00BC009F"/>
    <w:rsid w:val="00BC0524"/>
    <w:rsid w:val="00BC0E02"/>
    <w:rsid w:val="00BC1062"/>
    <w:rsid w:val="00BC114E"/>
    <w:rsid w:val="00BC123D"/>
    <w:rsid w:val="00BC144C"/>
    <w:rsid w:val="00BC2A30"/>
    <w:rsid w:val="00BC3466"/>
    <w:rsid w:val="00BC4750"/>
    <w:rsid w:val="00BC5123"/>
    <w:rsid w:val="00BC57F3"/>
    <w:rsid w:val="00BC5918"/>
    <w:rsid w:val="00BC5E91"/>
    <w:rsid w:val="00BC5E93"/>
    <w:rsid w:val="00BC6B20"/>
    <w:rsid w:val="00BC6EF3"/>
    <w:rsid w:val="00BC714F"/>
    <w:rsid w:val="00BC7670"/>
    <w:rsid w:val="00BC7E76"/>
    <w:rsid w:val="00BC7FFB"/>
    <w:rsid w:val="00BD09E8"/>
    <w:rsid w:val="00BD11B4"/>
    <w:rsid w:val="00BD449F"/>
    <w:rsid w:val="00BD472B"/>
    <w:rsid w:val="00BD572B"/>
    <w:rsid w:val="00BD575D"/>
    <w:rsid w:val="00BD5DA0"/>
    <w:rsid w:val="00BE0626"/>
    <w:rsid w:val="00BE0ACB"/>
    <w:rsid w:val="00BE1311"/>
    <w:rsid w:val="00BE1487"/>
    <w:rsid w:val="00BE2BF6"/>
    <w:rsid w:val="00BE35B3"/>
    <w:rsid w:val="00BE4562"/>
    <w:rsid w:val="00BE497E"/>
    <w:rsid w:val="00BE56FB"/>
    <w:rsid w:val="00BE7502"/>
    <w:rsid w:val="00BE772D"/>
    <w:rsid w:val="00BF0329"/>
    <w:rsid w:val="00BF13ED"/>
    <w:rsid w:val="00BF18E6"/>
    <w:rsid w:val="00BF21D4"/>
    <w:rsid w:val="00BF3B44"/>
    <w:rsid w:val="00BF57D2"/>
    <w:rsid w:val="00BF5D5E"/>
    <w:rsid w:val="00C00FDA"/>
    <w:rsid w:val="00C0105E"/>
    <w:rsid w:val="00C02844"/>
    <w:rsid w:val="00C02B1F"/>
    <w:rsid w:val="00C0332E"/>
    <w:rsid w:val="00C03FE2"/>
    <w:rsid w:val="00C040F8"/>
    <w:rsid w:val="00C058D6"/>
    <w:rsid w:val="00C05CE0"/>
    <w:rsid w:val="00C06888"/>
    <w:rsid w:val="00C06BC2"/>
    <w:rsid w:val="00C06C7C"/>
    <w:rsid w:val="00C07AD1"/>
    <w:rsid w:val="00C07C4F"/>
    <w:rsid w:val="00C106D7"/>
    <w:rsid w:val="00C1140A"/>
    <w:rsid w:val="00C118C6"/>
    <w:rsid w:val="00C11BBB"/>
    <w:rsid w:val="00C12E7F"/>
    <w:rsid w:val="00C12F9D"/>
    <w:rsid w:val="00C13685"/>
    <w:rsid w:val="00C138E0"/>
    <w:rsid w:val="00C149CD"/>
    <w:rsid w:val="00C14CF1"/>
    <w:rsid w:val="00C15DD9"/>
    <w:rsid w:val="00C16604"/>
    <w:rsid w:val="00C17290"/>
    <w:rsid w:val="00C1744D"/>
    <w:rsid w:val="00C17D1A"/>
    <w:rsid w:val="00C2041B"/>
    <w:rsid w:val="00C206DC"/>
    <w:rsid w:val="00C2092F"/>
    <w:rsid w:val="00C20DCD"/>
    <w:rsid w:val="00C20F39"/>
    <w:rsid w:val="00C22B11"/>
    <w:rsid w:val="00C230A7"/>
    <w:rsid w:val="00C23282"/>
    <w:rsid w:val="00C239C2"/>
    <w:rsid w:val="00C23E3A"/>
    <w:rsid w:val="00C24251"/>
    <w:rsid w:val="00C24742"/>
    <w:rsid w:val="00C24E83"/>
    <w:rsid w:val="00C26C56"/>
    <w:rsid w:val="00C31001"/>
    <w:rsid w:val="00C3194A"/>
    <w:rsid w:val="00C31BEA"/>
    <w:rsid w:val="00C33517"/>
    <w:rsid w:val="00C3373D"/>
    <w:rsid w:val="00C33B1D"/>
    <w:rsid w:val="00C34505"/>
    <w:rsid w:val="00C353EE"/>
    <w:rsid w:val="00C36879"/>
    <w:rsid w:val="00C37263"/>
    <w:rsid w:val="00C409E8"/>
    <w:rsid w:val="00C43308"/>
    <w:rsid w:val="00C44176"/>
    <w:rsid w:val="00C449C9"/>
    <w:rsid w:val="00C469D7"/>
    <w:rsid w:val="00C469DC"/>
    <w:rsid w:val="00C46FD7"/>
    <w:rsid w:val="00C4760B"/>
    <w:rsid w:val="00C509F2"/>
    <w:rsid w:val="00C50FBE"/>
    <w:rsid w:val="00C51643"/>
    <w:rsid w:val="00C51C83"/>
    <w:rsid w:val="00C51E46"/>
    <w:rsid w:val="00C5224A"/>
    <w:rsid w:val="00C5279F"/>
    <w:rsid w:val="00C52CFE"/>
    <w:rsid w:val="00C535AE"/>
    <w:rsid w:val="00C5368A"/>
    <w:rsid w:val="00C5412D"/>
    <w:rsid w:val="00C57331"/>
    <w:rsid w:val="00C61439"/>
    <w:rsid w:val="00C61941"/>
    <w:rsid w:val="00C61981"/>
    <w:rsid w:val="00C62634"/>
    <w:rsid w:val="00C63548"/>
    <w:rsid w:val="00C659A1"/>
    <w:rsid w:val="00C65C09"/>
    <w:rsid w:val="00C66345"/>
    <w:rsid w:val="00C668DB"/>
    <w:rsid w:val="00C66924"/>
    <w:rsid w:val="00C7025D"/>
    <w:rsid w:val="00C71622"/>
    <w:rsid w:val="00C717BB"/>
    <w:rsid w:val="00C71C70"/>
    <w:rsid w:val="00C72124"/>
    <w:rsid w:val="00C72CD3"/>
    <w:rsid w:val="00C72DD5"/>
    <w:rsid w:val="00C73586"/>
    <w:rsid w:val="00C73C3E"/>
    <w:rsid w:val="00C74085"/>
    <w:rsid w:val="00C7419B"/>
    <w:rsid w:val="00C74260"/>
    <w:rsid w:val="00C74667"/>
    <w:rsid w:val="00C74693"/>
    <w:rsid w:val="00C75581"/>
    <w:rsid w:val="00C7570B"/>
    <w:rsid w:val="00C75A05"/>
    <w:rsid w:val="00C764EA"/>
    <w:rsid w:val="00C76ECA"/>
    <w:rsid w:val="00C7789A"/>
    <w:rsid w:val="00C8007B"/>
    <w:rsid w:val="00C810E0"/>
    <w:rsid w:val="00C82253"/>
    <w:rsid w:val="00C828F0"/>
    <w:rsid w:val="00C83C75"/>
    <w:rsid w:val="00C847C8"/>
    <w:rsid w:val="00C85586"/>
    <w:rsid w:val="00C865F3"/>
    <w:rsid w:val="00C90A03"/>
    <w:rsid w:val="00C9170A"/>
    <w:rsid w:val="00C93AB6"/>
    <w:rsid w:val="00C9490B"/>
    <w:rsid w:val="00C952F1"/>
    <w:rsid w:val="00C953BC"/>
    <w:rsid w:val="00C95694"/>
    <w:rsid w:val="00C956AE"/>
    <w:rsid w:val="00C95E24"/>
    <w:rsid w:val="00C96403"/>
    <w:rsid w:val="00C96802"/>
    <w:rsid w:val="00C96F4A"/>
    <w:rsid w:val="00C97348"/>
    <w:rsid w:val="00C977AC"/>
    <w:rsid w:val="00CA079E"/>
    <w:rsid w:val="00CA10C9"/>
    <w:rsid w:val="00CA1287"/>
    <w:rsid w:val="00CA1455"/>
    <w:rsid w:val="00CA1C42"/>
    <w:rsid w:val="00CA3B31"/>
    <w:rsid w:val="00CA4E82"/>
    <w:rsid w:val="00CA50EC"/>
    <w:rsid w:val="00CA6330"/>
    <w:rsid w:val="00CA748F"/>
    <w:rsid w:val="00CA7B7B"/>
    <w:rsid w:val="00CA7FD7"/>
    <w:rsid w:val="00CB06FC"/>
    <w:rsid w:val="00CB14A0"/>
    <w:rsid w:val="00CB18FE"/>
    <w:rsid w:val="00CB2113"/>
    <w:rsid w:val="00CB23AC"/>
    <w:rsid w:val="00CB2DFF"/>
    <w:rsid w:val="00CB45E2"/>
    <w:rsid w:val="00CB48C2"/>
    <w:rsid w:val="00CB4AA6"/>
    <w:rsid w:val="00CB5088"/>
    <w:rsid w:val="00CB5565"/>
    <w:rsid w:val="00CB556E"/>
    <w:rsid w:val="00CB558C"/>
    <w:rsid w:val="00CB611E"/>
    <w:rsid w:val="00CB7837"/>
    <w:rsid w:val="00CB7EDD"/>
    <w:rsid w:val="00CC0322"/>
    <w:rsid w:val="00CC0DA6"/>
    <w:rsid w:val="00CC2B83"/>
    <w:rsid w:val="00CC32B6"/>
    <w:rsid w:val="00CC32C8"/>
    <w:rsid w:val="00CC3C90"/>
    <w:rsid w:val="00CC406F"/>
    <w:rsid w:val="00CC528B"/>
    <w:rsid w:val="00CC6CA2"/>
    <w:rsid w:val="00CC7D06"/>
    <w:rsid w:val="00CD0CB2"/>
    <w:rsid w:val="00CD13D6"/>
    <w:rsid w:val="00CD17EA"/>
    <w:rsid w:val="00CD1905"/>
    <w:rsid w:val="00CD2187"/>
    <w:rsid w:val="00CD27E5"/>
    <w:rsid w:val="00CD290B"/>
    <w:rsid w:val="00CD3124"/>
    <w:rsid w:val="00CD312F"/>
    <w:rsid w:val="00CD34F2"/>
    <w:rsid w:val="00CD3F81"/>
    <w:rsid w:val="00CD40DB"/>
    <w:rsid w:val="00CD4EF7"/>
    <w:rsid w:val="00CD5CC4"/>
    <w:rsid w:val="00CD5FCC"/>
    <w:rsid w:val="00CD682C"/>
    <w:rsid w:val="00CD6AB7"/>
    <w:rsid w:val="00CE02D5"/>
    <w:rsid w:val="00CE173E"/>
    <w:rsid w:val="00CE1FEC"/>
    <w:rsid w:val="00CE2831"/>
    <w:rsid w:val="00CE2F3C"/>
    <w:rsid w:val="00CE3542"/>
    <w:rsid w:val="00CE3CA8"/>
    <w:rsid w:val="00CE3F2F"/>
    <w:rsid w:val="00CE6695"/>
    <w:rsid w:val="00CE6E70"/>
    <w:rsid w:val="00CE710B"/>
    <w:rsid w:val="00CE76AA"/>
    <w:rsid w:val="00CF24D0"/>
    <w:rsid w:val="00CF2D8B"/>
    <w:rsid w:val="00CF3B17"/>
    <w:rsid w:val="00CF3B3F"/>
    <w:rsid w:val="00CF4CBF"/>
    <w:rsid w:val="00CF5348"/>
    <w:rsid w:val="00CF5CA3"/>
    <w:rsid w:val="00CF7299"/>
    <w:rsid w:val="00CF7303"/>
    <w:rsid w:val="00CF78A1"/>
    <w:rsid w:val="00CF78AD"/>
    <w:rsid w:val="00D00937"/>
    <w:rsid w:val="00D01501"/>
    <w:rsid w:val="00D023A5"/>
    <w:rsid w:val="00D030F8"/>
    <w:rsid w:val="00D03579"/>
    <w:rsid w:val="00D03A9B"/>
    <w:rsid w:val="00D03B35"/>
    <w:rsid w:val="00D03F7C"/>
    <w:rsid w:val="00D044FE"/>
    <w:rsid w:val="00D0565D"/>
    <w:rsid w:val="00D0588E"/>
    <w:rsid w:val="00D06D50"/>
    <w:rsid w:val="00D06FCA"/>
    <w:rsid w:val="00D07F08"/>
    <w:rsid w:val="00D109D6"/>
    <w:rsid w:val="00D10E73"/>
    <w:rsid w:val="00D110A9"/>
    <w:rsid w:val="00D11B70"/>
    <w:rsid w:val="00D121B3"/>
    <w:rsid w:val="00D14118"/>
    <w:rsid w:val="00D15B1A"/>
    <w:rsid w:val="00D16223"/>
    <w:rsid w:val="00D162CB"/>
    <w:rsid w:val="00D1679D"/>
    <w:rsid w:val="00D172EB"/>
    <w:rsid w:val="00D17F48"/>
    <w:rsid w:val="00D17FD9"/>
    <w:rsid w:val="00D21194"/>
    <w:rsid w:val="00D21B75"/>
    <w:rsid w:val="00D23618"/>
    <w:rsid w:val="00D246C1"/>
    <w:rsid w:val="00D25424"/>
    <w:rsid w:val="00D2542E"/>
    <w:rsid w:val="00D2647E"/>
    <w:rsid w:val="00D2674F"/>
    <w:rsid w:val="00D27304"/>
    <w:rsid w:val="00D31A2C"/>
    <w:rsid w:val="00D32ADA"/>
    <w:rsid w:val="00D32AE1"/>
    <w:rsid w:val="00D331CD"/>
    <w:rsid w:val="00D347AB"/>
    <w:rsid w:val="00D35293"/>
    <w:rsid w:val="00D35B8F"/>
    <w:rsid w:val="00D35C47"/>
    <w:rsid w:val="00D35EC4"/>
    <w:rsid w:val="00D36A32"/>
    <w:rsid w:val="00D37B9B"/>
    <w:rsid w:val="00D37C88"/>
    <w:rsid w:val="00D4027A"/>
    <w:rsid w:val="00D40CCF"/>
    <w:rsid w:val="00D4109E"/>
    <w:rsid w:val="00D41154"/>
    <w:rsid w:val="00D413A9"/>
    <w:rsid w:val="00D41722"/>
    <w:rsid w:val="00D4242C"/>
    <w:rsid w:val="00D42BF7"/>
    <w:rsid w:val="00D42CE7"/>
    <w:rsid w:val="00D42FD5"/>
    <w:rsid w:val="00D441C4"/>
    <w:rsid w:val="00D444DB"/>
    <w:rsid w:val="00D45274"/>
    <w:rsid w:val="00D45387"/>
    <w:rsid w:val="00D479C9"/>
    <w:rsid w:val="00D511A6"/>
    <w:rsid w:val="00D511D6"/>
    <w:rsid w:val="00D5207B"/>
    <w:rsid w:val="00D5250D"/>
    <w:rsid w:val="00D52DC7"/>
    <w:rsid w:val="00D52F14"/>
    <w:rsid w:val="00D53BBC"/>
    <w:rsid w:val="00D53D76"/>
    <w:rsid w:val="00D53ECB"/>
    <w:rsid w:val="00D53F5D"/>
    <w:rsid w:val="00D55AFB"/>
    <w:rsid w:val="00D55B2F"/>
    <w:rsid w:val="00D55C06"/>
    <w:rsid w:val="00D56852"/>
    <w:rsid w:val="00D56DE3"/>
    <w:rsid w:val="00D57EEB"/>
    <w:rsid w:val="00D57F88"/>
    <w:rsid w:val="00D600FC"/>
    <w:rsid w:val="00D60D91"/>
    <w:rsid w:val="00D619AB"/>
    <w:rsid w:val="00D62684"/>
    <w:rsid w:val="00D63350"/>
    <w:rsid w:val="00D635BA"/>
    <w:rsid w:val="00D6439C"/>
    <w:rsid w:val="00D64BA1"/>
    <w:rsid w:val="00D64C65"/>
    <w:rsid w:val="00D65612"/>
    <w:rsid w:val="00D6643F"/>
    <w:rsid w:val="00D66C2E"/>
    <w:rsid w:val="00D6731A"/>
    <w:rsid w:val="00D702FA"/>
    <w:rsid w:val="00D72068"/>
    <w:rsid w:val="00D7227F"/>
    <w:rsid w:val="00D741F5"/>
    <w:rsid w:val="00D7451D"/>
    <w:rsid w:val="00D74D2A"/>
    <w:rsid w:val="00D757F1"/>
    <w:rsid w:val="00D75C83"/>
    <w:rsid w:val="00D769BD"/>
    <w:rsid w:val="00D769F3"/>
    <w:rsid w:val="00D8024A"/>
    <w:rsid w:val="00D80C22"/>
    <w:rsid w:val="00D81A02"/>
    <w:rsid w:val="00D81F22"/>
    <w:rsid w:val="00D82FBB"/>
    <w:rsid w:val="00D834B0"/>
    <w:rsid w:val="00D83779"/>
    <w:rsid w:val="00D84426"/>
    <w:rsid w:val="00D84A22"/>
    <w:rsid w:val="00D861D3"/>
    <w:rsid w:val="00D8779B"/>
    <w:rsid w:val="00D87E8F"/>
    <w:rsid w:val="00D9122E"/>
    <w:rsid w:val="00D91934"/>
    <w:rsid w:val="00D92CA3"/>
    <w:rsid w:val="00D933F6"/>
    <w:rsid w:val="00D93572"/>
    <w:rsid w:val="00D9368C"/>
    <w:rsid w:val="00D938C0"/>
    <w:rsid w:val="00D9392F"/>
    <w:rsid w:val="00D93E42"/>
    <w:rsid w:val="00D94417"/>
    <w:rsid w:val="00D94FD6"/>
    <w:rsid w:val="00D95E2C"/>
    <w:rsid w:val="00D95EE2"/>
    <w:rsid w:val="00D95F85"/>
    <w:rsid w:val="00D96104"/>
    <w:rsid w:val="00DA00F3"/>
    <w:rsid w:val="00DA0403"/>
    <w:rsid w:val="00DA061B"/>
    <w:rsid w:val="00DA1952"/>
    <w:rsid w:val="00DA1BFA"/>
    <w:rsid w:val="00DA1F89"/>
    <w:rsid w:val="00DA3E22"/>
    <w:rsid w:val="00DA466C"/>
    <w:rsid w:val="00DA5728"/>
    <w:rsid w:val="00DA5FEA"/>
    <w:rsid w:val="00DA605D"/>
    <w:rsid w:val="00DA7664"/>
    <w:rsid w:val="00DA773C"/>
    <w:rsid w:val="00DA7AF4"/>
    <w:rsid w:val="00DA7CD4"/>
    <w:rsid w:val="00DB0590"/>
    <w:rsid w:val="00DB13FC"/>
    <w:rsid w:val="00DB1591"/>
    <w:rsid w:val="00DB15B3"/>
    <w:rsid w:val="00DB346D"/>
    <w:rsid w:val="00DB4247"/>
    <w:rsid w:val="00DB4BD7"/>
    <w:rsid w:val="00DB5382"/>
    <w:rsid w:val="00DB563C"/>
    <w:rsid w:val="00DB715D"/>
    <w:rsid w:val="00DB77D5"/>
    <w:rsid w:val="00DB7E4C"/>
    <w:rsid w:val="00DB7FF1"/>
    <w:rsid w:val="00DC0CDA"/>
    <w:rsid w:val="00DC189A"/>
    <w:rsid w:val="00DC2A4E"/>
    <w:rsid w:val="00DC5C89"/>
    <w:rsid w:val="00DC73A0"/>
    <w:rsid w:val="00DD1063"/>
    <w:rsid w:val="00DD1074"/>
    <w:rsid w:val="00DD1167"/>
    <w:rsid w:val="00DD283C"/>
    <w:rsid w:val="00DD3FFD"/>
    <w:rsid w:val="00DD4DDF"/>
    <w:rsid w:val="00DD5A59"/>
    <w:rsid w:val="00DD6F42"/>
    <w:rsid w:val="00DD76E0"/>
    <w:rsid w:val="00DD7F11"/>
    <w:rsid w:val="00DE030B"/>
    <w:rsid w:val="00DE10DC"/>
    <w:rsid w:val="00DE1B59"/>
    <w:rsid w:val="00DE35AA"/>
    <w:rsid w:val="00DE3636"/>
    <w:rsid w:val="00DE41D9"/>
    <w:rsid w:val="00DE54F9"/>
    <w:rsid w:val="00DE5B6B"/>
    <w:rsid w:val="00DE5FAF"/>
    <w:rsid w:val="00DE662C"/>
    <w:rsid w:val="00DE6741"/>
    <w:rsid w:val="00DE722D"/>
    <w:rsid w:val="00DE7DBC"/>
    <w:rsid w:val="00DF05D1"/>
    <w:rsid w:val="00DF0B08"/>
    <w:rsid w:val="00DF0E70"/>
    <w:rsid w:val="00DF1481"/>
    <w:rsid w:val="00DF22FD"/>
    <w:rsid w:val="00DF2F3D"/>
    <w:rsid w:val="00DF37C8"/>
    <w:rsid w:val="00DF5C4A"/>
    <w:rsid w:val="00DF6640"/>
    <w:rsid w:val="00DF758C"/>
    <w:rsid w:val="00E01137"/>
    <w:rsid w:val="00E01376"/>
    <w:rsid w:val="00E01919"/>
    <w:rsid w:val="00E03482"/>
    <w:rsid w:val="00E039E8"/>
    <w:rsid w:val="00E042D8"/>
    <w:rsid w:val="00E045F9"/>
    <w:rsid w:val="00E04907"/>
    <w:rsid w:val="00E04B82"/>
    <w:rsid w:val="00E04D4F"/>
    <w:rsid w:val="00E0654A"/>
    <w:rsid w:val="00E072D2"/>
    <w:rsid w:val="00E07546"/>
    <w:rsid w:val="00E07EE4"/>
    <w:rsid w:val="00E100D4"/>
    <w:rsid w:val="00E10125"/>
    <w:rsid w:val="00E118F7"/>
    <w:rsid w:val="00E1217C"/>
    <w:rsid w:val="00E1364E"/>
    <w:rsid w:val="00E137B5"/>
    <w:rsid w:val="00E13C63"/>
    <w:rsid w:val="00E14B5B"/>
    <w:rsid w:val="00E15389"/>
    <w:rsid w:val="00E15B9E"/>
    <w:rsid w:val="00E1696C"/>
    <w:rsid w:val="00E16F4B"/>
    <w:rsid w:val="00E176FA"/>
    <w:rsid w:val="00E17B4B"/>
    <w:rsid w:val="00E17BAB"/>
    <w:rsid w:val="00E2015E"/>
    <w:rsid w:val="00E20B62"/>
    <w:rsid w:val="00E20D35"/>
    <w:rsid w:val="00E20F9A"/>
    <w:rsid w:val="00E217E4"/>
    <w:rsid w:val="00E23909"/>
    <w:rsid w:val="00E2685C"/>
    <w:rsid w:val="00E26999"/>
    <w:rsid w:val="00E273CD"/>
    <w:rsid w:val="00E274C9"/>
    <w:rsid w:val="00E3096D"/>
    <w:rsid w:val="00E30A79"/>
    <w:rsid w:val="00E30E8F"/>
    <w:rsid w:val="00E31AD7"/>
    <w:rsid w:val="00E322F7"/>
    <w:rsid w:val="00E33795"/>
    <w:rsid w:val="00E337FA"/>
    <w:rsid w:val="00E34277"/>
    <w:rsid w:val="00E34E5F"/>
    <w:rsid w:val="00E36080"/>
    <w:rsid w:val="00E362D4"/>
    <w:rsid w:val="00E3650A"/>
    <w:rsid w:val="00E37A6D"/>
    <w:rsid w:val="00E40B8D"/>
    <w:rsid w:val="00E40FAB"/>
    <w:rsid w:val="00E42AC0"/>
    <w:rsid w:val="00E4300C"/>
    <w:rsid w:val="00E43D67"/>
    <w:rsid w:val="00E45625"/>
    <w:rsid w:val="00E457EA"/>
    <w:rsid w:val="00E46754"/>
    <w:rsid w:val="00E4696D"/>
    <w:rsid w:val="00E47068"/>
    <w:rsid w:val="00E474CC"/>
    <w:rsid w:val="00E47634"/>
    <w:rsid w:val="00E502DC"/>
    <w:rsid w:val="00E511DC"/>
    <w:rsid w:val="00E534D0"/>
    <w:rsid w:val="00E53C9B"/>
    <w:rsid w:val="00E544C6"/>
    <w:rsid w:val="00E549DE"/>
    <w:rsid w:val="00E54EC4"/>
    <w:rsid w:val="00E54FFA"/>
    <w:rsid w:val="00E55F74"/>
    <w:rsid w:val="00E5615F"/>
    <w:rsid w:val="00E564B0"/>
    <w:rsid w:val="00E56ADA"/>
    <w:rsid w:val="00E56EAB"/>
    <w:rsid w:val="00E57397"/>
    <w:rsid w:val="00E6180A"/>
    <w:rsid w:val="00E618AE"/>
    <w:rsid w:val="00E61961"/>
    <w:rsid w:val="00E622F7"/>
    <w:rsid w:val="00E638CE"/>
    <w:rsid w:val="00E63D98"/>
    <w:rsid w:val="00E64DEB"/>
    <w:rsid w:val="00E64EED"/>
    <w:rsid w:val="00E65B7D"/>
    <w:rsid w:val="00E67FB4"/>
    <w:rsid w:val="00E70188"/>
    <w:rsid w:val="00E70C46"/>
    <w:rsid w:val="00E752D9"/>
    <w:rsid w:val="00E75934"/>
    <w:rsid w:val="00E75A06"/>
    <w:rsid w:val="00E762A9"/>
    <w:rsid w:val="00E76498"/>
    <w:rsid w:val="00E7737E"/>
    <w:rsid w:val="00E774CC"/>
    <w:rsid w:val="00E80775"/>
    <w:rsid w:val="00E81BFF"/>
    <w:rsid w:val="00E81DBD"/>
    <w:rsid w:val="00E81F1B"/>
    <w:rsid w:val="00E83070"/>
    <w:rsid w:val="00E83584"/>
    <w:rsid w:val="00E84E0A"/>
    <w:rsid w:val="00E8549E"/>
    <w:rsid w:val="00E85A4E"/>
    <w:rsid w:val="00E85C0D"/>
    <w:rsid w:val="00E8625D"/>
    <w:rsid w:val="00E8628D"/>
    <w:rsid w:val="00E86AD6"/>
    <w:rsid w:val="00E8727A"/>
    <w:rsid w:val="00E87B7E"/>
    <w:rsid w:val="00E87F52"/>
    <w:rsid w:val="00E9008C"/>
    <w:rsid w:val="00E90F8F"/>
    <w:rsid w:val="00E9106D"/>
    <w:rsid w:val="00E913D8"/>
    <w:rsid w:val="00E9199D"/>
    <w:rsid w:val="00E91A5F"/>
    <w:rsid w:val="00E91BB3"/>
    <w:rsid w:val="00E922C1"/>
    <w:rsid w:val="00E933A3"/>
    <w:rsid w:val="00E95D37"/>
    <w:rsid w:val="00E96AF8"/>
    <w:rsid w:val="00E97042"/>
    <w:rsid w:val="00EA004C"/>
    <w:rsid w:val="00EA1C5B"/>
    <w:rsid w:val="00EA1CE4"/>
    <w:rsid w:val="00EA571C"/>
    <w:rsid w:val="00EA5E8A"/>
    <w:rsid w:val="00EA64B0"/>
    <w:rsid w:val="00EA76C9"/>
    <w:rsid w:val="00EA7714"/>
    <w:rsid w:val="00EB0BE6"/>
    <w:rsid w:val="00EB0CC6"/>
    <w:rsid w:val="00EB1125"/>
    <w:rsid w:val="00EB1F65"/>
    <w:rsid w:val="00EB20F6"/>
    <w:rsid w:val="00EB28F1"/>
    <w:rsid w:val="00EB2B26"/>
    <w:rsid w:val="00EB3FC1"/>
    <w:rsid w:val="00EB4EAC"/>
    <w:rsid w:val="00EB5ABA"/>
    <w:rsid w:val="00EB5EB5"/>
    <w:rsid w:val="00EB680B"/>
    <w:rsid w:val="00EB6FB4"/>
    <w:rsid w:val="00EB7173"/>
    <w:rsid w:val="00EB7B05"/>
    <w:rsid w:val="00EB7C5B"/>
    <w:rsid w:val="00EC0399"/>
    <w:rsid w:val="00EC0949"/>
    <w:rsid w:val="00EC1E50"/>
    <w:rsid w:val="00EC227B"/>
    <w:rsid w:val="00EC257D"/>
    <w:rsid w:val="00EC26B6"/>
    <w:rsid w:val="00EC2AB3"/>
    <w:rsid w:val="00EC479F"/>
    <w:rsid w:val="00EC4A2D"/>
    <w:rsid w:val="00EC5F02"/>
    <w:rsid w:val="00EC6322"/>
    <w:rsid w:val="00EC6832"/>
    <w:rsid w:val="00EC78A7"/>
    <w:rsid w:val="00ED1216"/>
    <w:rsid w:val="00ED195C"/>
    <w:rsid w:val="00ED200E"/>
    <w:rsid w:val="00ED26A9"/>
    <w:rsid w:val="00ED2818"/>
    <w:rsid w:val="00ED2EBA"/>
    <w:rsid w:val="00ED2FD1"/>
    <w:rsid w:val="00ED2FE4"/>
    <w:rsid w:val="00ED3016"/>
    <w:rsid w:val="00ED35D2"/>
    <w:rsid w:val="00ED3BB9"/>
    <w:rsid w:val="00ED3F7E"/>
    <w:rsid w:val="00ED4C44"/>
    <w:rsid w:val="00ED6D50"/>
    <w:rsid w:val="00ED7959"/>
    <w:rsid w:val="00EE1466"/>
    <w:rsid w:val="00EE1ABC"/>
    <w:rsid w:val="00EE1B76"/>
    <w:rsid w:val="00EE257F"/>
    <w:rsid w:val="00EE30E8"/>
    <w:rsid w:val="00EE37C2"/>
    <w:rsid w:val="00EE4134"/>
    <w:rsid w:val="00EE4189"/>
    <w:rsid w:val="00EE4C44"/>
    <w:rsid w:val="00EE4E1B"/>
    <w:rsid w:val="00EE5463"/>
    <w:rsid w:val="00EE55CA"/>
    <w:rsid w:val="00EE56F8"/>
    <w:rsid w:val="00EE5874"/>
    <w:rsid w:val="00EE5D19"/>
    <w:rsid w:val="00EE6C7C"/>
    <w:rsid w:val="00EE6D09"/>
    <w:rsid w:val="00EE6E4B"/>
    <w:rsid w:val="00EE7327"/>
    <w:rsid w:val="00EE7B64"/>
    <w:rsid w:val="00EF0058"/>
    <w:rsid w:val="00EF0BF4"/>
    <w:rsid w:val="00EF13F0"/>
    <w:rsid w:val="00EF286B"/>
    <w:rsid w:val="00EF36C7"/>
    <w:rsid w:val="00EF3EAA"/>
    <w:rsid w:val="00EF4C42"/>
    <w:rsid w:val="00EF515A"/>
    <w:rsid w:val="00EF64BB"/>
    <w:rsid w:val="00EF67FB"/>
    <w:rsid w:val="00EF69B5"/>
    <w:rsid w:val="00EF6E89"/>
    <w:rsid w:val="00EF7664"/>
    <w:rsid w:val="00EF7B9B"/>
    <w:rsid w:val="00EF7CF8"/>
    <w:rsid w:val="00EF7F48"/>
    <w:rsid w:val="00F00079"/>
    <w:rsid w:val="00F00C76"/>
    <w:rsid w:val="00F00CEC"/>
    <w:rsid w:val="00F016A4"/>
    <w:rsid w:val="00F01F90"/>
    <w:rsid w:val="00F02B8D"/>
    <w:rsid w:val="00F02C00"/>
    <w:rsid w:val="00F0387A"/>
    <w:rsid w:val="00F03F3C"/>
    <w:rsid w:val="00F048D7"/>
    <w:rsid w:val="00F04C61"/>
    <w:rsid w:val="00F050A4"/>
    <w:rsid w:val="00F06D00"/>
    <w:rsid w:val="00F075F8"/>
    <w:rsid w:val="00F07FC6"/>
    <w:rsid w:val="00F10370"/>
    <w:rsid w:val="00F10A96"/>
    <w:rsid w:val="00F10B8B"/>
    <w:rsid w:val="00F11070"/>
    <w:rsid w:val="00F11E0E"/>
    <w:rsid w:val="00F12327"/>
    <w:rsid w:val="00F12D70"/>
    <w:rsid w:val="00F13B0A"/>
    <w:rsid w:val="00F14326"/>
    <w:rsid w:val="00F14A76"/>
    <w:rsid w:val="00F15957"/>
    <w:rsid w:val="00F16C8F"/>
    <w:rsid w:val="00F16FB5"/>
    <w:rsid w:val="00F17007"/>
    <w:rsid w:val="00F170DA"/>
    <w:rsid w:val="00F17326"/>
    <w:rsid w:val="00F206D2"/>
    <w:rsid w:val="00F2173F"/>
    <w:rsid w:val="00F22134"/>
    <w:rsid w:val="00F22655"/>
    <w:rsid w:val="00F23285"/>
    <w:rsid w:val="00F23299"/>
    <w:rsid w:val="00F23F9C"/>
    <w:rsid w:val="00F25DB9"/>
    <w:rsid w:val="00F262B9"/>
    <w:rsid w:val="00F2636E"/>
    <w:rsid w:val="00F26B61"/>
    <w:rsid w:val="00F26EC2"/>
    <w:rsid w:val="00F3009D"/>
    <w:rsid w:val="00F311FE"/>
    <w:rsid w:val="00F31281"/>
    <w:rsid w:val="00F319B0"/>
    <w:rsid w:val="00F32C3D"/>
    <w:rsid w:val="00F33128"/>
    <w:rsid w:val="00F33641"/>
    <w:rsid w:val="00F338CC"/>
    <w:rsid w:val="00F33A0F"/>
    <w:rsid w:val="00F341A0"/>
    <w:rsid w:val="00F34635"/>
    <w:rsid w:val="00F34A54"/>
    <w:rsid w:val="00F35EBC"/>
    <w:rsid w:val="00F36DEA"/>
    <w:rsid w:val="00F36E2A"/>
    <w:rsid w:val="00F37E56"/>
    <w:rsid w:val="00F400BB"/>
    <w:rsid w:val="00F4087A"/>
    <w:rsid w:val="00F40DB7"/>
    <w:rsid w:val="00F41567"/>
    <w:rsid w:val="00F4230E"/>
    <w:rsid w:val="00F42D1C"/>
    <w:rsid w:val="00F42FB8"/>
    <w:rsid w:val="00F440B0"/>
    <w:rsid w:val="00F44BCE"/>
    <w:rsid w:val="00F44C94"/>
    <w:rsid w:val="00F4617C"/>
    <w:rsid w:val="00F46215"/>
    <w:rsid w:val="00F4630F"/>
    <w:rsid w:val="00F4642E"/>
    <w:rsid w:val="00F46FEA"/>
    <w:rsid w:val="00F47419"/>
    <w:rsid w:val="00F5025F"/>
    <w:rsid w:val="00F509D9"/>
    <w:rsid w:val="00F5161B"/>
    <w:rsid w:val="00F52F82"/>
    <w:rsid w:val="00F54012"/>
    <w:rsid w:val="00F540E5"/>
    <w:rsid w:val="00F55C64"/>
    <w:rsid w:val="00F56193"/>
    <w:rsid w:val="00F57040"/>
    <w:rsid w:val="00F5793A"/>
    <w:rsid w:val="00F602B8"/>
    <w:rsid w:val="00F60303"/>
    <w:rsid w:val="00F61236"/>
    <w:rsid w:val="00F615A2"/>
    <w:rsid w:val="00F61FA7"/>
    <w:rsid w:val="00F620A8"/>
    <w:rsid w:val="00F62D87"/>
    <w:rsid w:val="00F637E6"/>
    <w:rsid w:val="00F658A5"/>
    <w:rsid w:val="00F65DB9"/>
    <w:rsid w:val="00F6618F"/>
    <w:rsid w:val="00F670A8"/>
    <w:rsid w:val="00F67160"/>
    <w:rsid w:val="00F67447"/>
    <w:rsid w:val="00F703AF"/>
    <w:rsid w:val="00F703E7"/>
    <w:rsid w:val="00F71190"/>
    <w:rsid w:val="00F73047"/>
    <w:rsid w:val="00F800B3"/>
    <w:rsid w:val="00F8107B"/>
    <w:rsid w:val="00F81B9F"/>
    <w:rsid w:val="00F81ED4"/>
    <w:rsid w:val="00F8243A"/>
    <w:rsid w:val="00F82E7C"/>
    <w:rsid w:val="00F83E08"/>
    <w:rsid w:val="00F84147"/>
    <w:rsid w:val="00F85F3B"/>
    <w:rsid w:val="00F86746"/>
    <w:rsid w:val="00F869D4"/>
    <w:rsid w:val="00F87847"/>
    <w:rsid w:val="00F90B15"/>
    <w:rsid w:val="00F90C17"/>
    <w:rsid w:val="00F90C89"/>
    <w:rsid w:val="00F90E2A"/>
    <w:rsid w:val="00F90FD6"/>
    <w:rsid w:val="00F91C68"/>
    <w:rsid w:val="00F93261"/>
    <w:rsid w:val="00F93C07"/>
    <w:rsid w:val="00F9453E"/>
    <w:rsid w:val="00F957FD"/>
    <w:rsid w:val="00F96226"/>
    <w:rsid w:val="00F96BC7"/>
    <w:rsid w:val="00F96FC3"/>
    <w:rsid w:val="00F972DB"/>
    <w:rsid w:val="00FA0894"/>
    <w:rsid w:val="00FA0AE4"/>
    <w:rsid w:val="00FA0ED6"/>
    <w:rsid w:val="00FA2165"/>
    <w:rsid w:val="00FA27E2"/>
    <w:rsid w:val="00FA32AF"/>
    <w:rsid w:val="00FA3785"/>
    <w:rsid w:val="00FA54C2"/>
    <w:rsid w:val="00FA586B"/>
    <w:rsid w:val="00FA5A81"/>
    <w:rsid w:val="00FA5AB1"/>
    <w:rsid w:val="00FA5CB1"/>
    <w:rsid w:val="00FA6400"/>
    <w:rsid w:val="00FA77EE"/>
    <w:rsid w:val="00FA78FD"/>
    <w:rsid w:val="00FA7E70"/>
    <w:rsid w:val="00FB1B83"/>
    <w:rsid w:val="00FB2728"/>
    <w:rsid w:val="00FB3CCD"/>
    <w:rsid w:val="00FB3D8D"/>
    <w:rsid w:val="00FB3F84"/>
    <w:rsid w:val="00FB71B0"/>
    <w:rsid w:val="00FC0957"/>
    <w:rsid w:val="00FC137B"/>
    <w:rsid w:val="00FC1897"/>
    <w:rsid w:val="00FC1F26"/>
    <w:rsid w:val="00FC2162"/>
    <w:rsid w:val="00FC216B"/>
    <w:rsid w:val="00FC2F6F"/>
    <w:rsid w:val="00FC3B37"/>
    <w:rsid w:val="00FC4CB9"/>
    <w:rsid w:val="00FC4D8F"/>
    <w:rsid w:val="00FC53C0"/>
    <w:rsid w:val="00FC549E"/>
    <w:rsid w:val="00FD0715"/>
    <w:rsid w:val="00FD1554"/>
    <w:rsid w:val="00FD156F"/>
    <w:rsid w:val="00FD189D"/>
    <w:rsid w:val="00FD2335"/>
    <w:rsid w:val="00FD234A"/>
    <w:rsid w:val="00FD2434"/>
    <w:rsid w:val="00FD2E3B"/>
    <w:rsid w:val="00FD2E46"/>
    <w:rsid w:val="00FD3748"/>
    <w:rsid w:val="00FD47E2"/>
    <w:rsid w:val="00FD5C3A"/>
    <w:rsid w:val="00FD5D8E"/>
    <w:rsid w:val="00FD5E1C"/>
    <w:rsid w:val="00FD6236"/>
    <w:rsid w:val="00FD69F8"/>
    <w:rsid w:val="00FD6F51"/>
    <w:rsid w:val="00FD6F5A"/>
    <w:rsid w:val="00FD76DC"/>
    <w:rsid w:val="00FE0003"/>
    <w:rsid w:val="00FE058A"/>
    <w:rsid w:val="00FE09B5"/>
    <w:rsid w:val="00FE0BEA"/>
    <w:rsid w:val="00FE0E5E"/>
    <w:rsid w:val="00FE0E69"/>
    <w:rsid w:val="00FE1ACA"/>
    <w:rsid w:val="00FE1CB9"/>
    <w:rsid w:val="00FE3E7E"/>
    <w:rsid w:val="00FE4F32"/>
    <w:rsid w:val="00FE500F"/>
    <w:rsid w:val="00FE593D"/>
    <w:rsid w:val="00FE59C8"/>
    <w:rsid w:val="00FE6685"/>
    <w:rsid w:val="00FE6A62"/>
    <w:rsid w:val="00FE7BF7"/>
    <w:rsid w:val="00FF03EF"/>
    <w:rsid w:val="00FF1465"/>
    <w:rsid w:val="00FF356D"/>
    <w:rsid w:val="00FF3EB4"/>
    <w:rsid w:val="00FF555C"/>
    <w:rsid w:val="00FF609C"/>
    <w:rsid w:val="00FF6327"/>
    <w:rsid w:val="01467BD8"/>
    <w:rsid w:val="01681FB9"/>
    <w:rsid w:val="016E3B18"/>
    <w:rsid w:val="01BE35E0"/>
    <w:rsid w:val="025C47FF"/>
    <w:rsid w:val="027D0C3D"/>
    <w:rsid w:val="02AD100F"/>
    <w:rsid w:val="02D257AF"/>
    <w:rsid w:val="032A0537"/>
    <w:rsid w:val="038162E3"/>
    <w:rsid w:val="03993B39"/>
    <w:rsid w:val="041C6993"/>
    <w:rsid w:val="04561323"/>
    <w:rsid w:val="04620455"/>
    <w:rsid w:val="05185B62"/>
    <w:rsid w:val="052428C9"/>
    <w:rsid w:val="053752DC"/>
    <w:rsid w:val="05D276D3"/>
    <w:rsid w:val="068A1773"/>
    <w:rsid w:val="06E97934"/>
    <w:rsid w:val="072B551C"/>
    <w:rsid w:val="07AA4089"/>
    <w:rsid w:val="086309E9"/>
    <w:rsid w:val="086D3444"/>
    <w:rsid w:val="08BB3FDB"/>
    <w:rsid w:val="08EE7F64"/>
    <w:rsid w:val="091E3B20"/>
    <w:rsid w:val="092C0E75"/>
    <w:rsid w:val="096D559A"/>
    <w:rsid w:val="09C71544"/>
    <w:rsid w:val="09C72A0C"/>
    <w:rsid w:val="09E84B85"/>
    <w:rsid w:val="09E8755A"/>
    <w:rsid w:val="0A367D68"/>
    <w:rsid w:val="0AB97B85"/>
    <w:rsid w:val="0AC81B6A"/>
    <w:rsid w:val="0AEF0161"/>
    <w:rsid w:val="0B9C63CF"/>
    <w:rsid w:val="0BBE20B8"/>
    <w:rsid w:val="0BDA68E4"/>
    <w:rsid w:val="0BF254A5"/>
    <w:rsid w:val="0C464B88"/>
    <w:rsid w:val="0CD17FEB"/>
    <w:rsid w:val="0D812A4E"/>
    <w:rsid w:val="0DA035B0"/>
    <w:rsid w:val="0DE212E1"/>
    <w:rsid w:val="0E2C0984"/>
    <w:rsid w:val="0E6340F9"/>
    <w:rsid w:val="0E8A69CC"/>
    <w:rsid w:val="0EB40C93"/>
    <w:rsid w:val="0F016A56"/>
    <w:rsid w:val="0F220556"/>
    <w:rsid w:val="0F2252F3"/>
    <w:rsid w:val="0F6F2BCB"/>
    <w:rsid w:val="0F9D3A75"/>
    <w:rsid w:val="0FB322F8"/>
    <w:rsid w:val="107723F4"/>
    <w:rsid w:val="10C70CE8"/>
    <w:rsid w:val="10EA39CE"/>
    <w:rsid w:val="118734D0"/>
    <w:rsid w:val="11B01006"/>
    <w:rsid w:val="11B31740"/>
    <w:rsid w:val="11EE1F77"/>
    <w:rsid w:val="12E56BF4"/>
    <w:rsid w:val="13086C2A"/>
    <w:rsid w:val="13200D17"/>
    <w:rsid w:val="132B432C"/>
    <w:rsid w:val="13BD3316"/>
    <w:rsid w:val="13CD67D5"/>
    <w:rsid w:val="13E939FC"/>
    <w:rsid w:val="13F71842"/>
    <w:rsid w:val="1423673F"/>
    <w:rsid w:val="142E15BB"/>
    <w:rsid w:val="14732CC4"/>
    <w:rsid w:val="14FD20DE"/>
    <w:rsid w:val="15352B10"/>
    <w:rsid w:val="15AF4809"/>
    <w:rsid w:val="168F5989"/>
    <w:rsid w:val="16FD647E"/>
    <w:rsid w:val="170E5A97"/>
    <w:rsid w:val="17591D7C"/>
    <w:rsid w:val="17CF0FE0"/>
    <w:rsid w:val="17F32B45"/>
    <w:rsid w:val="18183F46"/>
    <w:rsid w:val="18235CAA"/>
    <w:rsid w:val="18744EAB"/>
    <w:rsid w:val="18791272"/>
    <w:rsid w:val="19B65135"/>
    <w:rsid w:val="19E62888"/>
    <w:rsid w:val="1AFE5979"/>
    <w:rsid w:val="1BA33968"/>
    <w:rsid w:val="1BBC22F1"/>
    <w:rsid w:val="1BCC2469"/>
    <w:rsid w:val="1C085726"/>
    <w:rsid w:val="1C1561D3"/>
    <w:rsid w:val="1C2C544C"/>
    <w:rsid w:val="1C3C4702"/>
    <w:rsid w:val="1C715A02"/>
    <w:rsid w:val="1D1F6BF4"/>
    <w:rsid w:val="1D587EA9"/>
    <w:rsid w:val="1DB82015"/>
    <w:rsid w:val="1E11738E"/>
    <w:rsid w:val="1E202DAE"/>
    <w:rsid w:val="1E9A235F"/>
    <w:rsid w:val="1EB02F65"/>
    <w:rsid w:val="1FB35A1D"/>
    <w:rsid w:val="1FDD1227"/>
    <w:rsid w:val="1FF40490"/>
    <w:rsid w:val="202C0335"/>
    <w:rsid w:val="20F471A0"/>
    <w:rsid w:val="21597410"/>
    <w:rsid w:val="21C112AB"/>
    <w:rsid w:val="21D2169E"/>
    <w:rsid w:val="21DA4865"/>
    <w:rsid w:val="21DB0858"/>
    <w:rsid w:val="221170EB"/>
    <w:rsid w:val="226C530A"/>
    <w:rsid w:val="22AF7856"/>
    <w:rsid w:val="22B57909"/>
    <w:rsid w:val="22DB4828"/>
    <w:rsid w:val="22E42373"/>
    <w:rsid w:val="22F4571B"/>
    <w:rsid w:val="23195101"/>
    <w:rsid w:val="23520A80"/>
    <w:rsid w:val="2354768D"/>
    <w:rsid w:val="2363459D"/>
    <w:rsid w:val="23C267FE"/>
    <w:rsid w:val="245E27F4"/>
    <w:rsid w:val="24642CD9"/>
    <w:rsid w:val="24D223F1"/>
    <w:rsid w:val="24E47652"/>
    <w:rsid w:val="25305952"/>
    <w:rsid w:val="253523C7"/>
    <w:rsid w:val="25A5605A"/>
    <w:rsid w:val="25B06E38"/>
    <w:rsid w:val="25B623CA"/>
    <w:rsid w:val="25CE5A82"/>
    <w:rsid w:val="25D208A4"/>
    <w:rsid w:val="25D3628F"/>
    <w:rsid w:val="25E3045A"/>
    <w:rsid w:val="26006009"/>
    <w:rsid w:val="2621532C"/>
    <w:rsid w:val="262A65F2"/>
    <w:rsid w:val="26476B69"/>
    <w:rsid w:val="26A447A0"/>
    <w:rsid w:val="26E4113C"/>
    <w:rsid w:val="27A7303D"/>
    <w:rsid w:val="27C20538"/>
    <w:rsid w:val="27C26A8E"/>
    <w:rsid w:val="280E17EB"/>
    <w:rsid w:val="282F4A14"/>
    <w:rsid w:val="28627C8F"/>
    <w:rsid w:val="28666479"/>
    <w:rsid w:val="288673BA"/>
    <w:rsid w:val="288E2F16"/>
    <w:rsid w:val="292C0331"/>
    <w:rsid w:val="29300521"/>
    <w:rsid w:val="293C7F85"/>
    <w:rsid w:val="293E52B8"/>
    <w:rsid w:val="2A016268"/>
    <w:rsid w:val="2A1E3B99"/>
    <w:rsid w:val="2A891BDB"/>
    <w:rsid w:val="2B200AF4"/>
    <w:rsid w:val="2B20331D"/>
    <w:rsid w:val="2B3F3420"/>
    <w:rsid w:val="2B5A38BE"/>
    <w:rsid w:val="2BEA4516"/>
    <w:rsid w:val="2C0127BA"/>
    <w:rsid w:val="2C500B48"/>
    <w:rsid w:val="2C866650"/>
    <w:rsid w:val="2CBE3180"/>
    <w:rsid w:val="2D44351A"/>
    <w:rsid w:val="2E135AEF"/>
    <w:rsid w:val="2EA337C5"/>
    <w:rsid w:val="2EEB7D55"/>
    <w:rsid w:val="2F912BB0"/>
    <w:rsid w:val="2FBF0A49"/>
    <w:rsid w:val="301A3FE2"/>
    <w:rsid w:val="30320C04"/>
    <w:rsid w:val="30495F23"/>
    <w:rsid w:val="30C16CE7"/>
    <w:rsid w:val="30CC1169"/>
    <w:rsid w:val="30E85AE1"/>
    <w:rsid w:val="30E96097"/>
    <w:rsid w:val="316C2899"/>
    <w:rsid w:val="31C75D1F"/>
    <w:rsid w:val="31D322D3"/>
    <w:rsid w:val="32055A4B"/>
    <w:rsid w:val="32336A9D"/>
    <w:rsid w:val="3250729E"/>
    <w:rsid w:val="32920F3E"/>
    <w:rsid w:val="32F877CE"/>
    <w:rsid w:val="335A2149"/>
    <w:rsid w:val="33A538E2"/>
    <w:rsid w:val="33D1161D"/>
    <w:rsid w:val="34891AE5"/>
    <w:rsid w:val="34FD3DA6"/>
    <w:rsid w:val="35E07FE3"/>
    <w:rsid w:val="35F37CEA"/>
    <w:rsid w:val="362167DA"/>
    <w:rsid w:val="3651483E"/>
    <w:rsid w:val="36643EE1"/>
    <w:rsid w:val="3687082A"/>
    <w:rsid w:val="36F2679C"/>
    <w:rsid w:val="37083255"/>
    <w:rsid w:val="37356E87"/>
    <w:rsid w:val="37720519"/>
    <w:rsid w:val="377D77BC"/>
    <w:rsid w:val="37A36CD7"/>
    <w:rsid w:val="37B04370"/>
    <w:rsid w:val="37E47347"/>
    <w:rsid w:val="380769FB"/>
    <w:rsid w:val="38246347"/>
    <w:rsid w:val="38746C99"/>
    <w:rsid w:val="388C52B0"/>
    <w:rsid w:val="38CE00D6"/>
    <w:rsid w:val="39CA6804"/>
    <w:rsid w:val="3AC65721"/>
    <w:rsid w:val="3B200C08"/>
    <w:rsid w:val="3B231BE0"/>
    <w:rsid w:val="3B5A7C2B"/>
    <w:rsid w:val="3BDA318E"/>
    <w:rsid w:val="3C1A48A7"/>
    <w:rsid w:val="3C2E39FC"/>
    <w:rsid w:val="3C862C61"/>
    <w:rsid w:val="3C8B278A"/>
    <w:rsid w:val="3C9E5702"/>
    <w:rsid w:val="3CA2485E"/>
    <w:rsid w:val="3CE8319C"/>
    <w:rsid w:val="3D007806"/>
    <w:rsid w:val="3D866A86"/>
    <w:rsid w:val="3DA53674"/>
    <w:rsid w:val="3DAB1C98"/>
    <w:rsid w:val="3DE93A52"/>
    <w:rsid w:val="3E1A4441"/>
    <w:rsid w:val="3EB05EBE"/>
    <w:rsid w:val="3EC61D8E"/>
    <w:rsid w:val="3ECB3264"/>
    <w:rsid w:val="3F0E7824"/>
    <w:rsid w:val="3F154A68"/>
    <w:rsid w:val="3F2F1B9A"/>
    <w:rsid w:val="3F3E4C62"/>
    <w:rsid w:val="3FE54ABD"/>
    <w:rsid w:val="40351DDC"/>
    <w:rsid w:val="40677E2B"/>
    <w:rsid w:val="408C722F"/>
    <w:rsid w:val="40BA6972"/>
    <w:rsid w:val="40DC6923"/>
    <w:rsid w:val="414D3EAF"/>
    <w:rsid w:val="42382BB3"/>
    <w:rsid w:val="424242C0"/>
    <w:rsid w:val="424A42FF"/>
    <w:rsid w:val="42B77567"/>
    <w:rsid w:val="432314F9"/>
    <w:rsid w:val="432430C8"/>
    <w:rsid w:val="43C61169"/>
    <w:rsid w:val="44324789"/>
    <w:rsid w:val="44461677"/>
    <w:rsid w:val="44970581"/>
    <w:rsid w:val="44A51BE3"/>
    <w:rsid w:val="45035874"/>
    <w:rsid w:val="454A4722"/>
    <w:rsid w:val="45830DCE"/>
    <w:rsid w:val="46342D3A"/>
    <w:rsid w:val="46CF1184"/>
    <w:rsid w:val="46D41322"/>
    <w:rsid w:val="46EB5E7D"/>
    <w:rsid w:val="4760057D"/>
    <w:rsid w:val="47DC5B9C"/>
    <w:rsid w:val="47E67AA4"/>
    <w:rsid w:val="4809126A"/>
    <w:rsid w:val="4822392B"/>
    <w:rsid w:val="482915D0"/>
    <w:rsid w:val="483B0BC3"/>
    <w:rsid w:val="484B566D"/>
    <w:rsid w:val="484B5F49"/>
    <w:rsid w:val="48697C1F"/>
    <w:rsid w:val="48CE1E02"/>
    <w:rsid w:val="48FA564F"/>
    <w:rsid w:val="494E54A8"/>
    <w:rsid w:val="49677362"/>
    <w:rsid w:val="49910275"/>
    <w:rsid w:val="499C1A87"/>
    <w:rsid w:val="49C945F2"/>
    <w:rsid w:val="49EB18A4"/>
    <w:rsid w:val="4A020EFA"/>
    <w:rsid w:val="4A333E1A"/>
    <w:rsid w:val="4A395BB0"/>
    <w:rsid w:val="4A8E410A"/>
    <w:rsid w:val="4B2F1381"/>
    <w:rsid w:val="4BAB08B8"/>
    <w:rsid w:val="4BFF0119"/>
    <w:rsid w:val="4C45363F"/>
    <w:rsid w:val="4CB834FB"/>
    <w:rsid w:val="4CD101CB"/>
    <w:rsid w:val="4CF9213E"/>
    <w:rsid w:val="4D0E1ED3"/>
    <w:rsid w:val="4D124AEA"/>
    <w:rsid w:val="4D7163A1"/>
    <w:rsid w:val="4D8139DF"/>
    <w:rsid w:val="4D9C201D"/>
    <w:rsid w:val="4DD40065"/>
    <w:rsid w:val="4DD67431"/>
    <w:rsid w:val="4DF6238A"/>
    <w:rsid w:val="4E375360"/>
    <w:rsid w:val="4E8705F1"/>
    <w:rsid w:val="4EA37FEA"/>
    <w:rsid w:val="4EA96BE6"/>
    <w:rsid w:val="4EB5751E"/>
    <w:rsid w:val="4F0272E6"/>
    <w:rsid w:val="4F063A03"/>
    <w:rsid w:val="4F4423A7"/>
    <w:rsid w:val="4F85055A"/>
    <w:rsid w:val="503025A4"/>
    <w:rsid w:val="50333C27"/>
    <w:rsid w:val="50501809"/>
    <w:rsid w:val="50D136C9"/>
    <w:rsid w:val="511A4B27"/>
    <w:rsid w:val="5124505C"/>
    <w:rsid w:val="51915800"/>
    <w:rsid w:val="51D335AE"/>
    <w:rsid w:val="520F3BC7"/>
    <w:rsid w:val="521565C1"/>
    <w:rsid w:val="521772B4"/>
    <w:rsid w:val="52513DA3"/>
    <w:rsid w:val="5287341D"/>
    <w:rsid w:val="53221316"/>
    <w:rsid w:val="5348633E"/>
    <w:rsid w:val="539E7EA2"/>
    <w:rsid w:val="53CF54F7"/>
    <w:rsid w:val="547F7730"/>
    <w:rsid w:val="548D60DF"/>
    <w:rsid w:val="55560932"/>
    <w:rsid w:val="556E1BAD"/>
    <w:rsid w:val="5591474A"/>
    <w:rsid w:val="55DF26B8"/>
    <w:rsid w:val="55F85C97"/>
    <w:rsid w:val="560A1747"/>
    <w:rsid w:val="56664597"/>
    <w:rsid w:val="56FE6EC0"/>
    <w:rsid w:val="578F2C75"/>
    <w:rsid w:val="583341F7"/>
    <w:rsid w:val="585B05A2"/>
    <w:rsid w:val="58D345E5"/>
    <w:rsid w:val="58D724A7"/>
    <w:rsid w:val="58E468E5"/>
    <w:rsid w:val="58EB435B"/>
    <w:rsid w:val="59315A97"/>
    <w:rsid w:val="599973ED"/>
    <w:rsid w:val="5AA62399"/>
    <w:rsid w:val="5AF671CC"/>
    <w:rsid w:val="5BAC7D91"/>
    <w:rsid w:val="5BB97649"/>
    <w:rsid w:val="5BBD65C6"/>
    <w:rsid w:val="5BD023D0"/>
    <w:rsid w:val="5BDA24B8"/>
    <w:rsid w:val="5BEC1F50"/>
    <w:rsid w:val="5C4A30B1"/>
    <w:rsid w:val="5C5A50CF"/>
    <w:rsid w:val="5C6D3B05"/>
    <w:rsid w:val="5CC00B80"/>
    <w:rsid w:val="5CC15E0E"/>
    <w:rsid w:val="5DE663A3"/>
    <w:rsid w:val="5DF811F8"/>
    <w:rsid w:val="5E4E4EC8"/>
    <w:rsid w:val="5E972D3D"/>
    <w:rsid w:val="5E9D1006"/>
    <w:rsid w:val="5ED52266"/>
    <w:rsid w:val="5EDC2C1F"/>
    <w:rsid w:val="5F1F36FE"/>
    <w:rsid w:val="5F3D777D"/>
    <w:rsid w:val="5F495850"/>
    <w:rsid w:val="5FAB781E"/>
    <w:rsid w:val="600057E2"/>
    <w:rsid w:val="6009405D"/>
    <w:rsid w:val="601A18CB"/>
    <w:rsid w:val="60AD6FB6"/>
    <w:rsid w:val="60E15135"/>
    <w:rsid w:val="61264EFB"/>
    <w:rsid w:val="61397A52"/>
    <w:rsid w:val="614925A3"/>
    <w:rsid w:val="614A363A"/>
    <w:rsid w:val="621828C9"/>
    <w:rsid w:val="63212B3F"/>
    <w:rsid w:val="634360AB"/>
    <w:rsid w:val="63504A6E"/>
    <w:rsid w:val="63695EA1"/>
    <w:rsid w:val="636C4886"/>
    <w:rsid w:val="637026BD"/>
    <w:rsid w:val="638D177C"/>
    <w:rsid w:val="63CF54C6"/>
    <w:rsid w:val="63F83CDE"/>
    <w:rsid w:val="640B0BB1"/>
    <w:rsid w:val="64164412"/>
    <w:rsid w:val="64320204"/>
    <w:rsid w:val="646B2ED1"/>
    <w:rsid w:val="647140BE"/>
    <w:rsid w:val="64DB6B9A"/>
    <w:rsid w:val="655A6A6A"/>
    <w:rsid w:val="6581565C"/>
    <w:rsid w:val="65817DF2"/>
    <w:rsid w:val="664D4441"/>
    <w:rsid w:val="665F7D80"/>
    <w:rsid w:val="66AA55DD"/>
    <w:rsid w:val="68643919"/>
    <w:rsid w:val="68721082"/>
    <w:rsid w:val="68AC1C32"/>
    <w:rsid w:val="68C86864"/>
    <w:rsid w:val="68CF14F1"/>
    <w:rsid w:val="68DD2925"/>
    <w:rsid w:val="691A127E"/>
    <w:rsid w:val="69425828"/>
    <w:rsid w:val="69660078"/>
    <w:rsid w:val="6979073C"/>
    <w:rsid w:val="6A9378F2"/>
    <w:rsid w:val="6B011C8E"/>
    <w:rsid w:val="6B545995"/>
    <w:rsid w:val="6B7E24E5"/>
    <w:rsid w:val="6B92499D"/>
    <w:rsid w:val="6B9278CA"/>
    <w:rsid w:val="6BB63BC0"/>
    <w:rsid w:val="6BBB2B8F"/>
    <w:rsid w:val="6BDC66B3"/>
    <w:rsid w:val="6BF377DD"/>
    <w:rsid w:val="6C3720EC"/>
    <w:rsid w:val="6D2D7B8A"/>
    <w:rsid w:val="6DE84D3B"/>
    <w:rsid w:val="6E943F13"/>
    <w:rsid w:val="6EA56D16"/>
    <w:rsid w:val="6EAE67D2"/>
    <w:rsid w:val="6F145630"/>
    <w:rsid w:val="6F5A4D44"/>
    <w:rsid w:val="6FD219A1"/>
    <w:rsid w:val="702D104B"/>
    <w:rsid w:val="710A0163"/>
    <w:rsid w:val="711157AE"/>
    <w:rsid w:val="7136393E"/>
    <w:rsid w:val="71980598"/>
    <w:rsid w:val="71DE48DC"/>
    <w:rsid w:val="72546094"/>
    <w:rsid w:val="72590905"/>
    <w:rsid w:val="72D41DFA"/>
    <w:rsid w:val="72F24A18"/>
    <w:rsid w:val="73107FB9"/>
    <w:rsid w:val="73367DF2"/>
    <w:rsid w:val="7337422A"/>
    <w:rsid w:val="73707D32"/>
    <w:rsid w:val="73EB4EEE"/>
    <w:rsid w:val="74027672"/>
    <w:rsid w:val="744D0800"/>
    <w:rsid w:val="749444D3"/>
    <w:rsid w:val="74AA6053"/>
    <w:rsid w:val="74D530AD"/>
    <w:rsid w:val="750943CE"/>
    <w:rsid w:val="752B0F6A"/>
    <w:rsid w:val="75AC651C"/>
    <w:rsid w:val="75DC17FB"/>
    <w:rsid w:val="760120A1"/>
    <w:rsid w:val="763B619E"/>
    <w:rsid w:val="77041749"/>
    <w:rsid w:val="771A4EF2"/>
    <w:rsid w:val="77684BFD"/>
    <w:rsid w:val="7773319A"/>
    <w:rsid w:val="785B3BD7"/>
    <w:rsid w:val="78BA735C"/>
    <w:rsid w:val="78C27C4E"/>
    <w:rsid w:val="78EB1D5F"/>
    <w:rsid w:val="796B02F5"/>
    <w:rsid w:val="798C332C"/>
    <w:rsid w:val="79DB6314"/>
    <w:rsid w:val="7A0976D0"/>
    <w:rsid w:val="7A123FC3"/>
    <w:rsid w:val="7A537EF0"/>
    <w:rsid w:val="7AF36174"/>
    <w:rsid w:val="7B372913"/>
    <w:rsid w:val="7B7961B8"/>
    <w:rsid w:val="7B8F0ADB"/>
    <w:rsid w:val="7BAB6310"/>
    <w:rsid w:val="7BBF131E"/>
    <w:rsid w:val="7BC751D4"/>
    <w:rsid w:val="7BD57CCF"/>
    <w:rsid w:val="7BF075B9"/>
    <w:rsid w:val="7CA378AD"/>
    <w:rsid w:val="7CAF79D2"/>
    <w:rsid w:val="7CF8534E"/>
    <w:rsid w:val="7D137FF4"/>
    <w:rsid w:val="7DD80314"/>
    <w:rsid w:val="7E3B4F6F"/>
    <w:rsid w:val="7E924C23"/>
    <w:rsid w:val="7EB438EC"/>
    <w:rsid w:val="7EC04061"/>
    <w:rsid w:val="7ECB6D11"/>
    <w:rsid w:val="7F3D13FB"/>
    <w:rsid w:val="7F48179A"/>
    <w:rsid w:val="7F4F78C2"/>
    <w:rsid w:val="7F56184D"/>
    <w:rsid w:val="7FA838C7"/>
    <w:rsid w:val="7FDE407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rules v:ext="edit">
        <o:r id="V:Rule1" type="connector" idref="#自选图形 288"/>
        <o:r id="V:Rule2" type="connector" idref="#自选图形 289"/>
        <o:r id="V:Rule3" type="connector" idref="#自选图形 290"/>
        <o:r id="V:Rule4" type="connector" idref="#自选图形 291"/>
        <o:r id="V:Rule5" type="connector" idref="#直接连接符 238"/>
        <o:r id="V:Rule6" type="connector" idref="#直接连接符 239"/>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name="Body Text First Indent"/>
    <w:lsdException w:qFormat="1" w:unhideWhenUsed="0" w:uiPriority="0" w:semiHidden="0" w:name="Body Text First Indent 2"/>
    <w:lsdException w:qFormat="1" w:unhideWhenUsed="0" w:uiPriority="0" w:semiHidden="0" w:name="Note Heading"/>
    <w:lsdException w:qFormat="1" w:unhideWhenUsed="0" w:uiPriority="0" w:name="Body Text 2"/>
    <w:lsdException w:qFormat="1" w:unhideWhenUsed="0" w:uiPriority="0" w:name="Body Text 3"/>
    <w:lsdException w:qFormat="1" w:unhideWhenUsed="0" w:uiPriority="0" w:name="Body Text Indent 2"/>
    <w:lsdException w:qFormat="1" w:unhideWhenUsed="0" w:uiPriority="0" w:name="Body Text Indent 3"/>
    <w:lsdException w:qFormat="1" w:unhideWhenUsed="0" w:uiPriority="0" w:semiHidden="0" w:name="Block Text"/>
    <w:lsdException w:qFormat="1" w:uiPriority="99" w:semiHidden="0" w:name="Hyperlink"/>
    <w:lsdException w:qFormat="1" w:unhideWhenUsed="0"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qFormat="1" w:unhideWhenUsed="0" w:uiPriority="0" w:semiHidden="0" w:name="E-mail Signature"/>
    <w:lsdException w:qFormat="1"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qFormat="1" w:unhideWhenUsed="0" w:uiPriority="0" w:semiHidden="0" w:name="Table Theme"/>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heme="minorHAnsi" w:hAnsiTheme="minorHAnsi" w:eastAsiaTheme="minorEastAsia" w:cstheme="minorBidi"/>
      <w:kern w:val="2"/>
      <w:sz w:val="21"/>
      <w:szCs w:val="21"/>
      <w:lang w:val="en-US" w:eastAsia="zh-CN" w:bidi="ar-SA"/>
    </w:rPr>
  </w:style>
  <w:style w:type="paragraph" w:styleId="6">
    <w:name w:val="heading 1"/>
    <w:basedOn w:val="1"/>
    <w:next w:val="1"/>
    <w:link w:val="115"/>
    <w:qFormat/>
    <w:uiPriority w:val="0"/>
    <w:pPr>
      <w:keepNext/>
      <w:keepLines/>
      <w:numPr>
        <w:ilvl w:val="0"/>
        <w:numId w:val="1"/>
      </w:numPr>
      <w:spacing w:before="340" w:after="330" w:line="578" w:lineRule="auto"/>
      <w:jc w:val="center"/>
      <w:outlineLvl w:val="0"/>
    </w:pPr>
    <w:rPr>
      <w:rFonts w:ascii="Times New Roman" w:hAnsi="Times New Roman"/>
      <w:b/>
      <w:bCs/>
      <w:kern w:val="44"/>
      <w:sz w:val="32"/>
      <w:szCs w:val="44"/>
    </w:rPr>
  </w:style>
  <w:style w:type="paragraph" w:styleId="7">
    <w:name w:val="heading 2"/>
    <w:basedOn w:val="1"/>
    <w:next w:val="1"/>
    <w:link w:val="116"/>
    <w:unhideWhenUsed/>
    <w:qFormat/>
    <w:uiPriority w:val="0"/>
    <w:pPr>
      <w:keepNext/>
      <w:keepLines/>
      <w:numPr>
        <w:ilvl w:val="1"/>
        <w:numId w:val="1"/>
      </w:numPr>
      <w:spacing w:before="260" w:after="260" w:line="416" w:lineRule="auto"/>
      <w:jc w:val="left"/>
      <w:outlineLvl w:val="1"/>
    </w:pPr>
    <w:rPr>
      <w:rFonts w:ascii="Times New Roman" w:hAnsi="Times New Roman" w:eastAsiaTheme="majorEastAsia" w:cstheme="majorBidi"/>
      <w:b/>
      <w:bCs/>
      <w:sz w:val="28"/>
      <w:szCs w:val="32"/>
    </w:rPr>
  </w:style>
  <w:style w:type="paragraph" w:styleId="8">
    <w:name w:val="heading 3"/>
    <w:basedOn w:val="1"/>
    <w:next w:val="1"/>
    <w:link w:val="117"/>
    <w:unhideWhenUsed/>
    <w:qFormat/>
    <w:uiPriority w:val="0"/>
    <w:pPr>
      <w:keepNext/>
      <w:keepLines/>
      <w:numPr>
        <w:ilvl w:val="2"/>
        <w:numId w:val="1"/>
      </w:numPr>
      <w:spacing w:before="260" w:after="260" w:line="415" w:lineRule="auto"/>
      <w:contextualSpacing/>
      <w:jc w:val="left"/>
      <w:outlineLvl w:val="2"/>
    </w:pPr>
    <w:rPr>
      <w:rFonts w:ascii="Times New Roman" w:hAnsi="Times New Roman"/>
      <w:b/>
      <w:bCs/>
      <w:sz w:val="24"/>
      <w:szCs w:val="32"/>
    </w:rPr>
  </w:style>
  <w:style w:type="paragraph" w:styleId="9">
    <w:name w:val="heading 4"/>
    <w:basedOn w:val="1"/>
    <w:next w:val="1"/>
    <w:link w:val="118"/>
    <w:unhideWhenUsed/>
    <w:qFormat/>
    <w:uiPriority w:val="0"/>
    <w:pPr>
      <w:keepNext/>
      <w:keepLines/>
      <w:numPr>
        <w:ilvl w:val="3"/>
        <w:numId w:val="1"/>
      </w:numPr>
      <w:spacing w:before="40" w:after="50" w:line="376" w:lineRule="auto"/>
      <w:jc w:val="left"/>
      <w:outlineLvl w:val="3"/>
    </w:pPr>
    <w:rPr>
      <w:rFonts w:ascii="Times New Roman" w:hAnsi="Times New Roman" w:eastAsiaTheme="majorEastAsia" w:cstheme="majorBidi"/>
      <w:b/>
      <w:bCs/>
      <w:sz w:val="24"/>
      <w:szCs w:val="28"/>
    </w:rPr>
  </w:style>
  <w:style w:type="paragraph" w:styleId="10">
    <w:name w:val="heading 5"/>
    <w:basedOn w:val="1"/>
    <w:next w:val="1"/>
    <w:link w:val="112"/>
    <w:unhideWhenUsed/>
    <w:qFormat/>
    <w:uiPriority w:val="0"/>
    <w:pPr>
      <w:keepNext/>
      <w:keepLines/>
      <w:spacing w:before="280" w:after="290" w:line="376" w:lineRule="auto"/>
      <w:outlineLvl w:val="4"/>
    </w:pPr>
    <w:rPr>
      <w:rFonts w:ascii="Times New Roman" w:hAnsi="Times New Roman"/>
      <w:b/>
      <w:bCs/>
      <w:sz w:val="24"/>
      <w:szCs w:val="28"/>
    </w:rPr>
  </w:style>
  <w:style w:type="paragraph" w:styleId="11">
    <w:name w:val="heading 6"/>
    <w:basedOn w:val="1"/>
    <w:next w:val="1"/>
    <w:link w:val="119"/>
    <w:unhideWhenUsed/>
    <w:qFormat/>
    <w:uiPriority w:val="0"/>
    <w:pPr>
      <w:keepNext/>
      <w:keepLines/>
      <w:spacing w:before="240" w:after="64" w:line="320" w:lineRule="auto"/>
      <w:outlineLvl w:val="5"/>
    </w:pPr>
    <w:rPr>
      <w:rFonts w:ascii="Times New Roman" w:hAnsi="Times New Roman" w:eastAsiaTheme="majorEastAsia" w:cstheme="majorBidi"/>
      <w:b/>
      <w:bCs/>
      <w:sz w:val="24"/>
      <w:szCs w:val="24"/>
    </w:rPr>
  </w:style>
  <w:style w:type="paragraph" w:styleId="12">
    <w:name w:val="heading 7"/>
    <w:basedOn w:val="1"/>
    <w:next w:val="1"/>
    <w:link w:val="120"/>
    <w:qFormat/>
    <w:uiPriority w:val="0"/>
    <w:pPr>
      <w:keepNext/>
      <w:keepLines/>
      <w:tabs>
        <w:tab w:val="left" w:pos="1296"/>
      </w:tabs>
      <w:spacing w:before="240" w:after="64" w:line="320" w:lineRule="auto"/>
      <w:ind w:left="1296" w:hanging="1296" w:firstLineChars="200"/>
      <w:outlineLvl w:val="6"/>
    </w:pPr>
    <w:rPr>
      <w:rFonts w:ascii="Times New Roman" w:hAnsi="Times New Roman" w:eastAsia="宋体" w:cs="Times New Roman"/>
      <w:b/>
      <w:bCs/>
      <w:sz w:val="24"/>
      <w:szCs w:val="24"/>
    </w:rPr>
  </w:style>
  <w:style w:type="paragraph" w:styleId="13">
    <w:name w:val="heading 8"/>
    <w:basedOn w:val="1"/>
    <w:next w:val="1"/>
    <w:link w:val="121"/>
    <w:qFormat/>
    <w:uiPriority w:val="0"/>
    <w:pPr>
      <w:keepNext/>
      <w:keepLines/>
      <w:tabs>
        <w:tab w:val="left" w:pos="1440"/>
      </w:tabs>
      <w:spacing w:before="240" w:after="64" w:line="320" w:lineRule="auto"/>
      <w:ind w:left="1440" w:hanging="1440" w:firstLineChars="200"/>
      <w:outlineLvl w:val="7"/>
    </w:pPr>
    <w:rPr>
      <w:rFonts w:ascii="Arial" w:hAnsi="Arial" w:eastAsia="黑体" w:cs="Times New Roman"/>
      <w:sz w:val="24"/>
      <w:szCs w:val="24"/>
    </w:rPr>
  </w:style>
  <w:style w:type="paragraph" w:styleId="14">
    <w:name w:val="heading 9"/>
    <w:basedOn w:val="1"/>
    <w:next w:val="1"/>
    <w:link w:val="122"/>
    <w:qFormat/>
    <w:uiPriority w:val="0"/>
    <w:pPr>
      <w:keepNext/>
      <w:keepLines/>
      <w:tabs>
        <w:tab w:val="left" w:pos="1584"/>
      </w:tabs>
      <w:spacing w:before="240" w:after="64" w:line="320" w:lineRule="auto"/>
      <w:ind w:left="1584" w:hanging="1584" w:firstLineChars="200"/>
      <w:outlineLvl w:val="8"/>
    </w:pPr>
    <w:rPr>
      <w:rFonts w:ascii="Arial" w:hAnsi="Arial" w:eastAsia="黑体" w:cs="Times New Roman"/>
      <w:sz w:val="24"/>
    </w:rPr>
  </w:style>
  <w:style w:type="character" w:default="1" w:styleId="94">
    <w:name w:val="Default Paragraph Font"/>
    <w:semiHidden/>
    <w:unhideWhenUsed/>
    <w:qFormat/>
    <w:uiPriority w:val="1"/>
  </w:style>
  <w:style w:type="table" w:default="1" w:styleId="9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link w:val="155"/>
    <w:qFormat/>
    <w:uiPriority w:val="0"/>
    <w:pPr>
      <w:spacing w:line="440" w:lineRule="exact"/>
      <w:ind w:left="200" w:leftChars="200" w:firstLine="200"/>
    </w:pPr>
    <w:rPr>
      <w:rFonts w:asciiTheme="minorHAnsi" w:hAnsiTheme="minorHAnsi" w:eastAsiaTheme="minorEastAsia" w:cstheme="minorBidi"/>
      <w:sz w:val="24"/>
      <w:szCs w:val="21"/>
    </w:rPr>
  </w:style>
  <w:style w:type="paragraph" w:styleId="3">
    <w:name w:val="Body Text Indent"/>
    <w:basedOn w:val="1"/>
    <w:next w:val="4"/>
    <w:link w:val="2509"/>
    <w:semiHidden/>
    <w:qFormat/>
    <w:uiPriority w:val="0"/>
    <w:pPr>
      <w:ind w:firstLine="720" w:firstLineChars="200"/>
    </w:pPr>
    <w:rPr>
      <w:rFonts w:ascii="仿宋_GB2312" w:hAnsi="Times New Roman" w:eastAsia="仿宋_GB2312" w:cs="Times New Roman"/>
      <w:sz w:val="32"/>
      <w:szCs w:val="32"/>
    </w:rPr>
  </w:style>
  <w:style w:type="paragraph" w:styleId="4">
    <w:name w:val="Body Text"/>
    <w:basedOn w:val="1"/>
    <w:next w:val="1"/>
    <w:link w:val="133"/>
    <w:unhideWhenUsed/>
    <w:qFormat/>
    <w:uiPriority w:val="0"/>
    <w:pPr>
      <w:spacing w:after="120"/>
    </w:pPr>
  </w:style>
  <w:style w:type="paragraph" w:styleId="5">
    <w:name w:val="macro"/>
    <w:link w:val="123"/>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ind w:firstLine="200" w:firstLineChars="200"/>
    </w:pPr>
    <w:rPr>
      <w:rFonts w:ascii="Courier New" w:hAnsi="Courier New" w:eastAsia="Times New Roman" w:cstheme="minorBidi"/>
      <w:kern w:val="2"/>
      <w:sz w:val="24"/>
      <w:szCs w:val="24"/>
      <w:lang w:val="en-US" w:eastAsia="zh-CN" w:bidi="ar-SA"/>
    </w:rPr>
  </w:style>
  <w:style w:type="paragraph" w:styleId="15">
    <w:name w:val="List 3"/>
    <w:basedOn w:val="1"/>
    <w:qFormat/>
    <w:uiPriority w:val="0"/>
    <w:pPr>
      <w:adjustRightInd w:val="0"/>
      <w:spacing w:beforeLines="50"/>
      <w:ind w:left="1260" w:hanging="420"/>
      <w:textAlignment w:val="baseline"/>
    </w:pPr>
    <w:rPr>
      <w:rFonts w:ascii="Times New Roman" w:hAnsi="Times New Roman" w:eastAsia="宋体" w:cs="Times New Roman"/>
      <w:kern w:val="0"/>
      <w:sz w:val="24"/>
      <w:szCs w:val="20"/>
    </w:rPr>
  </w:style>
  <w:style w:type="paragraph" w:styleId="16">
    <w:name w:val="toc 7"/>
    <w:basedOn w:val="1"/>
    <w:next w:val="1"/>
    <w:qFormat/>
    <w:uiPriority w:val="39"/>
    <w:pPr>
      <w:ind w:left="1260"/>
      <w:jc w:val="left"/>
    </w:pPr>
    <w:rPr>
      <w:rFonts w:cstheme="minorHAnsi"/>
      <w:sz w:val="18"/>
      <w:szCs w:val="18"/>
    </w:rPr>
  </w:style>
  <w:style w:type="paragraph" w:styleId="17">
    <w:name w:val="List Number 2"/>
    <w:basedOn w:val="1"/>
    <w:qFormat/>
    <w:uiPriority w:val="0"/>
    <w:pPr>
      <w:tabs>
        <w:tab w:val="left" w:pos="780"/>
      </w:tabs>
      <w:spacing w:line="240" w:lineRule="auto"/>
      <w:ind w:left="780" w:leftChars="200" w:hanging="360" w:hangingChars="200"/>
    </w:pPr>
    <w:rPr>
      <w:rFonts w:ascii="Times New Roman" w:hAnsi="Times New Roman" w:eastAsia="宋体" w:cs="Times New Roman"/>
      <w:szCs w:val="24"/>
    </w:rPr>
  </w:style>
  <w:style w:type="paragraph" w:styleId="18">
    <w:name w:val="table of authorities"/>
    <w:basedOn w:val="1"/>
    <w:next w:val="1"/>
    <w:qFormat/>
    <w:uiPriority w:val="0"/>
    <w:pPr>
      <w:spacing w:line="480" w:lineRule="exact"/>
      <w:ind w:left="420" w:leftChars="200"/>
    </w:pPr>
    <w:rPr>
      <w:rFonts w:ascii="Times New Roman" w:hAnsi="Times New Roman" w:eastAsia="宋体" w:cs="Times New Roman"/>
      <w:sz w:val="24"/>
      <w:szCs w:val="24"/>
    </w:rPr>
  </w:style>
  <w:style w:type="paragraph" w:styleId="19">
    <w:name w:val="Note Heading"/>
    <w:basedOn w:val="1"/>
    <w:next w:val="1"/>
    <w:link w:val="124"/>
    <w:qFormat/>
    <w:uiPriority w:val="0"/>
    <w:pPr>
      <w:spacing w:line="240" w:lineRule="auto"/>
      <w:jc w:val="center"/>
    </w:pPr>
    <w:rPr>
      <w:rFonts w:ascii="Times New Roman" w:hAnsi="Times New Roman" w:eastAsia="宋体" w:cs="Times New Roman"/>
      <w:szCs w:val="20"/>
    </w:rPr>
  </w:style>
  <w:style w:type="paragraph" w:styleId="20">
    <w:name w:val="List Bullet 4"/>
    <w:basedOn w:val="1"/>
    <w:qFormat/>
    <w:uiPriority w:val="0"/>
    <w:pPr>
      <w:tabs>
        <w:tab w:val="left" w:pos="1620"/>
      </w:tabs>
      <w:spacing w:line="240" w:lineRule="auto"/>
      <w:ind w:left="1620" w:hanging="360"/>
    </w:pPr>
    <w:rPr>
      <w:rFonts w:ascii="Times New Roman" w:hAnsi="Times New Roman" w:eastAsia="宋体" w:cs="Times New Roman"/>
      <w:sz w:val="24"/>
      <w:szCs w:val="20"/>
    </w:rPr>
  </w:style>
  <w:style w:type="paragraph" w:styleId="21">
    <w:name w:val="index 8"/>
    <w:basedOn w:val="1"/>
    <w:next w:val="1"/>
    <w:qFormat/>
    <w:uiPriority w:val="0"/>
    <w:pPr>
      <w:spacing w:line="240" w:lineRule="auto"/>
      <w:ind w:left="1400" w:leftChars="1400"/>
    </w:pPr>
    <w:rPr>
      <w:rFonts w:ascii="Times New Roman" w:hAnsi="Times New Roman" w:eastAsia="宋体" w:cs="Times New Roman"/>
      <w:szCs w:val="24"/>
    </w:rPr>
  </w:style>
  <w:style w:type="paragraph" w:styleId="22">
    <w:name w:val="E-mail Signature"/>
    <w:basedOn w:val="1"/>
    <w:link w:val="125"/>
    <w:qFormat/>
    <w:uiPriority w:val="0"/>
    <w:pPr>
      <w:widowControl/>
      <w:spacing w:line="520" w:lineRule="exact"/>
      <w:ind w:firstLine="700" w:firstLineChars="250"/>
      <w:jc w:val="left"/>
    </w:pPr>
    <w:rPr>
      <w:rFonts w:ascii="Verdana" w:hAnsi="Verdana"/>
      <w:sz w:val="32"/>
    </w:rPr>
  </w:style>
  <w:style w:type="paragraph" w:styleId="23">
    <w:name w:val="List Number"/>
    <w:basedOn w:val="1"/>
    <w:qFormat/>
    <w:uiPriority w:val="0"/>
    <w:pPr>
      <w:widowControl/>
      <w:tabs>
        <w:tab w:val="left" w:pos="360"/>
      </w:tabs>
      <w:spacing w:line="240" w:lineRule="auto"/>
      <w:ind w:left="360" w:hanging="360"/>
      <w:jc w:val="left"/>
    </w:pPr>
    <w:rPr>
      <w:rFonts w:ascii="宋体" w:hAnsi="Times New Roman" w:eastAsia="宋体" w:cs="Times New Roman"/>
      <w:kern w:val="28"/>
      <w:sz w:val="24"/>
      <w:szCs w:val="20"/>
    </w:rPr>
  </w:style>
  <w:style w:type="paragraph" w:styleId="24">
    <w:name w:val="Normal Indent"/>
    <w:basedOn w:val="1"/>
    <w:next w:val="1"/>
    <w:link w:val="126"/>
    <w:qFormat/>
    <w:uiPriority w:val="0"/>
    <w:pPr>
      <w:ind w:firstLine="420" w:firstLineChars="200"/>
    </w:pPr>
    <w:rPr>
      <w:rFonts w:ascii="Times New Roman" w:hAnsi="Times New Roman" w:eastAsia="宋体" w:cs="Times New Roman"/>
      <w:sz w:val="24"/>
      <w:szCs w:val="24"/>
    </w:rPr>
  </w:style>
  <w:style w:type="paragraph" w:styleId="25">
    <w:name w:val="caption"/>
    <w:basedOn w:val="1"/>
    <w:next w:val="1"/>
    <w:link w:val="127"/>
    <w:unhideWhenUsed/>
    <w:qFormat/>
    <w:uiPriority w:val="0"/>
    <w:pPr>
      <w:jc w:val="center"/>
      <w:outlineLvl w:val="5"/>
    </w:pPr>
    <w:rPr>
      <w:rFonts w:ascii="Times New Roman" w:hAnsi="Times New Roman" w:eastAsia="宋体" w:cstheme="majorBidi"/>
      <w:b/>
      <w:szCs w:val="20"/>
    </w:rPr>
  </w:style>
  <w:style w:type="paragraph" w:styleId="26">
    <w:name w:val="index 5"/>
    <w:basedOn w:val="1"/>
    <w:next w:val="1"/>
    <w:qFormat/>
    <w:uiPriority w:val="0"/>
    <w:pPr>
      <w:spacing w:line="240" w:lineRule="auto"/>
      <w:ind w:left="800" w:leftChars="800"/>
    </w:pPr>
    <w:rPr>
      <w:rFonts w:ascii="Times New Roman" w:hAnsi="Times New Roman" w:eastAsia="宋体" w:cs="Times New Roman"/>
      <w:szCs w:val="24"/>
    </w:rPr>
  </w:style>
  <w:style w:type="paragraph" w:styleId="27">
    <w:name w:val="List Bullet"/>
    <w:basedOn w:val="1"/>
    <w:qFormat/>
    <w:uiPriority w:val="0"/>
    <w:pPr>
      <w:tabs>
        <w:tab w:val="left" w:pos="425"/>
      </w:tabs>
      <w:spacing w:beforeLines="50"/>
      <w:ind w:left="200" w:hanging="200" w:hangingChars="200"/>
      <w:jc w:val="left"/>
    </w:pPr>
    <w:rPr>
      <w:rFonts w:ascii="Times New Roman" w:hAnsi="Times New Roman" w:eastAsia="宋体" w:cs="Times New Roman"/>
      <w:sz w:val="24"/>
      <w:szCs w:val="20"/>
    </w:rPr>
  </w:style>
  <w:style w:type="paragraph" w:styleId="28">
    <w:name w:val="envelope address"/>
    <w:basedOn w:val="1"/>
    <w:qFormat/>
    <w:uiPriority w:val="0"/>
    <w:pPr>
      <w:widowControl/>
      <w:snapToGrid w:val="0"/>
      <w:spacing w:line="520" w:lineRule="exact"/>
      <w:ind w:left="100" w:leftChars="1400" w:firstLine="700" w:firstLineChars="250"/>
      <w:jc w:val="left"/>
    </w:pPr>
    <w:rPr>
      <w:rFonts w:ascii="Courier New" w:hAnsi="Courier New" w:eastAsia="宋体" w:cs="Courier New"/>
      <w:bCs/>
      <w:kern w:val="0"/>
      <w:sz w:val="24"/>
      <w:szCs w:val="24"/>
    </w:rPr>
  </w:style>
  <w:style w:type="paragraph" w:styleId="29">
    <w:name w:val="Document Map"/>
    <w:basedOn w:val="1"/>
    <w:link w:val="128"/>
    <w:unhideWhenUsed/>
    <w:qFormat/>
    <w:uiPriority w:val="99"/>
    <w:rPr>
      <w:rFonts w:ascii="宋体" w:eastAsia="宋体"/>
      <w:sz w:val="18"/>
      <w:szCs w:val="18"/>
    </w:rPr>
  </w:style>
  <w:style w:type="paragraph" w:styleId="30">
    <w:name w:val="toa heading"/>
    <w:basedOn w:val="1"/>
    <w:next w:val="1"/>
    <w:qFormat/>
    <w:uiPriority w:val="0"/>
    <w:pPr>
      <w:spacing w:before="120" w:line="480" w:lineRule="exact"/>
    </w:pPr>
    <w:rPr>
      <w:rFonts w:ascii="Arial" w:hAnsi="Arial" w:eastAsia="宋体" w:cs="Times New Roman"/>
      <w:b/>
      <w:bCs/>
      <w:sz w:val="24"/>
      <w:szCs w:val="24"/>
    </w:rPr>
  </w:style>
  <w:style w:type="paragraph" w:styleId="31">
    <w:name w:val="annotation text"/>
    <w:basedOn w:val="1"/>
    <w:link w:val="129"/>
    <w:qFormat/>
    <w:uiPriority w:val="0"/>
    <w:pPr>
      <w:ind w:firstLine="200" w:firstLineChars="200"/>
      <w:jc w:val="left"/>
    </w:pPr>
    <w:rPr>
      <w:rFonts w:ascii="Times New Roman" w:hAnsi="Times New Roman" w:eastAsia="宋体" w:cs="Times New Roman"/>
      <w:sz w:val="24"/>
      <w:szCs w:val="24"/>
    </w:rPr>
  </w:style>
  <w:style w:type="paragraph" w:styleId="32">
    <w:name w:val="index 6"/>
    <w:basedOn w:val="1"/>
    <w:next w:val="1"/>
    <w:qFormat/>
    <w:uiPriority w:val="0"/>
    <w:pPr>
      <w:spacing w:line="240" w:lineRule="auto"/>
      <w:ind w:left="1000" w:leftChars="1000"/>
    </w:pPr>
    <w:rPr>
      <w:rFonts w:ascii="Times New Roman" w:hAnsi="Times New Roman" w:eastAsia="宋体" w:cs="Times New Roman"/>
      <w:szCs w:val="24"/>
    </w:rPr>
  </w:style>
  <w:style w:type="paragraph" w:styleId="33">
    <w:name w:val="Salutation"/>
    <w:basedOn w:val="1"/>
    <w:next w:val="1"/>
    <w:link w:val="130"/>
    <w:qFormat/>
    <w:uiPriority w:val="0"/>
    <w:pPr>
      <w:widowControl/>
      <w:spacing w:line="240" w:lineRule="auto"/>
      <w:jc w:val="left"/>
    </w:pPr>
    <w:rPr>
      <w:sz w:val="24"/>
    </w:rPr>
  </w:style>
  <w:style w:type="paragraph" w:styleId="34">
    <w:name w:val="Body Text 3"/>
    <w:basedOn w:val="1"/>
    <w:link w:val="131"/>
    <w:semiHidden/>
    <w:qFormat/>
    <w:uiPriority w:val="0"/>
    <w:pPr>
      <w:ind w:firstLine="200" w:firstLineChars="200"/>
    </w:pPr>
    <w:rPr>
      <w:rFonts w:ascii="Times New Roman" w:hAnsi="Times New Roman" w:eastAsia="宋体" w:cs="Times New Roman"/>
      <w:b/>
      <w:bCs/>
      <w:sz w:val="24"/>
      <w:szCs w:val="24"/>
    </w:rPr>
  </w:style>
  <w:style w:type="paragraph" w:styleId="35">
    <w:name w:val="Closing"/>
    <w:basedOn w:val="1"/>
    <w:link w:val="132"/>
    <w:qFormat/>
    <w:uiPriority w:val="0"/>
    <w:pPr>
      <w:widowControl/>
      <w:spacing w:line="240" w:lineRule="auto"/>
      <w:ind w:left="100" w:leftChars="2100"/>
      <w:jc w:val="left"/>
    </w:pPr>
    <w:rPr>
      <w:rFonts w:ascii="仿宋_GB2312" w:eastAsia="仿宋_GB2312"/>
      <w:sz w:val="24"/>
    </w:rPr>
  </w:style>
  <w:style w:type="paragraph" w:styleId="36">
    <w:name w:val="List Bullet 3"/>
    <w:basedOn w:val="1"/>
    <w:qFormat/>
    <w:uiPriority w:val="0"/>
    <w:pPr>
      <w:tabs>
        <w:tab w:val="left" w:pos="1200"/>
      </w:tabs>
      <w:spacing w:line="240" w:lineRule="auto"/>
      <w:ind w:left="1200" w:hanging="360"/>
    </w:pPr>
    <w:rPr>
      <w:rFonts w:ascii="Times New Roman" w:hAnsi="Times New Roman" w:eastAsia="宋体" w:cs="Times New Roman"/>
      <w:sz w:val="24"/>
      <w:szCs w:val="20"/>
    </w:rPr>
  </w:style>
  <w:style w:type="paragraph" w:styleId="37">
    <w:name w:val="List Number 3"/>
    <w:basedOn w:val="1"/>
    <w:qFormat/>
    <w:uiPriority w:val="0"/>
    <w:pPr>
      <w:widowControl/>
      <w:tabs>
        <w:tab w:val="left" w:pos="1200"/>
      </w:tabs>
      <w:spacing w:line="520" w:lineRule="exact"/>
      <w:ind w:left="1200" w:leftChars="400" w:hanging="360" w:hangingChars="200"/>
      <w:jc w:val="left"/>
    </w:pPr>
    <w:rPr>
      <w:rFonts w:ascii="Verdana" w:hAnsi="Verdana" w:eastAsia="宋体" w:cs="Verdana"/>
      <w:bCs/>
      <w:kern w:val="0"/>
      <w:sz w:val="28"/>
      <w:szCs w:val="32"/>
    </w:rPr>
  </w:style>
  <w:style w:type="paragraph" w:styleId="38">
    <w:name w:val="List 2"/>
    <w:basedOn w:val="1"/>
    <w:qFormat/>
    <w:uiPriority w:val="0"/>
    <w:pPr>
      <w:adjustRightInd w:val="0"/>
      <w:spacing w:beforeLines="50"/>
      <w:ind w:left="840" w:hanging="420"/>
      <w:textAlignment w:val="baseline"/>
    </w:pPr>
    <w:rPr>
      <w:rFonts w:ascii="Times New Roman" w:hAnsi="Times New Roman" w:eastAsia="宋体" w:cs="Times New Roman"/>
      <w:kern w:val="0"/>
      <w:sz w:val="24"/>
      <w:szCs w:val="20"/>
    </w:rPr>
  </w:style>
  <w:style w:type="paragraph" w:styleId="39">
    <w:name w:val="List Continue"/>
    <w:basedOn w:val="1"/>
    <w:qFormat/>
    <w:uiPriority w:val="0"/>
    <w:pPr>
      <w:spacing w:after="120" w:line="240" w:lineRule="auto"/>
      <w:ind w:left="420" w:leftChars="200"/>
    </w:pPr>
    <w:rPr>
      <w:rFonts w:ascii="Times New Roman" w:hAnsi="Times New Roman" w:eastAsia="宋体" w:cs="Times New Roman"/>
      <w:szCs w:val="24"/>
    </w:rPr>
  </w:style>
  <w:style w:type="paragraph" w:styleId="40">
    <w:name w:val="Block Text"/>
    <w:basedOn w:val="1"/>
    <w:next w:val="1"/>
    <w:qFormat/>
    <w:uiPriority w:val="0"/>
    <w:pPr>
      <w:spacing w:after="120" w:line="440" w:lineRule="exact"/>
      <w:ind w:left="1440" w:leftChars="700" w:right="1440" w:rightChars="700" w:firstLine="200" w:firstLineChars="200"/>
    </w:pPr>
    <w:rPr>
      <w:rFonts w:ascii="Times New Roman" w:hAnsi="Times New Roman" w:eastAsia="宋体" w:cs="Times New Roman"/>
      <w:sz w:val="24"/>
    </w:rPr>
  </w:style>
  <w:style w:type="paragraph" w:styleId="41">
    <w:name w:val="List Bullet 2"/>
    <w:basedOn w:val="1"/>
    <w:qFormat/>
    <w:uiPriority w:val="0"/>
    <w:pPr>
      <w:tabs>
        <w:tab w:val="left" w:pos="780"/>
      </w:tabs>
      <w:spacing w:line="240" w:lineRule="auto"/>
      <w:ind w:left="780" w:hanging="360"/>
    </w:pPr>
    <w:rPr>
      <w:rFonts w:ascii="Times New Roman" w:hAnsi="Times New Roman" w:eastAsia="宋体" w:cs="Times New Roman"/>
      <w:sz w:val="24"/>
      <w:szCs w:val="20"/>
    </w:rPr>
  </w:style>
  <w:style w:type="paragraph" w:styleId="42">
    <w:name w:val="HTML Address"/>
    <w:basedOn w:val="1"/>
    <w:link w:val="135"/>
    <w:qFormat/>
    <w:uiPriority w:val="0"/>
    <w:pPr>
      <w:widowControl/>
      <w:spacing w:line="520" w:lineRule="exact"/>
      <w:ind w:firstLine="700" w:firstLineChars="250"/>
      <w:jc w:val="left"/>
    </w:pPr>
    <w:rPr>
      <w:rFonts w:ascii="Verdana" w:hAnsi="Verdana"/>
      <w:i/>
      <w:sz w:val="32"/>
    </w:rPr>
  </w:style>
  <w:style w:type="paragraph" w:styleId="43">
    <w:name w:val="index 4"/>
    <w:basedOn w:val="1"/>
    <w:next w:val="1"/>
    <w:qFormat/>
    <w:uiPriority w:val="0"/>
    <w:pPr>
      <w:spacing w:line="240" w:lineRule="auto"/>
      <w:ind w:left="600" w:leftChars="600"/>
    </w:pPr>
    <w:rPr>
      <w:rFonts w:ascii="Times New Roman" w:hAnsi="Times New Roman" w:eastAsia="宋体" w:cs="Times New Roman"/>
      <w:szCs w:val="24"/>
    </w:rPr>
  </w:style>
  <w:style w:type="paragraph" w:styleId="44">
    <w:name w:val="toc 5"/>
    <w:basedOn w:val="1"/>
    <w:next w:val="1"/>
    <w:qFormat/>
    <w:uiPriority w:val="39"/>
    <w:pPr>
      <w:ind w:left="840"/>
      <w:jc w:val="left"/>
    </w:pPr>
    <w:rPr>
      <w:rFonts w:cstheme="minorHAnsi"/>
      <w:sz w:val="18"/>
      <w:szCs w:val="18"/>
    </w:rPr>
  </w:style>
  <w:style w:type="paragraph" w:styleId="45">
    <w:name w:val="toc 3"/>
    <w:basedOn w:val="1"/>
    <w:next w:val="1"/>
    <w:qFormat/>
    <w:uiPriority w:val="39"/>
    <w:pPr>
      <w:ind w:left="420"/>
      <w:jc w:val="left"/>
    </w:pPr>
    <w:rPr>
      <w:rFonts w:cstheme="minorHAnsi"/>
      <w:i/>
      <w:iCs/>
      <w:sz w:val="20"/>
      <w:szCs w:val="20"/>
    </w:rPr>
  </w:style>
  <w:style w:type="paragraph" w:styleId="46">
    <w:name w:val="Plain Text"/>
    <w:basedOn w:val="1"/>
    <w:link w:val="136"/>
    <w:qFormat/>
    <w:uiPriority w:val="0"/>
    <w:pPr>
      <w:ind w:firstLine="200" w:firstLineChars="200"/>
    </w:pPr>
    <w:rPr>
      <w:rFonts w:ascii="宋体" w:hAnsi="Courier New" w:eastAsia="宋体" w:cs="Times New Roman"/>
      <w:sz w:val="24"/>
      <w:szCs w:val="24"/>
    </w:rPr>
  </w:style>
  <w:style w:type="paragraph" w:styleId="47">
    <w:name w:val="List Bullet 5"/>
    <w:basedOn w:val="1"/>
    <w:qFormat/>
    <w:uiPriority w:val="0"/>
    <w:pPr>
      <w:tabs>
        <w:tab w:val="left" w:pos="2040"/>
      </w:tabs>
      <w:spacing w:line="240" w:lineRule="auto"/>
      <w:ind w:left="2040" w:leftChars="800" w:hanging="360" w:hangingChars="200"/>
    </w:pPr>
    <w:rPr>
      <w:rFonts w:ascii="Times New Roman" w:hAnsi="Times New Roman" w:eastAsia="宋体" w:cs="Times New Roman"/>
      <w:szCs w:val="24"/>
    </w:rPr>
  </w:style>
  <w:style w:type="paragraph" w:styleId="48">
    <w:name w:val="List Number 4"/>
    <w:basedOn w:val="1"/>
    <w:qFormat/>
    <w:uiPriority w:val="0"/>
    <w:pPr>
      <w:tabs>
        <w:tab w:val="left" w:pos="1620"/>
      </w:tabs>
      <w:spacing w:line="240" w:lineRule="auto"/>
      <w:ind w:left="1620" w:leftChars="600" w:hanging="360" w:hangingChars="200"/>
    </w:pPr>
    <w:rPr>
      <w:rFonts w:ascii="Times New Roman" w:hAnsi="Times New Roman" w:eastAsia="宋体" w:cs="Times New Roman"/>
      <w:szCs w:val="24"/>
    </w:rPr>
  </w:style>
  <w:style w:type="paragraph" w:styleId="49">
    <w:name w:val="toc 8"/>
    <w:basedOn w:val="1"/>
    <w:next w:val="1"/>
    <w:qFormat/>
    <w:uiPriority w:val="39"/>
    <w:pPr>
      <w:ind w:left="1470"/>
      <w:jc w:val="left"/>
    </w:pPr>
    <w:rPr>
      <w:rFonts w:cstheme="minorHAnsi"/>
      <w:sz w:val="18"/>
      <w:szCs w:val="18"/>
    </w:rPr>
  </w:style>
  <w:style w:type="paragraph" w:styleId="50">
    <w:name w:val="index 3"/>
    <w:basedOn w:val="1"/>
    <w:next w:val="1"/>
    <w:qFormat/>
    <w:uiPriority w:val="0"/>
    <w:pPr>
      <w:spacing w:line="240" w:lineRule="auto"/>
      <w:ind w:left="400" w:leftChars="400"/>
    </w:pPr>
    <w:rPr>
      <w:rFonts w:ascii="Times New Roman" w:hAnsi="Times New Roman" w:eastAsia="宋体" w:cs="Times New Roman"/>
      <w:szCs w:val="24"/>
    </w:rPr>
  </w:style>
  <w:style w:type="paragraph" w:styleId="51">
    <w:name w:val="Date"/>
    <w:basedOn w:val="1"/>
    <w:next w:val="1"/>
    <w:link w:val="137"/>
    <w:qFormat/>
    <w:uiPriority w:val="0"/>
    <w:pPr>
      <w:ind w:left="100" w:leftChars="2500" w:firstLine="200" w:firstLineChars="200"/>
    </w:pPr>
    <w:rPr>
      <w:rFonts w:ascii="Times New Roman" w:hAnsi="Times New Roman" w:eastAsia="宋体" w:cs="Times New Roman"/>
      <w:sz w:val="24"/>
      <w:szCs w:val="24"/>
    </w:rPr>
  </w:style>
  <w:style w:type="paragraph" w:styleId="52">
    <w:name w:val="Body Text Indent 2"/>
    <w:basedOn w:val="1"/>
    <w:link w:val="138"/>
    <w:semiHidden/>
    <w:qFormat/>
    <w:uiPriority w:val="0"/>
    <w:pPr>
      <w:ind w:firstLine="560" w:firstLineChars="200"/>
    </w:pPr>
    <w:rPr>
      <w:rFonts w:ascii="仿宋_GB2312" w:hAnsi="Times New Roman" w:eastAsia="仿宋_GB2312" w:cs="Times New Roman"/>
      <w:sz w:val="28"/>
      <w:szCs w:val="24"/>
    </w:rPr>
  </w:style>
  <w:style w:type="paragraph" w:styleId="53">
    <w:name w:val="endnote text"/>
    <w:basedOn w:val="1"/>
    <w:link w:val="139"/>
    <w:qFormat/>
    <w:uiPriority w:val="0"/>
    <w:pPr>
      <w:autoSpaceDE w:val="0"/>
      <w:autoSpaceDN w:val="0"/>
      <w:adjustRightInd w:val="0"/>
      <w:snapToGrid w:val="0"/>
      <w:spacing w:line="312" w:lineRule="auto"/>
      <w:ind w:firstLine="482"/>
      <w:jc w:val="left"/>
      <w:textAlignment w:val="baseline"/>
    </w:pPr>
    <w:rPr>
      <w:rFonts w:ascii="Times New Roman" w:hAnsi="Times New Roman" w:eastAsia="宋体" w:cs="Times New Roman"/>
      <w:kern w:val="0"/>
      <w:sz w:val="24"/>
      <w:szCs w:val="20"/>
    </w:rPr>
  </w:style>
  <w:style w:type="paragraph" w:styleId="54">
    <w:name w:val="List Continue 5"/>
    <w:basedOn w:val="1"/>
    <w:qFormat/>
    <w:uiPriority w:val="0"/>
    <w:pPr>
      <w:widowControl/>
      <w:spacing w:after="120" w:line="520" w:lineRule="exact"/>
      <w:ind w:left="2100" w:leftChars="1000" w:firstLine="700" w:firstLineChars="250"/>
      <w:jc w:val="left"/>
    </w:pPr>
    <w:rPr>
      <w:rFonts w:ascii="Verdana" w:hAnsi="Verdana" w:eastAsia="宋体" w:cs="Verdana"/>
      <w:bCs/>
      <w:kern w:val="0"/>
      <w:sz w:val="28"/>
      <w:szCs w:val="32"/>
    </w:rPr>
  </w:style>
  <w:style w:type="paragraph" w:styleId="55">
    <w:name w:val="Balloon Text"/>
    <w:basedOn w:val="1"/>
    <w:link w:val="140"/>
    <w:unhideWhenUsed/>
    <w:qFormat/>
    <w:uiPriority w:val="99"/>
    <w:pPr>
      <w:spacing w:line="240" w:lineRule="auto"/>
    </w:pPr>
    <w:rPr>
      <w:sz w:val="18"/>
      <w:szCs w:val="18"/>
    </w:rPr>
  </w:style>
  <w:style w:type="paragraph" w:styleId="56">
    <w:name w:val="footer"/>
    <w:basedOn w:val="1"/>
    <w:link w:val="141"/>
    <w:unhideWhenUsed/>
    <w:qFormat/>
    <w:uiPriority w:val="99"/>
    <w:pPr>
      <w:tabs>
        <w:tab w:val="center" w:pos="4153"/>
        <w:tab w:val="right" w:pos="8306"/>
      </w:tabs>
      <w:snapToGrid w:val="0"/>
      <w:spacing w:line="240" w:lineRule="auto"/>
      <w:jc w:val="left"/>
    </w:pPr>
    <w:rPr>
      <w:sz w:val="18"/>
      <w:szCs w:val="18"/>
    </w:rPr>
  </w:style>
  <w:style w:type="paragraph" w:styleId="57">
    <w:name w:val="envelope return"/>
    <w:basedOn w:val="1"/>
    <w:qFormat/>
    <w:uiPriority w:val="0"/>
    <w:pPr>
      <w:widowControl/>
      <w:snapToGrid w:val="0"/>
      <w:spacing w:line="520" w:lineRule="exact"/>
      <w:ind w:firstLine="700" w:firstLineChars="250"/>
      <w:jc w:val="left"/>
    </w:pPr>
    <w:rPr>
      <w:rFonts w:ascii="Courier New" w:hAnsi="Courier New" w:eastAsia="宋体" w:cs="Courier New"/>
      <w:bCs/>
      <w:kern w:val="0"/>
      <w:sz w:val="28"/>
      <w:szCs w:val="32"/>
    </w:rPr>
  </w:style>
  <w:style w:type="paragraph" w:styleId="58">
    <w:name w:val="header"/>
    <w:basedOn w:val="1"/>
    <w:next w:val="59"/>
    <w:link w:val="142"/>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customStyle="1" w:styleId="59">
    <w:name w:val="样式5"/>
    <w:basedOn w:val="60"/>
    <w:qFormat/>
    <w:uiPriority w:val="0"/>
    <w:pPr>
      <w:ind w:left="0"/>
    </w:pPr>
    <w:rPr>
      <w:rFonts w:ascii="Times New Roman" w:hAnsi="Times New Roman" w:eastAsia="黑体"/>
      <w:b w:val="0"/>
      <w:color w:val="000000"/>
      <w:sz w:val="24"/>
    </w:rPr>
  </w:style>
  <w:style w:type="paragraph" w:customStyle="1" w:styleId="60">
    <w:name w:val="样式3"/>
    <w:basedOn w:val="61"/>
    <w:link w:val="490"/>
    <w:qFormat/>
    <w:uiPriority w:val="0"/>
    <w:pPr>
      <w:spacing w:line="240" w:lineRule="auto"/>
      <w:ind w:left="420"/>
    </w:pPr>
    <w:rPr>
      <w:rFonts w:ascii="仿宋_GB2312" w:hAnsi="Courier New" w:eastAsia="仿宋_GB2312"/>
      <w:b/>
      <w:sz w:val="30"/>
      <w:szCs w:val="24"/>
    </w:rPr>
  </w:style>
  <w:style w:type="paragraph" w:customStyle="1" w:styleId="61">
    <w:name w:val="正文缩进1"/>
    <w:basedOn w:val="1"/>
    <w:qFormat/>
    <w:uiPriority w:val="0"/>
    <w:pPr>
      <w:ind w:firstLine="420"/>
      <w:jc w:val="left"/>
    </w:pPr>
    <w:rPr>
      <w:rFonts w:ascii="Times New Roman" w:hAnsi="Times New Roman" w:eastAsia="宋体" w:cs="Times New Roman"/>
      <w:sz w:val="24"/>
      <w:szCs w:val="24"/>
    </w:rPr>
  </w:style>
  <w:style w:type="paragraph" w:styleId="62">
    <w:name w:val="Signature"/>
    <w:basedOn w:val="1"/>
    <w:link w:val="143"/>
    <w:qFormat/>
    <w:uiPriority w:val="0"/>
    <w:pPr>
      <w:spacing w:line="240" w:lineRule="auto"/>
      <w:ind w:left="100" w:leftChars="2100"/>
    </w:pPr>
  </w:style>
  <w:style w:type="paragraph" w:styleId="63">
    <w:name w:val="toc 1"/>
    <w:basedOn w:val="1"/>
    <w:next w:val="1"/>
    <w:qFormat/>
    <w:uiPriority w:val="39"/>
    <w:pPr>
      <w:spacing w:before="120" w:after="120"/>
      <w:jc w:val="left"/>
    </w:pPr>
    <w:rPr>
      <w:rFonts w:cstheme="minorHAnsi"/>
      <w:b/>
      <w:bCs/>
      <w:caps/>
      <w:sz w:val="20"/>
      <w:szCs w:val="20"/>
    </w:rPr>
  </w:style>
  <w:style w:type="paragraph" w:styleId="64">
    <w:name w:val="List Continue 4"/>
    <w:basedOn w:val="1"/>
    <w:qFormat/>
    <w:uiPriority w:val="0"/>
    <w:pPr>
      <w:widowControl/>
      <w:spacing w:after="120" w:line="520" w:lineRule="exact"/>
      <w:ind w:left="1680" w:leftChars="800" w:firstLine="700" w:firstLineChars="250"/>
      <w:jc w:val="left"/>
    </w:pPr>
    <w:rPr>
      <w:rFonts w:ascii="Verdana" w:hAnsi="Verdana" w:eastAsia="宋体" w:cs="Verdana"/>
      <w:bCs/>
      <w:kern w:val="0"/>
      <w:sz w:val="28"/>
      <w:szCs w:val="32"/>
    </w:rPr>
  </w:style>
  <w:style w:type="paragraph" w:styleId="65">
    <w:name w:val="toc 4"/>
    <w:basedOn w:val="1"/>
    <w:next w:val="1"/>
    <w:qFormat/>
    <w:uiPriority w:val="39"/>
    <w:pPr>
      <w:ind w:left="630"/>
      <w:jc w:val="left"/>
    </w:pPr>
    <w:rPr>
      <w:rFonts w:cstheme="minorHAnsi"/>
      <w:sz w:val="18"/>
      <w:szCs w:val="18"/>
    </w:rPr>
  </w:style>
  <w:style w:type="paragraph" w:styleId="66">
    <w:name w:val="index heading"/>
    <w:basedOn w:val="1"/>
    <w:next w:val="67"/>
    <w:qFormat/>
    <w:uiPriority w:val="0"/>
    <w:pPr>
      <w:spacing w:line="240" w:lineRule="auto"/>
    </w:pPr>
    <w:rPr>
      <w:rFonts w:ascii="Times New Roman" w:hAnsi="Times New Roman" w:eastAsia="宋体" w:cs="Times New Roman"/>
      <w:szCs w:val="24"/>
    </w:rPr>
  </w:style>
  <w:style w:type="paragraph" w:styleId="67">
    <w:name w:val="index 1"/>
    <w:basedOn w:val="1"/>
    <w:next w:val="1"/>
    <w:qFormat/>
    <w:uiPriority w:val="0"/>
    <w:pPr>
      <w:spacing w:line="240" w:lineRule="auto"/>
      <w:jc w:val="center"/>
    </w:pPr>
    <w:rPr>
      <w:rFonts w:ascii="Times New Roman" w:hAnsi="Times New Roman" w:eastAsia="宋体" w:cs="Times New Roman"/>
      <w:szCs w:val="24"/>
    </w:rPr>
  </w:style>
  <w:style w:type="paragraph" w:styleId="68">
    <w:name w:val="Subtitle"/>
    <w:basedOn w:val="1"/>
    <w:next w:val="1"/>
    <w:link w:val="144"/>
    <w:qFormat/>
    <w:uiPriority w:val="0"/>
    <w:pPr>
      <w:spacing w:before="240" w:after="60" w:line="312" w:lineRule="auto"/>
      <w:jc w:val="center"/>
      <w:outlineLvl w:val="1"/>
    </w:pPr>
    <w:rPr>
      <w:rFonts w:ascii="Cambria" w:hAnsi="Cambria"/>
      <w:b/>
      <w:kern w:val="28"/>
      <w:sz w:val="32"/>
    </w:rPr>
  </w:style>
  <w:style w:type="paragraph" w:styleId="69">
    <w:name w:val="List Number 5"/>
    <w:basedOn w:val="1"/>
    <w:qFormat/>
    <w:uiPriority w:val="0"/>
    <w:pPr>
      <w:tabs>
        <w:tab w:val="left" w:pos="2040"/>
      </w:tabs>
      <w:spacing w:line="240" w:lineRule="auto"/>
      <w:ind w:left="2040" w:leftChars="800" w:hanging="360" w:hangingChars="200"/>
    </w:pPr>
    <w:rPr>
      <w:rFonts w:ascii="Times New Roman" w:hAnsi="Times New Roman" w:eastAsia="宋体" w:cs="Times New Roman"/>
      <w:szCs w:val="24"/>
    </w:rPr>
  </w:style>
  <w:style w:type="paragraph" w:styleId="70">
    <w:name w:val="List"/>
    <w:basedOn w:val="1"/>
    <w:link w:val="145"/>
    <w:qFormat/>
    <w:uiPriority w:val="0"/>
    <w:pPr>
      <w:adjustRightInd w:val="0"/>
      <w:spacing w:beforeLines="50"/>
      <w:ind w:left="420" w:hanging="420"/>
      <w:textAlignment w:val="baseline"/>
    </w:pPr>
    <w:rPr>
      <w:rFonts w:ascii="Times New Roman" w:hAnsi="Times New Roman" w:eastAsia="宋体" w:cs="Times New Roman"/>
      <w:kern w:val="0"/>
      <w:sz w:val="24"/>
      <w:szCs w:val="20"/>
    </w:rPr>
  </w:style>
  <w:style w:type="paragraph" w:styleId="71">
    <w:name w:val="footnote text"/>
    <w:basedOn w:val="1"/>
    <w:link w:val="146"/>
    <w:qFormat/>
    <w:uiPriority w:val="0"/>
    <w:pPr>
      <w:snapToGrid w:val="0"/>
      <w:spacing w:line="240" w:lineRule="auto"/>
      <w:jc w:val="left"/>
    </w:pPr>
    <w:rPr>
      <w:sz w:val="18"/>
      <w:szCs w:val="18"/>
    </w:rPr>
  </w:style>
  <w:style w:type="paragraph" w:styleId="72">
    <w:name w:val="toc 6"/>
    <w:basedOn w:val="1"/>
    <w:next w:val="1"/>
    <w:qFormat/>
    <w:uiPriority w:val="39"/>
    <w:pPr>
      <w:ind w:left="1050"/>
      <w:jc w:val="left"/>
    </w:pPr>
    <w:rPr>
      <w:rFonts w:cstheme="minorHAnsi"/>
      <w:sz w:val="18"/>
      <w:szCs w:val="18"/>
    </w:rPr>
  </w:style>
  <w:style w:type="paragraph" w:styleId="73">
    <w:name w:val="List 5"/>
    <w:basedOn w:val="1"/>
    <w:qFormat/>
    <w:uiPriority w:val="0"/>
    <w:pPr>
      <w:adjustRightInd w:val="0"/>
      <w:spacing w:beforeLines="50"/>
      <w:ind w:left="2100" w:hanging="420"/>
      <w:textAlignment w:val="baseline"/>
    </w:pPr>
    <w:rPr>
      <w:rFonts w:ascii="Times New Roman" w:hAnsi="Times New Roman" w:eastAsia="宋体" w:cs="Times New Roman"/>
      <w:kern w:val="0"/>
      <w:sz w:val="24"/>
      <w:szCs w:val="20"/>
    </w:rPr>
  </w:style>
  <w:style w:type="paragraph" w:styleId="74">
    <w:name w:val="Body Text Indent 3"/>
    <w:basedOn w:val="1"/>
    <w:link w:val="147"/>
    <w:semiHidden/>
    <w:qFormat/>
    <w:uiPriority w:val="0"/>
    <w:pPr>
      <w:spacing w:line="440" w:lineRule="exact"/>
      <w:ind w:left="200" w:firstLine="480" w:firstLineChars="200"/>
    </w:pPr>
    <w:rPr>
      <w:rFonts w:ascii="Times New Roman" w:hAnsi="Times New Roman" w:eastAsia="宋体" w:cs="Times New Roman"/>
      <w:sz w:val="24"/>
      <w:szCs w:val="24"/>
    </w:rPr>
  </w:style>
  <w:style w:type="paragraph" w:styleId="75">
    <w:name w:val="index 7"/>
    <w:basedOn w:val="1"/>
    <w:next w:val="1"/>
    <w:qFormat/>
    <w:uiPriority w:val="0"/>
    <w:pPr>
      <w:spacing w:line="240" w:lineRule="auto"/>
      <w:ind w:left="1200" w:leftChars="1200"/>
    </w:pPr>
    <w:rPr>
      <w:rFonts w:ascii="Times New Roman" w:hAnsi="Times New Roman" w:eastAsia="宋体" w:cs="Times New Roman"/>
      <w:szCs w:val="24"/>
    </w:rPr>
  </w:style>
  <w:style w:type="paragraph" w:styleId="76">
    <w:name w:val="index 9"/>
    <w:basedOn w:val="1"/>
    <w:next w:val="1"/>
    <w:qFormat/>
    <w:uiPriority w:val="0"/>
    <w:pPr>
      <w:spacing w:line="240" w:lineRule="auto"/>
      <w:ind w:left="1600" w:leftChars="1600"/>
    </w:pPr>
    <w:rPr>
      <w:rFonts w:ascii="Times New Roman" w:hAnsi="Times New Roman" w:eastAsia="宋体" w:cs="Times New Roman"/>
      <w:szCs w:val="24"/>
    </w:rPr>
  </w:style>
  <w:style w:type="paragraph" w:styleId="77">
    <w:name w:val="table of figures"/>
    <w:basedOn w:val="1"/>
    <w:next w:val="1"/>
    <w:qFormat/>
    <w:uiPriority w:val="0"/>
    <w:pPr>
      <w:adjustRightInd w:val="0"/>
      <w:spacing w:line="312" w:lineRule="atLeast"/>
      <w:ind w:left="840" w:leftChars="200" w:hanging="420" w:hangingChars="200"/>
      <w:textAlignment w:val="baseline"/>
    </w:pPr>
    <w:rPr>
      <w:rFonts w:ascii="Times New Roman" w:hAnsi="Times New Roman" w:eastAsia="宋体" w:cs="Times New Roman"/>
      <w:kern w:val="0"/>
      <w:szCs w:val="20"/>
    </w:rPr>
  </w:style>
  <w:style w:type="paragraph" w:styleId="78">
    <w:name w:val="toc 2"/>
    <w:basedOn w:val="1"/>
    <w:next w:val="1"/>
    <w:qFormat/>
    <w:uiPriority w:val="39"/>
    <w:pPr>
      <w:ind w:left="210"/>
      <w:jc w:val="left"/>
    </w:pPr>
    <w:rPr>
      <w:rFonts w:cstheme="minorHAnsi"/>
      <w:smallCaps/>
      <w:sz w:val="20"/>
      <w:szCs w:val="20"/>
    </w:rPr>
  </w:style>
  <w:style w:type="paragraph" w:styleId="79">
    <w:name w:val="toc 9"/>
    <w:basedOn w:val="1"/>
    <w:next w:val="1"/>
    <w:qFormat/>
    <w:uiPriority w:val="39"/>
    <w:pPr>
      <w:ind w:left="1680"/>
      <w:jc w:val="left"/>
    </w:pPr>
    <w:rPr>
      <w:rFonts w:cstheme="minorHAnsi"/>
      <w:sz w:val="18"/>
      <w:szCs w:val="18"/>
    </w:rPr>
  </w:style>
  <w:style w:type="paragraph" w:styleId="80">
    <w:name w:val="Body Text 2"/>
    <w:basedOn w:val="1"/>
    <w:link w:val="148"/>
    <w:semiHidden/>
    <w:qFormat/>
    <w:uiPriority w:val="0"/>
    <w:pPr>
      <w:ind w:firstLine="200" w:firstLineChars="200"/>
      <w:jc w:val="center"/>
    </w:pPr>
    <w:rPr>
      <w:rFonts w:ascii="Times New Roman" w:hAnsi="Times New Roman" w:eastAsia="宋体" w:cs="Times New Roman"/>
      <w:sz w:val="24"/>
      <w:szCs w:val="24"/>
    </w:rPr>
  </w:style>
  <w:style w:type="paragraph" w:styleId="81">
    <w:name w:val="List 4"/>
    <w:basedOn w:val="1"/>
    <w:qFormat/>
    <w:uiPriority w:val="0"/>
    <w:pPr>
      <w:adjustRightInd w:val="0"/>
      <w:spacing w:beforeLines="50"/>
      <w:ind w:left="1680" w:hanging="420"/>
      <w:textAlignment w:val="baseline"/>
    </w:pPr>
    <w:rPr>
      <w:rFonts w:ascii="Times New Roman" w:hAnsi="Times New Roman" w:eastAsia="宋体" w:cs="Times New Roman"/>
      <w:kern w:val="0"/>
      <w:sz w:val="24"/>
      <w:szCs w:val="20"/>
    </w:rPr>
  </w:style>
  <w:style w:type="paragraph" w:styleId="82">
    <w:name w:val="List Continue 2"/>
    <w:basedOn w:val="1"/>
    <w:qFormat/>
    <w:uiPriority w:val="0"/>
    <w:pPr>
      <w:spacing w:after="120" w:line="240" w:lineRule="auto"/>
      <w:ind w:left="840" w:leftChars="400"/>
    </w:pPr>
    <w:rPr>
      <w:rFonts w:ascii="Times New Roman" w:hAnsi="Times New Roman" w:eastAsia="宋体" w:cs="Times New Roman"/>
      <w:szCs w:val="20"/>
    </w:rPr>
  </w:style>
  <w:style w:type="paragraph" w:styleId="83">
    <w:name w:val="Message Header"/>
    <w:basedOn w:val="1"/>
    <w:link w:val="149"/>
    <w:qFormat/>
    <w:uiPriority w:val="0"/>
    <w:pPr>
      <w:widowControl/>
      <w:pBdr>
        <w:top w:val="single" w:color="auto" w:sz="6" w:space="1"/>
        <w:left w:val="single" w:color="auto" w:sz="6" w:space="1"/>
        <w:bottom w:val="single" w:color="auto" w:sz="6" w:space="1"/>
        <w:right w:val="single" w:color="auto" w:sz="6" w:space="1"/>
      </w:pBdr>
      <w:shd w:val="pct20" w:color="auto" w:fill="auto"/>
      <w:spacing w:line="520" w:lineRule="exact"/>
      <w:ind w:left="1080" w:leftChars="500" w:hanging="1080" w:hangingChars="500"/>
      <w:jc w:val="left"/>
    </w:pPr>
    <w:rPr>
      <w:rFonts w:ascii="Courier New" w:hAnsi="Courier New"/>
      <w:sz w:val="24"/>
      <w:shd w:val="pct20" w:color="auto" w:fill="auto"/>
    </w:rPr>
  </w:style>
  <w:style w:type="paragraph" w:styleId="84">
    <w:name w:val="HTML Preformatted"/>
    <w:basedOn w:val="1"/>
    <w:link w:val="150"/>
    <w:qFormat/>
    <w:uiPriority w:val="0"/>
    <w:pPr>
      <w:spacing w:line="240" w:lineRule="auto"/>
    </w:pPr>
    <w:rPr>
      <w:rFonts w:ascii="Courier New" w:hAnsi="Courier New" w:eastAsia="宋体" w:cs="Courier New"/>
      <w:sz w:val="20"/>
      <w:szCs w:val="20"/>
    </w:rPr>
  </w:style>
  <w:style w:type="paragraph" w:styleId="85">
    <w:name w:val="Normal (Web)"/>
    <w:basedOn w:val="1"/>
    <w:link w:val="151"/>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paragraph" w:styleId="86">
    <w:name w:val="List Continue 3"/>
    <w:basedOn w:val="1"/>
    <w:qFormat/>
    <w:uiPriority w:val="0"/>
    <w:pPr>
      <w:widowControl/>
      <w:spacing w:after="120" w:line="520" w:lineRule="exact"/>
      <w:ind w:left="1260" w:leftChars="600" w:firstLine="700" w:firstLineChars="250"/>
      <w:jc w:val="left"/>
    </w:pPr>
    <w:rPr>
      <w:rFonts w:ascii="Verdana" w:hAnsi="Verdana" w:eastAsia="宋体" w:cs="Verdana"/>
      <w:bCs/>
      <w:kern w:val="0"/>
      <w:sz w:val="28"/>
      <w:szCs w:val="32"/>
    </w:rPr>
  </w:style>
  <w:style w:type="paragraph" w:styleId="87">
    <w:name w:val="index 2"/>
    <w:basedOn w:val="1"/>
    <w:next w:val="1"/>
    <w:qFormat/>
    <w:uiPriority w:val="0"/>
    <w:pPr>
      <w:spacing w:line="240" w:lineRule="auto"/>
      <w:ind w:left="200" w:leftChars="200"/>
    </w:pPr>
    <w:rPr>
      <w:rFonts w:ascii="Times New Roman" w:hAnsi="Times New Roman" w:eastAsia="宋体" w:cs="Times New Roman"/>
      <w:szCs w:val="24"/>
    </w:rPr>
  </w:style>
  <w:style w:type="paragraph" w:styleId="88">
    <w:name w:val="Title"/>
    <w:basedOn w:val="1"/>
    <w:link w:val="152"/>
    <w:qFormat/>
    <w:uiPriority w:val="0"/>
    <w:pPr>
      <w:spacing w:before="240" w:after="60" w:line="240" w:lineRule="auto"/>
      <w:jc w:val="center"/>
      <w:outlineLvl w:val="0"/>
    </w:pPr>
    <w:rPr>
      <w:rFonts w:ascii="Arial" w:hAnsi="Arial" w:eastAsia="宋体" w:cs="Arial"/>
      <w:b/>
      <w:bCs/>
      <w:sz w:val="32"/>
      <w:szCs w:val="32"/>
    </w:rPr>
  </w:style>
  <w:style w:type="paragraph" w:styleId="89">
    <w:name w:val="annotation subject"/>
    <w:basedOn w:val="31"/>
    <w:next w:val="31"/>
    <w:link w:val="153"/>
    <w:semiHidden/>
    <w:qFormat/>
    <w:uiPriority w:val="0"/>
    <w:rPr>
      <w:b/>
      <w:bCs/>
    </w:rPr>
  </w:style>
  <w:style w:type="paragraph" w:styleId="90">
    <w:name w:val="Body Text First Indent"/>
    <w:basedOn w:val="4"/>
    <w:next w:val="1"/>
    <w:link w:val="154"/>
    <w:semiHidden/>
    <w:qFormat/>
    <w:uiPriority w:val="0"/>
    <w:pPr>
      <w:spacing w:line="240" w:lineRule="auto"/>
      <w:ind w:firstLine="420" w:firstLineChars="100"/>
    </w:pPr>
    <w:rPr>
      <w:rFonts w:ascii="Times New Roman" w:hAnsi="Times New Roman" w:eastAsia="宋体" w:cs="Times New Roman"/>
      <w:szCs w:val="24"/>
    </w:rPr>
  </w:style>
  <w:style w:type="table" w:styleId="92">
    <w:name w:val="Table Grid"/>
    <w:basedOn w:val="9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93">
    <w:name w:val="Table Theme"/>
    <w:basedOn w:val="91"/>
    <w:qFormat/>
    <w:uiPriority w:val="0"/>
    <w:pPr>
      <w:widowControl w:val="0"/>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5">
    <w:name w:val="Strong"/>
    <w:qFormat/>
    <w:uiPriority w:val="22"/>
    <w:rPr>
      <w:b/>
      <w:bCs/>
    </w:rPr>
  </w:style>
  <w:style w:type="character" w:styleId="96">
    <w:name w:val="endnote reference"/>
    <w:qFormat/>
    <w:uiPriority w:val="0"/>
    <w:rPr>
      <w:vertAlign w:val="superscript"/>
    </w:rPr>
  </w:style>
  <w:style w:type="character" w:styleId="97">
    <w:name w:val="page number"/>
    <w:basedOn w:val="94"/>
    <w:semiHidden/>
    <w:qFormat/>
    <w:uiPriority w:val="0"/>
    <w:rPr>
      <w:rFonts w:eastAsia="宋体"/>
      <w:kern w:val="2"/>
      <w:sz w:val="24"/>
      <w:szCs w:val="24"/>
      <w:lang w:val="en-US" w:eastAsia="zh-CN" w:bidi="ar-SA"/>
    </w:rPr>
  </w:style>
  <w:style w:type="character" w:styleId="98">
    <w:name w:val="FollowedHyperlink"/>
    <w:semiHidden/>
    <w:qFormat/>
    <w:uiPriority w:val="99"/>
    <w:rPr>
      <w:color w:val="800080"/>
      <w:u w:val="single"/>
    </w:rPr>
  </w:style>
  <w:style w:type="character" w:styleId="99">
    <w:name w:val="Emphasis"/>
    <w:basedOn w:val="94"/>
    <w:qFormat/>
    <w:uiPriority w:val="20"/>
    <w:rPr>
      <w:i/>
      <w:iCs/>
    </w:rPr>
  </w:style>
  <w:style w:type="character" w:styleId="100">
    <w:name w:val="line number"/>
    <w:qFormat/>
    <w:uiPriority w:val="0"/>
  </w:style>
  <w:style w:type="character" w:styleId="101">
    <w:name w:val="HTML Definition"/>
    <w:qFormat/>
    <w:uiPriority w:val="0"/>
    <w:rPr>
      <w:rFonts w:ascii="Arial Black" w:hAnsi="Arial Black" w:eastAsia="Times New Roman"/>
      <w:i/>
      <w:kern w:val="2"/>
      <w:sz w:val="21"/>
      <w:szCs w:val="24"/>
      <w:lang w:val="en-US" w:eastAsia="en-US" w:bidi="ar-SA"/>
    </w:rPr>
  </w:style>
  <w:style w:type="character" w:styleId="102">
    <w:name w:val="HTML Typewriter"/>
    <w:qFormat/>
    <w:uiPriority w:val="0"/>
    <w:rPr>
      <w:rFonts w:ascii="宋体" w:hAnsi="宋体" w:eastAsia="宋体" w:cs="宋体"/>
      <w:sz w:val="24"/>
      <w:szCs w:val="24"/>
    </w:rPr>
  </w:style>
  <w:style w:type="character" w:styleId="103">
    <w:name w:val="HTML Acronym"/>
    <w:qFormat/>
    <w:uiPriority w:val="0"/>
    <w:rPr>
      <w:rFonts w:ascii="Arial Black" w:hAnsi="Arial Black" w:eastAsia="Times New Roman"/>
      <w:kern w:val="2"/>
      <w:sz w:val="21"/>
      <w:szCs w:val="24"/>
      <w:lang w:val="en-US" w:eastAsia="en-US" w:bidi="ar-SA"/>
    </w:rPr>
  </w:style>
  <w:style w:type="character" w:styleId="104">
    <w:name w:val="HTML Variable"/>
    <w:qFormat/>
    <w:uiPriority w:val="0"/>
    <w:rPr>
      <w:rFonts w:ascii="Arial Black" w:hAnsi="Arial Black" w:eastAsia="Times New Roman"/>
      <w:i/>
      <w:kern w:val="2"/>
      <w:sz w:val="21"/>
      <w:szCs w:val="24"/>
      <w:lang w:val="en-US" w:eastAsia="en-US" w:bidi="ar-SA"/>
    </w:rPr>
  </w:style>
  <w:style w:type="character" w:styleId="105">
    <w:name w:val="Hyperlink"/>
    <w:basedOn w:val="94"/>
    <w:unhideWhenUsed/>
    <w:qFormat/>
    <w:uiPriority w:val="99"/>
    <w:rPr>
      <w:color w:val="0000FF"/>
      <w:u w:val="single"/>
    </w:rPr>
  </w:style>
  <w:style w:type="character" w:styleId="106">
    <w:name w:val="HTML Code"/>
    <w:qFormat/>
    <w:uiPriority w:val="0"/>
    <w:rPr>
      <w:rFonts w:ascii="黑体" w:hAnsi="Courier New" w:eastAsia="黑体"/>
      <w:kern w:val="2"/>
      <w:sz w:val="24"/>
      <w:szCs w:val="24"/>
      <w:lang w:val="en-US" w:eastAsia="zh-CN" w:bidi="ar-SA"/>
    </w:rPr>
  </w:style>
  <w:style w:type="character" w:styleId="107">
    <w:name w:val="annotation reference"/>
    <w:qFormat/>
    <w:uiPriority w:val="0"/>
    <w:rPr>
      <w:rFonts w:eastAsia="宋体"/>
      <w:kern w:val="2"/>
      <w:sz w:val="21"/>
      <w:szCs w:val="21"/>
      <w:lang w:val="en-US" w:eastAsia="zh-CN" w:bidi="ar-SA"/>
    </w:rPr>
  </w:style>
  <w:style w:type="character" w:styleId="108">
    <w:name w:val="HTML Cite"/>
    <w:qFormat/>
    <w:uiPriority w:val="0"/>
    <w:rPr>
      <w:rFonts w:ascii="Arial Black" w:hAnsi="Arial Black" w:eastAsia="Times New Roman"/>
      <w:i/>
      <w:kern w:val="2"/>
      <w:sz w:val="21"/>
      <w:szCs w:val="24"/>
      <w:lang w:val="en-US" w:eastAsia="en-US" w:bidi="ar-SA"/>
    </w:rPr>
  </w:style>
  <w:style w:type="character" w:styleId="109">
    <w:name w:val="footnote reference"/>
    <w:qFormat/>
    <w:uiPriority w:val="0"/>
    <w:rPr>
      <w:vertAlign w:val="superscript"/>
    </w:rPr>
  </w:style>
  <w:style w:type="character" w:styleId="110">
    <w:name w:val="HTML Keyboard"/>
    <w:qFormat/>
    <w:uiPriority w:val="0"/>
    <w:rPr>
      <w:rFonts w:ascii="MHei-Medium" w:hAnsi="MHei-Medium" w:eastAsia="Times New Roman"/>
      <w:kern w:val="2"/>
      <w:sz w:val="20"/>
      <w:szCs w:val="24"/>
      <w:lang w:val="en-US" w:eastAsia="en-US" w:bidi="ar-SA"/>
    </w:rPr>
  </w:style>
  <w:style w:type="character" w:styleId="111">
    <w:name w:val="HTML Sample"/>
    <w:qFormat/>
    <w:uiPriority w:val="0"/>
    <w:rPr>
      <w:rFonts w:ascii="MHei-Medium" w:hAnsi="MHei-Medium" w:eastAsia="Times New Roman"/>
      <w:kern w:val="2"/>
      <w:sz w:val="21"/>
      <w:szCs w:val="24"/>
      <w:lang w:val="en-US" w:eastAsia="en-US" w:bidi="ar-SA"/>
    </w:rPr>
  </w:style>
  <w:style w:type="character" w:customStyle="1" w:styleId="112">
    <w:name w:val="标题 5 Char"/>
    <w:basedOn w:val="94"/>
    <w:link w:val="10"/>
    <w:qFormat/>
    <w:uiPriority w:val="9"/>
    <w:rPr>
      <w:rFonts w:ascii="Times New Roman" w:hAnsi="Times New Roman"/>
      <w:b/>
      <w:bCs/>
      <w:sz w:val="24"/>
      <w:szCs w:val="28"/>
    </w:rPr>
  </w:style>
  <w:style w:type="paragraph" w:customStyle="1" w:styleId="113">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114">
    <w:name w:val="正文样式"/>
    <w:basedOn w:val="1"/>
    <w:link w:val="1540"/>
    <w:qFormat/>
    <w:uiPriority w:val="0"/>
    <w:pPr>
      <w:widowControl/>
      <w:ind w:firstLine="480" w:firstLineChars="200"/>
      <w:jc w:val="left"/>
    </w:pPr>
    <w:rPr>
      <w:rFonts w:ascii="宋体" w:eastAsia="宋体"/>
      <w:color w:val="000000"/>
      <w:sz w:val="24"/>
    </w:rPr>
  </w:style>
  <w:style w:type="character" w:customStyle="1" w:styleId="115">
    <w:name w:val="标题 1 Char"/>
    <w:basedOn w:val="94"/>
    <w:link w:val="6"/>
    <w:qFormat/>
    <w:uiPriority w:val="0"/>
    <w:rPr>
      <w:rFonts w:ascii="Times New Roman" w:hAnsi="Times New Roman"/>
      <w:b/>
      <w:bCs/>
      <w:kern w:val="44"/>
      <w:sz w:val="32"/>
      <w:szCs w:val="44"/>
    </w:rPr>
  </w:style>
  <w:style w:type="character" w:customStyle="1" w:styleId="116">
    <w:name w:val="标题 2 Char"/>
    <w:basedOn w:val="94"/>
    <w:link w:val="7"/>
    <w:qFormat/>
    <w:uiPriority w:val="0"/>
    <w:rPr>
      <w:rFonts w:ascii="Times New Roman" w:hAnsi="Times New Roman" w:eastAsiaTheme="majorEastAsia" w:cstheme="majorBidi"/>
      <w:b/>
      <w:bCs/>
      <w:kern w:val="2"/>
      <w:sz w:val="28"/>
      <w:szCs w:val="32"/>
    </w:rPr>
  </w:style>
  <w:style w:type="character" w:customStyle="1" w:styleId="117">
    <w:name w:val="标题 3 Char"/>
    <w:basedOn w:val="94"/>
    <w:link w:val="8"/>
    <w:qFormat/>
    <w:uiPriority w:val="0"/>
    <w:rPr>
      <w:rFonts w:ascii="Times New Roman" w:hAnsi="Times New Roman"/>
      <w:b/>
      <w:bCs/>
      <w:kern w:val="2"/>
      <w:sz w:val="24"/>
      <w:szCs w:val="32"/>
    </w:rPr>
  </w:style>
  <w:style w:type="character" w:customStyle="1" w:styleId="118">
    <w:name w:val="标题 4 Char"/>
    <w:basedOn w:val="94"/>
    <w:link w:val="9"/>
    <w:qFormat/>
    <w:uiPriority w:val="0"/>
    <w:rPr>
      <w:rFonts w:ascii="Times New Roman" w:hAnsi="Times New Roman" w:eastAsiaTheme="majorEastAsia" w:cstheme="majorBidi"/>
      <w:b/>
      <w:bCs/>
      <w:kern w:val="2"/>
      <w:sz w:val="24"/>
      <w:szCs w:val="28"/>
    </w:rPr>
  </w:style>
  <w:style w:type="character" w:customStyle="1" w:styleId="119">
    <w:name w:val="标题 6 Char"/>
    <w:basedOn w:val="94"/>
    <w:link w:val="11"/>
    <w:qFormat/>
    <w:uiPriority w:val="0"/>
    <w:rPr>
      <w:rFonts w:ascii="Times New Roman" w:hAnsi="Times New Roman" w:eastAsiaTheme="majorEastAsia" w:cstheme="majorBidi"/>
      <w:b/>
      <w:bCs/>
      <w:sz w:val="24"/>
      <w:szCs w:val="24"/>
    </w:rPr>
  </w:style>
  <w:style w:type="character" w:customStyle="1" w:styleId="120">
    <w:name w:val="标题 7 Char1"/>
    <w:link w:val="12"/>
    <w:qFormat/>
    <w:uiPriority w:val="0"/>
    <w:rPr>
      <w:rFonts w:ascii="Times New Roman" w:hAnsi="Times New Roman" w:eastAsia="宋体" w:cs="Times New Roman"/>
      <w:b/>
      <w:bCs/>
      <w:sz w:val="24"/>
      <w:szCs w:val="24"/>
    </w:rPr>
  </w:style>
  <w:style w:type="character" w:customStyle="1" w:styleId="121">
    <w:name w:val="标题 8 Char1"/>
    <w:link w:val="13"/>
    <w:qFormat/>
    <w:uiPriority w:val="0"/>
    <w:rPr>
      <w:rFonts w:ascii="Arial" w:hAnsi="Arial" w:eastAsia="黑体" w:cs="Times New Roman"/>
      <w:sz w:val="24"/>
      <w:szCs w:val="24"/>
    </w:rPr>
  </w:style>
  <w:style w:type="character" w:customStyle="1" w:styleId="122">
    <w:name w:val="标题 9 Char2"/>
    <w:link w:val="14"/>
    <w:qFormat/>
    <w:uiPriority w:val="0"/>
    <w:rPr>
      <w:rFonts w:ascii="Arial" w:hAnsi="Arial" w:eastAsia="黑体" w:cs="Times New Roman"/>
      <w:sz w:val="24"/>
      <w:szCs w:val="21"/>
    </w:rPr>
  </w:style>
  <w:style w:type="character" w:customStyle="1" w:styleId="123">
    <w:name w:val="宏文本 Char1"/>
    <w:basedOn w:val="94"/>
    <w:link w:val="5"/>
    <w:semiHidden/>
    <w:qFormat/>
    <w:uiPriority w:val="99"/>
    <w:rPr>
      <w:rFonts w:ascii="Courier New" w:hAnsi="Courier New" w:eastAsia="宋体" w:cs="Courier New"/>
      <w:sz w:val="24"/>
      <w:szCs w:val="24"/>
    </w:rPr>
  </w:style>
  <w:style w:type="character" w:customStyle="1" w:styleId="124">
    <w:name w:val="注释标题 Char"/>
    <w:basedOn w:val="94"/>
    <w:link w:val="19"/>
    <w:qFormat/>
    <w:uiPriority w:val="0"/>
    <w:rPr>
      <w:rFonts w:ascii="Times New Roman" w:hAnsi="Times New Roman" w:eastAsia="宋体" w:cs="Times New Roman"/>
      <w:szCs w:val="20"/>
    </w:rPr>
  </w:style>
  <w:style w:type="character" w:customStyle="1" w:styleId="125">
    <w:name w:val="电子邮件签名 Char1"/>
    <w:basedOn w:val="94"/>
    <w:link w:val="22"/>
    <w:semiHidden/>
    <w:qFormat/>
    <w:uiPriority w:val="99"/>
  </w:style>
  <w:style w:type="character" w:customStyle="1" w:styleId="126">
    <w:name w:val="正文缩进 Char"/>
    <w:link w:val="24"/>
    <w:qFormat/>
    <w:uiPriority w:val="0"/>
    <w:rPr>
      <w:rFonts w:ascii="Times New Roman" w:hAnsi="Times New Roman" w:eastAsia="宋体" w:cs="Times New Roman"/>
      <w:sz w:val="24"/>
      <w:szCs w:val="24"/>
    </w:rPr>
  </w:style>
  <w:style w:type="character" w:customStyle="1" w:styleId="127">
    <w:name w:val="题注 Char"/>
    <w:link w:val="25"/>
    <w:qFormat/>
    <w:uiPriority w:val="0"/>
    <w:rPr>
      <w:rFonts w:ascii="Times New Roman" w:hAnsi="Times New Roman" w:eastAsia="宋体" w:cstheme="majorBidi"/>
      <w:b/>
      <w:szCs w:val="20"/>
    </w:rPr>
  </w:style>
  <w:style w:type="character" w:customStyle="1" w:styleId="128">
    <w:name w:val="文档结构图 Char"/>
    <w:basedOn w:val="94"/>
    <w:link w:val="29"/>
    <w:qFormat/>
    <w:uiPriority w:val="99"/>
    <w:rPr>
      <w:rFonts w:ascii="宋体" w:eastAsia="宋体"/>
      <w:sz w:val="18"/>
      <w:szCs w:val="18"/>
    </w:rPr>
  </w:style>
  <w:style w:type="character" w:customStyle="1" w:styleId="129">
    <w:name w:val="批注文字 Char3"/>
    <w:link w:val="31"/>
    <w:qFormat/>
    <w:uiPriority w:val="0"/>
    <w:rPr>
      <w:rFonts w:ascii="Times New Roman" w:hAnsi="Times New Roman" w:eastAsia="宋体" w:cs="Times New Roman"/>
      <w:sz w:val="24"/>
      <w:szCs w:val="24"/>
    </w:rPr>
  </w:style>
  <w:style w:type="character" w:customStyle="1" w:styleId="130">
    <w:name w:val="称呼 Char1"/>
    <w:basedOn w:val="94"/>
    <w:link w:val="33"/>
    <w:semiHidden/>
    <w:qFormat/>
    <w:uiPriority w:val="99"/>
  </w:style>
  <w:style w:type="character" w:customStyle="1" w:styleId="131">
    <w:name w:val="正文文本 3 Char4"/>
    <w:link w:val="34"/>
    <w:qFormat/>
    <w:uiPriority w:val="0"/>
    <w:rPr>
      <w:rFonts w:ascii="Times New Roman" w:hAnsi="Times New Roman" w:eastAsia="宋体" w:cs="Times New Roman"/>
      <w:b/>
      <w:bCs/>
      <w:sz w:val="24"/>
      <w:szCs w:val="24"/>
    </w:rPr>
  </w:style>
  <w:style w:type="character" w:customStyle="1" w:styleId="132">
    <w:name w:val="结束语 Char1"/>
    <w:basedOn w:val="94"/>
    <w:link w:val="35"/>
    <w:semiHidden/>
    <w:qFormat/>
    <w:uiPriority w:val="99"/>
  </w:style>
  <w:style w:type="character" w:customStyle="1" w:styleId="133">
    <w:name w:val="正文文本 Char"/>
    <w:basedOn w:val="94"/>
    <w:link w:val="4"/>
    <w:qFormat/>
    <w:uiPriority w:val="0"/>
  </w:style>
  <w:style w:type="character" w:customStyle="1" w:styleId="134">
    <w:name w:val="正文文本缩进 Char4"/>
    <w:link w:val="3"/>
    <w:qFormat/>
    <w:uiPriority w:val="0"/>
    <w:rPr>
      <w:rFonts w:ascii="仿宋_GB2312" w:hAnsi="Times New Roman" w:eastAsia="仿宋_GB2312" w:cs="Times New Roman"/>
      <w:sz w:val="32"/>
      <w:szCs w:val="32"/>
    </w:rPr>
  </w:style>
  <w:style w:type="character" w:customStyle="1" w:styleId="135">
    <w:name w:val="HTML 地址 Char1"/>
    <w:basedOn w:val="94"/>
    <w:link w:val="42"/>
    <w:semiHidden/>
    <w:qFormat/>
    <w:uiPriority w:val="99"/>
    <w:rPr>
      <w:i/>
      <w:iCs/>
    </w:rPr>
  </w:style>
  <w:style w:type="character" w:customStyle="1" w:styleId="136">
    <w:name w:val="纯文本 Char3"/>
    <w:link w:val="46"/>
    <w:qFormat/>
    <w:uiPriority w:val="0"/>
    <w:rPr>
      <w:rFonts w:ascii="宋体" w:hAnsi="Courier New" w:eastAsia="宋体" w:cs="Times New Roman"/>
      <w:sz w:val="24"/>
      <w:szCs w:val="24"/>
    </w:rPr>
  </w:style>
  <w:style w:type="character" w:customStyle="1" w:styleId="137">
    <w:name w:val="日期 Char4"/>
    <w:link w:val="51"/>
    <w:qFormat/>
    <w:uiPriority w:val="0"/>
    <w:rPr>
      <w:rFonts w:ascii="Times New Roman" w:hAnsi="Times New Roman" w:eastAsia="宋体" w:cs="Times New Roman"/>
      <w:sz w:val="24"/>
      <w:szCs w:val="24"/>
    </w:rPr>
  </w:style>
  <w:style w:type="character" w:customStyle="1" w:styleId="138">
    <w:name w:val="正文文本缩进 2 Char3"/>
    <w:link w:val="52"/>
    <w:qFormat/>
    <w:uiPriority w:val="0"/>
    <w:rPr>
      <w:rFonts w:ascii="仿宋_GB2312" w:hAnsi="Times New Roman" w:eastAsia="仿宋_GB2312" w:cs="Times New Roman"/>
      <w:sz w:val="28"/>
      <w:szCs w:val="24"/>
    </w:rPr>
  </w:style>
  <w:style w:type="character" w:customStyle="1" w:styleId="139">
    <w:name w:val="尾注文本 Char3"/>
    <w:link w:val="53"/>
    <w:qFormat/>
    <w:uiPriority w:val="0"/>
    <w:rPr>
      <w:rFonts w:ascii="Times New Roman" w:hAnsi="Times New Roman" w:eastAsia="宋体" w:cs="Times New Roman"/>
      <w:kern w:val="0"/>
      <w:sz w:val="24"/>
      <w:szCs w:val="20"/>
    </w:rPr>
  </w:style>
  <w:style w:type="character" w:customStyle="1" w:styleId="140">
    <w:name w:val="批注框文本 Char"/>
    <w:basedOn w:val="94"/>
    <w:link w:val="55"/>
    <w:qFormat/>
    <w:uiPriority w:val="99"/>
    <w:rPr>
      <w:sz w:val="18"/>
      <w:szCs w:val="18"/>
    </w:rPr>
  </w:style>
  <w:style w:type="character" w:customStyle="1" w:styleId="141">
    <w:name w:val="页脚 Char"/>
    <w:basedOn w:val="94"/>
    <w:link w:val="56"/>
    <w:qFormat/>
    <w:uiPriority w:val="99"/>
    <w:rPr>
      <w:sz w:val="18"/>
      <w:szCs w:val="18"/>
    </w:rPr>
  </w:style>
  <w:style w:type="character" w:customStyle="1" w:styleId="142">
    <w:name w:val="页眉 Char"/>
    <w:basedOn w:val="94"/>
    <w:link w:val="58"/>
    <w:qFormat/>
    <w:uiPriority w:val="99"/>
    <w:rPr>
      <w:sz w:val="18"/>
      <w:szCs w:val="18"/>
    </w:rPr>
  </w:style>
  <w:style w:type="character" w:customStyle="1" w:styleId="143">
    <w:name w:val="签名 Char"/>
    <w:basedOn w:val="94"/>
    <w:link w:val="62"/>
    <w:qFormat/>
    <w:uiPriority w:val="0"/>
  </w:style>
  <w:style w:type="character" w:customStyle="1" w:styleId="144">
    <w:name w:val="副标题 Char"/>
    <w:basedOn w:val="94"/>
    <w:link w:val="68"/>
    <w:qFormat/>
    <w:uiPriority w:val="0"/>
    <w:rPr>
      <w:rFonts w:eastAsia="宋体" w:asciiTheme="majorHAnsi" w:hAnsiTheme="majorHAnsi" w:cstheme="majorBidi"/>
      <w:b/>
      <w:bCs/>
      <w:kern w:val="28"/>
      <w:sz w:val="32"/>
      <w:szCs w:val="32"/>
    </w:rPr>
  </w:style>
  <w:style w:type="character" w:customStyle="1" w:styleId="145">
    <w:name w:val="列表 Char"/>
    <w:link w:val="70"/>
    <w:qFormat/>
    <w:uiPriority w:val="0"/>
    <w:rPr>
      <w:rFonts w:ascii="Times New Roman" w:hAnsi="Times New Roman" w:eastAsia="宋体" w:cs="Times New Roman"/>
      <w:kern w:val="0"/>
      <w:sz w:val="24"/>
      <w:szCs w:val="20"/>
    </w:rPr>
  </w:style>
  <w:style w:type="character" w:customStyle="1" w:styleId="146">
    <w:name w:val="脚注文本 Char1"/>
    <w:basedOn w:val="94"/>
    <w:link w:val="71"/>
    <w:semiHidden/>
    <w:qFormat/>
    <w:uiPriority w:val="99"/>
    <w:rPr>
      <w:sz w:val="18"/>
      <w:szCs w:val="18"/>
    </w:rPr>
  </w:style>
  <w:style w:type="character" w:customStyle="1" w:styleId="147">
    <w:name w:val="正文文本缩进 3 Char3"/>
    <w:link w:val="74"/>
    <w:qFormat/>
    <w:uiPriority w:val="0"/>
    <w:rPr>
      <w:rFonts w:ascii="Times New Roman" w:hAnsi="Times New Roman" w:eastAsia="宋体" w:cs="Times New Roman"/>
      <w:sz w:val="24"/>
      <w:szCs w:val="24"/>
    </w:rPr>
  </w:style>
  <w:style w:type="character" w:customStyle="1" w:styleId="148">
    <w:name w:val="正文文本 2 Char3"/>
    <w:link w:val="80"/>
    <w:qFormat/>
    <w:uiPriority w:val="0"/>
    <w:rPr>
      <w:rFonts w:ascii="Times New Roman" w:hAnsi="Times New Roman" w:eastAsia="宋体" w:cs="Times New Roman"/>
      <w:sz w:val="24"/>
      <w:szCs w:val="24"/>
    </w:rPr>
  </w:style>
  <w:style w:type="character" w:customStyle="1" w:styleId="149">
    <w:name w:val="信息标题 Char1"/>
    <w:basedOn w:val="94"/>
    <w:link w:val="83"/>
    <w:semiHidden/>
    <w:qFormat/>
    <w:uiPriority w:val="99"/>
    <w:rPr>
      <w:rFonts w:asciiTheme="majorHAnsi" w:hAnsiTheme="majorHAnsi" w:eastAsiaTheme="majorEastAsia" w:cstheme="majorBidi"/>
      <w:sz w:val="24"/>
      <w:szCs w:val="24"/>
      <w:shd w:val="pct20" w:color="auto" w:fill="auto"/>
    </w:rPr>
  </w:style>
  <w:style w:type="character" w:customStyle="1" w:styleId="150">
    <w:name w:val="HTML 预设格式 Char"/>
    <w:basedOn w:val="94"/>
    <w:link w:val="84"/>
    <w:qFormat/>
    <w:uiPriority w:val="0"/>
    <w:rPr>
      <w:rFonts w:ascii="Courier New" w:hAnsi="Courier New" w:eastAsia="宋体" w:cs="Courier New"/>
      <w:sz w:val="20"/>
      <w:szCs w:val="20"/>
    </w:rPr>
  </w:style>
  <w:style w:type="character" w:customStyle="1" w:styleId="151">
    <w:name w:val="普通(网站) Char"/>
    <w:link w:val="85"/>
    <w:qFormat/>
    <w:uiPriority w:val="0"/>
    <w:rPr>
      <w:rFonts w:ascii="宋体" w:hAnsi="宋体" w:eastAsia="宋体" w:cs="宋体"/>
      <w:sz w:val="24"/>
      <w:szCs w:val="24"/>
    </w:rPr>
  </w:style>
  <w:style w:type="character" w:customStyle="1" w:styleId="152">
    <w:name w:val="标题 Char2"/>
    <w:link w:val="88"/>
    <w:qFormat/>
    <w:uiPriority w:val="0"/>
    <w:rPr>
      <w:rFonts w:ascii="Arial" w:hAnsi="Arial" w:eastAsia="宋体" w:cs="Arial"/>
      <w:b/>
      <w:bCs/>
      <w:sz w:val="32"/>
      <w:szCs w:val="32"/>
    </w:rPr>
  </w:style>
  <w:style w:type="character" w:customStyle="1" w:styleId="153">
    <w:name w:val="批注主题 Char2"/>
    <w:link w:val="89"/>
    <w:qFormat/>
    <w:uiPriority w:val="0"/>
    <w:rPr>
      <w:rFonts w:ascii="Times New Roman" w:hAnsi="Times New Roman" w:eastAsia="宋体" w:cs="Times New Roman"/>
      <w:b/>
      <w:bCs/>
      <w:sz w:val="24"/>
      <w:szCs w:val="24"/>
    </w:rPr>
  </w:style>
  <w:style w:type="character" w:customStyle="1" w:styleId="154">
    <w:name w:val="正文首行缩进 Char1"/>
    <w:link w:val="90"/>
    <w:qFormat/>
    <w:uiPriority w:val="0"/>
    <w:rPr>
      <w:rFonts w:ascii="Times New Roman" w:hAnsi="Times New Roman" w:eastAsia="宋体" w:cs="Times New Roman"/>
      <w:szCs w:val="24"/>
    </w:rPr>
  </w:style>
  <w:style w:type="character" w:customStyle="1" w:styleId="155">
    <w:name w:val="正文首行缩进 2 Char"/>
    <w:basedOn w:val="156"/>
    <w:link w:val="2"/>
    <w:qFormat/>
    <w:uiPriority w:val="0"/>
  </w:style>
  <w:style w:type="character" w:customStyle="1" w:styleId="156">
    <w:name w:val="正文文本缩进 Char"/>
    <w:basedOn w:val="94"/>
    <w:link w:val="157"/>
    <w:qFormat/>
    <w:uiPriority w:val="0"/>
  </w:style>
  <w:style w:type="paragraph" w:customStyle="1" w:styleId="157">
    <w:name w:val="正文文本缩进1"/>
    <w:basedOn w:val="1"/>
    <w:link w:val="156"/>
    <w:qFormat/>
    <w:uiPriority w:val="0"/>
    <w:pPr>
      <w:tabs>
        <w:tab w:val="left" w:pos="840"/>
      </w:tabs>
      <w:adjustRightInd w:val="0"/>
      <w:snapToGrid w:val="0"/>
      <w:ind w:firstLine="560" w:firstLineChars="200"/>
    </w:pPr>
    <w:rPr>
      <w:rFonts w:ascii="Times New Roman" w:hAnsi="Times New Roman" w:eastAsia="宋体" w:cs="Times New Roman"/>
      <w:color w:val="FF00FF"/>
      <w:kern w:val="0"/>
      <w:sz w:val="28"/>
      <w:szCs w:val="20"/>
    </w:rPr>
  </w:style>
  <w:style w:type="paragraph" w:customStyle="1" w:styleId="158">
    <w:name w:val="磷矿正文"/>
    <w:basedOn w:val="1"/>
    <w:link w:val="159"/>
    <w:qFormat/>
    <w:uiPriority w:val="0"/>
    <w:pPr>
      <w:autoSpaceDE w:val="0"/>
      <w:autoSpaceDN w:val="0"/>
      <w:adjustRightInd w:val="0"/>
      <w:ind w:firstLine="200" w:firstLineChars="200"/>
    </w:pPr>
    <w:rPr>
      <w:rFonts w:ascii="Times New Roman" w:hAnsi="Times New Roman" w:eastAsia="宋体" w:cs="Times New Roman"/>
      <w:sz w:val="24"/>
      <w:szCs w:val="24"/>
    </w:rPr>
  </w:style>
  <w:style w:type="character" w:customStyle="1" w:styleId="159">
    <w:name w:val="磷矿正文 Char"/>
    <w:link w:val="158"/>
    <w:qFormat/>
    <w:uiPriority w:val="0"/>
    <w:rPr>
      <w:rFonts w:ascii="Times New Roman" w:hAnsi="Times New Roman" w:eastAsia="宋体" w:cs="Times New Roman"/>
      <w:sz w:val="24"/>
      <w:szCs w:val="24"/>
    </w:rPr>
  </w:style>
  <w:style w:type="character" w:customStyle="1" w:styleId="160">
    <w:name w:val="页脚 Char3"/>
    <w:qFormat/>
    <w:uiPriority w:val="0"/>
    <w:rPr>
      <w:rFonts w:eastAsia="宋体"/>
      <w:kern w:val="2"/>
      <w:sz w:val="18"/>
      <w:szCs w:val="18"/>
      <w:lang w:val="en-US" w:eastAsia="zh-CN" w:bidi="ar-SA"/>
    </w:rPr>
  </w:style>
  <w:style w:type="paragraph" w:customStyle="1" w:styleId="161">
    <w:name w:val="+++++1.1.1"/>
    <w:basedOn w:val="1"/>
    <w:link w:val="162"/>
    <w:qFormat/>
    <w:uiPriority w:val="0"/>
    <w:pPr>
      <w:spacing w:beforeLines="50" w:afterLines="50"/>
      <w:outlineLvl w:val="2"/>
    </w:pPr>
    <w:rPr>
      <w:rFonts w:ascii="Times New Roman" w:hAnsi="Times New Roman" w:eastAsia="黑体" w:cs="宋体"/>
      <w:b/>
      <w:color w:val="0000FF"/>
      <w:sz w:val="28"/>
      <w:szCs w:val="28"/>
    </w:rPr>
  </w:style>
  <w:style w:type="character" w:customStyle="1" w:styleId="162">
    <w:name w:val="+++++1.1.1 Char"/>
    <w:link w:val="161"/>
    <w:qFormat/>
    <w:uiPriority w:val="0"/>
    <w:rPr>
      <w:rFonts w:ascii="Times New Roman" w:hAnsi="Times New Roman" w:eastAsia="黑体" w:cs="宋体"/>
      <w:b/>
      <w:color w:val="0000FF"/>
      <w:sz w:val="28"/>
      <w:szCs w:val="28"/>
    </w:rPr>
  </w:style>
  <w:style w:type="paragraph" w:customStyle="1" w:styleId="163">
    <w:name w:val="+++ 表头"/>
    <w:basedOn w:val="1"/>
    <w:link w:val="164"/>
    <w:qFormat/>
    <w:uiPriority w:val="0"/>
    <w:pPr>
      <w:jc w:val="center"/>
    </w:pPr>
    <w:rPr>
      <w:rFonts w:ascii="Times New Roman" w:hAnsi="Times New Roman" w:eastAsia="宋体" w:cs="宋体"/>
      <w:b/>
      <w:bCs/>
      <w:color w:val="0000FF"/>
      <w:sz w:val="24"/>
      <w:szCs w:val="24"/>
    </w:rPr>
  </w:style>
  <w:style w:type="character" w:customStyle="1" w:styleId="164">
    <w:name w:val="+++ 表头 Char"/>
    <w:link w:val="163"/>
    <w:qFormat/>
    <w:uiPriority w:val="0"/>
    <w:rPr>
      <w:rFonts w:ascii="Times New Roman" w:hAnsi="Times New Roman" w:eastAsia="宋体" w:cs="宋体"/>
      <w:b/>
      <w:bCs/>
      <w:color w:val="0000FF"/>
      <w:sz w:val="24"/>
      <w:szCs w:val="24"/>
    </w:rPr>
  </w:style>
  <w:style w:type="paragraph" w:customStyle="1" w:styleId="165">
    <w:name w:val="表体"/>
    <w:basedOn w:val="1"/>
    <w:link w:val="166"/>
    <w:qFormat/>
    <w:uiPriority w:val="0"/>
    <w:pPr>
      <w:overflowPunct w:val="0"/>
      <w:adjustRightInd w:val="0"/>
      <w:snapToGrid w:val="0"/>
      <w:spacing w:line="240" w:lineRule="auto"/>
      <w:jc w:val="center"/>
      <w:textAlignment w:val="baseline"/>
    </w:pPr>
    <w:rPr>
      <w:rFonts w:ascii="Times New Roman" w:hAnsi="Times New Roman" w:eastAsia="仿宋_GB2312" w:cs="Times New Roman"/>
      <w:color w:val="000000"/>
      <w:kern w:val="24"/>
    </w:rPr>
  </w:style>
  <w:style w:type="character" w:customStyle="1" w:styleId="166">
    <w:name w:val="表体 Char"/>
    <w:link w:val="165"/>
    <w:qFormat/>
    <w:uiPriority w:val="0"/>
    <w:rPr>
      <w:rFonts w:ascii="Times New Roman" w:hAnsi="Times New Roman" w:eastAsia="仿宋_GB2312" w:cs="Times New Roman"/>
      <w:color w:val="000000"/>
      <w:kern w:val="24"/>
      <w:szCs w:val="21"/>
    </w:rPr>
  </w:style>
  <w:style w:type="paragraph" w:customStyle="1" w:styleId="167">
    <w:name w:val="Table Paragraph"/>
    <w:basedOn w:val="1"/>
    <w:qFormat/>
    <w:uiPriority w:val="1"/>
    <w:pPr>
      <w:spacing w:line="240" w:lineRule="auto"/>
      <w:jc w:val="left"/>
    </w:pPr>
    <w:rPr>
      <w:rFonts w:ascii="Calibri" w:hAnsi="Calibri" w:eastAsia="宋体" w:cs="Calibri"/>
      <w:kern w:val="0"/>
      <w:sz w:val="22"/>
      <w:lang w:eastAsia="en-US"/>
    </w:rPr>
  </w:style>
  <w:style w:type="paragraph" w:customStyle="1" w:styleId="168">
    <w:name w:val="++++1.1"/>
    <w:basedOn w:val="1"/>
    <w:link w:val="169"/>
    <w:qFormat/>
    <w:uiPriority w:val="0"/>
    <w:pPr>
      <w:spacing w:beforeLines="50" w:afterLines="50"/>
      <w:outlineLvl w:val="1"/>
    </w:pPr>
    <w:rPr>
      <w:rFonts w:ascii="Times New Roman" w:hAnsi="Times New Roman" w:eastAsia="黑体" w:cs="宋体"/>
      <w:b/>
      <w:color w:val="FF0000"/>
      <w:sz w:val="32"/>
      <w:szCs w:val="32"/>
    </w:rPr>
  </w:style>
  <w:style w:type="character" w:customStyle="1" w:styleId="169">
    <w:name w:val="++++1.1 Char"/>
    <w:link w:val="168"/>
    <w:qFormat/>
    <w:uiPriority w:val="0"/>
    <w:rPr>
      <w:rFonts w:ascii="Times New Roman" w:hAnsi="Times New Roman" w:eastAsia="黑体" w:cs="宋体"/>
      <w:b/>
      <w:color w:val="FF0000"/>
      <w:sz w:val="32"/>
      <w:szCs w:val="32"/>
    </w:rPr>
  </w:style>
  <w:style w:type="character" w:customStyle="1" w:styleId="170">
    <w:name w:val="正文首行缩进 Char"/>
    <w:basedOn w:val="133"/>
    <w:link w:val="171"/>
    <w:qFormat/>
    <w:uiPriority w:val="0"/>
  </w:style>
  <w:style w:type="paragraph" w:customStyle="1" w:styleId="171">
    <w:name w:val="正文首行缩进1"/>
    <w:basedOn w:val="4"/>
    <w:link w:val="170"/>
    <w:qFormat/>
    <w:uiPriority w:val="0"/>
    <w:pPr>
      <w:spacing w:line="240" w:lineRule="auto"/>
      <w:ind w:firstLine="420" w:firstLineChars="100"/>
    </w:pPr>
    <w:rPr>
      <w:rFonts w:ascii="Times New Roman" w:hAnsi="Times New Roman" w:eastAsia="宋体" w:cs="Times New Roman"/>
      <w:kern w:val="0"/>
      <w:sz w:val="24"/>
      <w:szCs w:val="24"/>
    </w:rPr>
  </w:style>
  <w:style w:type="paragraph" w:customStyle="1" w:styleId="172">
    <w:name w:val="表内容"/>
    <w:basedOn w:val="1"/>
    <w:link w:val="173"/>
    <w:qFormat/>
    <w:uiPriority w:val="99"/>
    <w:pPr>
      <w:autoSpaceDE w:val="0"/>
      <w:autoSpaceDN w:val="0"/>
      <w:spacing w:line="240" w:lineRule="auto"/>
      <w:jc w:val="center"/>
    </w:pPr>
    <w:rPr>
      <w:rFonts w:ascii="Times New Roman" w:hAnsi="Times New Roman" w:eastAsia="宋体" w:cs="Times New Roman"/>
    </w:rPr>
  </w:style>
  <w:style w:type="character" w:customStyle="1" w:styleId="173">
    <w:name w:val="表内容 Char"/>
    <w:link w:val="172"/>
    <w:qFormat/>
    <w:uiPriority w:val="0"/>
    <w:rPr>
      <w:rFonts w:ascii="Times New Roman" w:hAnsi="Times New Roman" w:eastAsia="宋体" w:cs="Times New Roman"/>
      <w:szCs w:val="21"/>
    </w:rPr>
  </w:style>
  <w:style w:type="character" w:customStyle="1" w:styleId="174">
    <w:name w:val="文档结构图 Char2"/>
    <w:qFormat/>
    <w:uiPriority w:val="0"/>
    <w:rPr>
      <w:rFonts w:eastAsia="宋体"/>
      <w:kern w:val="2"/>
      <w:sz w:val="24"/>
      <w:szCs w:val="24"/>
      <w:lang w:val="en-US" w:eastAsia="zh-CN" w:bidi="ar-SA"/>
    </w:rPr>
  </w:style>
  <w:style w:type="paragraph" w:customStyle="1" w:styleId="175">
    <w:name w:val="表格文字"/>
    <w:basedOn w:val="1"/>
    <w:next w:val="176"/>
    <w:link w:val="1010"/>
    <w:qFormat/>
    <w:uiPriority w:val="0"/>
    <w:pPr>
      <w:tabs>
        <w:tab w:val="left" w:pos="540"/>
        <w:tab w:val="left" w:pos="1080"/>
        <w:tab w:val="left" w:pos="1260"/>
        <w:tab w:val="left" w:pos="1440"/>
      </w:tabs>
      <w:adjustRightInd w:val="0"/>
      <w:snapToGrid w:val="0"/>
      <w:spacing w:line="240" w:lineRule="auto"/>
      <w:jc w:val="center"/>
    </w:pPr>
    <w:rPr>
      <w:rFonts w:ascii="Times New Roman" w:hAnsi="Times New Roman" w:eastAsia="宋体" w:cs="Times New Roman"/>
      <w:bCs/>
    </w:rPr>
  </w:style>
  <w:style w:type="paragraph" w:customStyle="1" w:styleId="176">
    <w:name w:val="报告表格"/>
    <w:basedOn w:val="1"/>
    <w:link w:val="726"/>
    <w:qFormat/>
    <w:uiPriority w:val="0"/>
    <w:pPr>
      <w:autoSpaceDE w:val="0"/>
      <w:autoSpaceDN w:val="0"/>
      <w:adjustRightInd w:val="0"/>
      <w:spacing w:before="40" w:after="40" w:line="240" w:lineRule="auto"/>
      <w:jc w:val="center"/>
      <w:textAlignment w:val="baseline"/>
    </w:pPr>
    <w:rPr>
      <w:rFonts w:ascii="Times New Roman" w:hAnsi="Times New Roman" w:eastAsia="宋体" w:cs="Times New Roman"/>
      <w:sz w:val="24"/>
      <w:szCs w:val="24"/>
    </w:rPr>
  </w:style>
  <w:style w:type="character" w:customStyle="1" w:styleId="177">
    <w:name w:val="表格文字 Char"/>
    <w:link w:val="175"/>
    <w:qFormat/>
    <w:uiPriority w:val="0"/>
    <w:rPr>
      <w:rFonts w:ascii="Times New Roman" w:hAnsi="Times New Roman" w:eastAsia="宋体" w:cs="Times New Roman"/>
      <w:bCs/>
    </w:rPr>
  </w:style>
  <w:style w:type="character" w:customStyle="1" w:styleId="178">
    <w:name w:val="apple-converted-space"/>
    <w:basedOn w:val="94"/>
    <w:qFormat/>
    <w:uiPriority w:val="0"/>
  </w:style>
  <w:style w:type="paragraph" w:customStyle="1" w:styleId="179">
    <w:name w:val="列出段落1"/>
    <w:basedOn w:val="1"/>
    <w:qFormat/>
    <w:uiPriority w:val="1"/>
    <w:pPr>
      <w:spacing w:line="240" w:lineRule="auto"/>
      <w:ind w:firstLine="420" w:firstLineChars="200"/>
    </w:pPr>
    <w:rPr>
      <w:rFonts w:ascii="Calibri" w:hAnsi="Calibri" w:eastAsia="宋体" w:cs="Times New Roman"/>
    </w:rPr>
  </w:style>
  <w:style w:type="paragraph" w:customStyle="1" w:styleId="180">
    <w:name w:val="段落"/>
    <w:basedOn w:val="1"/>
    <w:next w:val="1"/>
    <w:qFormat/>
    <w:uiPriority w:val="0"/>
    <w:pPr>
      <w:autoSpaceDE w:val="0"/>
      <w:autoSpaceDN w:val="0"/>
      <w:adjustRightInd w:val="0"/>
      <w:spacing w:line="240" w:lineRule="auto"/>
      <w:jc w:val="left"/>
    </w:pPr>
    <w:rPr>
      <w:rFonts w:ascii="仿宋_GB2312" w:eastAsia="仿宋_GB2312"/>
      <w:kern w:val="0"/>
      <w:sz w:val="24"/>
      <w:szCs w:val="24"/>
    </w:rPr>
  </w:style>
  <w:style w:type="paragraph" w:customStyle="1" w:styleId="181">
    <w:name w:val="样式 标题 2 + 小三"/>
    <w:basedOn w:val="1"/>
    <w:next w:val="1"/>
    <w:qFormat/>
    <w:uiPriority w:val="99"/>
    <w:pPr>
      <w:autoSpaceDE w:val="0"/>
      <w:autoSpaceDN w:val="0"/>
      <w:adjustRightInd w:val="0"/>
      <w:spacing w:line="240" w:lineRule="auto"/>
      <w:jc w:val="left"/>
    </w:pPr>
    <w:rPr>
      <w:rFonts w:ascii="仿宋_GB2312" w:eastAsia="仿宋_GB2312"/>
      <w:kern w:val="0"/>
      <w:sz w:val="24"/>
      <w:szCs w:val="24"/>
    </w:rPr>
  </w:style>
  <w:style w:type="paragraph" w:customStyle="1" w:styleId="182">
    <w:name w:val="++++++++正文"/>
    <w:basedOn w:val="1"/>
    <w:link w:val="183"/>
    <w:qFormat/>
    <w:uiPriority w:val="0"/>
    <w:pPr>
      <w:autoSpaceDE w:val="0"/>
      <w:autoSpaceDN w:val="0"/>
      <w:adjustRightInd w:val="0"/>
      <w:ind w:firstLine="200" w:firstLineChars="200"/>
    </w:pPr>
    <w:rPr>
      <w:rFonts w:ascii="Times New Roman" w:hAnsi="Times New Roman" w:eastAsia="宋体" w:cs="Times New Roman"/>
      <w:sz w:val="24"/>
      <w:szCs w:val="24"/>
    </w:rPr>
  </w:style>
  <w:style w:type="character" w:customStyle="1" w:styleId="183">
    <w:name w:val="++++++++正文 Char"/>
    <w:link w:val="182"/>
    <w:qFormat/>
    <w:uiPriority w:val="0"/>
    <w:rPr>
      <w:rFonts w:ascii="Times New Roman" w:hAnsi="Times New Roman" w:eastAsia="宋体" w:cs="Times New Roman"/>
      <w:sz w:val="24"/>
      <w:szCs w:val="24"/>
    </w:rPr>
  </w:style>
  <w:style w:type="character" w:customStyle="1" w:styleId="184">
    <w:name w:val="标题 7 Char"/>
    <w:basedOn w:val="94"/>
    <w:qFormat/>
    <w:uiPriority w:val="0"/>
    <w:rPr>
      <w:b/>
      <w:bCs/>
      <w:sz w:val="24"/>
      <w:szCs w:val="24"/>
    </w:rPr>
  </w:style>
  <w:style w:type="character" w:customStyle="1" w:styleId="185">
    <w:name w:val="标题 8 Char"/>
    <w:basedOn w:val="94"/>
    <w:qFormat/>
    <w:uiPriority w:val="0"/>
    <w:rPr>
      <w:rFonts w:asciiTheme="majorHAnsi" w:hAnsiTheme="majorHAnsi" w:eastAsiaTheme="majorEastAsia" w:cstheme="majorBidi"/>
      <w:sz w:val="24"/>
      <w:szCs w:val="24"/>
    </w:rPr>
  </w:style>
  <w:style w:type="character" w:customStyle="1" w:styleId="186">
    <w:name w:val="标题 9 Char"/>
    <w:basedOn w:val="94"/>
    <w:qFormat/>
    <w:uiPriority w:val="0"/>
    <w:rPr>
      <w:rFonts w:asciiTheme="majorHAnsi" w:hAnsiTheme="majorHAnsi" w:eastAsiaTheme="majorEastAsia" w:cstheme="majorBidi"/>
      <w:szCs w:val="21"/>
    </w:rPr>
  </w:style>
  <w:style w:type="character" w:customStyle="1" w:styleId="187">
    <w:name w:val="标题 1 Char2"/>
    <w:qFormat/>
    <w:uiPriority w:val="0"/>
    <w:rPr>
      <w:b/>
      <w:bCs/>
      <w:kern w:val="2"/>
      <w:sz w:val="32"/>
      <w:szCs w:val="32"/>
      <w:lang w:val="en-US" w:eastAsia="zh-CN" w:bidi="ar-SA"/>
    </w:rPr>
  </w:style>
  <w:style w:type="paragraph" w:customStyle="1" w:styleId="188">
    <w:name w:val="+++++正文"/>
    <w:basedOn w:val="1"/>
    <w:qFormat/>
    <w:uiPriority w:val="0"/>
    <w:pPr>
      <w:ind w:firstLine="200" w:firstLineChars="200"/>
    </w:pPr>
    <w:rPr>
      <w:rFonts w:ascii="Times New Roman" w:hAnsi="Times New Roman" w:eastAsia="宋体" w:cs="Times New Roman"/>
      <w:sz w:val="24"/>
      <w:szCs w:val="24"/>
    </w:rPr>
  </w:style>
  <w:style w:type="character" w:customStyle="1" w:styleId="189">
    <w:name w:val="标题 2 Char2"/>
    <w:qFormat/>
    <w:uiPriority w:val="0"/>
    <w:rPr>
      <w:b/>
      <w:kern w:val="2"/>
      <w:sz w:val="24"/>
      <w:szCs w:val="30"/>
      <w:lang w:val="en-US" w:eastAsia="zh-CN" w:bidi="ar-SA"/>
    </w:rPr>
  </w:style>
  <w:style w:type="character" w:customStyle="1" w:styleId="190">
    <w:name w:val="标题 3 Char4"/>
    <w:semiHidden/>
    <w:qFormat/>
    <w:uiPriority w:val="0"/>
    <w:rPr>
      <w:rFonts w:eastAsia="宋体"/>
      <w:kern w:val="2"/>
      <w:sz w:val="28"/>
      <w:szCs w:val="24"/>
      <w:lang w:val="en-US" w:eastAsia="zh-CN" w:bidi="ar-SA"/>
    </w:rPr>
  </w:style>
  <w:style w:type="character" w:customStyle="1" w:styleId="191">
    <w:name w:val="标题 4 Char2"/>
    <w:qFormat/>
    <w:uiPriority w:val="0"/>
    <w:rPr>
      <w:bCs/>
      <w:kern w:val="2"/>
      <w:sz w:val="24"/>
      <w:szCs w:val="30"/>
      <w:lang w:val="en-US" w:eastAsia="zh-CN" w:bidi="ar-SA"/>
    </w:rPr>
  </w:style>
  <w:style w:type="character" w:customStyle="1" w:styleId="192">
    <w:name w:val="标题 5 Char2"/>
    <w:basedOn w:val="94"/>
    <w:semiHidden/>
    <w:qFormat/>
    <w:uiPriority w:val="0"/>
    <w:rPr>
      <w:rFonts w:eastAsia="宋体"/>
      <w:kern w:val="2"/>
      <w:sz w:val="24"/>
      <w:szCs w:val="24"/>
      <w:lang w:val="en-US" w:eastAsia="zh-CN" w:bidi="ar-SA"/>
    </w:rPr>
  </w:style>
  <w:style w:type="character" w:customStyle="1" w:styleId="193">
    <w:name w:val="标题 6 Char1"/>
    <w:semiHidden/>
    <w:qFormat/>
    <w:uiPriority w:val="0"/>
    <w:rPr>
      <w:rFonts w:ascii="Arial" w:hAnsi="Arial" w:eastAsia="黑体"/>
      <w:b/>
      <w:bCs/>
      <w:kern w:val="2"/>
      <w:sz w:val="24"/>
      <w:szCs w:val="24"/>
      <w:lang w:val="en-US" w:eastAsia="zh-CN" w:bidi="ar-SA"/>
    </w:rPr>
  </w:style>
  <w:style w:type="character" w:customStyle="1" w:styleId="194">
    <w:name w:val="正文文本缩进 2 Char"/>
    <w:basedOn w:val="94"/>
    <w:qFormat/>
    <w:uiPriority w:val="0"/>
  </w:style>
  <w:style w:type="character" w:customStyle="1" w:styleId="195">
    <w:name w:val="style31"/>
    <w:semiHidden/>
    <w:qFormat/>
    <w:uiPriority w:val="0"/>
    <w:rPr>
      <w:color w:val="0033FF"/>
    </w:rPr>
  </w:style>
  <w:style w:type="character" w:customStyle="1" w:styleId="196">
    <w:name w:val="页眉 Char3"/>
    <w:qFormat/>
    <w:uiPriority w:val="0"/>
    <w:rPr>
      <w:rFonts w:eastAsia="宋体"/>
      <w:kern w:val="2"/>
      <w:sz w:val="18"/>
      <w:szCs w:val="18"/>
      <w:lang w:val="en-US" w:eastAsia="zh-CN" w:bidi="ar-SA"/>
    </w:rPr>
  </w:style>
  <w:style w:type="paragraph" w:customStyle="1" w:styleId="197">
    <w:name w:val="1"/>
    <w:basedOn w:val="1"/>
    <w:next w:val="24"/>
    <w:semiHidden/>
    <w:qFormat/>
    <w:uiPriority w:val="0"/>
    <w:pPr>
      <w:ind w:firstLine="420" w:firstLineChars="200"/>
    </w:pPr>
    <w:rPr>
      <w:rFonts w:ascii="宋体" w:hAnsi="Garamond" w:eastAsia="宋体" w:cs="Times New Roman"/>
      <w:sz w:val="28"/>
      <w:szCs w:val="20"/>
    </w:rPr>
  </w:style>
  <w:style w:type="paragraph" w:customStyle="1" w:styleId="198">
    <w:name w:val="xl25"/>
    <w:basedOn w:val="1"/>
    <w:semiHidden/>
    <w:qFormat/>
    <w:uiPriority w:val="0"/>
    <w:pPr>
      <w:widowControl/>
      <w:pBdr>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eastAsia="宋体" w:cs="Times New Roman"/>
      <w:kern w:val="0"/>
      <w:sz w:val="24"/>
      <w:szCs w:val="24"/>
    </w:rPr>
  </w:style>
  <w:style w:type="character" w:customStyle="1" w:styleId="199">
    <w:name w:val="正文文本缩进 3 Char"/>
    <w:basedOn w:val="94"/>
    <w:qFormat/>
    <w:uiPriority w:val="0"/>
    <w:rPr>
      <w:sz w:val="16"/>
      <w:szCs w:val="16"/>
    </w:rPr>
  </w:style>
  <w:style w:type="paragraph" w:customStyle="1" w:styleId="200">
    <w:name w:val="表文"/>
    <w:next w:val="1"/>
    <w:link w:val="201"/>
    <w:semiHidden/>
    <w:qFormat/>
    <w:uiPriority w:val="0"/>
    <w:pPr>
      <w:spacing w:line="340" w:lineRule="exact"/>
      <w:jc w:val="center"/>
    </w:pPr>
    <w:rPr>
      <w:rFonts w:ascii="宋体" w:hAnsi="宋体" w:eastAsia="宋体" w:cs="Times New Roman"/>
      <w:kern w:val="2"/>
      <w:sz w:val="21"/>
      <w:szCs w:val="24"/>
      <w:lang w:val="en-US" w:eastAsia="zh-CN" w:bidi="ar-SA"/>
    </w:rPr>
  </w:style>
  <w:style w:type="character" w:customStyle="1" w:styleId="201">
    <w:name w:val="表文 Char2"/>
    <w:link w:val="200"/>
    <w:semiHidden/>
    <w:qFormat/>
    <w:uiPriority w:val="0"/>
    <w:rPr>
      <w:rFonts w:ascii="宋体" w:hAnsi="宋体" w:eastAsia="宋体" w:cs="Times New Roman"/>
      <w:szCs w:val="24"/>
    </w:rPr>
  </w:style>
  <w:style w:type="character" w:customStyle="1" w:styleId="202">
    <w:name w:val="正文文本 Char3"/>
    <w:semiHidden/>
    <w:qFormat/>
    <w:uiPriority w:val="0"/>
    <w:rPr>
      <w:rFonts w:ascii="宋体" w:hAnsi="宋体" w:eastAsia="宋体"/>
      <w:kern w:val="2"/>
      <w:sz w:val="24"/>
      <w:szCs w:val="28"/>
      <w:lang w:val="en-US" w:eastAsia="zh-CN" w:bidi="ar-SA"/>
    </w:rPr>
  </w:style>
  <w:style w:type="character" w:customStyle="1" w:styleId="203">
    <w:name w:val="纯文本 Char"/>
    <w:basedOn w:val="94"/>
    <w:qFormat/>
    <w:uiPriority w:val="0"/>
    <w:rPr>
      <w:rFonts w:ascii="宋体" w:hAnsi="Courier New" w:eastAsia="宋体" w:cs="Courier New"/>
      <w:szCs w:val="21"/>
    </w:rPr>
  </w:style>
  <w:style w:type="character" w:customStyle="1" w:styleId="204">
    <w:name w:val="正文文本 2 Char"/>
    <w:basedOn w:val="94"/>
    <w:qFormat/>
    <w:uiPriority w:val="0"/>
  </w:style>
  <w:style w:type="character" w:customStyle="1" w:styleId="205">
    <w:name w:val="正文文本 3 Char"/>
    <w:basedOn w:val="94"/>
    <w:link w:val="206"/>
    <w:qFormat/>
    <w:uiPriority w:val="0"/>
    <w:rPr>
      <w:sz w:val="16"/>
      <w:szCs w:val="16"/>
    </w:rPr>
  </w:style>
  <w:style w:type="paragraph" w:customStyle="1" w:styleId="206">
    <w:name w:val="正文文本 31"/>
    <w:basedOn w:val="1"/>
    <w:link w:val="205"/>
    <w:qFormat/>
    <w:uiPriority w:val="0"/>
    <w:pPr>
      <w:spacing w:after="120" w:line="240" w:lineRule="auto"/>
    </w:pPr>
    <w:rPr>
      <w:sz w:val="16"/>
      <w:szCs w:val="16"/>
    </w:rPr>
  </w:style>
  <w:style w:type="character" w:customStyle="1" w:styleId="207">
    <w:name w:val="text2"/>
    <w:basedOn w:val="94"/>
    <w:semiHidden/>
    <w:qFormat/>
    <w:uiPriority w:val="0"/>
    <w:rPr>
      <w:rFonts w:eastAsia="宋体"/>
      <w:kern w:val="2"/>
      <w:sz w:val="24"/>
      <w:szCs w:val="24"/>
      <w:lang w:val="en-US" w:eastAsia="zh-CN" w:bidi="ar-SA"/>
    </w:rPr>
  </w:style>
  <w:style w:type="paragraph" w:customStyle="1" w:styleId="208">
    <w:name w:val="标题3"/>
    <w:next w:val="1"/>
    <w:qFormat/>
    <w:uiPriority w:val="0"/>
    <w:pPr>
      <w:spacing w:line="360" w:lineRule="auto"/>
      <w:ind w:firstLine="480" w:firstLineChars="200"/>
      <w:outlineLvl w:val="2"/>
    </w:pPr>
    <w:rPr>
      <w:rFonts w:ascii="Times New Roman" w:hAnsi="Times New Roman" w:eastAsia="宋体" w:cs="Times New Roman"/>
      <w:color w:val="0070C0"/>
      <w:kern w:val="2"/>
      <w:sz w:val="24"/>
      <w:szCs w:val="24"/>
      <w:lang w:val="en-US" w:eastAsia="zh-CN" w:bidi="ar-SA"/>
    </w:rPr>
  </w:style>
  <w:style w:type="character" w:customStyle="1" w:styleId="209">
    <w:name w:val="正文首行缩进 Char4"/>
    <w:qFormat/>
    <w:uiPriority w:val="0"/>
    <w:rPr>
      <w:rFonts w:eastAsia="宋体"/>
      <w:kern w:val="2"/>
      <w:sz w:val="21"/>
      <w:szCs w:val="24"/>
      <w:lang w:val="en-US" w:eastAsia="zh-CN" w:bidi="ar-SA"/>
    </w:rPr>
  </w:style>
  <w:style w:type="paragraph" w:customStyle="1" w:styleId="210">
    <w:name w:val="表头"/>
    <w:link w:val="211"/>
    <w:qFormat/>
    <w:uiPriority w:val="0"/>
    <w:pPr>
      <w:spacing w:line="440" w:lineRule="exact"/>
      <w:ind w:firstLine="198"/>
      <w:jc w:val="center"/>
    </w:pPr>
    <w:rPr>
      <w:rFonts w:ascii="Times New Roman" w:hAnsi="Times New Roman" w:eastAsia="宋体" w:cs="Times New Roman"/>
      <w:b/>
      <w:bCs/>
      <w:kern w:val="2"/>
      <w:sz w:val="21"/>
      <w:szCs w:val="21"/>
      <w:lang w:val="en-US" w:eastAsia="zh-CN" w:bidi="ar-SA"/>
    </w:rPr>
  </w:style>
  <w:style w:type="character" w:customStyle="1" w:styleId="211">
    <w:name w:val="表头 Char"/>
    <w:link w:val="210"/>
    <w:qFormat/>
    <w:uiPriority w:val="0"/>
    <w:rPr>
      <w:rFonts w:ascii="Times New Roman" w:hAnsi="Times New Roman" w:eastAsia="宋体" w:cs="Times New Roman"/>
      <w:b/>
      <w:bCs/>
      <w:szCs w:val="21"/>
    </w:rPr>
  </w:style>
  <w:style w:type="paragraph" w:customStyle="1" w:styleId="212">
    <w:name w:val="表号"/>
    <w:basedOn w:val="90"/>
    <w:link w:val="213"/>
    <w:qFormat/>
    <w:uiPriority w:val="0"/>
    <w:pPr>
      <w:spacing w:after="0"/>
      <w:ind w:firstLine="0" w:firstLineChars="0"/>
    </w:pPr>
    <w:rPr>
      <w:sz w:val="18"/>
      <w:szCs w:val="18"/>
    </w:rPr>
  </w:style>
  <w:style w:type="character" w:customStyle="1" w:styleId="213">
    <w:name w:val="表号 Char3"/>
    <w:link w:val="212"/>
    <w:qFormat/>
    <w:uiPriority w:val="0"/>
    <w:rPr>
      <w:rFonts w:ascii="Times New Roman" w:hAnsi="Times New Roman" w:eastAsia="宋体" w:cs="Times New Roman"/>
      <w:sz w:val="18"/>
      <w:szCs w:val="18"/>
    </w:rPr>
  </w:style>
  <w:style w:type="paragraph" w:customStyle="1" w:styleId="214">
    <w:name w:val="表文居中"/>
    <w:basedOn w:val="1"/>
    <w:semiHidden/>
    <w:qFormat/>
    <w:uiPriority w:val="0"/>
    <w:pPr>
      <w:autoSpaceDE w:val="0"/>
      <w:autoSpaceDN w:val="0"/>
      <w:adjustRightInd w:val="0"/>
      <w:spacing w:before="20"/>
      <w:ind w:firstLine="200" w:firstLineChars="200"/>
      <w:jc w:val="center"/>
      <w:textAlignment w:val="baseline"/>
    </w:pPr>
    <w:rPr>
      <w:rFonts w:ascii="Times New Roman" w:hAnsi="Times New Roman" w:eastAsia="宋体" w:cs="Times New Roman"/>
      <w:kern w:val="0"/>
      <w:sz w:val="24"/>
      <w:szCs w:val="20"/>
    </w:rPr>
  </w:style>
  <w:style w:type="paragraph" w:customStyle="1" w:styleId="215">
    <w:name w:val="表名 Char Char Char Char"/>
    <w:basedOn w:val="1"/>
    <w:link w:val="216"/>
    <w:semiHidden/>
    <w:qFormat/>
    <w:uiPriority w:val="0"/>
    <w:pPr>
      <w:autoSpaceDE w:val="0"/>
      <w:autoSpaceDN w:val="0"/>
      <w:adjustRightInd w:val="0"/>
      <w:snapToGrid w:val="0"/>
      <w:spacing w:before="163"/>
      <w:ind w:firstLine="200" w:firstLineChars="200"/>
      <w:jc w:val="center"/>
      <w:textAlignment w:val="baseline"/>
    </w:pPr>
    <w:rPr>
      <w:rFonts w:ascii="Arial" w:hAnsi="Arial" w:eastAsia="黑体" w:cs="Times New Roman"/>
      <w:sz w:val="24"/>
    </w:rPr>
  </w:style>
  <w:style w:type="character" w:customStyle="1" w:styleId="216">
    <w:name w:val="表名 Char Char Char Char Char2"/>
    <w:link w:val="215"/>
    <w:qFormat/>
    <w:uiPriority w:val="0"/>
    <w:rPr>
      <w:rFonts w:ascii="Arial" w:hAnsi="Arial" w:eastAsia="黑体" w:cs="Times New Roman"/>
      <w:sz w:val="24"/>
      <w:szCs w:val="21"/>
    </w:rPr>
  </w:style>
  <w:style w:type="paragraph" w:customStyle="1" w:styleId="217">
    <w:name w:val="样式 标题 3标题 3 Char Char Char + Times New Roman Char"/>
    <w:basedOn w:val="8"/>
    <w:link w:val="218"/>
    <w:semiHidden/>
    <w:qFormat/>
    <w:uiPriority w:val="0"/>
    <w:pPr>
      <w:numPr>
        <w:ilvl w:val="0"/>
        <w:numId w:val="0"/>
      </w:numPr>
      <w:tabs>
        <w:tab w:val="left" w:pos="4156"/>
      </w:tabs>
      <w:autoSpaceDE w:val="0"/>
      <w:autoSpaceDN w:val="0"/>
      <w:adjustRightInd w:val="0"/>
      <w:spacing w:before="120" w:after="120" w:line="360" w:lineRule="auto"/>
      <w:ind w:left="4156" w:hanging="420"/>
      <w:jc w:val="both"/>
      <w:textAlignment w:val="baseline"/>
    </w:pPr>
    <w:rPr>
      <w:rFonts w:ascii="Times" w:hAnsi="Times" w:eastAsia="黑体" w:cs="Times New Roman"/>
      <w:b w:val="0"/>
      <w:szCs w:val="24"/>
    </w:rPr>
  </w:style>
  <w:style w:type="character" w:customStyle="1" w:styleId="218">
    <w:name w:val="样式 标题 3标题 3 Char Char Char + Times New Roman Char Char"/>
    <w:link w:val="217"/>
    <w:qFormat/>
    <w:uiPriority w:val="0"/>
    <w:rPr>
      <w:rFonts w:ascii="Times" w:hAnsi="Times" w:eastAsia="黑体" w:cs="Times New Roman"/>
      <w:bCs/>
      <w:sz w:val="24"/>
      <w:szCs w:val="24"/>
    </w:rPr>
  </w:style>
  <w:style w:type="character" w:customStyle="1" w:styleId="219">
    <w:name w:val="批注框文本 Char2"/>
    <w:qFormat/>
    <w:uiPriority w:val="0"/>
    <w:rPr>
      <w:rFonts w:eastAsia="宋体"/>
      <w:kern w:val="2"/>
      <w:sz w:val="18"/>
      <w:szCs w:val="18"/>
      <w:lang w:val="en-US" w:eastAsia="zh-CN" w:bidi="ar-SA"/>
    </w:rPr>
  </w:style>
  <w:style w:type="character" w:customStyle="1" w:styleId="220">
    <w:name w:val="批注文字 Char"/>
    <w:basedOn w:val="94"/>
    <w:qFormat/>
    <w:uiPriority w:val="0"/>
  </w:style>
  <w:style w:type="character" w:customStyle="1" w:styleId="221">
    <w:name w:val="批注主题 Char"/>
    <w:basedOn w:val="220"/>
    <w:qFormat/>
    <w:uiPriority w:val="0"/>
    <w:rPr>
      <w:b/>
      <w:bCs/>
    </w:rPr>
  </w:style>
  <w:style w:type="paragraph" w:customStyle="1" w:styleId="222">
    <w:name w:val="默认段落字体 Para Char"/>
    <w:basedOn w:val="1"/>
    <w:next w:val="1"/>
    <w:link w:val="223"/>
    <w:qFormat/>
    <w:uiPriority w:val="0"/>
    <w:pPr>
      <w:ind w:firstLine="200" w:firstLineChars="200"/>
    </w:pPr>
    <w:rPr>
      <w:rFonts w:ascii="宋体" w:hAnsi="宋体" w:eastAsia="宋体" w:cs="宋体"/>
      <w:sz w:val="24"/>
      <w:szCs w:val="24"/>
    </w:rPr>
  </w:style>
  <w:style w:type="character" w:customStyle="1" w:styleId="223">
    <w:name w:val="默认段落字体 Para Char Char"/>
    <w:link w:val="222"/>
    <w:qFormat/>
    <w:uiPriority w:val="0"/>
    <w:rPr>
      <w:rFonts w:ascii="宋体" w:hAnsi="宋体" w:eastAsia="宋体" w:cs="宋体"/>
      <w:sz w:val="24"/>
      <w:szCs w:val="24"/>
    </w:rPr>
  </w:style>
  <w:style w:type="paragraph" w:customStyle="1" w:styleId="224">
    <w:name w:val="Char4 Char Char Char"/>
    <w:basedOn w:val="1"/>
    <w:qFormat/>
    <w:uiPriority w:val="0"/>
    <w:pPr>
      <w:adjustRightInd w:val="0"/>
      <w:snapToGrid w:val="0"/>
      <w:ind w:firstLine="200" w:firstLineChars="200"/>
    </w:pPr>
    <w:rPr>
      <w:rFonts w:ascii="Times New Roman" w:hAnsi="Times New Roman" w:eastAsia="宋体" w:cs="Times New Roman"/>
      <w:sz w:val="24"/>
      <w:szCs w:val="20"/>
    </w:rPr>
  </w:style>
  <w:style w:type="paragraph" w:customStyle="1" w:styleId="225">
    <w:name w:val="正文文字1"/>
    <w:basedOn w:val="1"/>
    <w:link w:val="226"/>
    <w:qFormat/>
    <w:uiPriority w:val="0"/>
    <w:pPr>
      <w:ind w:firstLine="480" w:firstLineChars="200"/>
    </w:pPr>
    <w:rPr>
      <w:rFonts w:ascii="Times New Roman" w:hAnsi="Times New Roman" w:eastAsia="宋体" w:cs="Times New Roman"/>
      <w:sz w:val="24"/>
      <w:szCs w:val="24"/>
    </w:rPr>
  </w:style>
  <w:style w:type="character" w:customStyle="1" w:styleId="226">
    <w:name w:val="正文文字1 Char"/>
    <w:link w:val="225"/>
    <w:qFormat/>
    <w:uiPriority w:val="0"/>
    <w:rPr>
      <w:rFonts w:ascii="Times New Roman" w:hAnsi="Times New Roman" w:eastAsia="宋体" w:cs="Times New Roman"/>
      <w:sz w:val="24"/>
      <w:szCs w:val="24"/>
    </w:rPr>
  </w:style>
  <w:style w:type="paragraph" w:customStyle="1" w:styleId="227">
    <w:name w:val="图名表名"/>
    <w:basedOn w:val="1"/>
    <w:qFormat/>
    <w:uiPriority w:val="0"/>
    <w:pPr>
      <w:jc w:val="center"/>
    </w:pPr>
    <w:rPr>
      <w:rFonts w:ascii="宋体" w:hAnsi="宋体" w:eastAsia="宋体" w:cs="Times New Roman"/>
      <w:b/>
      <w:iCs/>
      <w:szCs w:val="24"/>
    </w:rPr>
  </w:style>
  <w:style w:type="paragraph" w:customStyle="1" w:styleId="228">
    <w:name w:val="Char2 Char Char Char Char Char Char1 Char Char Char Char Char Char"/>
    <w:basedOn w:val="1"/>
    <w:qFormat/>
    <w:uiPriority w:val="0"/>
    <w:pPr>
      <w:ind w:firstLine="200" w:firstLineChars="200"/>
    </w:pPr>
    <w:rPr>
      <w:rFonts w:ascii="宋体" w:hAnsi="宋体" w:eastAsia="宋体" w:cs="宋体"/>
      <w:sz w:val="24"/>
      <w:szCs w:val="24"/>
    </w:rPr>
  </w:style>
  <w:style w:type="character" w:customStyle="1" w:styleId="229">
    <w:name w:val="日期 Char"/>
    <w:basedOn w:val="94"/>
    <w:link w:val="230"/>
    <w:qFormat/>
    <w:uiPriority w:val="0"/>
  </w:style>
  <w:style w:type="paragraph" w:customStyle="1" w:styleId="230">
    <w:name w:val="日期111"/>
    <w:basedOn w:val="1"/>
    <w:next w:val="1"/>
    <w:link w:val="229"/>
    <w:qFormat/>
    <w:uiPriority w:val="0"/>
    <w:pPr>
      <w:ind w:left="100" w:leftChars="2500" w:firstLine="200" w:firstLineChars="200"/>
    </w:pPr>
    <w:rPr>
      <w:rFonts w:ascii="Calibri" w:hAnsi="Calibri" w:eastAsia="宋体" w:cs="Times New Roman"/>
      <w:kern w:val="0"/>
      <w:sz w:val="24"/>
      <w:szCs w:val="20"/>
    </w:rPr>
  </w:style>
  <w:style w:type="paragraph" w:customStyle="1" w:styleId="231">
    <w:name w:val="四级标题"/>
    <w:basedOn w:val="1"/>
    <w:link w:val="232"/>
    <w:qFormat/>
    <w:uiPriority w:val="0"/>
    <w:pPr>
      <w:adjustRightInd w:val="0"/>
      <w:snapToGrid w:val="0"/>
      <w:spacing w:before="120" w:after="120" w:line="300" w:lineRule="auto"/>
      <w:outlineLvl w:val="3"/>
    </w:pPr>
    <w:rPr>
      <w:rFonts w:ascii="Times New Roman" w:hAnsi="Times New Roman" w:eastAsia="黑体" w:cs="Times New Roman"/>
      <w:b/>
      <w:sz w:val="24"/>
      <w:szCs w:val="24"/>
    </w:rPr>
  </w:style>
  <w:style w:type="character" w:customStyle="1" w:styleId="232">
    <w:name w:val="四级标题 Char Char"/>
    <w:link w:val="231"/>
    <w:qFormat/>
    <w:uiPriority w:val="0"/>
    <w:rPr>
      <w:rFonts w:ascii="Times New Roman" w:hAnsi="Times New Roman" w:eastAsia="黑体" w:cs="Times New Roman"/>
      <w:b/>
      <w:sz w:val="24"/>
      <w:szCs w:val="24"/>
    </w:rPr>
  </w:style>
  <w:style w:type="paragraph" w:customStyle="1" w:styleId="233">
    <w:name w:val="Char Char1"/>
    <w:basedOn w:val="1"/>
    <w:qFormat/>
    <w:uiPriority w:val="0"/>
    <w:pPr>
      <w:widowControl/>
      <w:tabs>
        <w:tab w:val="left" w:pos="630"/>
      </w:tabs>
      <w:spacing w:before="100" w:beforeAutospacing="1" w:after="100" w:afterAutospacing="1" w:line="240" w:lineRule="auto"/>
      <w:ind w:firstLine="422" w:firstLineChars="200"/>
      <w:jc w:val="center"/>
    </w:pPr>
    <w:rPr>
      <w:rFonts w:ascii="Times New Roman" w:hAnsi="宋体" w:eastAsia="宋体" w:cs="Times New Roman"/>
      <w:b/>
      <w:kern w:val="0"/>
      <w:lang w:eastAsia="en-US"/>
    </w:rPr>
  </w:style>
  <w:style w:type="paragraph" w:customStyle="1" w:styleId="234">
    <w:name w:val="Char2"/>
    <w:basedOn w:val="1"/>
    <w:qFormat/>
    <w:uiPriority w:val="0"/>
    <w:pPr>
      <w:tabs>
        <w:tab w:val="left" w:pos="360"/>
        <w:tab w:val="left" w:pos="1545"/>
      </w:tabs>
      <w:spacing w:line="240" w:lineRule="auto"/>
    </w:pPr>
    <w:rPr>
      <w:rFonts w:ascii="Times New Roman" w:hAnsi="Times New Roman" w:eastAsia="宋体" w:cs="Times New Roman"/>
      <w:szCs w:val="24"/>
    </w:rPr>
  </w:style>
  <w:style w:type="paragraph" w:customStyle="1" w:styleId="235">
    <w:name w:val="表"/>
    <w:basedOn w:val="1"/>
    <w:link w:val="236"/>
    <w:qFormat/>
    <w:uiPriority w:val="0"/>
    <w:pPr>
      <w:adjustRightInd w:val="0"/>
      <w:snapToGrid w:val="0"/>
      <w:spacing w:line="240" w:lineRule="auto"/>
      <w:jc w:val="center"/>
    </w:pPr>
    <w:rPr>
      <w:rFonts w:ascii="Times New Roman" w:hAnsi="Times New Roman" w:eastAsia="宋体" w:cs="Times New Roman"/>
      <w:bCs/>
      <w:sz w:val="22"/>
    </w:rPr>
  </w:style>
  <w:style w:type="character" w:customStyle="1" w:styleId="236">
    <w:name w:val="表 Char Char"/>
    <w:link w:val="235"/>
    <w:qFormat/>
    <w:uiPriority w:val="0"/>
    <w:rPr>
      <w:rFonts w:ascii="Times New Roman" w:hAnsi="Times New Roman" w:eastAsia="宋体" w:cs="Times New Roman"/>
      <w:bCs/>
      <w:sz w:val="22"/>
    </w:rPr>
  </w:style>
  <w:style w:type="character" w:customStyle="1" w:styleId="237">
    <w:name w:val="表头 Char1"/>
    <w:qFormat/>
    <w:uiPriority w:val="0"/>
    <w:rPr>
      <w:rFonts w:eastAsia="宋体"/>
      <w:spacing w:val="2"/>
      <w:kern w:val="2"/>
      <w:sz w:val="26"/>
      <w:szCs w:val="26"/>
      <w:lang w:val="en-US" w:eastAsia="zh-CN" w:bidi="ar-SA"/>
    </w:rPr>
  </w:style>
  <w:style w:type="character" w:customStyle="1" w:styleId="238">
    <w:name w:val="环评证文 Char"/>
    <w:link w:val="239"/>
    <w:qFormat/>
    <w:uiPriority w:val="0"/>
    <w:rPr>
      <w:rFonts w:ascii="宋体" w:hAnsi="宋体" w:eastAsia="宋体"/>
      <w:color w:val="000000"/>
      <w:sz w:val="24"/>
      <w:szCs w:val="24"/>
    </w:rPr>
  </w:style>
  <w:style w:type="paragraph" w:customStyle="1" w:styleId="239">
    <w:name w:val="环评证文"/>
    <w:basedOn w:val="1"/>
    <w:link w:val="238"/>
    <w:qFormat/>
    <w:uiPriority w:val="0"/>
    <w:pPr>
      <w:spacing w:line="440" w:lineRule="exact"/>
      <w:ind w:firstLine="480" w:firstLineChars="200"/>
    </w:pPr>
    <w:rPr>
      <w:rFonts w:ascii="宋体" w:hAnsi="宋体" w:eastAsia="宋体"/>
      <w:color w:val="000000"/>
      <w:sz w:val="24"/>
      <w:szCs w:val="24"/>
    </w:rPr>
  </w:style>
  <w:style w:type="character" w:customStyle="1" w:styleId="240">
    <w:name w:val="环评正文 Char"/>
    <w:link w:val="241"/>
    <w:qFormat/>
    <w:uiPriority w:val="0"/>
    <w:rPr>
      <w:rFonts w:ascii="宋体" w:hAnsi="宋体" w:eastAsia="宋体"/>
      <w:color w:val="000000"/>
      <w:sz w:val="24"/>
      <w:szCs w:val="24"/>
    </w:rPr>
  </w:style>
  <w:style w:type="paragraph" w:customStyle="1" w:styleId="241">
    <w:name w:val="环评正文"/>
    <w:basedOn w:val="1"/>
    <w:link w:val="240"/>
    <w:qFormat/>
    <w:uiPriority w:val="0"/>
    <w:pPr>
      <w:adjustRightInd w:val="0"/>
      <w:snapToGrid w:val="0"/>
      <w:spacing w:line="440" w:lineRule="exact"/>
      <w:ind w:firstLine="200" w:firstLineChars="200"/>
    </w:pPr>
    <w:rPr>
      <w:rFonts w:ascii="宋体" w:hAnsi="宋体" w:eastAsia="宋体"/>
      <w:color w:val="000000"/>
      <w:sz w:val="24"/>
      <w:szCs w:val="24"/>
    </w:rPr>
  </w:style>
  <w:style w:type="paragraph" w:customStyle="1" w:styleId="242">
    <w:name w:val="正文1"/>
    <w:basedOn w:val="1"/>
    <w:link w:val="243"/>
    <w:qFormat/>
    <w:uiPriority w:val="0"/>
    <w:pPr>
      <w:adjustRightInd w:val="0"/>
      <w:snapToGrid w:val="0"/>
      <w:spacing w:line="500" w:lineRule="exact"/>
      <w:ind w:firstLine="520" w:firstLineChars="200"/>
    </w:pPr>
    <w:rPr>
      <w:rFonts w:ascii="Times New Roman" w:hAnsi="Times New Roman" w:eastAsia="宋体" w:cs="Times New Roman"/>
      <w:sz w:val="26"/>
      <w:szCs w:val="26"/>
    </w:rPr>
  </w:style>
  <w:style w:type="character" w:customStyle="1" w:styleId="243">
    <w:name w:val="正文1 Char"/>
    <w:link w:val="242"/>
    <w:qFormat/>
    <w:uiPriority w:val="0"/>
    <w:rPr>
      <w:rFonts w:ascii="Times New Roman" w:hAnsi="Times New Roman" w:eastAsia="宋体" w:cs="Times New Roman"/>
      <w:sz w:val="26"/>
      <w:szCs w:val="26"/>
    </w:rPr>
  </w:style>
  <w:style w:type="character" w:customStyle="1" w:styleId="244">
    <w:name w:val="样式 样式 小四 段前: 7.8 磅 段后: 7.8 磅 行距: 1.5 倍行距 + 首行缩进:  2 字符 Char Char"/>
    <w:link w:val="245"/>
    <w:qFormat/>
    <w:uiPriority w:val="0"/>
    <w:rPr>
      <w:rFonts w:eastAsia="宋体"/>
      <w:sz w:val="24"/>
      <w:szCs w:val="24"/>
    </w:rPr>
  </w:style>
  <w:style w:type="paragraph" w:customStyle="1" w:styleId="245">
    <w:name w:val="样式 样式 小四 段前: 7.8 磅 段后: 7.8 磅 行距: 1.5 倍行距 + 首行缩进:  2 字符"/>
    <w:basedOn w:val="1"/>
    <w:link w:val="244"/>
    <w:qFormat/>
    <w:uiPriority w:val="0"/>
    <w:pPr>
      <w:ind w:firstLine="480" w:firstLineChars="200"/>
    </w:pPr>
    <w:rPr>
      <w:rFonts w:eastAsia="宋体"/>
      <w:sz w:val="24"/>
      <w:szCs w:val="24"/>
    </w:rPr>
  </w:style>
  <w:style w:type="character" w:customStyle="1" w:styleId="246">
    <w:name w:val="apple-style-span"/>
    <w:basedOn w:val="94"/>
    <w:qFormat/>
    <w:uiPriority w:val="0"/>
    <w:rPr>
      <w:rFonts w:eastAsia="宋体"/>
      <w:kern w:val="2"/>
      <w:sz w:val="24"/>
      <w:szCs w:val="24"/>
      <w:lang w:val="en-US" w:eastAsia="zh-CN" w:bidi="ar-SA"/>
    </w:rPr>
  </w:style>
  <w:style w:type="paragraph" w:customStyle="1" w:styleId="247">
    <w:name w:val="正文四号"/>
    <w:basedOn w:val="1"/>
    <w:link w:val="248"/>
    <w:qFormat/>
    <w:uiPriority w:val="0"/>
    <w:pPr>
      <w:ind w:firstLine="200" w:firstLineChars="200"/>
    </w:pPr>
    <w:rPr>
      <w:rFonts w:ascii="Times New Roman" w:hAnsi="Times New Roman" w:eastAsia="宋体" w:cs="宋体"/>
      <w:sz w:val="28"/>
      <w:szCs w:val="24"/>
    </w:rPr>
  </w:style>
  <w:style w:type="character" w:customStyle="1" w:styleId="248">
    <w:name w:val="正文四号 Char"/>
    <w:link w:val="247"/>
    <w:qFormat/>
    <w:uiPriority w:val="0"/>
    <w:rPr>
      <w:rFonts w:ascii="Times New Roman" w:hAnsi="Times New Roman" w:eastAsia="宋体" w:cs="宋体"/>
      <w:sz w:val="28"/>
      <w:szCs w:val="24"/>
    </w:rPr>
  </w:style>
  <w:style w:type="paragraph" w:customStyle="1" w:styleId="249">
    <w:name w:val="样式2"/>
    <w:basedOn w:val="8"/>
    <w:link w:val="250"/>
    <w:qFormat/>
    <w:uiPriority w:val="0"/>
    <w:pPr>
      <w:numPr>
        <w:ilvl w:val="0"/>
        <w:numId w:val="0"/>
      </w:numPr>
      <w:tabs>
        <w:tab w:val="left" w:pos="1134"/>
      </w:tabs>
      <w:spacing w:beforeLines="50" w:after="120" w:line="360" w:lineRule="auto"/>
      <w:ind w:left="1134" w:hanging="1134"/>
      <w:jc w:val="both"/>
    </w:pPr>
    <w:rPr>
      <w:rFonts w:eastAsia="宋体" w:cs="Times New Roman"/>
      <w:b w:val="0"/>
      <w:bCs w:val="0"/>
      <w:kern w:val="44"/>
      <w:szCs w:val="28"/>
    </w:rPr>
  </w:style>
  <w:style w:type="character" w:customStyle="1" w:styleId="250">
    <w:name w:val="样式2 Char Char"/>
    <w:link w:val="249"/>
    <w:qFormat/>
    <w:uiPriority w:val="0"/>
    <w:rPr>
      <w:rFonts w:ascii="Times New Roman" w:hAnsi="Times New Roman" w:eastAsia="宋体" w:cs="Times New Roman"/>
      <w:kern w:val="44"/>
      <w:sz w:val="24"/>
      <w:szCs w:val="28"/>
    </w:rPr>
  </w:style>
  <w:style w:type="paragraph" w:customStyle="1" w:styleId="251">
    <w:name w:val="++++++++1"/>
    <w:basedOn w:val="1"/>
    <w:link w:val="252"/>
    <w:qFormat/>
    <w:uiPriority w:val="0"/>
    <w:pPr>
      <w:spacing w:beforeLines="100" w:afterLines="100"/>
      <w:jc w:val="center"/>
      <w:outlineLvl w:val="0"/>
    </w:pPr>
    <w:rPr>
      <w:rFonts w:ascii="Times New Roman" w:hAnsi="Times New Roman" w:eastAsia="宋体" w:cs="宋体"/>
      <w:color w:val="000000"/>
      <w:sz w:val="44"/>
      <w:szCs w:val="44"/>
    </w:rPr>
  </w:style>
  <w:style w:type="character" w:customStyle="1" w:styleId="252">
    <w:name w:val="++++++++1 Char"/>
    <w:link w:val="251"/>
    <w:qFormat/>
    <w:uiPriority w:val="0"/>
    <w:rPr>
      <w:rFonts w:ascii="Times New Roman" w:hAnsi="Times New Roman" w:eastAsia="宋体" w:cs="宋体"/>
      <w:color w:val="000000"/>
      <w:sz w:val="44"/>
      <w:szCs w:val="44"/>
    </w:rPr>
  </w:style>
  <w:style w:type="paragraph" w:customStyle="1" w:styleId="253">
    <w:name w:val="Char"/>
    <w:basedOn w:val="1"/>
    <w:qFormat/>
    <w:uiPriority w:val="0"/>
    <w:pPr>
      <w:spacing w:line="240" w:lineRule="auto"/>
    </w:pPr>
    <w:rPr>
      <w:rFonts w:ascii="Times New Roman" w:hAnsi="Times New Roman" w:eastAsia="宋体" w:cs="Times New Roman"/>
    </w:rPr>
  </w:style>
  <w:style w:type="paragraph" w:customStyle="1" w:styleId="254">
    <w:name w:val="Char Char Char"/>
    <w:basedOn w:val="1"/>
    <w:qFormat/>
    <w:uiPriority w:val="0"/>
    <w:pPr>
      <w:spacing w:line="240" w:lineRule="auto"/>
    </w:pPr>
    <w:rPr>
      <w:rFonts w:ascii="Times New Roman" w:hAnsi="Times New Roman" w:eastAsia="宋体" w:cs="Times New Roman"/>
      <w:sz w:val="24"/>
      <w:szCs w:val="24"/>
    </w:rPr>
  </w:style>
  <w:style w:type="paragraph" w:customStyle="1" w:styleId="255">
    <w:name w:val="Char Char Char Char Char Char Char Char Char Char"/>
    <w:basedOn w:val="1"/>
    <w:qFormat/>
    <w:uiPriority w:val="0"/>
    <w:pPr>
      <w:spacing w:line="240" w:lineRule="auto"/>
    </w:pPr>
    <w:rPr>
      <w:rFonts w:ascii="宋体" w:hAnsi="宋体" w:eastAsia="宋体" w:cs="Times New Roman"/>
      <w:sz w:val="24"/>
      <w:szCs w:val="20"/>
    </w:rPr>
  </w:style>
  <w:style w:type="paragraph" w:customStyle="1" w:styleId="256">
    <w:name w:val="报告表正文"/>
    <w:basedOn w:val="1"/>
    <w:link w:val="257"/>
    <w:qFormat/>
    <w:uiPriority w:val="0"/>
    <w:pPr>
      <w:adjustRightInd w:val="0"/>
      <w:spacing w:line="312" w:lineRule="auto"/>
      <w:ind w:left="113" w:right="113" w:firstLine="482"/>
      <w:jc w:val="left"/>
      <w:textAlignment w:val="baseline"/>
    </w:pPr>
    <w:rPr>
      <w:rFonts w:ascii="Times New Roman" w:hAnsi="Times New Roman" w:eastAsia="宋体" w:cs="Times New Roman"/>
      <w:sz w:val="24"/>
      <w:szCs w:val="24"/>
    </w:rPr>
  </w:style>
  <w:style w:type="character" w:customStyle="1" w:styleId="257">
    <w:name w:val="报告表正文 Char"/>
    <w:link w:val="256"/>
    <w:qFormat/>
    <w:uiPriority w:val="0"/>
    <w:rPr>
      <w:rFonts w:ascii="Times New Roman" w:hAnsi="Times New Roman" w:eastAsia="宋体" w:cs="Times New Roman"/>
      <w:sz w:val="24"/>
      <w:szCs w:val="24"/>
    </w:rPr>
  </w:style>
  <w:style w:type="character" w:customStyle="1" w:styleId="258">
    <w:name w:val="正文文本 (17)"/>
    <w:qFormat/>
    <w:uiPriority w:val="0"/>
    <w:rPr>
      <w:rFonts w:ascii="MingLiU" w:eastAsia="MingLiU"/>
      <w:kern w:val="2"/>
      <w:sz w:val="24"/>
      <w:szCs w:val="24"/>
      <w:lang w:val="en-US" w:eastAsia="zh-CN" w:bidi="ar-SA"/>
    </w:rPr>
  </w:style>
  <w:style w:type="character" w:customStyle="1" w:styleId="259">
    <w:name w:val="标题 #5 (4)"/>
    <w:qFormat/>
    <w:uiPriority w:val="0"/>
    <w:rPr>
      <w:rFonts w:ascii="MingLiU" w:eastAsia="MingLiU"/>
      <w:kern w:val="2"/>
      <w:sz w:val="28"/>
      <w:szCs w:val="28"/>
      <w:lang w:val="en-US" w:eastAsia="zh-CN" w:bidi="ar-SA"/>
    </w:rPr>
  </w:style>
  <w:style w:type="character" w:customStyle="1" w:styleId="260">
    <w:name w:val="标题4 Char"/>
    <w:link w:val="261"/>
    <w:qFormat/>
    <w:uiPriority w:val="0"/>
    <w:rPr>
      <w:rFonts w:eastAsia="Times New Roman"/>
      <w:b/>
      <w:bCs/>
      <w:kern w:val="44"/>
      <w:sz w:val="28"/>
      <w:szCs w:val="44"/>
    </w:rPr>
  </w:style>
  <w:style w:type="paragraph" w:customStyle="1" w:styleId="261">
    <w:name w:val="标题4"/>
    <w:link w:val="260"/>
    <w:qFormat/>
    <w:uiPriority w:val="0"/>
    <w:pPr>
      <w:spacing w:before="120" w:after="120" w:line="413" w:lineRule="auto"/>
      <w:jc w:val="both"/>
      <w:outlineLvl w:val="3"/>
    </w:pPr>
    <w:rPr>
      <w:rFonts w:eastAsia="Times New Roman" w:asciiTheme="minorHAnsi" w:hAnsiTheme="minorHAnsi" w:cstheme="minorBidi"/>
      <w:b/>
      <w:bCs/>
      <w:kern w:val="44"/>
      <w:sz w:val="28"/>
      <w:szCs w:val="44"/>
      <w:lang w:val="en-US" w:eastAsia="zh-CN" w:bidi="ar-SA"/>
    </w:rPr>
  </w:style>
  <w:style w:type="paragraph" w:customStyle="1" w:styleId="262">
    <w:name w:val="样式 样式 标题 3 + 宋体 四号 + (西文) Times New Roman"/>
    <w:basedOn w:val="1"/>
    <w:link w:val="263"/>
    <w:qFormat/>
    <w:uiPriority w:val="0"/>
    <w:pPr>
      <w:keepNext/>
      <w:keepLines/>
      <w:adjustRightInd w:val="0"/>
      <w:spacing w:line="500" w:lineRule="exact"/>
      <w:jc w:val="left"/>
      <w:textAlignment w:val="baseline"/>
      <w:outlineLvl w:val="2"/>
    </w:pPr>
    <w:rPr>
      <w:rFonts w:ascii="Times New Roman" w:hAnsi="Times New Roman" w:eastAsia="宋体" w:cs="Times New Roman"/>
      <w:b/>
      <w:bCs/>
      <w:sz w:val="28"/>
      <w:szCs w:val="24"/>
    </w:rPr>
  </w:style>
  <w:style w:type="character" w:customStyle="1" w:styleId="263">
    <w:name w:val="样式 样式 标题 3 + 宋体 四号 + (西文) Times New Roman Char"/>
    <w:link w:val="262"/>
    <w:qFormat/>
    <w:uiPriority w:val="0"/>
    <w:rPr>
      <w:rFonts w:ascii="Times New Roman" w:hAnsi="Times New Roman" w:eastAsia="宋体" w:cs="Times New Roman"/>
      <w:b/>
      <w:bCs/>
      <w:sz w:val="28"/>
      <w:szCs w:val="24"/>
    </w:rPr>
  </w:style>
  <w:style w:type="paragraph" w:customStyle="1" w:styleId="264">
    <w:name w:val="样式 纯文本普通文字 Char普通文字 Char Char Char普通文字 Char Char + Times New ..."/>
    <w:basedOn w:val="46"/>
    <w:qFormat/>
    <w:uiPriority w:val="0"/>
    <w:pPr>
      <w:ind w:firstLine="480"/>
    </w:pPr>
    <w:rPr>
      <w:rFonts w:ascii="Times New Roman" w:hAnsi="Times New Roman" w:cs="宋体"/>
      <w:kern w:val="0"/>
      <w:sz w:val="28"/>
    </w:rPr>
  </w:style>
  <w:style w:type="paragraph" w:customStyle="1" w:styleId="265">
    <w:name w:val="样式 纯文本普通文字 Char普通文字 Char Char Char普通文字 Char Char + 四号 行距: 固定..."/>
    <w:basedOn w:val="46"/>
    <w:qFormat/>
    <w:uiPriority w:val="0"/>
    <w:pPr>
      <w:spacing w:line="500" w:lineRule="exact"/>
      <w:ind w:firstLine="560"/>
    </w:pPr>
    <w:rPr>
      <w:rFonts w:ascii="Times New Roman" w:hAnsi="Times New Roman"/>
      <w:color w:val="0000CC"/>
      <w:sz w:val="28"/>
      <w:szCs w:val="28"/>
    </w:rPr>
  </w:style>
  <w:style w:type="character" w:customStyle="1" w:styleId="266">
    <w:name w:val="Char Char22"/>
    <w:qFormat/>
    <w:uiPriority w:val="0"/>
    <w:rPr>
      <w:rFonts w:ascii="宋体" w:hAnsi="宋体" w:eastAsia="仿宋_GB2312"/>
      <w:kern w:val="2"/>
      <w:sz w:val="28"/>
      <w:lang w:val="en-US" w:eastAsia="zh-CN" w:bidi="ar-SA"/>
    </w:rPr>
  </w:style>
  <w:style w:type="paragraph" w:customStyle="1" w:styleId="267">
    <w:name w:val="表格内容"/>
    <w:link w:val="268"/>
    <w:qFormat/>
    <w:uiPriority w:val="0"/>
    <w:pPr>
      <w:autoSpaceDE w:val="0"/>
      <w:autoSpaceDN w:val="0"/>
      <w:adjustRightInd w:val="0"/>
      <w:jc w:val="center"/>
    </w:pPr>
    <w:rPr>
      <w:rFonts w:ascii="Calibri" w:hAnsi="Calibri" w:eastAsia="宋体" w:cs="Times New Roman"/>
      <w:kern w:val="2"/>
      <w:sz w:val="18"/>
      <w:szCs w:val="21"/>
      <w:lang w:val="en-US" w:eastAsia="zh-CN" w:bidi="ar-SA"/>
    </w:rPr>
  </w:style>
  <w:style w:type="character" w:customStyle="1" w:styleId="268">
    <w:name w:val="表格内容 Char"/>
    <w:link w:val="267"/>
    <w:qFormat/>
    <w:uiPriority w:val="0"/>
    <w:rPr>
      <w:rFonts w:ascii="Calibri" w:hAnsi="Calibri" w:eastAsia="宋体" w:cs="Times New Roman"/>
      <w:sz w:val="18"/>
    </w:rPr>
  </w:style>
  <w:style w:type="paragraph" w:customStyle="1" w:styleId="269">
    <w:name w:val="列出段落112"/>
    <w:basedOn w:val="1"/>
    <w:qFormat/>
    <w:uiPriority w:val="0"/>
    <w:pPr>
      <w:spacing w:line="240" w:lineRule="auto"/>
      <w:jc w:val="left"/>
    </w:pPr>
    <w:rPr>
      <w:rFonts w:ascii="Calibri" w:hAnsi="Calibri" w:eastAsia="宋体" w:cs="Calibri"/>
      <w:kern w:val="0"/>
      <w:sz w:val="22"/>
      <w:lang w:eastAsia="en-US"/>
    </w:rPr>
  </w:style>
  <w:style w:type="paragraph" w:customStyle="1" w:styleId="270">
    <w:name w:val="Char1 Char Char Char Char Char Char Char Char"/>
    <w:basedOn w:val="1"/>
    <w:qFormat/>
    <w:uiPriority w:val="0"/>
    <w:pPr>
      <w:ind w:firstLine="200" w:firstLineChars="200"/>
    </w:pPr>
    <w:rPr>
      <w:rFonts w:ascii="Times New Roman" w:hAnsi="Times New Roman" w:eastAsia="宋体" w:cs="Times New Roman"/>
      <w:szCs w:val="24"/>
    </w:rPr>
  </w:style>
  <w:style w:type="paragraph" w:customStyle="1" w:styleId="271">
    <w:name w:val="Default"/>
    <w:basedOn w:val="272"/>
    <w:next w:val="273"/>
    <w:link w:val="27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72">
    <w:name w:val="纯文本1"/>
    <w:basedOn w:val="1"/>
    <w:qFormat/>
    <w:uiPriority w:val="0"/>
    <w:pPr>
      <w:spacing w:line="240" w:lineRule="auto"/>
    </w:pPr>
    <w:rPr>
      <w:rFonts w:ascii="宋体" w:hAnsi="Courier New" w:eastAsia="宋体" w:cs="Times New Roman"/>
      <w:kern w:val="0"/>
      <w:sz w:val="20"/>
    </w:rPr>
  </w:style>
  <w:style w:type="paragraph" w:customStyle="1" w:styleId="273">
    <w:name w:val="样式1"/>
    <w:basedOn w:val="66"/>
    <w:next w:val="40"/>
    <w:link w:val="302"/>
    <w:qFormat/>
    <w:uiPriority w:val="99"/>
    <w:rPr>
      <w:rFonts w:asciiTheme="minorHAnsi" w:hAnsiTheme="minorHAnsi" w:cstheme="minorBidi"/>
    </w:rPr>
  </w:style>
  <w:style w:type="character" w:customStyle="1" w:styleId="274">
    <w:name w:val="Default Char Char"/>
    <w:link w:val="271"/>
    <w:qFormat/>
    <w:uiPriority w:val="0"/>
    <w:rPr>
      <w:rFonts w:ascii="宋体" w:hAnsi="Times New Roman" w:eastAsia="宋体" w:cs="宋体"/>
      <w:color w:val="000000"/>
      <w:kern w:val="0"/>
      <w:sz w:val="24"/>
      <w:szCs w:val="24"/>
    </w:rPr>
  </w:style>
  <w:style w:type="character" w:customStyle="1" w:styleId="275">
    <w:name w:val="表 Char Char Char"/>
    <w:qFormat/>
    <w:uiPriority w:val="0"/>
    <w:rPr>
      <w:rFonts w:eastAsia="宋体"/>
      <w:kern w:val="2"/>
      <w:sz w:val="21"/>
      <w:szCs w:val="21"/>
    </w:rPr>
  </w:style>
  <w:style w:type="character" w:customStyle="1" w:styleId="276">
    <w:name w:val="日期 Char2"/>
    <w:qFormat/>
    <w:uiPriority w:val="0"/>
    <w:rPr>
      <w:rFonts w:ascii="Calibri" w:hAnsi="Calibri" w:eastAsia="宋体" w:cs="Times New Roman"/>
      <w:sz w:val="24"/>
    </w:rPr>
  </w:style>
  <w:style w:type="character" w:customStyle="1" w:styleId="277">
    <w:name w:val="段落 Char Char Char Char Char"/>
    <w:qFormat/>
    <w:uiPriority w:val="0"/>
    <w:rPr>
      <w:rFonts w:eastAsia="宋体"/>
      <w:kern w:val="2"/>
      <w:sz w:val="24"/>
      <w:szCs w:val="24"/>
    </w:rPr>
  </w:style>
  <w:style w:type="character" w:customStyle="1" w:styleId="278">
    <w:name w:val="报告书正文 Char Char Char Char Char Char Char"/>
    <w:qFormat/>
    <w:uiPriority w:val="0"/>
    <w:rPr>
      <w:rFonts w:ascii="宋体" w:eastAsia="宋体"/>
      <w:kern w:val="2"/>
      <w:sz w:val="24"/>
      <w:lang w:val="en-US" w:eastAsia="zh-CN" w:bidi="ar-SA"/>
    </w:rPr>
  </w:style>
  <w:style w:type="character" w:customStyle="1" w:styleId="279">
    <w:name w:val="签名 Char3"/>
    <w:qFormat/>
    <w:uiPriority w:val="0"/>
    <w:rPr>
      <w:szCs w:val="21"/>
    </w:rPr>
  </w:style>
  <w:style w:type="character" w:customStyle="1" w:styleId="280">
    <w:name w:val="我的正文 Char"/>
    <w:qFormat/>
    <w:uiPriority w:val="0"/>
    <w:rPr>
      <w:rFonts w:eastAsia="宋体"/>
      <w:kern w:val="2"/>
      <w:sz w:val="24"/>
      <w:lang w:val="en-US" w:eastAsia="zh-CN"/>
    </w:rPr>
  </w:style>
  <w:style w:type="character" w:customStyle="1" w:styleId="281">
    <w:name w:val="签名 Char2"/>
    <w:qFormat/>
    <w:uiPriority w:val="0"/>
    <w:rPr>
      <w:kern w:val="2"/>
      <w:sz w:val="21"/>
      <w:szCs w:val="24"/>
    </w:rPr>
  </w:style>
  <w:style w:type="character" w:customStyle="1" w:styleId="282">
    <w:name w:val="普通文字 Char1"/>
    <w:qFormat/>
    <w:uiPriority w:val="0"/>
    <w:rPr>
      <w:rFonts w:ascii="宋体" w:hAnsi="Times New Roman"/>
      <w:kern w:val="2"/>
      <w:sz w:val="24"/>
    </w:rPr>
  </w:style>
  <w:style w:type="character" w:customStyle="1" w:styleId="283">
    <w:name w:val="样式 标题 2 + 红色 Char Char Char"/>
    <w:qFormat/>
    <w:uiPriority w:val="0"/>
    <w:rPr>
      <w:rFonts w:ascii="Arial" w:hAnsi="Arial"/>
      <w:b/>
      <w:color w:val="FF0000"/>
      <w:spacing w:val="-8"/>
      <w:sz w:val="28"/>
    </w:rPr>
  </w:style>
  <w:style w:type="character" w:customStyle="1" w:styleId="284">
    <w:name w:val="尾注文本 Char1"/>
    <w:qFormat/>
    <w:uiPriority w:val="0"/>
    <w:rPr>
      <w:rFonts w:ascii="Calibri" w:hAnsi="Calibri" w:eastAsia="宋体" w:cs="Times New Roman"/>
      <w:sz w:val="24"/>
    </w:rPr>
  </w:style>
  <w:style w:type="character" w:customStyle="1" w:styleId="285">
    <w:name w:val="正文文字缩进 Char Char"/>
    <w:qFormat/>
    <w:uiPriority w:val="0"/>
    <w:rPr>
      <w:rFonts w:eastAsia="宋体"/>
      <w:kern w:val="2"/>
      <w:sz w:val="24"/>
      <w:szCs w:val="24"/>
      <w:lang w:val="en-US" w:eastAsia="zh-CN" w:bidi="ar-SA"/>
    </w:rPr>
  </w:style>
  <w:style w:type="character" w:customStyle="1" w:styleId="286">
    <w:name w:val="正文文本缩进 3 Char1"/>
    <w:qFormat/>
    <w:uiPriority w:val="0"/>
    <w:rPr>
      <w:rFonts w:ascii="Calibri" w:hAnsi="Calibri" w:eastAsia="宋体" w:cs="Times New Roman"/>
      <w:sz w:val="16"/>
      <w:szCs w:val="16"/>
    </w:rPr>
  </w:style>
  <w:style w:type="character" w:customStyle="1" w:styleId="287">
    <w:name w:val="样式 样式 小四 蓝色 行距: 固定值 30 磅 + 行距: 1.5 倍行距 Char Char Char"/>
    <w:qFormat/>
    <w:uiPriority w:val="0"/>
    <w:rPr>
      <w:color w:val="0000FF"/>
      <w:sz w:val="24"/>
    </w:rPr>
  </w:style>
  <w:style w:type="paragraph" w:customStyle="1" w:styleId="288">
    <w:name w:val="样式 标题 4 + 段前: 0.5 行 段后: 0.5 行"/>
    <w:basedOn w:val="9"/>
    <w:qFormat/>
    <w:uiPriority w:val="0"/>
    <w:pPr>
      <w:numPr>
        <w:ilvl w:val="0"/>
        <w:numId w:val="0"/>
      </w:numPr>
      <w:spacing w:before="0" w:after="0" w:line="440" w:lineRule="exact"/>
      <w:jc w:val="both"/>
    </w:pPr>
    <w:rPr>
      <w:rFonts w:eastAsia="华文中宋" w:cs="宋体"/>
      <w:szCs w:val="24"/>
    </w:rPr>
  </w:style>
  <w:style w:type="character" w:customStyle="1" w:styleId="289">
    <w:name w:val="Char Char36"/>
    <w:qFormat/>
    <w:uiPriority w:val="0"/>
    <w:rPr>
      <w:b/>
      <w:kern w:val="2"/>
      <w:sz w:val="28"/>
    </w:rPr>
  </w:style>
  <w:style w:type="character" w:customStyle="1" w:styleId="290">
    <w:name w:val="副标题 Char1"/>
    <w:qFormat/>
    <w:uiPriority w:val="0"/>
    <w:rPr>
      <w:rFonts w:ascii="Cambria" w:hAnsi="Cambria" w:cs="Times New Roman"/>
      <w:b/>
      <w:bCs/>
      <w:kern w:val="28"/>
      <w:sz w:val="32"/>
      <w:szCs w:val="32"/>
    </w:rPr>
  </w:style>
  <w:style w:type="character" w:customStyle="1" w:styleId="291">
    <w:name w:val="特点 Char Char"/>
    <w:qFormat/>
    <w:uiPriority w:val="0"/>
    <w:rPr>
      <w:rFonts w:eastAsia="宋体"/>
      <w:kern w:val="2"/>
      <w:sz w:val="24"/>
      <w:szCs w:val="24"/>
      <w:lang w:val="en-US" w:eastAsia="zh-CN" w:bidi="ar-SA"/>
    </w:rPr>
  </w:style>
  <w:style w:type="character" w:customStyle="1" w:styleId="292">
    <w:name w:val="Char Char14"/>
    <w:qFormat/>
    <w:uiPriority w:val="0"/>
    <w:rPr>
      <w:kern w:val="2"/>
      <w:sz w:val="18"/>
      <w:szCs w:val="18"/>
    </w:rPr>
  </w:style>
  <w:style w:type="character" w:customStyle="1" w:styleId="293">
    <w:name w:val="表头1 Char Char"/>
    <w:link w:val="294"/>
    <w:qFormat/>
    <w:uiPriority w:val="0"/>
    <w:rPr>
      <w:rFonts w:eastAsia="黑体"/>
      <w:szCs w:val="28"/>
    </w:rPr>
  </w:style>
  <w:style w:type="paragraph" w:customStyle="1" w:styleId="294">
    <w:name w:val="表头1"/>
    <w:basedOn w:val="1"/>
    <w:next w:val="1"/>
    <w:link w:val="293"/>
    <w:qFormat/>
    <w:uiPriority w:val="0"/>
    <w:pPr>
      <w:tabs>
        <w:tab w:val="left" w:pos="605"/>
      </w:tabs>
      <w:adjustRightInd w:val="0"/>
      <w:snapToGrid w:val="0"/>
      <w:spacing w:line="240" w:lineRule="auto"/>
      <w:jc w:val="center"/>
    </w:pPr>
    <w:rPr>
      <w:rFonts w:eastAsia="黑体"/>
      <w:szCs w:val="28"/>
    </w:rPr>
  </w:style>
  <w:style w:type="character" w:customStyle="1" w:styleId="295">
    <w:name w:val="样式7 Char Char"/>
    <w:qFormat/>
    <w:uiPriority w:val="0"/>
    <w:rPr>
      <w:rFonts w:eastAsia="宋体"/>
      <w:kern w:val="2"/>
      <w:sz w:val="21"/>
      <w:lang w:val="en-US" w:eastAsia="zh-CN"/>
    </w:rPr>
  </w:style>
  <w:style w:type="character" w:customStyle="1" w:styleId="296">
    <w:name w:val="样式 (中文) 黑体 四号 加粗"/>
    <w:qFormat/>
    <w:uiPriority w:val="0"/>
    <w:rPr>
      <w:rFonts w:eastAsia="黑体"/>
      <w:b/>
      <w:bCs/>
      <w:sz w:val="30"/>
    </w:rPr>
  </w:style>
  <w:style w:type="character" w:customStyle="1" w:styleId="297">
    <w:name w:val="脚注文本 Char"/>
    <w:qFormat/>
    <w:uiPriority w:val="0"/>
    <w:rPr>
      <w:sz w:val="18"/>
      <w:szCs w:val="18"/>
    </w:rPr>
  </w:style>
  <w:style w:type="character" w:customStyle="1" w:styleId="298">
    <w:name w:val="正文(首行缩进) Char"/>
    <w:qFormat/>
    <w:uiPriority w:val="0"/>
    <w:rPr>
      <w:snapToGrid w:val="0"/>
      <w:sz w:val="24"/>
      <w:szCs w:val="24"/>
    </w:rPr>
  </w:style>
  <w:style w:type="character" w:customStyle="1" w:styleId="299">
    <w:name w:val="二章正文 Char Char Char Char Char"/>
    <w:link w:val="300"/>
    <w:qFormat/>
    <w:uiPriority w:val="0"/>
    <w:rPr>
      <w:rFonts w:ascii="宋体" w:eastAsia="Times New Roman"/>
      <w:sz w:val="24"/>
    </w:rPr>
  </w:style>
  <w:style w:type="paragraph" w:customStyle="1" w:styleId="300">
    <w:name w:val="二章正文 Char Char"/>
    <w:next w:val="72"/>
    <w:link w:val="299"/>
    <w:qFormat/>
    <w:uiPriority w:val="0"/>
    <w:pPr>
      <w:widowControl w:val="0"/>
      <w:adjustRightInd w:val="0"/>
      <w:snapToGrid w:val="0"/>
      <w:spacing w:line="560" w:lineRule="exact"/>
      <w:ind w:firstLine="225" w:firstLineChars="225"/>
      <w:jc w:val="both"/>
    </w:pPr>
    <w:rPr>
      <w:rFonts w:ascii="宋体" w:eastAsia="Times New Roman" w:hAnsiTheme="minorHAnsi" w:cstheme="minorBidi"/>
      <w:kern w:val="2"/>
      <w:sz w:val="24"/>
      <w:szCs w:val="21"/>
      <w:lang w:val="en-US" w:eastAsia="zh-CN" w:bidi="ar-SA"/>
    </w:rPr>
  </w:style>
  <w:style w:type="character" w:customStyle="1" w:styleId="301">
    <w:name w:val="文本正文专用 Char"/>
    <w:qFormat/>
    <w:uiPriority w:val="0"/>
    <w:rPr>
      <w:rFonts w:eastAsia="宋体" w:cs="宋体"/>
      <w:kern w:val="2"/>
      <w:sz w:val="24"/>
      <w:szCs w:val="24"/>
      <w:lang w:val="en-US" w:eastAsia="zh-CN" w:bidi="ar-SA"/>
    </w:rPr>
  </w:style>
  <w:style w:type="character" w:customStyle="1" w:styleId="302">
    <w:name w:val="样式1 Char Char"/>
    <w:link w:val="273"/>
    <w:qFormat/>
    <w:uiPriority w:val="0"/>
    <w:rPr>
      <w:rFonts w:eastAsia="华文中宋"/>
      <w:bCs/>
      <w:sz w:val="24"/>
      <w:szCs w:val="24"/>
    </w:rPr>
  </w:style>
  <w:style w:type="character" w:customStyle="1" w:styleId="303">
    <w:name w:val="样式5 Char Char"/>
    <w:qFormat/>
    <w:uiPriority w:val="0"/>
    <w:rPr>
      <w:rFonts w:eastAsia="宋体"/>
      <w:kern w:val="2"/>
      <w:sz w:val="24"/>
      <w:lang w:val="en-US" w:eastAsia="zh-CN"/>
    </w:rPr>
  </w:style>
  <w:style w:type="character" w:customStyle="1" w:styleId="304">
    <w:name w:val="【表头】 Char"/>
    <w:qFormat/>
    <w:uiPriority w:val="0"/>
    <w:rPr>
      <w:rFonts w:cs="宋体"/>
      <w:sz w:val="24"/>
    </w:rPr>
  </w:style>
  <w:style w:type="character" w:customStyle="1" w:styleId="305">
    <w:name w:val="样式 标题 2节名节 + (中文) 宋体 Char Char Char"/>
    <w:qFormat/>
    <w:uiPriority w:val="0"/>
    <w:rPr>
      <w:b/>
      <w:color w:val="000000"/>
      <w:kern w:val="2"/>
      <w:sz w:val="30"/>
      <w:szCs w:val="28"/>
    </w:rPr>
  </w:style>
  <w:style w:type="character" w:customStyle="1" w:styleId="306">
    <w:name w:val="内容 Char"/>
    <w:qFormat/>
    <w:uiPriority w:val="0"/>
    <w:rPr>
      <w:rFonts w:eastAsia="宋体"/>
      <w:kern w:val="2"/>
      <w:sz w:val="24"/>
    </w:rPr>
  </w:style>
  <w:style w:type="character" w:customStyle="1" w:styleId="307">
    <w:name w:val="正文文本 Char1"/>
    <w:qFormat/>
    <w:uiPriority w:val="0"/>
    <w:rPr>
      <w:kern w:val="2"/>
      <w:sz w:val="21"/>
      <w:szCs w:val="24"/>
    </w:rPr>
  </w:style>
  <w:style w:type="character" w:customStyle="1" w:styleId="308">
    <w:name w:val="Char Char40"/>
    <w:qFormat/>
    <w:uiPriority w:val="0"/>
    <w:rPr>
      <w:rFonts w:ascii="宋体" w:eastAsia="黑体"/>
      <w:b/>
      <w:kern w:val="44"/>
      <w:sz w:val="44"/>
      <w:lang w:val="en-US" w:eastAsia="zh-CN" w:bidi="ar-SA"/>
    </w:rPr>
  </w:style>
  <w:style w:type="character" w:customStyle="1" w:styleId="309">
    <w:name w:val="我的正文 Char Char Char Char Char"/>
    <w:qFormat/>
    <w:uiPriority w:val="0"/>
    <w:rPr>
      <w:rFonts w:eastAsia="宋体"/>
      <w:kern w:val="2"/>
      <w:sz w:val="24"/>
      <w:lang w:val="en-US" w:eastAsia="zh-CN"/>
    </w:rPr>
  </w:style>
  <w:style w:type="character" w:customStyle="1" w:styleId="310">
    <w:name w:val="正文文本 2 Char1"/>
    <w:qFormat/>
    <w:uiPriority w:val="0"/>
    <w:rPr>
      <w:rFonts w:ascii="Calibri" w:hAnsi="Calibri" w:eastAsia="宋体" w:cs="Times New Roman"/>
      <w:sz w:val="24"/>
    </w:rPr>
  </w:style>
  <w:style w:type="character" w:customStyle="1" w:styleId="311">
    <w:name w:val="正文(首行缩进) Char Char"/>
    <w:link w:val="312"/>
    <w:qFormat/>
    <w:uiPriority w:val="0"/>
    <w:rPr>
      <w:snapToGrid w:val="0"/>
      <w:sz w:val="24"/>
      <w:szCs w:val="24"/>
    </w:rPr>
  </w:style>
  <w:style w:type="paragraph" w:customStyle="1" w:styleId="312">
    <w:name w:val="正文(首行缩进)"/>
    <w:basedOn w:val="1"/>
    <w:link w:val="311"/>
    <w:qFormat/>
    <w:uiPriority w:val="0"/>
    <w:pPr>
      <w:adjustRightInd w:val="0"/>
      <w:snapToGrid w:val="0"/>
      <w:ind w:firstLine="200" w:firstLineChars="200"/>
    </w:pPr>
    <w:rPr>
      <w:snapToGrid w:val="0"/>
      <w:sz w:val="24"/>
      <w:szCs w:val="24"/>
    </w:rPr>
  </w:style>
  <w:style w:type="character" w:customStyle="1" w:styleId="313">
    <w:name w:val="9f1"/>
    <w:qFormat/>
    <w:uiPriority w:val="0"/>
    <w:rPr>
      <w:sz w:val="18"/>
    </w:rPr>
  </w:style>
  <w:style w:type="character" w:customStyle="1" w:styleId="314">
    <w:name w:val="自定义正文 Char Char Char Char Char Char"/>
    <w:link w:val="315"/>
    <w:qFormat/>
    <w:uiPriority w:val="0"/>
    <w:rPr>
      <w:rFonts w:eastAsia="Times New Roman"/>
      <w:position w:val="-28"/>
      <w:sz w:val="28"/>
    </w:rPr>
  </w:style>
  <w:style w:type="paragraph" w:customStyle="1" w:styleId="315">
    <w:name w:val="自定义正文 Char Char Char Char"/>
    <w:link w:val="314"/>
    <w:qFormat/>
    <w:uiPriority w:val="0"/>
    <w:pPr>
      <w:widowControl w:val="0"/>
      <w:topLinePunct/>
      <w:adjustRightInd w:val="0"/>
      <w:snapToGrid w:val="0"/>
      <w:spacing w:line="360" w:lineRule="auto"/>
      <w:ind w:firstLine="510"/>
      <w:jc w:val="both"/>
    </w:pPr>
    <w:rPr>
      <w:rFonts w:eastAsia="Times New Roman" w:asciiTheme="minorHAnsi" w:hAnsiTheme="minorHAnsi" w:cstheme="minorBidi"/>
      <w:kern w:val="2"/>
      <w:position w:val="-28"/>
      <w:sz w:val="28"/>
      <w:szCs w:val="21"/>
      <w:lang w:val="en-US" w:eastAsia="zh-CN" w:bidi="ar-SA"/>
    </w:rPr>
  </w:style>
  <w:style w:type="character" w:customStyle="1" w:styleId="316">
    <w:name w:val="日期 Char1"/>
    <w:qFormat/>
    <w:uiPriority w:val="0"/>
    <w:rPr>
      <w:szCs w:val="21"/>
    </w:rPr>
  </w:style>
  <w:style w:type="character" w:customStyle="1" w:styleId="317">
    <w:name w:val="我的正文 Char Char Char Char"/>
    <w:link w:val="318"/>
    <w:qFormat/>
    <w:uiPriority w:val="0"/>
    <w:rPr>
      <w:rFonts w:eastAsia="宋体"/>
      <w:sz w:val="24"/>
    </w:rPr>
  </w:style>
  <w:style w:type="paragraph" w:customStyle="1" w:styleId="318">
    <w:name w:val="我的正文"/>
    <w:basedOn w:val="1"/>
    <w:link w:val="317"/>
    <w:qFormat/>
    <w:uiPriority w:val="0"/>
    <w:pPr>
      <w:ind w:firstLine="200" w:firstLineChars="200"/>
    </w:pPr>
    <w:rPr>
      <w:rFonts w:eastAsia="宋体"/>
      <w:sz w:val="24"/>
    </w:rPr>
  </w:style>
  <w:style w:type="character" w:customStyle="1" w:styleId="319">
    <w:name w:val="表格 Char"/>
    <w:qFormat/>
    <w:uiPriority w:val="0"/>
    <w:rPr>
      <w:rFonts w:ascii="宋体" w:eastAsia="宋体"/>
      <w:snapToGrid w:val="0"/>
      <w:sz w:val="24"/>
    </w:rPr>
  </w:style>
  <w:style w:type="character" w:customStyle="1" w:styleId="320">
    <w:name w:val="xyb自建正文 Char Char Char Char Char Char"/>
    <w:qFormat/>
    <w:uiPriority w:val="0"/>
    <w:rPr>
      <w:rFonts w:ascii="宋体" w:eastAsia="宋体"/>
      <w:spacing w:val="-2"/>
      <w:kern w:val="2"/>
      <w:sz w:val="24"/>
      <w:lang w:val="en-US" w:eastAsia="zh-CN"/>
    </w:rPr>
  </w:style>
  <w:style w:type="character" w:customStyle="1" w:styleId="321">
    <w:name w:val="图名 Char"/>
    <w:link w:val="322"/>
    <w:qFormat/>
    <w:uiPriority w:val="0"/>
    <w:rPr>
      <w:rFonts w:eastAsia="黑体"/>
      <w:b/>
      <w:szCs w:val="24"/>
    </w:rPr>
  </w:style>
  <w:style w:type="paragraph" w:customStyle="1" w:styleId="322">
    <w:name w:val="图名"/>
    <w:link w:val="321"/>
    <w:qFormat/>
    <w:uiPriority w:val="0"/>
    <w:pPr>
      <w:spacing w:afterLines="50"/>
      <w:jc w:val="center"/>
    </w:pPr>
    <w:rPr>
      <w:rFonts w:eastAsia="黑体" w:asciiTheme="minorHAnsi" w:hAnsiTheme="minorHAnsi" w:cstheme="minorBidi"/>
      <w:b/>
      <w:kern w:val="2"/>
      <w:sz w:val="21"/>
      <w:szCs w:val="24"/>
      <w:lang w:val="en-US" w:eastAsia="zh-CN" w:bidi="ar-SA"/>
    </w:rPr>
  </w:style>
  <w:style w:type="character" w:customStyle="1" w:styleId="323">
    <w:name w:val="二章正文 Char Char Char Char"/>
    <w:link w:val="324"/>
    <w:qFormat/>
    <w:uiPriority w:val="0"/>
    <w:rPr>
      <w:rFonts w:eastAsia="Times New Roman"/>
      <w:sz w:val="24"/>
    </w:rPr>
  </w:style>
  <w:style w:type="paragraph" w:customStyle="1" w:styleId="324">
    <w:name w:val="二章正文"/>
    <w:next w:val="325"/>
    <w:link w:val="323"/>
    <w:qFormat/>
    <w:uiPriority w:val="0"/>
    <w:pPr>
      <w:widowControl w:val="0"/>
      <w:spacing w:before="156" w:line="360" w:lineRule="auto"/>
      <w:ind w:firstLine="482"/>
      <w:jc w:val="both"/>
    </w:pPr>
    <w:rPr>
      <w:rFonts w:eastAsia="Times New Roman" w:asciiTheme="minorHAnsi" w:hAnsiTheme="minorHAnsi" w:cstheme="minorBidi"/>
      <w:kern w:val="2"/>
      <w:sz w:val="24"/>
      <w:szCs w:val="21"/>
      <w:lang w:val="en-US" w:eastAsia="zh-CN" w:bidi="ar-SA"/>
    </w:rPr>
  </w:style>
  <w:style w:type="paragraph" w:customStyle="1" w:styleId="325">
    <w:name w:val="文本"/>
    <w:basedOn w:val="1"/>
    <w:next w:val="46"/>
    <w:qFormat/>
    <w:uiPriority w:val="0"/>
    <w:pPr>
      <w:spacing w:line="240" w:lineRule="auto"/>
    </w:pPr>
    <w:rPr>
      <w:rFonts w:ascii="宋体" w:hAnsi="Times New Roman" w:eastAsia="宋体" w:cs="Times New Roman"/>
      <w:sz w:val="24"/>
      <w:szCs w:val="20"/>
    </w:rPr>
  </w:style>
  <w:style w:type="character" w:customStyle="1" w:styleId="326">
    <w:name w:val="表格文字 Char Char Char Char"/>
    <w:qFormat/>
    <w:uiPriority w:val="0"/>
    <w:rPr>
      <w:rFonts w:eastAsia="宋体"/>
      <w:kern w:val="2"/>
      <w:sz w:val="21"/>
      <w:lang w:val="en-US" w:eastAsia="zh-CN" w:bidi="ar-SA"/>
    </w:rPr>
  </w:style>
  <w:style w:type="character" w:customStyle="1" w:styleId="327">
    <w:name w:val="Char Char38"/>
    <w:qFormat/>
    <w:uiPriority w:val="0"/>
    <w:rPr>
      <w:rFonts w:eastAsia="宋体"/>
      <w:b/>
      <w:bCs/>
      <w:kern w:val="2"/>
      <w:sz w:val="26"/>
      <w:szCs w:val="32"/>
      <w:lang w:val="en-US" w:eastAsia="zh-CN" w:bidi="ar-SA"/>
    </w:rPr>
  </w:style>
  <w:style w:type="character" w:customStyle="1" w:styleId="328">
    <w:name w:val="表号文字 Char Char"/>
    <w:link w:val="329"/>
    <w:qFormat/>
    <w:uiPriority w:val="0"/>
    <w:rPr>
      <w:rFonts w:eastAsia="黑体"/>
      <w:sz w:val="24"/>
      <w:szCs w:val="24"/>
    </w:rPr>
  </w:style>
  <w:style w:type="paragraph" w:customStyle="1" w:styleId="329">
    <w:name w:val="表号文字"/>
    <w:basedOn w:val="1"/>
    <w:link w:val="328"/>
    <w:qFormat/>
    <w:uiPriority w:val="0"/>
    <w:pPr>
      <w:adjustRightInd w:val="0"/>
      <w:snapToGrid w:val="0"/>
      <w:spacing w:before="120" w:line="300" w:lineRule="auto"/>
      <w:jc w:val="left"/>
    </w:pPr>
    <w:rPr>
      <w:rFonts w:eastAsia="黑体"/>
      <w:sz w:val="24"/>
      <w:szCs w:val="24"/>
    </w:rPr>
  </w:style>
  <w:style w:type="character" w:customStyle="1" w:styleId="330">
    <w:name w:val="header odd Char"/>
    <w:qFormat/>
    <w:uiPriority w:val="0"/>
    <w:rPr>
      <w:rFonts w:eastAsia="宋体"/>
      <w:kern w:val="2"/>
      <w:sz w:val="18"/>
      <w:szCs w:val="18"/>
      <w:lang w:bidi="ar-SA"/>
    </w:rPr>
  </w:style>
  <w:style w:type="character" w:customStyle="1" w:styleId="331">
    <w:name w:val="日期 Char3"/>
    <w:qFormat/>
    <w:uiPriority w:val="0"/>
    <w:rPr>
      <w:kern w:val="2"/>
      <w:sz w:val="21"/>
      <w:szCs w:val="22"/>
    </w:rPr>
  </w:style>
  <w:style w:type="character" w:customStyle="1" w:styleId="332">
    <w:name w:val="样式 样式 样式4 + 黑色 + 自动设置 Char Char"/>
    <w:qFormat/>
    <w:uiPriority w:val="0"/>
    <w:rPr>
      <w:rFonts w:eastAsia="华文中宋"/>
      <w:color w:val="000000"/>
      <w:kern w:val="2"/>
      <w:sz w:val="24"/>
      <w:szCs w:val="24"/>
      <w:lang w:val="en-US" w:eastAsia="zh-CN"/>
    </w:rPr>
  </w:style>
  <w:style w:type="character" w:customStyle="1" w:styleId="333">
    <w:name w:val="正文首行缩进 2 Char2"/>
    <w:qFormat/>
    <w:uiPriority w:val="0"/>
    <w:rPr>
      <w:kern w:val="2"/>
      <w:sz w:val="21"/>
      <w:szCs w:val="22"/>
    </w:rPr>
  </w:style>
  <w:style w:type="character" w:customStyle="1" w:styleId="334">
    <w:name w:val="二章正文 Char"/>
    <w:qFormat/>
    <w:uiPriority w:val="0"/>
    <w:rPr>
      <w:rFonts w:ascii="宋体" w:eastAsia="宋体"/>
      <w:kern w:val="2"/>
      <w:sz w:val="24"/>
      <w:lang w:val="en-US" w:eastAsia="zh-CN" w:bidi="ar-SA"/>
    </w:rPr>
  </w:style>
  <w:style w:type="character" w:customStyle="1" w:styleId="335">
    <w:name w:val="图片 Char Char"/>
    <w:qFormat/>
    <w:uiPriority w:val="0"/>
    <w:rPr>
      <w:rFonts w:eastAsia="黑体"/>
      <w:bCs/>
      <w:kern w:val="2"/>
      <w:sz w:val="24"/>
      <w:szCs w:val="24"/>
      <w:lang w:val="en-US" w:eastAsia="zh-CN" w:bidi="ar-SA"/>
    </w:rPr>
  </w:style>
  <w:style w:type="character" w:customStyle="1" w:styleId="336">
    <w:name w:val="title13"/>
    <w:qFormat/>
    <w:uiPriority w:val="0"/>
  </w:style>
  <w:style w:type="character" w:customStyle="1" w:styleId="337">
    <w:name w:val="页脚 Char2"/>
    <w:qFormat/>
    <w:uiPriority w:val="0"/>
    <w:rPr>
      <w:kern w:val="2"/>
      <w:sz w:val="18"/>
      <w:szCs w:val="18"/>
    </w:rPr>
  </w:style>
  <w:style w:type="character" w:customStyle="1" w:styleId="338">
    <w:name w:val="xyb自建正文 Char Char"/>
    <w:link w:val="339"/>
    <w:qFormat/>
    <w:uiPriority w:val="0"/>
    <w:rPr>
      <w:rFonts w:ascii="宋体" w:hAnsi="宋体" w:eastAsia="宋体" w:cs="宋体"/>
      <w:spacing w:val="-2"/>
      <w:sz w:val="24"/>
      <w:szCs w:val="24"/>
    </w:rPr>
  </w:style>
  <w:style w:type="paragraph" w:customStyle="1" w:styleId="339">
    <w:name w:val="xyb自建正文"/>
    <w:basedOn w:val="1"/>
    <w:link w:val="338"/>
    <w:qFormat/>
    <w:uiPriority w:val="0"/>
    <w:pPr>
      <w:tabs>
        <w:tab w:val="left" w:pos="1440"/>
        <w:tab w:val="left" w:pos="8280"/>
      </w:tabs>
      <w:ind w:firstLine="472" w:firstLineChars="200"/>
    </w:pPr>
    <w:rPr>
      <w:rFonts w:ascii="宋体" w:hAnsi="宋体" w:eastAsia="宋体" w:cs="宋体"/>
      <w:spacing w:val="-2"/>
      <w:sz w:val="24"/>
      <w:szCs w:val="24"/>
    </w:rPr>
  </w:style>
  <w:style w:type="character" w:customStyle="1" w:styleId="340">
    <w:name w:val="正文文本 2 Char2"/>
    <w:qFormat/>
    <w:uiPriority w:val="0"/>
    <w:rPr>
      <w:kern w:val="2"/>
      <w:sz w:val="21"/>
      <w:szCs w:val="22"/>
    </w:rPr>
  </w:style>
  <w:style w:type="character" w:customStyle="1" w:styleId="341">
    <w:name w:val="pt91"/>
    <w:qFormat/>
    <w:uiPriority w:val="0"/>
    <w:rPr>
      <w:sz w:val="18"/>
    </w:rPr>
  </w:style>
  <w:style w:type="character" w:customStyle="1" w:styleId="342">
    <w:name w:val="正文文本 3 Char3"/>
    <w:qFormat/>
    <w:uiPriority w:val="0"/>
    <w:rPr>
      <w:kern w:val="2"/>
      <w:sz w:val="16"/>
      <w:szCs w:val="16"/>
    </w:rPr>
  </w:style>
  <w:style w:type="character" w:customStyle="1" w:styleId="343">
    <w:name w:val="【表中文字】 Char Char"/>
    <w:link w:val="344"/>
    <w:qFormat/>
    <w:uiPriority w:val="0"/>
  </w:style>
  <w:style w:type="paragraph" w:customStyle="1" w:styleId="344">
    <w:name w:val="【表中文字】"/>
    <w:basedOn w:val="1"/>
    <w:link w:val="343"/>
    <w:qFormat/>
    <w:uiPriority w:val="0"/>
    <w:pPr>
      <w:spacing w:line="240" w:lineRule="auto"/>
      <w:jc w:val="center"/>
    </w:pPr>
  </w:style>
  <w:style w:type="character" w:customStyle="1" w:styleId="345">
    <w:name w:val="正文文字 Char"/>
    <w:link w:val="346"/>
    <w:qFormat/>
    <w:uiPriority w:val="0"/>
    <w:rPr>
      <w:rFonts w:ascii="Calibri" w:hAnsi="Calibri" w:eastAsia="Times New Roman"/>
    </w:rPr>
  </w:style>
  <w:style w:type="paragraph" w:customStyle="1" w:styleId="346">
    <w:name w:val="正文文字"/>
    <w:link w:val="345"/>
    <w:qFormat/>
    <w:uiPriority w:val="0"/>
    <w:pPr>
      <w:snapToGrid w:val="0"/>
      <w:spacing w:line="400" w:lineRule="exact"/>
      <w:ind w:firstLine="200" w:firstLineChars="200"/>
    </w:pPr>
    <w:rPr>
      <w:rFonts w:ascii="Calibri" w:hAnsi="Calibri" w:eastAsia="Times New Roman" w:cstheme="minorBidi"/>
      <w:kern w:val="2"/>
      <w:sz w:val="21"/>
      <w:szCs w:val="21"/>
      <w:lang w:val="en-US" w:eastAsia="zh-CN" w:bidi="ar-SA"/>
    </w:rPr>
  </w:style>
  <w:style w:type="character" w:customStyle="1" w:styleId="347">
    <w:name w:val="表名 Char Char"/>
    <w:qFormat/>
    <w:uiPriority w:val="0"/>
    <w:rPr>
      <w:rFonts w:ascii="黑体" w:eastAsia="黑体"/>
      <w:color w:val="000000"/>
      <w:kern w:val="2"/>
      <w:sz w:val="24"/>
      <w:lang w:val="en-US" w:eastAsia="zh-CN" w:bidi="ar-SA"/>
    </w:rPr>
  </w:style>
  <w:style w:type="character" w:customStyle="1" w:styleId="348">
    <w:name w:val="textcontents"/>
    <w:qFormat/>
    <w:uiPriority w:val="0"/>
  </w:style>
  <w:style w:type="character" w:customStyle="1" w:styleId="349">
    <w:name w:val="表格 Char Char Char Char Char"/>
    <w:qFormat/>
    <w:uiPriority w:val="0"/>
    <w:rPr>
      <w:rFonts w:ascii="宋体" w:eastAsia="宋体"/>
      <w:snapToGrid w:val="0"/>
      <w:sz w:val="24"/>
    </w:rPr>
  </w:style>
  <w:style w:type="character" w:customStyle="1" w:styleId="350">
    <w:name w:val="xyb自建正文 Char Char Char Char"/>
    <w:qFormat/>
    <w:uiPriority w:val="0"/>
    <w:rPr>
      <w:rFonts w:ascii="宋体" w:eastAsia="宋体"/>
      <w:spacing w:val="-2"/>
      <w:kern w:val="2"/>
      <w:sz w:val="24"/>
      <w:lang w:val="en-US" w:eastAsia="zh-CN"/>
    </w:rPr>
  </w:style>
  <w:style w:type="character" w:customStyle="1" w:styleId="351">
    <w:name w:val="标题 7 Char Char Char Char Char Char Char Char"/>
    <w:qFormat/>
    <w:uiPriority w:val="0"/>
    <w:rPr>
      <w:rFonts w:ascii="华文细黑" w:hAnsi="华文细黑" w:eastAsia="华文细黑"/>
      <w:i/>
      <w:snapToGrid w:val="0"/>
      <w:spacing w:val="10"/>
      <w:kern w:val="28"/>
      <w:sz w:val="28"/>
    </w:rPr>
  </w:style>
  <w:style w:type="character" w:customStyle="1" w:styleId="352">
    <w:name w:val="报告书正文 Char Char Char Char Char Char Char Char Char Char Char Char"/>
    <w:qFormat/>
    <w:uiPriority w:val="0"/>
    <w:rPr>
      <w:color w:val="000000"/>
      <w:sz w:val="24"/>
    </w:rPr>
  </w:style>
  <w:style w:type="character" w:customStyle="1" w:styleId="353">
    <w:name w:val="正22 Char Char"/>
    <w:link w:val="354"/>
    <w:qFormat/>
    <w:uiPriority w:val="0"/>
    <w:rPr>
      <w:rFonts w:ascii="Arial Narrow" w:hAnsi="Arial Narrow"/>
      <w:sz w:val="28"/>
    </w:rPr>
  </w:style>
  <w:style w:type="paragraph" w:customStyle="1" w:styleId="354">
    <w:name w:val="正22"/>
    <w:basedOn w:val="1"/>
    <w:link w:val="353"/>
    <w:qFormat/>
    <w:uiPriority w:val="0"/>
    <w:pPr>
      <w:spacing w:line="640" w:lineRule="exact"/>
      <w:ind w:firstLine="200" w:firstLineChars="200"/>
      <w:jc w:val="left"/>
    </w:pPr>
    <w:rPr>
      <w:rFonts w:ascii="Arial Narrow" w:hAnsi="Arial Narrow"/>
      <w:sz w:val="28"/>
    </w:rPr>
  </w:style>
  <w:style w:type="character" w:customStyle="1" w:styleId="355">
    <w:name w:val="表格标题 Char Char Char Char Char"/>
    <w:link w:val="356"/>
    <w:qFormat/>
    <w:uiPriority w:val="0"/>
    <w:rPr>
      <w:rFonts w:eastAsia="黑体"/>
      <w:sz w:val="24"/>
    </w:rPr>
  </w:style>
  <w:style w:type="paragraph" w:customStyle="1" w:styleId="356">
    <w:name w:val="表格标题 Char Char Char"/>
    <w:basedOn w:val="1"/>
    <w:link w:val="355"/>
    <w:qFormat/>
    <w:uiPriority w:val="0"/>
    <w:pPr>
      <w:adjustRightInd w:val="0"/>
      <w:snapToGrid w:val="0"/>
      <w:jc w:val="center"/>
    </w:pPr>
    <w:rPr>
      <w:rFonts w:eastAsia="黑体"/>
      <w:sz w:val="24"/>
    </w:rPr>
  </w:style>
  <w:style w:type="character" w:customStyle="1" w:styleId="357">
    <w:name w:val="time style7"/>
    <w:basedOn w:val="94"/>
    <w:qFormat/>
    <w:uiPriority w:val="0"/>
    <w:rPr>
      <w:rFonts w:eastAsia="宋体"/>
      <w:kern w:val="2"/>
      <w:sz w:val="24"/>
      <w:szCs w:val="24"/>
      <w:lang w:val="en-US" w:eastAsia="zh-CN" w:bidi="ar-SA"/>
    </w:rPr>
  </w:style>
  <w:style w:type="character" w:customStyle="1" w:styleId="358">
    <w:name w:val="正文首行缩进 Char3"/>
    <w:qFormat/>
    <w:uiPriority w:val="0"/>
    <w:rPr>
      <w:kern w:val="2"/>
      <w:sz w:val="21"/>
      <w:szCs w:val="22"/>
    </w:rPr>
  </w:style>
  <w:style w:type="character" w:customStyle="1" w:styleId="359">
    <w:name w:val="样式 标题 3条标题1.1.13h33rd levelH3l3CTHeading 3 - oldBold He... Char"/>
    <w:qFormat/>
    <w:uiPriority w:val="0"/>
    <w:rPr>
      <w:rFonts w:ascii="黑体" w:hAnsi="宋体" w:eastAsia="宋体"/>
      <w:b/>
      <w:color w:val="000000"/>
      <w:sz w:val="32"/>
      <w:lang w:val="en-US" w:eastAsia="zh-CN"/>
    </w:rPr>
  </w:style>
  <w:style w:type="character" w:customStyle="1" w:styleId="360">
    <w:name w:val="二章正文 Char Char Char Char Char Char Char"/>
    <w:qFormat/>
    <w:uiPriority w:val="0"/>
    <w:rPr>
      <w:rFonts w:ascii="宋体" w:eastAsia="宋体"/>
      <w:kern w:val="2"/>
      <w:sz w:val="24"/>
      <w:lang w:val="en-US" w:eastAsia="zh-CN" w:bidi="ar-SA"/>
    </w:rPr>
  </w:style>
  <w:style w:type="character" w:customStyle="1" w:styleId="361">
    <w:name w:val="表 Char"/>
    <w:qFormat/>
    <w:uiPriority w:val="0"/>
    <w:rPr>
      <w:rFonts w:eastAsia="宋体"/>
      <w:kern w:val="2"/>
      <w:sz w:val="21"/>
      <w:szCs w:val="21"/>
    </w:rPr>
  </w:style>
  <w:style w:type="character" w:customStyle="1" w:styleId="362">
    <w:name w:val="正文文本缩进 Char2"/>
    <w:qFormat/>
    <w:uiPriority w:val="0"/>
    <w:rPr>
      <w:rFonts w:ascii="Calibri" w:hAnsi="Calibri" w:eastAsia="宋体" w:cs="Times New Roman"/>
      <w:sz w:val="24"/>
    </w:rPr>
  </w:style>
  <w:style w:type="character" w:customStyle="1" w:styleId="363">
    <w:name w:val="正文文本缩进 3 Char2"/>
    <w:qFormat/>
    <w:uiPriority w:val="0"/>
    <w:rPr>
      <w:kern w:val="2"/>
      <w:sz w:val="16"/>
      <w:szCs w:val="16"/>
    </w:rPr>
  </w:style>
  <w:style w:type="character" w:customStyle="1" w:styleId="364">
    <w:name w:val="尾注文本 Char2"/>
    <w:qFormat/>
    <w:uiPriority w:val="0"/>
    <w:rPr>
      <w:kern w:val="2"/>
      <w:sz w:val="21"/>
      <w:szCs w:val="22"/>
    </w:rPr>
  </w:style>
  <w:style w:type="character" w:customStyle="1" w:styleId="365">
    <w:name w:val="纯文本 Char2"/>
    <w:qFormat/>
    <w:uiPriority w:val="0"/>
    <w:rPr>
      <w:rFonts w:ascii="宋体" w:hAnsi="Courier New" w:cs="Courier New"/>
      <w:kern w:val="2"/>
      <w:sz w:val="21"/>
      <w:szCs w:val="21"/>
    </w:rPr>
  </w:style>
  <w:style w:type="character" w:customStyle="1" w:styleId="366">
    <w:name w:val="【表头】 Char Char Char"/>
    <w:qFormat/>
    <w:uiPriority w:val="0"/>
    <w:rPr>
      <w:rFonts w:cs="宋体"/>
      <w:sz w:val="24"/>
    </w:rPr>
  </w:style>
  <w:style w:type="character" w:customStyle="1" w:styleId="367">
    <w:name w:val="ENFI表体 Char Char"/>
    <w:link w:val="368"/>
    <w:qFormat/>
    <w:uiPriority w:val="0"/>
    <w:rPr>
      <w:rFonts w:ascii="Calibri" w:hAnsi="Calibri" w:eastAsia="仿宋_GB2312"/>
      <w:sz w:val="24"/>
    </w:rPr>
  </w:style>
  <w:style w:type="paragraph" w:customStyle="1" w:styleId="368">
    <w:name w:val="ENFI表体"/>
    <w:basedOn w:val="1"/>
    <w:link w:val="367"/>
    <w:qFormat/>
    <w:uiPriority w:val="0"/>
    <w:pPr>
      <w:widowControl/>
      <w:adjustRightInd w:val="0"/>
      <w:snapToGrid w:val="0"/>
      <w:spacing w:line="240" w:lineRule="atLeast"/>
      <w:jc w:val="center"/>
    </w:pPr>
    <w:rPr>
      <w:rFonts w:ascii="Calibri" w:hAnsi="Calibri" w:eastAsia="仿宋_GB2312"/>
      <w:sz w:val="24"/>
    </w:rPr>
  </w:style>
  <w:style w:type="character" w:customStyle="1" w:styleId="369">
    <w:name w:val="albumcount2"/>
    <w:qFormat/>
    <w:uiPriority w:val="0"/>
  </w:style>
  <w:style w:type="character" w:customStyle="1" w:styleId="370">
    <w:name w:val="lemmatitleh11"/>
    <w:qFormat/>
    <w:uiPriority w:val="0"/>
  </w:style>
  <w:style w:type="character" w:customStyle="1" w:styleId="371">
    <w:name w:val="font21"/>
    <w:qFormat/>
    <w:uiPriority w:val="0"/>
    <w:rPr>
      <w:rFonts w:hint="eastAsia" w:ascii="宋体" w:hAnsi="宋体" w:eastAsia="宋体" w:cs="宋体"/>
      <w:color w:val="000000"/>
      <w:kern w:val="2"/>
      <w:sz w:val="20"/>
      <w:szCs w:val="20"/>
      <w:lang w:val="en-US" w:eastAsia="zh-CN" w:bidi="ar-SA"/>
    </w:rPr>
  </w:style>
  <w:style w:type="character" w:customStyle="1" w:styleId="372">
    <w:name w:val="123YJ Char Char1"/>
    <w:qFormat/>
    <w:uiPriority w:val="0"/>
    <w:rPr>
      <w:rFonts w:eastAsia="宋体"/>
      <w:kern w:val="2"/>
      <w:sz w:val="18"/>
    </w:rPr>
  </w:style>
  <w:style w:type="character" w:customStyle="1" w:styleId="373">
    <w:name w:val="条标题1.1.1 Char"/>
    <w:qFormat/>
    <w:uiPriority w:val="0"/>
    <w:rPr>
      <w:rFonts w:eastAsia="华文中宋"/>
      <w:b/>
      <w:bCs/>
      <w:kern w:val="2"/>
      <w:sz w:val="28"/>
      <w:szCs w:val="28"/>
      <w:lang w:val="en-US" w:eastAsia="zh-CN" w:bidi="ar-SA"/>
    </w:rPr>
  </w:style>
  <w:style w:type="character" w:customStyle="1" w:styleId="374">
    <w:name w:val="样式 标题 2节名节 + (中文) 宋体 Char"/>
    <w:qFormat/>
    <w:uiPriority w:val="0"/>
    <w:rPr>
      <w:b/>
      <w:color w:val="000000"/>
      <w:kern w:val="2"/>
      <w:sz w:val="30"/>
      <w:szCs w:val="28"/>
    </w:rPr>
  </w:style>
  <w:style w:type="character" w:customStyle="1" w:styleId="375">
    <w:name w:val="标题2"/>
    <w:qFormat/>
    <w:uiPriority w:val="0"/>
  </w:style>
  <w:style w:type="character" w:customStyle="1" w:styleId="376">
    <w:name w:val="【正文】 Char"/>
    <w:qFormat/>
    <w:uiPriority w:val="0"/>
    <w:rPr>
      <w:rFonts w:eastAsia="宋体" w:cs="宋体"/>
      <w:kern w:val="2"/>
      <w:sz w:val="24"/>
    </w:rPr>
  </w:style>
  <w:style w:type="character" w:customStyle="1" w:styleId="377">
    <w:name w:val="内容 Char Char"/>
    <w:link w:val="378"/>
    <w:qFormat/>
    <w:uiPriority w:val="0"/>
    <w:rPr>
      <w:sz w:val="24"/>
    </w:rPr>
  </w:style>
  <w:style w:type="paragraph" w:customStyle="1" w:styleId="378">
    <w:name w:val="内容"/>
    <w:basedOn w:val="1"/>
    <w:link w:val="377"/>
    <w:qFormat/>
    <w:uiPriority w:val="0"/>
    <w:pPr>
      <w:spacing w:line="480" w:lineRule="exact"/>
      <w:ind w:firstLine="200" w:firstLineChars="200"/>
    </w:pPr>
    <w:rPr>
      <w:sz w:val="24"/>
    </w:rPr>
  </w:style>
  <w:style w:type="character" w:customStyle="1" w:styleId="379">
    <w:name w:val="段落 Char Char"/>
    <w:qFormat/>
    <w:uiPriority w:val="0"/>
    <w:rPr>
      <w:rFonts w:eastAsia="宋体"/>
      <w:kern w:val="2"/>
      <w:sz w:val="24"/>
      <w:szCs w:val="24"/>
    </w:rPr>
  </w:style>
  <w:style w:type="character" w:customStyle="1" w:styleId="380">
    <w:name w:val="表格内容 Char Char Char Char Char"/>
    <w:qFormat/>
    <w:uiPriority w:val="0"/>
    <w:rPr>
      <w:rFonts w:eastAsia="宋体"/>
      <w:snapToGrid w:val="0"/>
      <w:sz w:val="21"/>
      <w:szCs w:val="21"/>
      <w:lang w:val="en-US" w:eastAsia="zh-CN" w:bidi="ar-SA"/>
    </w:rPr>
  </w:style>
  <w:style w:type="character" w:customStyle="1" w:styleId="381">
    <w:name w:val="正22 Char"/>
    <w:qFormat/>
    <w:uiPriority w:val="0"/>
    <w:rPr>
      <w:rFonts w:ascii="Arial Narrow" w:hAnsi="Arial Narrow" w:eastAsia="宋体" w:cs="宋体"/>
      <w:kern w:val="2"/>
      <w:sz w:val="28"/>
    </w:rPr>
  </w:style>
  <w:style w:type="character" w:customStyle="1" w:styleId="382">
    <w:name w:val="表文 Char Char Char Char"/>
    <w:link w:val="383"/>
    <w:qFormat/>
    <w:uiPriority w:val="0"/>
  </w:style>
  <w:style w:type="paragraph" w:customStyle="1" w:styleId="383">
    <w:name w:val="表文 Char Char"/>
    <w:basedOn w:val="1"/>
    <w:link w:val="382"/>
    <w:qFormat/>
    <w:uiPriority w:val="0"/>
    <w:pPr>
      <w:overflowPunct w:val="0"/>
      <w:adjustRightInd w:val="0"/>
      <w:snapToGrid w:val="0"/>
      <w:spacing w:line="240" w:lineRule="auto"/>
      <w:jc w:val="center"/>
      <w:textAlignment w:val="baseline"/>
    </w:pPr>
  </w:style>
  <w:style w:type="character" w:customStyle="1" w:styleId="384">
    <w:name w:val="Char Char Char Char Char Char Char Char Char Char11"/>
    <w:qFormat/>
    <w:uiPriority w:val="0"/>
    <w:rPr>
      <w:rFonts w:ascii="宋体" w:hAnsi="宋体" w:eastAsia="宋体" w:cs="宋体"/>
      <w:kern w:val="2"/>
      <w:sz w:val="24"/>
      <w:szCs w:val="28"/>
    </w:rPr>
  </w:style>
  <w:style w:type="character" w:customStyle="1" w:styleId="385">
    <w:name w:val="Char Char Char Char Char Char Char Char Char Char Char Char"/>
    <w:qFormat/>
    <w:uiPriority w:val="0"/>
    <w:rPr>
      <w:rFonts w:ascii="宋体" w:hAnsi="宋体" w:eastAsia="宋体" w:cs="宋体"/>
      <w:kern w:val="2"/>
      <w:sz w:val="24"/>
      <w:szCs w:val="28"/>
    </w:rPr>
  </w:style>
  <w:style w:type="character" w:customStyle="1" w:styleId="386">
    <w:name w:val="表号 Char Char Char1"/>
    <w:qFormat/>
    <w:uiPriority w:val="0"/>
    <w:rPr>
      <w:rFonts w:eastAsia="宋体"/>
      <w:kern w:val="2"/>
      <w:sz w:val="21"/>
      <w:szCs w:val="24"/>
      <w:lang w:val="en-US" w:eastAsia="zh-CN" w:bidi="ar-SA"/>
    </w:rPr>
  </w:style>
  <w:style w:type="character" w:customStyle="1" w:styleId="387">
    <w:name w:val="样式 样式 小四 蓝色 行距: 固定值 30 磅 + 行距: 1.5 倍行距 Char"/>
    <w:qFormat/>
    <w:uiPriority w:val="0"/>
    <w:rPr>
      <w:color w:val="0000FF"/>
      <w:sz w:val="24"/>
    </w:rPr>
  </w:style>
  <w:style w:type="character" w:customStyle="1" w:styleId="388">
    <w:name w:val="Char Char Char Char Char Char Char Char Char Char Char"/>
    <w:link w:val="389"/>
    <w:qFormat/>
    <w:uiPriority w:val="0"/>
  </w:style>
  <w:style w:type="paragraph" w:customStyle="1" w:styleId="389">
    <w:name w:val="Char Char Char Char Char Char Char Char Char"/>
    <w:basedOn w:val="1"/>
    <w:link w:val="388"/>
    <w:qFormat/>
    <w:uiPriority w:val="0"/>
    <w:pPr>
      <w:spacing w:line="240" w:lineRule="auto"/>
    </w:pPr>
  </w:style>
  <w:style w:type="character" w:customStyle="1" w:styleId="390">
    <w:name w:val="自定义正文 Char Char Char Char Char"/>
    <w:qFormat/>
    <w:uiPriority w:val="0"/>
    <w:rPr>
      <w:position w:val="-28"/>
      <w:sz w:val="28"/>
      <w:lang w:val="en-US" w:eastAsia="zh-CN" w:bidi="ar-SA"/>
    </w:rPr>
  </w:style>
  <w:style w:type="character" w:customStyle="1" w:styleId="391">
    <w:name w:val="正文编号（1） Char"/>
    <w:qFormat/>
    <w:uiPriority w:val="0"/>
    <w:rPr>
      <w:rFonts w:eastAsia="宋体"/>
      <w:kern w:val="2"/>
      <w:sz w:val="28"/>
      <w:szCs w:val="24"/>
      <w:lang w:val="en-US" w:eastAsia="zh-CN" w:bidi="ar-SA"/>
    </w:rPr>
  </w:style>
  <w:style w:type="character" w:customStyle="1" w:styleId="392">
    <w:name w:val="报告书正文 Char Char Char Char"/>
    <w:qFormat/>
    <w:uiPriority w:val="0"/>
    <w:rPr>
      <w:rFonts w:eastAsia="宋体"/>
      <w:color w:val="000000"/>
      <w:kern w:val="2"/>
      <w:sz w:val="24"/>
      <w:szCs w:val="24"/>
      <w:lang w:val="en-US" w:eastAsia="zh-CN" w:bidi="ar-SA"/>
    </w:rPr>
  </w:style>
  <w:style w:type="character" w:customStyle="1" w:styleId="393">
    <w:name w:val="样式 样式 标题 2 + 红色 + 自动设置 Char Char1"/>
    <w:link w:val="394"/>
    <w:qFormat/>
    <w:uiPriority w:val="0"/>
    <w:rPr>
      <w:rFonts w:ascii="Arial" w:hAnsi="Arial" w:eastAsia="新宋体"/>
      <w:b/>
      <w:color w:val="FF0000"/>
      <w:spacing w:val="-8"/>
      <w:sz w:val="28"/>
    </w:rPr>
  </w:style>
  <w:style w:type="paragraph" w:customStyle="1" w:styleId="394">
    <w:name w:val="样式 样式 标题 2 + 红色 + 自动设置 Char"/>
    <w:basedOn w:val="395"/>
    <w:link w:val="393"/>
    <w:qFormat/>
    <w:uiPriority w:val="0"/>
    <w:pPr>
      <w:tabs>
        <w:tab w:val="left" w:pos="576"/>
      </w:tabs>
    </w:pPr>
    <w:rPr>
      <w:rFonts w:eastAsia="新宋体" w:cstheme="minorBidi"/>
      <w:kern w:val="2"/>
      <w:szCs w:val="22"/>
    </w:rPr>
  </w:style>
  <w:style w:type="paragraph" w:customStyle="1" w:styleId="395">
    <w:name w:val="样式 标题 2 + 红色"/>
    <w:basedOn w:val="7"/>
    <w:link w:val="396"/>
    <w:qFormat/>
    <w:uiPriority w:val="0"/>
    <w:pPr>
      <w:numPr>
        <w:ilvl w:val="0"/>
        <w:numId w:val="0"/>
      </w:numPr>
      <w:tabs>
        <w:tab w:val="left" w:pos="576"/>
      </w:tabs>
      <w:spacing w:line="413" w:lineRule="auto"/>
      <w:jc w:val="both"/>
    </w:pPr>
    <w:rPr>
      <w:rFonts w:ascii="Arial" w:hAnsi="Arial" w:eastAsia="宋体" w:cs="Times New Roman"/>
      <w:bCs w:val="0"/>
      <w:color w:val="FF0000"/>
      <w:spacing w:val="-8"/>
      <w:kern w:val="0"/>
      <w:szCs w:val="20"/>
    </w:rPr>
  </w:style>
  <w:style w:type="character" w:customStyle="1" w:styleId="396">
    <w:name w:val="样式 标题 2 + 红色 Char Char"/>
    <w:link w:val="395"/>
    <w:qFormat/>
    <w:uiPriority w:val="0"/>
    <w:rPr>
      <w:rFonts w:ascii="Arial" w:hAnsi="Arial" w:eastAsia="宋体" w:cs="Times New Roman"/>
      <w:b/>
      <w:color w:val="FF0000"/>
      <w:spacing w:val="-8"/>
      <w:kern w:val="0"/>
      <w:sz w:val="28"/>
      <w:szCs w:val="20"/>
    </w:rPr>
  </w:style>
  <w:style w:type="character" w:customStyle="1" w:styleId="397">
    <w:name w:val="报告 Char"/>
    <w:qFormat/>
    <w:uiPriority w:val="0"/>
    <w:rPr>
      <w:rFonts w:ascii="TimesNewRoman" w:hAnsi="TimesNewRoman"/>
      <w:sz w:val="24"/>
    </w:rPr>
  </w:style>
  <w:style w:type="character" w:customStyle="1" w:styleId="398">
    <w:name w:val="样式 标题 3条标题1.1.13h33rd levelH3l3CTHeading 3 - oldBold He... Char Char"/>
    <w:link w:val="399"/>
    <w:qFormat/>
    <w:uiPriority w:val="0"/>
    <w:rPr>
      <w:rFonts w:ascii="黑体" w:hAnsi="宋体"/>
      <w:b/>
      <w:color w:val="000000"/>
      <w:sz w:val="32"/>
    </w:rPr>
  </w:style>
  <w:style w:type="paragraph" w:customStyle="1" w:styleId="399">
    <w:name w:val="样式 标题 3条标题1.1.13h33rd levelH3l3CTHeading 3 - oldBold He..."/>
    <w:basedOn w:val="8"/>
    <w:link w:val="398"/>
    <w:qFormat/>
    <w:uiPriority w:val="0"/>
    <w:pPr>
      <w:widowControl/>
      <w:numPr>
        <w:ilvl w:val="0"/>
        <w:numId w:val="0"/>
      </w:numPr>
      <w:spacing w:before="0" w:after="0" w:line="360" w:lineRule="auto"/>
    </w:pPr>
    <w:rPr>
      <w:rFonts w:ascii="黑体" w:hAnsi="宋体"/>
      <w:bCs w:val="0"/>
      <w:color w:val="000000"/>
      <w:sz w:val="32"/>
      <w:szCs w:val="22"/>
    </w:rPr>
  </w:style>
  <w:style w:type="character" w:customStyle="1" w:styleId="400">
    <w:name w:val="xyb自建表格名称 Char Char Char Char Char Char"/>
    <w:qFormat/>
    <w:uiPriority w:val="0"/>
    <w:rPr>
      <w:rFonts w:ascii="宋体" w:eastAsia="宋体"/>
      <w:kern w:val="2"/>
      <w:sz w:val="24"/>
      <w:lang w:val="en-US" w:eastAsia="zh-CN"/>
    </w:rPr>
  </w:style>
  <w:style w:type="character" w:customStyle="1" w:styleId="401">
    <w:name w:val="【表格注释】"/>
    <w:qFormat/>
    <w:uiPriority w:val="0"/>
    <w:rPr>
      <w:rFonts w:eastAsia="宋体" w:cs="宋体"/>
      <w:kern w:val="0"/>
      <w:sz w:val="21"/>
    </w:rPr>
  </w:style>
  <w:style w:type="character" w:customStyle="1" w:styleId="402">
    <w:name w:val="【正文】 Char Char Char"/>
    <w:qFormat/>
    <w:uiPriority w:val="0"/>
    <w:rPr>
      <w:rFonts w:eastAsia="宋体" w:cs="宋体"/>
      <w:kern w:val="2"/>
      <w:sz w:val="24"/>
    </w:rPr>
  </w:style>
  <w:style w:type="character" w:customStyle="1" w:styleId="403">
    <w:name w:val="二章正文 Char Char Char Char Char Char"/>
    <w:qFormat/>
    <w:uiPriority w:val="0"/>
    <w:rPr>
      <w:rFonts w:ascii="宋体" w:eastAsia="宋体"/>
      <w:kern w:val="2"/>
      <w:sz w:val="24"/>
      <w:lang w:val="en-US" w:eastAsia="zh-CN" w:bidi="ar-SA"/>
    </w:rPr>
  </w:style>
  <w:style w:type="character" w:customStyle="1" w:styleId="404">
    <w:name w:val="内容 Char Char Char"/>
    <w:qFormat/>
    <w:uiPriority w:val="0"/>
    <w:rPr>
      <w:rFonts w:eastAsia="宋体"/>
      <w:kern w:val="2"/>
      <w:sz w:val="24"/>
    </w:rPr>
  </w:style>
  <w:style w:type="character" w:customStyle="1" w:styleId="405">
    <w:name w:val="Char Char37"/>
    <w:qFormat/>
    <w:uiPriority w:val="0"/>
    <w:rPr>
      <w:rFonts w:eastAsia="黑体"/>
      <w:kern w:val="2"/>
      <w:sz w:val="24"/>
      <w:lang w:val="en-US" w:eastAsia="zh-CN" w:bidi="ar-SA"/>
    </w:rPr>
  </w:style>
  <w:style w:type="character" w:customStyle="1" w:styleId="406">
    <w:name w:val="表格内容 Char Char Char Char Char Char Char"/>
    <w:qFormat/>
    <w:uiPriority w:val="0"/>
    <w:rPr>
      <w:rFonts w:ascii="宋体" w:eastAsia="宋体"/>
      <w:snapToGrid w:val="0"/>
      <w:sz w:val="24"/>
    </w:rPr>
  </w:style>
  <w:style w:type="character" w:customStyle="1" w:styleId="407">
    <w:name w:val="样式17 Char Char Char Char Char Char"/>
    <w:qFormat/>
    <w:uiPriority w:val="0"/>
    <w:rPr>
      <w:rFonts w:eastAsia="华文中宋"/>
      <w:kern w:val="2"/>
      <w:sz w:val="24"/>
      <w:szCs w:val="24"/>
      <w:lang w:val="en-US" w:eastAsia="zh-CN"/>
    </w:rPr>
  </w:style>
  <w:style w:type="character" w:customStyle="1" w:styleId="408">
    <w:name w:val="样式 标题 3条标题1.1.13h33rd levelH3l3CTHeading 3 - oldBold He... Char Char Char"/>
    <w:qFormat/>
    <w:uiPriority w:val="0"/>
    <w:rPr>
      <w:rFonts w:ascii="黑体" w:hAnsi="宋体" w:eastAsia="宋体"/>
      <w:b/>
      <w:color w:val="000000"/>
      <w:sz w:val="32"/>
      <w:lang w:val="en-US" w:eastAsia="zh-CN"/>
    </w:rPr>
  </w:style>
  <w:style w:type="character" w:customStyle="1" w:styleId="409">
    <w:name w:val="自定义正文 Char Char Char Char Char Char Char"/>
    <w:qFormat/>
    <w:uiPriority w:val="0"/>
    <w:rPr>
      <w:position w:val="-28"/>
      <w:sz w:val="28"/>
      <w:lang w:val="en-US" w:eastAsia="zh-CN" w:bidi="ar-SA"/>
    </w:rPr>
  </w:style>
  <w:style w:type="character" w:customStyle="1" w:styleId="410">
    <w:name w:val="t1"/>
    <w:basedOn w:val="94"/>
    <w:qFormat/>
    <w:uiPriority w:val="0"/>
    <w:rPr>
      <w:rFonts w:eastAsia="宋体"/>
      <w:kern w:val="2"/>
      <w:sz w:val="24"/>
      <w:szCs w:val="24"/>
      <w:lang w:val="en-US" w:eastAsia="zh-CN" w:bidi="ar-SA"/>
    </w:rPr>
  </w:style>
  <w:style w:type="character" w:customStyle="1" w:styleId="411">
    <w:name w:val="正22 Char Char Char"/>
    <w:qFormat/>
    <w:uiPriority w:val="0"/>
    <w:rPr>
      <w:rFonts w:ascii="Arial Narrow" w:hAnsi="Arial Narrow" w:eastAsia="宋体" w:cs="宋体"/>
      <w:kern w:val="2"/>
      <w:sz w:val="28"/>
    </w:rPr>
  </w:style>
  <w:style w:type="character" w:customStyle="1" w:styleId="412">
    <w:name w:val="表格文字 Char1"/>
    <w:qFormat/>
    <w:uiPriority w:val="0"/>
    <w:rPr>
      <w:rFonts w:ascii="Arial" w:hAnsi="Arial" w:eastAsia="宋体"/>
      <w:snapToGrid w:val="0"/>
      <w:kern w:val="21"/>
      <w:sz w:val="24"/>
      <w:lang w:val="en-US" w:eastAsia="zh-CN"/>
    </w:rPr>
  </w:style>
  <w:style w:type="character" w:customStyle="1" w:styleId="413">
    <w:name w:val="样式1 Char Char Char"/>
    <w:qFormat/>
    <w:uiPriority w:val="0"/>
    <w:rPr>
      <w:rFonts w:eastAsia="宋体"/>
      <w:kern w:val="2"/>
      <w:sz w:val="24"/>
    </w:rPr>
  </w:style>
  <w:style w:type="character" w:customStyle="1" w:styleId="414">
    <w:name w:val="页眉 Char Char"/>
    <w:qFormat/>
    <w:uiPriority w:val="0"/>
    <w:rPr>
      <w:rFonts w:eastAsia="幼圆"/>
      <w:kern w:val="2"/>
      <w:sz w:val="21"/>
      <w:szCs w:val="18"/>
      <w:lang w:val="en-US" w:eastAsia="zh-CN" w:bidi="ar-SA"/>
    </w:rPr>
  </w:style>
  <w:style w:type="character" w:customStyle="1" w:styleId="415">
    <w:name w:val="正文缩进（自定义） Char Char Char Char Char Char Char"/>
    <w:qFormat/>
    <w:uiPriority w:val="0"/>
    <w:rPr>
      <w:rFonts w:ascii="Century Gothic" w:hAnsi="Century Gothic" w:eastAsia="宋体"/>
      <w:sz w:val="24"/>
      <w:lang w:val="en-US" w:eastAsia="zh-CN"/>
    </w:rPr>
  </w:style>
  <w:style w:type="character" w:customStyle="1" w:styleId="416">
    <w:name w:val="样式 样式 样式 行距: 固定值 22 磅 + 首行缩进:  2 字符 + 首行缩进:  2 字符 Char Char"/>
    <w:link w:val="417"/>
    <w:qFormat/>
    <w:uiPriority w:val="0"/>
    <w:rPr>
      <w:rFonts w:eastAsia="华文中宋"/>
      <w:sz w:val="24"/>
    </w:rPr>
  </w:style>
  <w:style w:type="paragraph" w:customStyle="1" w:styleId="417">
    <w:name w:val="样式 样式 样式 行距: 固定值 22 磅 + 首行缩进:  2 字符 + 首行缩进:  2 字符"/>
    <w:basedOn w:val="1"/>
    <w:link w:val="416"/>
    <w:qFormat/>
    <w:uiPriority w:val="0"/>
    <w:pPr>
      <w:spacing w:line="480" w:lineRule="exact"/>
      <w:ind w:firstLine="480" w:firstLineChars="200"/>
    </w:pPr>
    <w:rPr>
      <w:rFonts w:eastAsia="华文中宋"/>
      <w:sz w:val="24"/>
    </w:rPr>
  </w:style>
  <w:style w:type="character" w:customStyle="1" w:styleId="418">
    <w:name w:val="xyb自建表格名称 Char Char Char Char"/>
    <w:qFormat/>
    <w:uiPriority w:val="0"/>
    <w:rPr>
      <w:rFonts w:ascii="宋体" w:eastAsia="宋体"/>
      <w:kern w:val="2"/>
      <w:sz w:val="24"/>
      <w:lang w:val="en-US" w:eastAsia="zh-CN"/>
    </w:rPr>
  </w:style>
  <w:style w:type="character" w:customStyle="1" w:styleId="419">
    <w:name w:val="正文首行缩进 2 Char3"/>
    <w:qFormat/>
    <w:uiPriority w:val="0"/>
    <w:rPr>
      <w:sz w:val="24"/>
      <w:szCs w:val="21"/>
    </w:rPr>
  </w:style>
  <w:style w:type="character" w:customStyle="1" w:styleId="420">
    <w:name w:val="样式1 Char"/>
    <w:qFormat/>
    <w:uiPriority w:val="0"/>
    <w:rPr>
      <w:rFonts w:eastAsia="宋体"/>
      <w:kern w:val="2"/>
      <w:sz w:val="24"/>
    </w:rPr>
  </w:style>
  <w:style w:type="character" w:customStyle="1" w:styleId="421">
    <w:name w:val="Char Char29"/>
    <w:qFormat/>
    <w:uiPriority w:val="0"/>
    <w:rPr>
      <w:rFonts w:eastAsia="宋体"/>
      <w:kern w:val="2"/>
      <w:sz w:val="24"/>
      <w:lang w:val="en-US" w:eastAsia="zh-CN" w:bidi="ar-SA"/>
    </w:rPr>
  </w:style>
  <w:style w:type="character" w:customStyle="1" w:styleId="422">
    <w:name w:val="标题4 Char Char Char"/>
    <w:qFormat/>
    <w:uiPriority w:val="0"/>
    <w:rPr>
      <w:rFonts w:eastAsia="黑体"/>
      <w:bCs/>
      <w:kern w:val="2"/>
      <w:sz w:val="24"/>
      <w:szCs w:val="24"/>
      <w:lang w:val="en-US" w:eastAsia="zh-CN" w:bidi="ar-SA"/>
    </w:rPr>
  </w:style>
  <w:style w:type="character" w:customStyle="1" w:styleId="423">
    <w:name w:val="样式 标题 1 + 红色 Char Char1"/>
    <w:link w:val="424"/>
    <w:qFormat/>
    <w:uiPriority w:val="0"/>
    <w:rPr>
      <w:rFonts w:ascii="宋体" w:hAnsi="宋体"/>
      <w:b/>
      <w:color w:val="FF0000"/>
      <w:kern w:val="44"/>
      <w:sz w:val="32"/>
    </w:rPr>
  </w:style>
  <w:style w:type="paragraph" w:customStyle="1" w:styleId="424">
    <w:name w:val="样式 标题 1 + 红色 Char"/>
    <w:basedOn w:val="6"/>
    <w:link w:val="423"/>
    <w:qFormat/>
    <w:uiPriority w:val="0"/>
    <w:pPr>
      <w:numPr>
        <w:numId w:val="0"/>
      </w:numPr>
      <w:tabs>
        <w:tab w:val="left" w:pos="432"/>
      </w:tabs>
      <w:spacing w:line="576" w:lineRule="auto"/>
      <w:jc w:val="both"/>
    </w:pPr>
    <w:rPr>
      <w:rFonts w:ascii="宋体" w:hAnsi="宋体"/>
      <w:bCs w:val="0"/>
      <w:color w:val="FF0000"/>
      <w:szCs w:val="22"/>
    </w:rPr>
  </w:style>
  <w:style w:type="character" w:customStyle="1" w:styleId="425">
    <w:name w:val="纯文本[858D7CFB-ED40-4347-BF05-701D383B685F]"/>
    <w:qFormat/>
    <w:uiPriority w:val="0"/>
    <w:rPr>
      <w:rFonts w:ascii="宋体" w:hAnsi="宋体"/>
      <w:sz w:val="24"/>
    </w:rPr>
  </w:style>
  <w:style w:type="character" w:customStyle="1" w:styleId="426">
    <w:name w:val="表格标题 Char Char Char Char Char Char"/>
    <w:qFormat/>
    <w:uiPriority w:val="0"/>
    <w:rPr>
      <w:rFonts w:eastAsia="黑体"/>
      <w:kern w:val="2"/>
      <w:sz w:val="24"/>
      <w:lang w:val="en-US" w:eastAsia="zh-CN"/>
    </w:rPr>
  </w:style>
  <w:style w:type="character" w:customStyle="1" w:styleId="427">
    <w:name w:val="【正文】 Char Char"/>
    <w:link w:val="428"/>
    <w:qFormat/>
    <w:uiPriority w:val="0"/>
    <w:rPr>
      <w:sz w:val="24"/>
    </w:rPr>
  </w:style>
  <w:style w:type="paragraph" w:customStyle="1" w:styleId="428">
    <w:name w:val="【正文】"/>
    <w:basedOn w:val="1"/>
    <w:link w:val="427"/>
    <w:qFormat/>
    <w:uiPriority w:val="0"/>
    <w:pPr>
      <w:spacing w:line="440" w:lineRule="exact"/>
      <w:ind w:firstLine="544" w:firstLineChars="200"/>
    </w:pPr>
    <w:rPr>
      <w:sz w:val="24"/>
    </w:rPr>
  </w:style>
  <w:style w:type="character" w:customStyle="1" w:styleId="429">
    <w:name w:val="Char Char18"/>
    <w:qFormat/>
    <w:uiPriority w:val="0"/>
    <w:rPr>
      <w:kern w:val="2"/>
      <w:sz w:val="24"/>
      <w:szCs w:val="21"/>
    </w:rPr>
  </w:style>
  <w:style w:type="character" w:customStyle="1" w:styleId="430">
    <w:name w:val="文本正文专用 Char Char"/>
    <w:link w:val="431"/>
    <w:qFormat/>
    <w:uiPriority w:val="0"/>
    <w:rPr>
      <w:sz w:val="24"/>
      <w:szCs w:val="24"/>
    </w:rPr>
  </w:style>
  <w:style w:type="paragraph" w:customStyle="1" w:styleId="431">
    <w:name w:val="文本正文专用"/>
    <w:basedOn w:val="1"/>
    <w:link w:val="430"/>
    <w:qFormat/>
    <w:uiPriority w:val="0"/>
    <w:pPr>
      <w:ind w:firstLine="480" w:firstLineChars="200"/>
    </w:pPr>
    <w:rPr>
      <w:sz w:val="24"/>
      <w:szCs w:val="24"/>
    </w:rPr>
  </w:style>
  <w:style w:type="character" w:customStyle="1" w:styleId="432">
    <w:name w:val="Char Char39"/>
    <w:qFormat/>
    <w:uiPriority w:val="0"/>
    <w:rPr>
      <w:rFonts w:ascii="Arial" w:hAnsi="Arial" w:eastAsia="黑体"/>
      <w:b/>
      <w:kern w:val="2"/>
      <w:sz w:val="28"/>
      <w:lang w:val="en-US" w:eastAsia="zh-CN" w:bidi="ar-SA"/>
    </w:rPr>
  </w:style>
  <w:style w:type="character" w:customStyle="1" w:styleId="433">
    <w:name w:val="样式 标题 1 + 红色 Char Char Char"/>
    <w:qFormat/>
    <w:uiPriority w:val="0"/>
    <w:rPr>
      <w:rFonts w:ascii="宋体" w:hAnsi="宋体" w:eastAsia="黑体"/>
      <w:b/>
      <w:color w:val="FF0000"/>
      <w:kern w:val="44"/>
      <w:sz w:val="32"/>
      <w:lang w:val="en-US" w:eastAsia="zh-CN"/>
    </w:rPr>
  </w:style>
  <w:style w:type="character" w:customStyle="1" w:styleId="434">
    <w:name w:val="ncnjw01"/>
    <w:basedOn w:val="94"/>
    <w:qFormat/>
    <w:uiPriority w:val="0"/>
    <w:rPr>
      <w:rFonts w:eastAsia="宋体"/>
      <w:kern w:val="2"/>
      <w:sz w:val="24"/>
      <w:szCs w:val="24"/>
      <w:lang w:val="en-US" w:eastAsia="zh-CN" w:bidi="ar-SA"/>
    </w:rPr>
  </w:style>
  <w:style w:type="character" w:customStyle="1" w:styleId="435">
    <w:name w:val="表格内容 Char Char Char Char Char Char"/>
    <w:qFormat/>
    <w:uiPriority w:val="0"/>
    <w:rPr>
      <w:rFonts w:ascii="宋体" w:eastAsia="宋体"/>
      <w:snapToGrid w:val="0"/>
      <w:sz w:val="24"/>
    </w:rPr>
  </w:style>
  <w:style w:type="character" w:customStyle="1" w:styleId="436">
    <w:name w:val="报告书正文 Char Char"/>
    <w:link w:val="437"/>
    <w:qFormat/>
    <w:uiPriority w:val="0"/>
    <w:rPr>
      <w:rFonts w:eastAsia="宋体"/>
      <w:color w:val="000000"/>
      <w:sz w:val="24"/>
    </w:rPr>
  </w:style>
  <w:style w:type="paragraph" w:customStyle="1" w:styleId="437">
    <w:name w:val="报告书正文"/>
    <w:basedOn w:val="1"/>
    <w:link w:val="436"/>
    <w:qFormat/>
    <w:uiPriority w:val="0"/>
    <w:pPr>
      <w:spacing w:line="240" w:lineRule="auto"/>
      <w:jc w:val="left"/>
    </w:pPr>
    <w:rPr>
      <w:rFonts w:eastAsia="宋体"/>
      <w:color w:val="000000"/>
      <w:sz w:val="24"/>
    </w:rPr>
  </w:style>
  <w:style w:type="character" w:customStyle="1" w:styleId="438">
    <w:name w:val="表格 Char Char Char Char"/>
    <w:qFormat/>
    <w:uiPriority w:val="0"/>
    <w:rPr>
      <w:rFonts w:ascii="宋体" w:eastAsia="宋体"/>
      <w:snapToGrid w:val="0"/>
      <w:sz w:val="24"/>
    </w:rPr>
  </w:style>
  <w:style w:type="character" w:customStyle="1" w:styleId="439">
    <w:name w:val="样式 样式 标题 2 + 红色 + 自动设置 Char Char Char"/>
    <w:qFormat/>
    <w:uiPriority w:val="0"/>
    <w:rPr>
      <w:rFonts w:ascii="Arial" w:hAnsi="Arial" w:eastAsia="新宋体"/>
      <w:b/>
      <w:color w:val="FF0000"/>
      <w:spacing w:val="-8"/>
      <w:sz w:val="28"/>
    </w:rPr>
  </w:style>
  <w:style w:type="character" w:customStyle="1" w:styleId="440">
    <w:name w:val="表格名称 Char Char"/>
    <w:link w:val="441"/>
    <w:qFormat/>
    <w:uiPriority w:val="0"/>
    <w:rPr>
      <w:rFonts w:eastAsia="黑体"/>
    </w:rPr>
  </w:style>
  <w:style w:type="paragraph" w:customStyle="1" w:styleId="441">
    <w:name w:val="表格名称"/>
    <w:basedOn w:val="1"/>
    <w:link w:val="440"/>
    <w:qFormat/>
    <w:uiPriority w:val="0"/>
    <w:pPr>
      <w:spacing w:line="240" w:lineRule="auto"/>
      <w:jc w:val="center"/>
    </w:pPr>
    <w:rPr>
      <w:rFonts w:eastAsia="黑体"/>
    </w:rPr>
  </w:style>
  <w:style w:type="character" w:customStyle="1" w:styleId="442">
    <w:name w:val="表格 Char Char"/>
    <w:qFormat/>
    <w:uiPriority w:val="0"/>
    <w:rPr>
      <w:bCs/>
      <w:color w:val="000000"/>
    </w:rPr>
  </w:style>
  <w:style w:type="character" w:customStyle="1" w:styleId="443">
    <w:name w:val="style21"/>
    <w:qFormat/>
    <w:uiPriority w:val="0"/>
    <w:rPr>
      <w:b/>
      <w:bCs/>
      <w:sz w:val="21"/>
      <w:szCs w:val="21"/>
    </w:rPr>
  </w:style>
  <w:style w:type="character" w:customStyle="1" w:styleId="444">
    <w:name w:val="Char Char Char Char1"/>
    <w:qFormat/>
    <w:uiPriority w:val="0"/>
    <w:rPr>
      <w:rFonts w:ascii="宋体" w:eastAsia="宋体"/>
      <w:kern w:val="2"/>
      <w:sz w:val="24"/>
      <w:lang w:val="en-US" w:eastAsia="zh-CN"/>
    </w:rPr>
  </w:style>
  <w:style w:type="character" w:customStyle="1" w:styleId="445">
    <w:name w:val="【表头】 Char Char"/>
    <w:link w:val="446"/>
    <w:qFormat/>
    <w:uiPriority w:val="0"/>
    <w:rPr>
      <w:rFonts w:eastAsia="黑体"/>
      <w:sz w:val="24"/>
    </w:rPr>
  </w:style>
  <w:style w:type="paragraph" w:customStyle="1" w:styleId="446">
    <w:name w:val="【表头】"/>
    <w:basedOn w:val="1"/>
    <w:link w:val="445"/>
    <w:qFormat/>
    <w:uiPriority w:val="0"/>
    <w:pPr>
      <w:spacing w:line="460" w:lineRule="exact"/>
      <w:jc w:val="center"/>
    </w:pPr>
    <w:rPr>
      <w:rFonts w:eastAsia="黑体"/>
      <w:sz w:val="24"/>
    </w:rPr>
  </w:style>
  <w:style w:type="character" w:customStyle="1" w:styleId="447">
    <w:name w:val="正文缩进（自定义） Char Char Char Char Char Char"/>
    <w:link w:val="448"/>
    <w:qFormat/>
    <w:uiPriority w:val="0"/>
    <w:rPr>
      <w:rFonts w:ascii="Century Gothic" w:hAnsi="Century Gothic" w:eastAsia="宋体" w:cs="宋体"/>
      <w:sz w:val="24"/>
      <w:szCs w:val="24"/>
    </w:rPr>
  </w:style>
  <w:style w:type="paragraph" w:customStyle="1" w:styleId="448">
    <w:name w:val="正文缩进（自定义） Char Char Char"/>
    <w:basedOn w:val="1"/>
    <w:link w:val="447"/>
    <w:qFormat/>
    <w:uiPriority w:val="0"/>
    <w:pPr>
      <w:spacing w:before="120" w:after="120"/>
      <w:ind w:firstLine="480" w:firstLineChars="200"/>
    </w:pPr>
    <w:rPr>
      <w:rFonts w:ascii="Century Gothic" w:hAnsi="Century Gothic" w:eastAsia="宋体" w:cs="宋体"/>
      <w:sz w:val="24"/>
      <w:szCs w:val="24"/>
    </w:rPr>
  </w:style>
  <w:style w:type="character" w:customStyle="1" w:styleId="449">
    <w:name w:val="标题5 Char Char"/>
    <w:qFormat/>
    <w:uiPriority w:val="0"/>
    <w:rPr>
      <w:rFonts w:eastAsia="宋体"/>
      <w:kern w:val="2"/>
      <w:sz w:val="24"/>
      <w:szCs w:val="36"/>
      <w:lang w:val="en-US" w:eastAsia="zh-CN" w:bidi="ar-SA"/>
    </w:rPr>
  </w:style>
  <w:style w:type="character" w:customStyle="1" w:styleId="450">
    <w:name w:val="样式 (中文) 黑体 小三"/>
    <w:qFormat/>
    <w:uiPriority w:val="0"/>
    <w:rPr>
      <w:rFonts w:eastAsia="黑体"/>
      <w:b/>
      <w:sz w:val="30"/>
    </w:rPr>
  </w:style>
  <w:style w:type="character" w:customStyle="1" w:styleId="451">
    <w:name w:val="表格标题 Char Char"/>
    <w:link w:val="452"/>
    <w:qFormat/>
    <w:uiPriority w:val="0"/>
    <w:rPr>
      <w:rFonts w:eastAsia="黑体"/>
      <w:b/>
      <w:lang w:val="zh-CN"/>
    </w:rPr>
  </w:style>
  <w:style w:type="paragraph" w:customStyle="1" w:styleId="452">
    <w:name w:val="表格标题"/>
    <w:basedOn w:val="1"/>
    <w:link w:val="451"/>
    <w:qFormat/>
    <w:uiPriority w:val="0"/>
    <w:pPr>
      <w:overflowPunct w:val="0"/>
      <w:autoSpaceDE w:val="0"/>
      <w:autoSpaceDN w:val="0"/>
      <w:adjustRightInd w:val="0"/>
      <w:snapToGrid w:val="0"/>
      <w:spacing w:line="240" w:lineRule="auto"/>
      <w:jc w:val="center"/>
    </w:pPr>
    <w:rPr>
      <w:rFonts w:eastAsia="黑体"/>
      <w:b/>
      <w:lang w:val="zh-CN"/>
    </w:rPr>
  </w:style>
  <w:style w:type="character" w:customStyle="1" w:styleId="453">
    <w:name w:val="报告书正文 Char Char Char Char Char Char Char Char"/>
    <w:link w:val="454"/>
    <w:qFormat/>
    <w:uiPriority w:val="0"/>
    <w:rPr>
      <w:color w:val="000000"/>
      <w:sz w:val="24"/>
      <w:szCs w:val="24"/>
    </w:rPr>
  </w:style>
  <w:style w:type="paragraph" w:customStyle="1" w:styleId="454">
    <w:name w:val="报告书正文 Char Char Char"/>
    <w:basedOn w:val="1"/>
    <w:link w:val="453"/>
    <w:qFormat/>
    <w:uiPriority w:val="0"/>
    <w:pPr>
      <w:spacing w:line="300" w:lineRule="auto"/>
      <w:ind w:firstLine="480" w:firstLineChars="200"/>
    </w:pPr>
    <w:rPr>
      <w:color w:val="000000"/>
      <w:sz w:val="24"/>
      <w:szCs w:val="24"/>
    </w:rPr>
  </w:style>
  <w:style w:type="character" w:customStyle="1" w:styleId="455">
    <w:name w:val="headline-content2"/>
    <w:basedOn w:val="94"/>
    <w:qFormat/>
    <w:uiPriority w:val="0"/>
    <w:rPr>
      <w:rFonts w:eastAsia="宋体"/>
      <w:kern w:val="2"/>
      <w:sz w:val="24"/>
      <w:szCs w:val="24"/>
      <w:lang w:val="en-US" w:eastAsia="zh-CN" w:bidi="ar-SA"/>
    </w:rPr>
  </w:style>
  <w:style w:type="character" w:customStyle="1" w:styleId="456">
    <w:name w:val="小四+首行缩进 Char2"/>
    <w:link w:val="457"/>
    <w:qFormat/>
    <w:uiPriority w:val="0"/>
    <w:rPr>
      <w:rFonts w:ascii="宋体" w:hAnsi="宋体"/>
      <w:sz w:val="24"/>
    </w:rPr>
  </w:style>
  <w:style w:type="paragraph" w:customStyle="1" w:styleId="457">
    <w:name w:val="小四+首行缩进"/>
    <w:basedOn w:val="1"/>
    <w:link w:val="456"/>
    <w:qFormat/>
    <w:uiPriority w:val="0"/>
    <w:pPr>
      <w:ind w:firstLine="482"/>
    </w:pPr>
    <w:rPr>
      <w:rFonts w:ascii="宋体" w:hAnsi="宋体"/>
      <w:sz w:val="24"/>
    </w:rPr>
  </w:style>
  <w:style w:type="character" w:customStyle="1" w:styleId="458">
    <w:name w:val="表格内容 Char Char Char Char"/>
    <w:qFormat/>
    <w:uiPriority w:val="0"/>
    <w:rPr>
      <w:rFonts w:eastAsia="宋体"/>
      <w:color w:val="000000"/>
      <w:kern w:val="2"/>
      <w:sz w:val="21"/>
      <w:szCs w:val="16"/>
      <w:lang w:val="en-US" w:eastAsia="zh-CN" w:bidi="ar-SA"/>
    </w:rPr>
  </w:style>
  <w:style w:type="character" w:customStyle="1" w:styleId="459">
    <w:name w:val="xyb自建表格名称 Char Char"/>
    <w:qFormat/>
    <w:uiPriority w:val="0"/>
    <w:rPr>
      <w:rFonts w:ascii="宋体" w:eastAsia="宋体"/>
      <w:kern w:val="2"/>
      <w:sz w:val="24"/>
      <w:lang w:val="en-US" w:eastAsia="zh-CN"/>
    </w:rPr>
  </w:style>
  <w:style w:type="character" w:customStyle="1" w:styleId="460">
    <w:name w:val="报告书正文 Char Char Char Char Char Char Char Char Char"/>
    <w:link w:val="461"/>
    <w:qFormat/>
    <w:uiPriority w:val="0"/>
    <w:rPr>
      <w:color w:val="000000"/>
      <w:sz w:val="24"/>
    </w:rPr>
  </w:style>
  <w:style w:type="paragraph" w:customStyle="1" w:styleId="461">
    <w:name w:val="报告书正文 Char Char Char Char Char"/>
    <w:basedOn w:val="1"/>
    <w:link w:val="460"/>
    <w:qFormat/>
    <w:uiPriority w:val="0"/>
    <w:pPr>
      <w:spacing w:line="300" w:lineRule="auto"/>
      <w:ind w:firstLine="480" w:firstLineChars="200"/>
    </w:pPr>
    <w:rPr>
      <w:color w:val="000000"/>
      <w:sz w:val="24"/>
    </w:rPr>
  </w:style>
  <w:style w:type="character" w:customStyle="1" w:styleId="462">
    <w:name w:val="样式1正文 Char Char1"/>
    <w:link w:val="463"/>
    <w:qFormat/>
    <w:uiPriority w:val="0"/>
    <w:rPr>
      <w:rFonts w:ascii="宋体" w:hAnsi="宋体"/>
      <w:bCs/>
      <w:spacing w:val="-10"/>
      <w:sz w:val="28"/>
      <w:szCs w:val="28"/>
      <w:lang w:val="en-GB"/>
    </w:rPr>
  </w:style>
  <w:style w:type="paragraph" w:customStyle="1" w:styleId="463">
    <w:name w:val="样式1正文 Char"/>
    <w:basedOn w:val="1"/>
    <w:link w:val="462"/>
    <w:qFormat/>
    <w:uiPriority w:val="0"/>
    <w:pPr>
      <w:spacing w:line="640" w:lineRule="exact"/>
      <w:ind w:firstLine="520" w:firstLineChars="200"/>
    </w:pPr>
    <w:rPr>
      <w:rFonts w:ascii="宋体" w:hAnsi="宋体"/>
      <w:bCs/>
      <w:spacing w:val="-10"/>
      <w:sz w:val="28"/>
      <w:szCs w:val="28"/>
      <w:lang w:val="en-GB"/>
    </w:rPr>
  </w:style>
  <w:style w:type="character" w:customStyle="1" w:styleId="464">
    <w:name w:val="表名 Char"/>
    <w:link w:val="465"/>
    <w:qFormat/>
    <w:uiPriority w:val="0"/>
    <w:rPr>
      <w:rFonts w:ascii="黑体" w:eastAsia="黑体"/>
      <w:sz w:val="24"/>
    </w:rPr>
  </w:style>
  <w:style w:type="paragraph" w:customStyle="1" w:styleId="465">
    <w:name w:val="表名"/>
    <w:basedOn w:val="1"/>
    <w:link w:val="464"/>
    <w:qFormat/>
    <w:uiPriority w:val="0"/>
    <w:pPr>
      <w:spacing w:line="440" w:lineRule="exact"/>
      <w:jc w:val="center"/>
    </w:pPr>
    <w:rPr>
      <w:rFonts w:ascii="黑体" w:eastAsia="黑体"/>
      <w:sz w:val="24"/>
    </w:rPr>
  </w:style>
  <w:style w:type="character" w:customStyle="1" w:styleId="466">
    <w:name w:val="页脚 Char Char"/>
    <w:qFormat/>
    <w:uiPriority w:val="0"/>
    <w:rPr>
      <w:rFonts w:eastAsia="宋体"/>
      <w:kern w:val="2"/>
      <w:sz w:val="18"/>
      <w:szCs w:val="18"/>
      <w:lang w:val="en-US" w:eastAsia="zh-CN" w:bidi="ar-SA"/>
    </w:rPr>
  </w:style>
  <w:style w:type="character" w:customStyle="1" w:styleId="467">
    <w:name w:val="表格 Char Char Char"/>
    <w:link w:val="468"/>
    <w:qFormat/>
    <w:uiPriority w:val="0"/>
    <w:rPr>
      <w:rFonts w:eastAsia="宋体" w:cs="Courier New"/>
      <w:szCs w:val="21"/>
    </w:rPr>
  </w:style>
  <w:style w:type="paragraph" w:customStyle="1" w:styleId="468">
    <w:name w:val="表格"/>
    <w:basedOn w:val="1"/>
    <w:link w:val="467"/>
    <w:qFormat/>
    <w:uiPriority w:val="0"/>
    <w:pPr>
      <w:snapToGrid w:val="0"/>
      <w:spacing w:beforeLines="5" w:afterLines="5" w:line="240" w:lineRule="auto"/>
      <w:jc w:val="center"/>
    </w:pPr>
    <w:rPr>
      <w:rFonts w:eastAsia="宋体" w:cs="Courier New"/>
    </w:rPr>
  </w:style>
  <w:style w:type="character" w:customStyle="1" w:styleId="469">
    <w:name w:val="段落 Char Char Char Char"/>
    <w:link w:val="470"/>
    <w:qFormat/>
    <w:uiPriority w:val="0"/>
    <w:rPr>
      <w:sz w:val="24"/>
      <w:szCs w:val="24"/>
    </w:rPr>
  </w:style>
  <w:style w:type="paragraph" w:customStyle="1" w:styleId="470">
    <w:name w:val="段落 Char"/>
    <w:basedOn w:val="1"/>
    <w:link w:val="469"/>
    <w:qFormat/>
    <w:uiPriority w:val="0"/>
    <w:pPr>
      <w:topLinePunct/>
      <w:snapToGrid w:val="0"/>
      <w:ind w:firstLine="200" w:firstLineChars="200"/>
    </w:pPr>
    <w:rPr>
      <w:sz w:val="24"/>
      <w:szCs w:val="24"/>
    </w:rPr>
  </w:style>
  <w:style w:type="character" w:customStyle="1" w:styleId="471">
    <w:name w:val="标题 2 Char1"/>
    <w:qFormat/>
    <w:uiPriority w:val="0"/>
    <w:rPr>
      <w:b/>
      <w:spacing w:val="-8"/>
      <w:w w:val="77"/>
      <w:kern w:val="2"/>
      <w:sz w:val="24"/>
      <w:lang w:val="en-US" w:eastAsia="zh-CN"/>
    </w:rPr>
  </w:style>
  <w:style w:type="character" w:customStyle="1" w:styleId="472">
    <w:name w:val="Char Char27"/>
    <w:qFormat/>
    <w:uiPriority w:val="0"/>
    <w:rPr>
      <w:rFonts w:eastAsia="幼圆"/>
      <w:kern w:val="2"/>
      <w:sz w:val="21"/>
      <w:szCs w:val="18"/>
      <w:lang w:val="en-US" w:eastAsia="zh-CN" w:bidi="ar-SA"/>
    </w:rPr>
  </w:style>
  <w:style w:type="character" w:customStyle="1" w:styleId="473">
    <w:name w:val="Plain Text Char Char Char Char Char Char Char Char Char Char Char Char Char Char Char Char"/>
    <w:qFormat/>
    <w:uiPriority w:val="0"/>
    <w:rPr>
      <w:rFonts w:ascii="宋体" w:hAnsi="Courier New"/>
      <w:kern w:val="2"/>
      <w:sz w:val="21"/>
    </w:rPr>
  </w:style>
  <w:style w:type="character" w:customStyle="1" w:styleId="474">
    <w:name w:val="xyb自建正文 Char Char Char Char Char"/>
    <w:link w:val="475"/>
    <w:qFormat/>
    <w:uiPriority w:val="0"/>
    <w:rPr>
      <w:rFonts w:ascii="宋体"/>
      <w:spacing w:val="-2"/>
      <w:sz w:val="24"/>
    </w:rPr>
  </w:style>
  <w:style w:type="paragraph" w:customStyle="1" w:styleId="475">
    <w:name w:val="xyb自建正文 Char Char Char"/>
    <w:basedOn w:val="1"/>
    <w:link w:val="474"/>
    <w:qFormat/>
    <w:uiPriority w:val="0"/>
    <w:pPr>
      <w:tabs>
        <w:tab w:val="left" w:pos="1440"/>
        <w:tab w:val="left" w:pos="8280"/>
      </w:tabs>
      <w:ind w:firstLine="200" w:firstLineChars="200"/>
    </w:pPr>
    <w:rPr>
      <w:rFonts w:ascii="宋体"/>
      <w:spacing w:val="-2"/>
      <w:sz w:val="24"/>
    </w:rPr>
  </w:style>
  <w:style w:type="character" w:customStyle="1" w:styleId="476">
    <w:name w:val="宏文本 Char"/>
    <w:qFormat/>
    <w:uiPriority w:val="0"/>
    <w:rPr>
      <w:rFonts w:ascii="Courier New" w:hAnsi="Courier New" w:eastAsia="Times New Roman"/>
      <w:sz w:val="24"/>
      <w:szCs w:val="24"/>
    </w:rPr>
  </w:style>
  <w:style w:type="character" w:customStyle="1" w:styleId="477">
    <w:name w:val="3zw1"/>
    <w:qFormat/>
    <w:uiPriority w:val="0"/>
    <w:rPr>
      <w:color w:val="000000"/>
      <w:sz w:val="21"/>
      <w:szCs w:val="21"/>
    </w:rPr>
  </w:style>
  <w:style w:type="character" w:customStyle="1" w:styleId="478">
    <w:name w:val="Char Char9"/>
    <w:qFormat/>
    <w:uiPriority w:val="0"/>
    <w:rPr>
      <w:kern w:val="2"/>
      <w:sz w:val="18"/>
    </w:rPr>
  </w:style>
  <w:style w:type="character" w:customStyle="1" w:styleId="479">
    <w:name w:val="Char Char Char Char Char Char Char Char Char Char Char1"/>
    <w:link w:val="480"/>
    <w:qFormat/>
    <w:uiPriority w:val="0"/>
    <w:rPr>
      <w:rFonts w:ascii="宋体" w:hAnsi="宋体"/>
      <w:sz w:val="24"/>
      <w:szCs w:val="28"/>
    </w:rPr>
  </w:style>
  <w:style w:type="paragraph" w:customStyle="1" w:styleId="480">
    <w:name w:val="Char Char Char Char Char Char Char Char Char1"/>
    <w:basedOn w:val="1"/>
    <w:link w:val="479"/>
    <w:qFormat/>
    <w:uiPriority w:val="0"/>
    <w:pPr>
      <w:ind w:firstLine="200" w:firstLineChars="200"/>
    </w:pPr>
    <w:rPr>
      <w:rFonts w:ascii="宋体" w:hAnsi="宋体"/>
      <w:sz w:val="24"/>
      <w:szCs w:val="28"/>
    </w:rPr>
  </w:style>
  <w:style w:type="character" w:customStyle="1" w:styleId="481">
    <w:name w:val="表号 Char Char Char Char"/>
    <w:qFormat/>
    <w:uiPriority w:val="0"/>
    <w:rPr>
      <w:rFonts w:eastAsia="宋体"/>
      <w:kern w:val="2"/>
      <w:sz w:val="21"/>
      <w:szCs w:val="24"/>
      <w:lang w:val="en-US" w:eastAsia="zh-CN" w:bidi="ar-SA"/>
    </w:rPr>
  </w:style>
  <w:style w:type="character" w:customStyle="1" w:styleId="482">
    <w:name w:val="样式 样式 小四 蓝色 行距: 固定值 30 磅 + 行距: 1.5 倍行距 Char Char"/>
    <w:link w:val="483"/>
    <w:qFormat/>
    <w:uiPriority w:val="0"/>
    <w:rPr>
      <w:color w:val="0000FF"/>
      <w:sz w:val="24"/>
    </w:rPr>
  </w:style>
  <w:style w:type="paragraph" w:customStyle="1" w:styleId="483">
    <w:name w:val="样式 样式 小四 蓝色 行距: 固定值 30 磅 + 行距: 1.5 倍行距"/>
    <w:basedOn w:val="1"/>
    <w:link w:val="482"/>
    <w:qFormat/>
    <w:uiPriority w:val="0"/>
    <w:pPr>
      <w:ind w:firstLine="480" w:firstLineChars="200"/>
    </w:pPr>
    <w:rPr>
      <w:color w:val="0000FF"/>
      <w:sz w:val="24"/>
    </w:rPr>
  </w:style>
  <w:style w:type="character" w:customStyle="1" w:styleId="484">
    <w:name w:val="aspmaker1"/>
    <w:qFormat/>
    <w:uiPriority w:val="0"/>
    <w:rPr>
      <w:rFonts w:ascii="Verdana" w:hAnsi="Verdana"/>
      <w:sz w:val="20"/>
    </w:rPr>
  </w:style>
  <w:style w:type="character" w:customStyle="1" w:styleId="485">
    <w:name w:val="Char Char35"/>
    <w:qFormat/>
    <w:uiPriority w:val="0"/>
    <w:rPr>
      <w:rFonts w:ascii="Arial" w:hAnsi="Arial" w:eastAsia="黑体"/>
      <w:b/>
      <w:kern w:val="2"/>
      <w:sz w:val="24"/>
    </w:rPr>
  </w:style>
  <w:style w:type="character" w:customStyle="1" w:styleId="486">
    <w:name w:val="样式 标题 2节名节 + (中文) 宋体 Char Char"/>
    <w:link w:val="487"/>
    <w:qFormat/>
    <w:uiPriority w:val="0"/>
    <w:rPr>
      <w:rFonts w:eastAsia="黑体"/>
      <w:b/>
      <w:color w:val="000000"/>
      <w:sz w:val="30"/>
      <w:szCs w:val="28"/>
    </w:rPr>
  </w:style>
  <w:style w:type="paragraph" w:customStyle="1" w:styleId="487">
    <w:name w:val="样式 标题 2节名节 + (中文) 宋体"/>
    <w:basedOn w:val="7"/>
    <w:link w:val="486"/>
    <w:qFormat/>
    <w:uiPriority w:val="0"/>
    <w:pPr>
      <w:numPr>
        <w:ilvl w:val="0"/>
        <w:numId w:val="0"/>
      </w:numPr>
      <w:spacing w:beforeLines="50" w:after="0" w:line="240" w:lineRule="auto"/>
      <w:jc w:val="both"/>
    </w:pPr>
    <w:rPr>
      <w:rFonts w:eastAsia="黑体" w:asciiTheme="minorHAnsi" w:hAnsiTheme="minorHAnsi" w:cstheme="minorBidi"/>
      <w:bCs w:val="0"/>
      <w:color w:val="000000"/>
      <w:sz w:val="30"/>
      <w:szCs w:val="28"/>
    </w:rPr>
  </w:style>
  <w:style w:type="character" w:customStyle="1" w:styleId="488">
    <w:name w:val="xyb自建表格名称 Char Char Char Char Char"/>
    <w:link w:val="489"/>
    <w:qFormat/>
    <w:uiPriority w:val="0"/>
    <w:rPr>
      <w:rFonts w:ascii="宋体" w:hAnsi="宋体" w:eastAsia="宋体"/>
      <w:sz w:val="24"/>
      <w:szCs w:val="24"/>
    </w:rPr>
  </w:style>
  <w:style w:type="paragraph" w:customStyle="1" w:styleId="489">
    <w:name w:val="xyb自建表格名称 Char Char Char"/>
    <w:basedOn w:val="1"/>
    <w:link w:val="488"/>
    <w:qFormat/>
    <w:uiPriority w:val="0"/>
    <w:pPr>
      <w:jc w:val="center"/>
    </w:pPr>
    <w:rPr>
      <w:rFonts w:ascii="宋体" w:hAnsi="宋体" w:eastAsia="宋体"/>
      <w:sz w:val="24"/>
      <w:szCs w:val="24"/>
    </w:rPr>
  </w:style>
  <w:style w:type="character" w:customStyle="1" w:styleId="490">
    <w:name w:val="样式3 Char Char"/>
    <w:link w:val="60"/>
    <w:qFormat/>
    <w:uiPriority w:val="0"/>
    <w:rPr>
      <w:rFonts w:ascii="仿宋_GB2312" w:hAnsi="Courier New" w:eastAsia="仿宋_GB2312"/>
      <w:b/>
      <w:sz w:val="30"/>
      <w:szCs w:val="24"/>
    </w:rPr>
  </w:style>
  <w:style w:type="character" w:customStyle="1" w:styleId="491">
    <w:name w:val="副标题 Char2"/>
    <w:qFormat/>
    <w:uiPriority w:val="0"/>
    <w:rPr>
      <w:rFonts w:ascii="Cambria" w:hAnsi="Cambria"/>
      <w:b/>
      <w:kern w:val="28"/>
      <w:sz w:val="32"/>
    </w:rPr>
  </w:style>
  <w:style w:type="character" w:customStyle="1" w:styleId="492">
    <w:name w:val="样式4 Char Char"/>
    <w:link w:val="493"/>
    <w:qFormat/>
    <w:uiPriority w:val="0"/>
    <w:rPr>
      <w:rFonts w:eastAsia="华文中宋" w:cs="宋体"/>
      <w:b/>
      <w:bCs/>
      <w:caps/>
      <w:szCs w:val="24"/>
    </w:rPr>
  </w:style>
  <w:style w:type="paragraph" w:customStyle="1" w:styleId="493">
    <w:name w:val="样式4"/>
    <w:basedOn w:val="1"/>
    <w:link w:val="492"/>
    <w:qFormat/>
    <w:uiPriority w:val="0"/>
    <w:pPr>
      <w:adjustRightInd w:val="0"/>
      <w:spacing w:line="320" w:lineRule="exact"/>
      <w:jc w:val="center"/>
    </w:pPr>
    <w:rPr>
      <w:rFonts w:eastAsia="华文中宋" w:cs="宋体"/>
      <w:b/>
      <w:bCs/>
      <w:caps/>
      <w:szCs w:val="24"/>
    </w:rPr>
  </w:style>
  <w:style w:type="character" w:customStyle="1" w:styleId="494">
    <w:name w:val="报告 Char Char"/>
    <w:link w:val="495"/>
    <w:qFormat/>
    <w:uiPriority w:val="0"/>
    <w:rPr>
      <w:rFonts w:ascii="TimesNewRoman" w:hAnsi="TimesNewRoman"/>
      <w:sz w:val="24"/>
    </w:rPr>
  </w:style>
  <w:style w:type="paragraph" w:customStyle="1" w:styleId="495">
    <w:name w:val="报告"/>
    <w:basedOn w:val="1"/>
    <w:link w:val="494"/>
    <w:qFormat/>
    <w:uiPriority w:val="0"/>
    <w:pPr>
      <w:adjustRightInd w:val="0"/>
      <w:ind w:firstLine="505"/>
      <w:textAlignment w:val="center"/>
    </w:pPr>
    <w:rPr>
      <w:rFonts w:ascii="TimesNewRoman" w:hAnsi="TimesNewRoman"/>
      <w:sz w:val="24"/>
    </w:rPr>
  </w:style>
  <w:style w:type="character" w:customStyle="1" w:styleId="496">
    <w:name w:val="纯文本[858D7CFB-ED40-4347-BF05-701D383B685F]1"/>
    <w:qFormat/>
    <w:uiPriority w:val="0"/>
    <w:rPr>
      <w:rFonts w:ascii="宋体" w:hAnsi="宋体"/>
      <w:sz w:val="24"/>
    </w:rPr>
  </w:style>
  <w:style w:type="character" w:customStyle="1" w:styleId="497">
    <w:name w:val="报告书正文 Char"/>
    <w:qFormat/>
    <w:uiPriority w:val="0"/>
    <w:rPr>
      <w:rFonts w:ascii="宋体" w:eastAsia="宋体"/>
      <w:kern w:val="2"/>
      <w:sz w:val="24"/>
      <w:lang w:val="en-US" w:eastAsia="zh-CN" w:bidi="ar-SA"/>
    </w:rPr>
  </w:style>
  <w:style w:type="character" w:customStyle="1" w:styleId="498">
    <w:name w:val="表格标题 Char Char Char Char"/>
    <w:qFormat/>
    <w:uiPriority w:val="0"/>
    <w:rPr>
      <w:rFonts w:eastAsia="黑体"/>
      <w:kern w:val="2"/>
      <w:sz w:val="24"/>
      <w:lang w:val="en-US" w:eastAsia="zh-CN"/>
    </w:rPr>
  </w:style>
  <w:style w:type="character" w:customStyle="1" w:styleId="499">
    <w:name w:val="二章正文 Char Char Char"/>
    <w:qFormat/>
    <w:uiPriority w:val="0"/>
    <w:rPr>
      <w:rFonts w:ascii="宋体" w:eastAsia="宋体"/>
      <w:kern w:val="2"/>
      <w:sz w:val="24"/>
      <w:lang w:val="en-US" w:eastAsia="zh-CN" w:bidi="ar-SA"/>
    </w:rPr>
  </w:style>
  <w:style w:type="character" w:customStyle="1" w:styleId="500">
    <w:name w:val="表文 Char Char Char"/>
    <w:qFormat/>
    <w:uiPriority w:val="0"/>
    <w:rPr>
      <w:rFonts w:eastAsia="宋体"/>
      <w:kern w:val="2"/>
      <w:sz w:val="21"/>
      <w:lang w:val="en-US" w:eastAsia="zh-CN"/>
    </w:rPr>
  </w:style>
  <w:style w:type="character" w:customStyle="1" w:styleId="501">
    <w:name w:val="正文缩进（自定义） Char Char Char Char"/>
    <w:qFormat/>
    <w:uiPriority w:val="0"/>
    <w:rPr>
      <w:rFonts w:ascii="Century Gothic" w:hAnsi="Century Gothic" w:eastAsia="宋体"/>
      <w:sz w:val="24"/>
      <w:lang w:val="en-US" w:eastAsia="zh-CN"/>
    </w:rPr>
  </w:style>
  <w:style w:type="character" w:customStyle="1" w:styleId="502">
    <w:name w:val="样式 标题 2 + 红色 Char"/>
    <w:qFormat/>
    <w:uiPriority w:val="0"/>
    <w:rPr>
      <w:rFonts w:ascii="Arial" w:hAnsi="Arial"/>
      <w:b/>
      <w:color w:val="FF0000"/>
      <w:spacing w:val="-8"/>
      <w:sz w:val="28"/>
    </w:rPr>
  </w:style>
  <w:style w:type="character" w:customStyle="1" w:styleId="503">
    <w:name w:val="报告书正文 Char Char Char Char Char Char"/>
    <w:qFormat/>
    <w:uiPriority w:val="0"/>
    <w:rPr>
      <w:color w:val="000000"/>
      <w:sz w:val="24"/>
    </w:rPr>
  </w:style>
  <w:style w:type="character" w:customStyle="1" w:styleId="504">
    <w:name w:val="【表中文字】 Char"/>
    <w:qFormat/>
    <w:uiPriority w:val="0"/>
    <w:rPr>
      <w:rFonts w:eastAsia="宋体"/>
      <w:kern w:val="2"/>
      <w:sz w:val="21"/>
    </w:rPr>
  </w:style>
  <w:style w:type="character" w:customStyle="1" w:styleId="505">
    <w:name w:val="表头1 Char"/>
    <w:qFormat/>
    <w:uiPriority w:val="0"/>
    <w:rPr>
      <w:sz w:val="21"/>
      <w:szCs w:val="28"/>
      <w:lang w:val="en-US" w:eastAsia="zh-CN"/>
    </w:rPr>
  </w:style>
  <w:style w:type="character" w:customStyle="1" w:styleId="506">
    <w:name w:val="表格Table"/>
    <w:qFormat/>
    <w:uiPriority w:val="0"/>
    <w:rPr>
      <w:color w:val="000000"/>
      <w:sz w:val="21"/>
    </w:rPr>
  </w:style>
  <w:style w:type="character" w:customStyle="1" w:styleId="507">
    <w:name w:val="Bt1.1.1 Char Char"/>
    <w:link w:val="508"/>
    <w:qFormat/>
    <w:uiPriority w:val="0"/>
    <w:rPr>
      <w:rFonts w:eastAsia="楷体_GB2312"/>
      <w:b/>
      <w:bCs/>
      <w:snapToGrid w:val="0"/>
      <w:color w:val="000000"/>
      <w:sz w:val="32"/>
      <w:szCs w:val="24"/>
    </w:rPr>
  </w:style>
  <w:style w:type="paragraph" w:customStyle="1" w:styleId="508">
    <w:name w:val="Bt1.1.1"/>
    <w:basedOn w:val="1"/>
    <w:next w:val="1"/>
    <w:link w:val="507"/>
    <w:qFormat/>
    <w:uiPriority w:val="0"/>
    <w:pPr>
      <w:keepNext/>
      <w:keepLines/>
      <w:jc w:val="left"/>
      <w:outlineLvl w:val="2"/>
    </w:pPr>
    <w:rPr>
      <w:rFonts w:eastAsia="楷体_GB2312"/>
      <w:b/>
      <w:bCs/>
      <w:snapToGrid w:val="0"/>
      <w:color w:val="000000"/>
      <w:sz w:val="32"/>
      <w:szCs w:val="24"/>
    </w:rPr>
  </w:style>
  <w:style w:type="character" w:customStyle="1" w:styleId="509">
    <w:name w:val="正文文本缩进 2 Char1"/>
    <w:qFormat/>
    <w:uiPriority w:val="0"/>
    <w:rPr>
      <w:rFonts w:ascii="Calibri" w:hAnsi="Calibri" w:eastAsia="宋体" w:cs="Times New Roman"/>
      <w:sz w:val="24"/>
    </w:rPr>
  </w:style>
  <w:style w:type="character" w:customStyle="1" w:styleId="510">
    <w:name w:val="批注文字 Char1"/>
    <w:qFormat/>
    <w:uiPriority w:val="0"/>
    <w:rPr>
      <w:rFonts w:ascii="Calibri" w:hAnsi="Calibri" w:eastAsia="宋体" w:cs="Times New Roman"/>
      <w:sz w:val="24"/>
    </w:rPr>
  </w:style>
  <w:style w:type="character" w:customStyle="1" w:styleId="511">
    <w:name w:val="签名 Char1"/>
    <w:qFormat/>
    <w:uiPriority w:val="0"/>
    <w:rPr>
      <w:rFonts w:ascii="Calibri" w:hAnsi="Calibri" w:eastAsia="宋体" w:cs="Times New Roman"/>
      <w:sz w:val="24"/>
    </w:rPr>
  </w:style>
  <w:style w:type="character" w:customStyle="1" w:styleId="512">
    <w:name w:val="纯文本 Char1"/>
    <w:link w:val="513"/>
    <w:qFormat/>
    <w:uiPriority w:val="0"/>
    <w:rPr>
      <w:rFonts w:ascii="宋体" w:hAnsi="Courier New" w:cs="Courier New"/>
      <w:szCs w:val="21"/>
    </w:rPr>
  </w:style>
  <w:style w:type="paragraph" w:customStyle="1" w:styleId="513">
    <w:name w:val="纯文本2"/>
    <w:basedOn w:val="1"/>
    <w:link w:val="512"/>
    <w:qFormat/>
    <w:uiPriority w:val="0"/>
    <w:pPr>
      <w:jc w:val="left"/>
    </w:pPr>
    <w:rPr>
      <w:rFonts w:ascii="宋体" w:hAnsi="Courier New" w:cs="Courier New"/>
    </w:rPr>
  </w:style>
  <w:style w:type="character" w:customStyle="1" w:styleId="514">
    <w:name w:val="正文文本 3 Char1"/>
    <w:qFormat/>
    <w:uiPriority w:val="0"/>
    <w:rPr>
      <w:rFonts w:eastAsia="楷体_GB2312"/>
      <w:sz w:val="16"/>
      <w:szCs w:val="16"/>
    </w:rPr>
  </w:style>
  <w:style w:type="character" w:customStyle="1" w:styleId="515">
    <w:name w:val="正文首行缩进 Char2"/>
    <w:qFormat/>
    <w:uiPriority w:val="0"/>
    <w:rPr>
      <w:rFonts w:ascii="Calibri" w:hAnsi="Calibri" w:eastAsia="宋体" w:cs="Times New Roman"/>
      <w:sz w:val="24"/>
      <w:szCs w:val="24"/>
    </w:rPr>
  </w:style>
  <w:style w:type="character" w:customStyle="1" w:styleId="516">
    <w:name w:val="正文文本 3 Char2"/>
    <w:qFormat/>
    <w:uiPriority w:val="0"/>
    <w:rPr>
      <w:rFonts w:ascii="Calibri" w:hAnsi="Calibri" w:eastAsia="宋体" w:cs="Times New Roman"/>
      <w:sz w:val="16"/>
      <w:szCs w:val="16"/>
    </w:rPr>
  </w:style>
  <w:style w:type="character" w:customStyle="1" w:styleId="517">
    <w:name w:val="正文首行缩进 2 Char1"/>
    <w:qFormat/>
    <w:uiPriority w:val="0"/>
    <w:rPr>
      <w:rFonts w:ascii="Calibri" w:hAnsi="Calibri" w:eastAsia="宋体" w:cs="Times New Roman"/>
      <w:sz w:val="24"/>
    </w:rPr>
  </w:style>
  <w:style w:type="character" w:customStyle="1" w:styleId="518">
    <w:name w:val="页眉 Char1"/>
    <w:qFormat/>
    <w:uiPriority w:val="0"/>
    <w:rPr>
      <w:rFonts w:ascii="Calibri" w:hAnsi="Calibri" w:eastAsia="宋体" w:cs="Times New Roman"/>
      <w:sz w:val="18"/>
      <w:szCs w:val="18"/>
    </w:rPr>
  </w:style>
  <w:style w:type="character" w:customStyle="1" w:styleId="519">
    <w:name w:val="页脚 Char1"/>
    <w:qFormat/>
    <w:uiPriority w:val="0"/>
    <w:rPr>
      <w:rFonts w:ascii="Calibri" w:hAnsi="Calibri" w:eastAsia="宋体" w:cs="Times New Roman"/>
      <w:sz w:val="18"/>
      <w:szCs w:val="18"/>
    </w:rPr>
  </w:style>
  <w:style w:type="character" w:customStyle="1" w:styleId="520">
    <w:name w:val="正文文本 Char2"/>
    <w:qFormat/>
    <w:uiPriority w:val="0"/>
    <w:rPr>
      <w:kern w:val="2"/>
      <w:sz w:val="21"/>
      <w:szCs w:val="22"/>
    </w:rPr>
  </w:style>
  <w:style w:type="character" w:customStyle="1" w:styleId="521">
    <w:name w:val="正文文本缩进 Char3"/>
    <w:qFormat/>
    <w:uiPriority w:val="0"/>
    <w:rPr>
      <w:kern w:val="2"/>
      <w:sz w:val="21"/>
      <w:szCs w:val="22"/>
    </w:rPr>
  </w:style>
  <w:style w:type="character" w:customStyle="1" w:styleId="522">
    <w:name w:val="页眉 Char2"/>
    <w:qFormat/>
    <w:uiPriority w:val="0"/>
    <w:rPr>
      <w:kern w:val="2"/>
      <w:sz w:val="18"/>
      <w:szCs w:val="18"/>
    </w:rPr>
  </w:style>
  <w:style w:type="character" w:customStyle="1" w:styleId="523">
    <w:name w:val="文档结构图 Char1"/>
    <w:qFormat/>
    <w:uiPriority w:val="0"/>
    <w:rPr>
      <w:rFonts w:ascii="宋体"/>
      <w:kern w:val="2"/>
      <w:sz w:val="18"/>
      <w:szCs w:val="18"/>
    </w:rPr>
  </w:style>
  <w:style w:type="character" w:customStyle="1" w:styleId="524">
    <w:name w:val="正文文本缩进 2 Char2"/>
    <w:qFormat/>
    <w:uiPriority w:val="0"/>
    <w:rPr>
      <w:kern w:val="2"/>
      <w:sz w:val="21"/>
      <w:szCs w:val="22"/>
    </w:rPr>
  </w:style>
  <w:style w:type="character" w:customStyle="1" w:styleId="525">
    <w:name w:val="批注文字 Char2"/>
    <w:qFormat/>
    <w:uiPriority w:val="0"/>
    <w:rPr>
      <w:kern w:val="2"/>
      <w:sz w:val="21"/>
      <w:szCs w:val="22"/>
    </w:rPr>
  </w:style>
  <w:style w:type="character" w:customStyle="1" w:styleId="526">
    <w:name w:val="批注主题 Char1"/>
    <w:qFormat/>
    <w:uiPriority w:val="0"/>
    <w:rPr>
      <w:b/>
      <w:bCs/>
      <w:kern w:val="2"/>
      <w:sz w:val="21"/>
      <w:szCs w:val="22"/>
    </w:rPr>
  </w:style>
  <w:style w:type="character" w:customStyle="1" w:styleId="527">
    <w:name w:val="批注框文本 Char1"/>
    <w:qFormat/>
    <w:uiPriority w:val="0"/>
    <w:rPr>
      <w:kern w:val="2"/>
      <w:sz w:val="18"/>
      <w:szCs w:val="18"/>
    </w:rPr>
  </w:style>
  <w:style w:type="character" w:customStyle="1" w:styleId="528">
    <w:name w:val="表头1 Char Char Char"/>
    <w:qFormat/>
    <w:uiPriority w:val="0"/>
    <w:rPr>
      <w:sz w:val="21"/>
      <w:szCs w:val="28"/>
      <w:lang w:val="en-US" w:eastAsia="zh-CN"/>
    </w:rPr>
  </w:style>
  <w:style w:type="character" w:customStyle="1" w:styleId="529">
    <w:name w:val="正文文字 Char Char"/>
    <w:qFormat/>
    <w:uiPriority w:val="0"/>
    <w:rPr>
      <w:rFonts w:ascii="Calibri" w:hAnsi="Calibri"/>
      <w:kern w:val="2"/>
      <w:sz w:val="21"/>
      <w:szCs w:val="22"/>
      <w:lang w:val="en-US" w:eastAsia="zh-CN" w:bidi="ar-SA"/>
    </w:rPr>
  </w:style>
  <w:style w:type="character" w:customStyle="1" w:styleId="530">
    <w:name w:val="报告书正文 Char Char Char Char Char Char Char Char Char Char"/>
    <w:qFormat/>
    <w:uiPriority w:val="0"/>
    <w:rPr>
      <w:rFonts w:ascii="宋体" w:eastAsia="宋体"/>
      <w:kern w:val="2"/>
      <w:sz w:val="24"/>
      <w:lang w:val="en-US" w:eastAsia="zh-CN" w:bidi="ar-SA"/>
    </w:rPr>
  </w:style>
  <w:style w:type="character" w:customStyle="1" w:styleId="531">
    <w:name w:val="正文(首行缩进) Char Char Char"/>
    <w:qFormat/>
    <w:uiPriority w:val="0"/>
    <w:rPr>
      <w:snapToGrid w:val="0"/>
      <w:sz w:val="24"/>
      <w:szCs w:val="24"/>
    </w:rPr>
  </w:style>
  <w:style w:type="character" w:customStyle="1" w:styleId="532">
    <w:name w:val="报告书正文 Char Char Char Char Char Char Char Char Char Char Char"/>
    <w:qFormat/>
    <w:uiPriority w:val="0"/>
    <w:rPr>
      <w:rFonts w:eastAsia="宋体"/>
      <w:color w:val="000000"/>
      <w:kern w:val="2"/>
      <w:sz w:val="24"/>
      <w:szCs w:val="24"/>
      <w:lang w:val="en-US" w:eastAsia="zh-CN" w:bidi="ar-SA"/>
    </w:rPr>
  </w:style>
  <w:style w:type="character" w:customStyle="1" w:styleId="533">
    <w:name w:val="Char Char Char Char Char Char Char Char Char Char Char Char1"/>
    <w:qFormat/>
    <w:uiPriority w:val="0"/>
    <w:rPr>
      <w:rFonts w:ascii="宋体" w:hAnsi="宋体" w:eastAsia="宋体" w:cs="宋体"/>
      <w:kern w:val="2"/>
      <w:sz w:val="24"/>
      <w:szCs w:val="28"/>
      <w:lang w:val="en-US" w:eastAsia="zh-CN" w:bidi="ar-SA"/>
    </w:rPr>
  </w:style>
  <w:style w:type="character" w:customStyle="1" w:styleId="534">
    <w:name w:val="表文 Char Char Char Char Char"/>
    <w:qFormat/>
    <w:uiPriority w:val="0"/>
    <w:rPr>
      <w:rFonts w:eastAsia="宋体"/>
      <w:kern w:val="2"/>
      <w:sz w:val="21"/>
      <w:lang w:val="en-US" w:eastAsia="zh-CN"/>
    </w:rPr>
  </w:style>
  <w:style w:type="character" w:customStyle="1" w:styleId="535">
    <w:name w:val="图名 Char Char"/>
    <w:qFormat/>
    <w:uiPriority w:val="0"/>
    <w:rPr>
      <w:rFonts w:eastAsia="黑体"/>
      <w:b/>
      <w:kern w:val="2"/>
      <w:sz w:val="21"/>
      <w:szCs w:val="24"/>
      <w:lang w:val="en-US" w:eastAsia="zh-CN" w:bidi="ar-SA"/>
    </w:rPr>
  </w:style>
  <w:style w:type="character" w:customStyle="1" w:styleId="536">
    <w:name w:val="文本正文专用 Char Char Char"/>
    <w:qFormat/>
    <w:uiPriority w:val="0"/>
    <w:rPr>
      <w:rFonts w:eastAsia="宋体" w:cs="宋体"/>
      <w:kern w:val="2"/>
      <w:sz w:val="24"/>
      <w:szCs w:val="24"/>
      <w:lang w:val="en-US" w:eastAsia="zh-CN" w:bidi="ar-SA"/>
    </w:rPr>
  </w:style>
  <w:style w:type="character" w:customStyle="1" w:styleId="537">
    <w:name w:val="报告 Char Char Char"/>
    <w:qFormat/>
    <w:uiPriority w:val="0"/>
    <w:rPr>
      <w:rFonts w:ascii="TimesNewRoman" w:hAnsi="TimesNewRoman"/>
      <w:sz w:val="24"/>
    </w:rPr>
  </w:style>
  <w:style w:type="character" w:customStyle="1" w:styleId="538">
    <w:name w:val="【表中文字】 Char Char Char"/>
    <w:qFormat/>
    <w:uiPriority w:val="0"/>
    <w:rPr>
      <w:rFonts w:eastAsia="宋体"/>
      <w:kern w:val="2"/>
      <w:sz w:val="21"/>
    </w:rPr>
  </w:style>
  <w:style w:type="character" w:customStyle="1" w:styleId="539">
    <w:name w:val="样式 (中文) 宋体 小四"/>
    <w:qFormat/>
    <w:uiPriority w:val="0"/>
    <w:rPr>
      <w:rFonts w:eastAsia="宋体"/>
      <w:bCs/>
      <w:sz w:val="24"/>
    </w:rPr>
  </w:style>
  <w:style w:type="character" w:customStyle="1" w:styleId="540">
    <w:name w:val="纯文本[858D7CFB-ED40-4347-BF05-701D383B685F]2"/>
    <w:qFormat/>
    <w:uiPriority w:val="0"/>
    <w:rPr>
      <w:rFonts w:ascii="宋体" w:hAnsi="宋体"/>
      <w:sz w:val="24"/>
    </w:rPr>
  </w:style>
  <w:style w:type="character" w:customStyle="1" w:styleId="541">
    <w:name w:val="ENFI正文 Char Char"/>
    <w:link w:val="542"/>
    <w:qFormat/>
    <w:uiPriority w:val="0"/>
    <w:rPr>
      <w:rFonts w:ascii="Calibri" w:hAnsi="Calibri" w:eastAsia="仿宋_GB2312"/>
      <w:snapToGrid w:val="0"/>
      <w:color w:val="000000"/>
      <w:sz w:val="28"/>
    </w:rPr>
  </w:style>
  <w:style w:type="paragraph" w:customStyle="1" w:styleId="542">
    <w:name w:val="ENFI正文"/>
    <w:basedOn w:val="1"/>
    <w:link w:val="541"/>
    <w:qFormat/>
    <w:uiPriority w:val="0"/>
    <w:pPr>
      <w:adjustRightInd w:val="0"/>
      <w:snapToGrid w:val="0"/>
      <w:spacing w:line="500" w:lineRule="exact"/>
      <w:ind w:firstLine="567"/>
    </w:pPr>
    <w:rPr>
      <w:rFonts w:ascii="Calibri" w:hAnsi="Calibri" w:eastAsia="仿宋_GB2312"/>
      <w:snapToGrid w:val="0"/>
      <w:color w:val="000000"/>
      <w:sz w:val="28"/>
    </w:rPr>
  </w:style>
  <w:style w:type="character" w:customStyle="1" w:styleId="543">
    <w:name w:val="ENFI图表标题 Char"/>
    <w:link w:val="544"/>
    <w:qFormat/>
    <w:uiPriority w:val="0"/>
    <w:rPr>
      <w:rFonts w:ascii="Calibri" w:hAnsi="Calibri" w:eastAsia="仿宋_GB2312"/>
      <w:b/>
      <w:sz w:val="28"/>
    </w:rPr>
  </w:style>
  <w:style w:type="paragraph" w:customStyle="1" w:styleId="544">
    <w:name w:val="ENFI图表标题"/>
    <w:basedOn w:val="1"/>
    <w:link w:val="543"/>
    <w:qFormat/>
    <w:uiPriority w:val="0"/>
    <w:pPr>
      <w:widowControl/>
      <w:adjustRightInd w:val="0"/>
      <w:snapToGrid w:val="0"/>
      <w:spacing w:before="120" w:line="240" w:lineRule="atLeast"/>
      <w:jc w:val="center"/>
    </w:pPr>
    <w:rPr>
      <w:rFonts w:ascii="Calibri" w:hAnsi="Calibri" w:eastAsia="仿宋_GB2312"/>
      <w:b/>
      <w:sz w:val="28"/>
    </w:rPr>
  </w:style>
  <w:style w:type="character" w:customStyle="1" w:styleId="545">
    <w:name w:val="doc_title1"/>
    <w:qFormat/>
    <w:uiPriority w:val="0"/>
    <w:rPr>
      <w:color w:val="333333"/>
      <w:sz w:val="30"/>
      <w:szCs w:val="30"/>
    </w:rPr>
  </w:style>
  <w:style w:type="character" w:customStyle="1" w:styleId="546">
    <w:name w:val="lemmatitleh1"/>
    <w:basedOn w:val="94"/>
    <w:qFormat/>
    <w:uiPriority w:val="0"/>
    <w:rPr>
      <w:rFonts w:eastAsia="宋体"/>
      <w:kern w:val="2"/>
      <w:sz w:val="24"/>
      <w:szCs w:val="24"/>
      <w:lang w:val="en-US" w:eastAsia="zh-CN" w:bidi="ar-SA"/>
    </w:rPr>
  </w:style>
  <w:style w:type="character" w:customStyle="1" w:styleId="547">
    <w:name w:val="font31"/>
    <w:qFormat/>
    <w:uiPriority w:val="0"/>
    <w:rPr>
      <w:rFonts w:hint="default" w:ascii="Times New Roman" w:hAnsi="Times New Roman" w:eastAsia="宋体" w:cs="Times New Roman"/>
      <w:color w:val="000000"/>
      <w:kern w:val="2"/>
      <w:sz w:val="21"/>
      <w:szCs w:val="21"/>
      <w:lang w:val="en-US" w:eastAsia="zh-CN" w:bidi="ar-SA"/>
    </w:rPr>
  </w:style>
  <w:style w:type="character" w:customStyle="1" w:styleId="548">
    <w:name w:val="纯文本[858D7CFB-ED40-4347-BF05-701D383B685F]3"/>
    <w:qFormat/>
    <w:uiPriority w:val="0"/>
    <w:rPr>
      <w:rFonts w:ascii="宋体" w:hAnsi="宋体"/>
      <w:sz w:val="24"/>
    </w:rPr>
  </w:style>
  <w:style w:type="paragraph" w:customStyle="1" w:styleId="549">
    <w:name w:val="xl36"/>
    <w:basedOn w:val="1"/>
    <w:qFormat/>
    <w:uiPriority w:val="0"/>
    <w:pPr>
      <w:widowControl/>
      <w:pBdr>
        <w:right w:val="single" w:color="auto" w:sz="4"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550">
    <w:name w:val="正文(a)"/>
    <w:basedOn w:val="1"/>
    <w:qFormat/>
    <w:uiPriority w:val="0"/>
    <w:pPr>
      <w:widowControl/>
      <w:tabs>
        <w:tab w:val="left" w:pos="1230"/>
      </w:tabs>
      <w:adjustRightInd w:val="0"/>
      <w:snapToGrid w:val="0"/>
      <w:spacing w:line="480" w:lineRule="exact"/>
      <w:ind w:left="56" w:firstLine="454"/>
      <w:textAlignment w:val="baseline"/>
    </w:pPr>
    <w:rPr>
      <w:rFonts w:ascii="宋体" w:hAnsi="Times New Roman" w:eastAsia="宋体" w:cs="Times New Roman"/>
      <w:snapToGrid w:val="0"/>
      <w:color w:val="000000"/>
      <w:spacing w:val="20"/>
      <w:kern w:val="24"/>
      <w:sz w:val="24"/>
      <w:szCs w:val="20"/>
      <w:u w:color="000000"/>
    </w:rPr>
  </w:style>
  <w:style w:type="paragraph" w:customStyle="1" w:styleId="551">
    <w:name w:val="样式"/>
    <w:basedOn w:val="1"/>
    <w:next w:val="4"/>
    <w:qFormat/>
    <w:uiPriority w:val="0"/>
    <w:pPr>
      <w:ind w:firstLine="200" w:firstLineChars="200"/>
    </w:pPr>
    <w:rPr>
      <w:rFonts w:ascii="Times New Roman" w:hAnsi="Times New Roman" w:eastAsia="宋体" w:cs="Times New Roman"/>
      <w:sz w:val="24"/>
      <w:szCs w:val="24"/>
    </w:rPr>
  </w:style>
  <w:style w:type="paragraph" w:customStyle="1" w:styleId="552">
    <w:name w:val="样式 标题 4 + 段前: 0.5 行 段后: 0.5 行2"/>
    <w:basedOn w:val="9"/>
    <w:qFormat/>
    <w:uiPriority w:val="0"/>
    <w:pPr>
      <w:numPr>
        <w:ilvl w:val="0"/>
        <w:numId w:val="0"/>
      </w:numPr>
      <w:spacing w:before="0" w:after="0" w:line="440" w:lineRule="exact"/>
      <w:jc w:val="both"/>
    </w:pPr>
    <w:rPr>
      <w:rFonts w:eastAsia="宋体" w:cs="宋体"/>
      <w:szCs w:val="20"/>
    </w:rPr>
  </w:style>
  <w:style w:type="paragraph" w:customStyle="1" w:styleId="553">
    <w:name w:val="成简1"/>
    <w:basedOn w:val="1"/>
    <w:qFormat/>
    <w:uiPriority w:val="0"/>
    <w:pPr>
      <w:spacing w:line="480" w:lineRule="auto"/>
      <w:outlineLvl w:val="0"/>
    </w:pPr>
    <w:rPr>
      <w:rFonts w:ascii="黑体" w:hAnsi="Times New Roman" w:eastAsia="黑体" w:cs="Times New Roman"/>
      <w:sz w:val="30"/>
      <w:szCs w:val="20"/>
    </w:rPr>
  </w:style>
  <w:style w:type="paragraph" w:customStyle="1" w:styleId="554">
    <w:name w:val="xl48"/>
    <w:basedOn w:val="1"/>
    <w:qFormat/>
    <w:uiPriority w:val="0"/>
    <w:pPr>
      <w:widowControl/>
      <w:spacing w:before="100" w:beforeAutospacing="1" w:after="100" w:afterAutospacing="1" w:line="240" w:lineRule="auto"/>
      <w:jc w:val="center"/>
    </w:pPr>
    <w:rPr>
      <w:rFonts w:ascii="Times New Roman" w:hAnsi="Times New Roman" w:eastAsia="Arial Unicode MS" w:cs="Times New Roman"/>
      <w:kern w:val="0"/>
      <w:sz w:val="15"/>
      <w:szCs w:val="15"/>
    </w:rPr>
  </w:style>
  <w:style w:type="paragraph" w:customStyle="1" w:styleId="555">
    <w:name w:val="Char Char Char Char Char Char Char Char Char Char Char Char Char Char Char Char Char Char Char Char Char Char"/>
    <w:basedOn w:val="1"/>
    <w:qFormat/>
    <w:uiPriority w:val="0"/>
    <w:pPr>
      <w:spacing w:beforeLines="50" w:afterLines="50"/>
    </w:pPr>
    <w:rPr>
      <w:rFonts w:ascii="宋体" w:hAnsi="宋体" w:eastAsia="宋体" w:cs="宋体"/>
      <w:b/>
      <w:sz w:val="24"/>
      <w:szCs w:val="24"/>
    </w:rPr>
  </w:style>
  <w:style w:type="paragraph" w:customStyle="1" w:styleId="556">
    <w:name w:val="haydonli"/>
    <w:basedOn w:val="1"/>
    <w:qFormat/>
    <w:uiPriority w:val="0"/>
    <w:pPr>
      <w:snapToGrid w:val="0"/>
      <w:ind w:firstLine="200" w:firstLineChars="200"/>
    </w:pPr>
    <w:rPr>
      <w:rFonts w:ascii="Times New Roman" w:hAnsi="Times New Roman" w:eastAsia="宋体" w:cs="Times New Roman"/>
      <w:sz w:val="24"/>
      <w:szCs w:val="24"/>
    </w:rPr>
  </w:style>
  <w:style w:type="paragraph" w:customStyle="1" w:styleId="557">
    <w:name w:val="Bt1.1"/>
    <w:basedOn w:val="7"/>
    <w:next w:val="1"/>
    <w:link w:val="558"/>
    <w:qFormat/>
    <w:uiPriority w:val="0"/>
    <w:pPr>
      <w:numPr>
        <w:ilvl w:val="0"/>
        <w:numId w:val="0"/>
      </w:numPr>
      <w:adjustRightInd w:val="0"/>
      <w:spacing w:before="0" w:after="0" w:line="360" w:lineRule="auto"/>
    </w:pPr>
    <w:rPr>
      <w:rFonts w:ascii="Arial" w:hAnsi="Arial" w:eastAsia="黑体" w:cs="Times New Roman"/>
      <w:bCs w:val="0"/>
      <w:snapToGrid w:val="0"/>
      <w:szCs w:val="20"/>
    </w:rPr>
  </w:style>
  <w:style w:type="character" w:customStyle="1" w:styleId="558">
    <w:name w:val="Bt1.1 Char"/>
    <w:link w:val="557"/>
    <w:qFormat/>
    <w:uiPriority w:val="0"/>
    <w:rPr>
      <w:rFonts w:ascii="Arial" w:hAnsi="Arial" w:eastAsia="黑体" w:cs="Times New Roman"/>
      <w:b/>
      <w:snapToGrid w:val="0"/>
      <w:sz w:val="28"/>
      <w:szCs w:val="20"/>
    </w:rPr>
  </w:style>
  <w:style w:type="paragraph" w:customStyle="1" w:styleId="559">
    <w:name w:val="Char4 Char Char Char Char Char Char1"/>
    <w:basedOn w:val="1"/>
    <w:qFormat/>
    <w:uiPriority w:val="0"/>
    <w:pPr>
      <w:ind w:firstLine="200" w:firstLineChars="200"/>
    </w:pPr>
    <w:rPr>
      <w:rFonts w:ascii="宋体" w:hAnsi="宋体" w:eastAsia="宋体" w:cs="宋体"/>
      <w:sz w:val="24"/>
      <w:szCs w:val="24"/>
    </w:rPr>
  </w:style>
  <w:style w:type="paragraph" w:customStyle="1" w:styleId="560">
    <w:name w:val="xl57"/>
    <w:basedOn w:val="1"/>
    <w:qFormat/>
    <w:uiPriority w:val="0"/>
    <w:pPr>
      <w:widowControl/>
      <w:pBdr>
        <w:top w:val="single" w:color="auto" w:sz="8" w:space="0"/>
        <w:bottom w:val="single" w:color="auto" w:sz="4" w:space="0"/>
        <w:right w:val="single" w:color="auto" w:sz="4"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561">
    <w:name w:val="目录标题"/>
    <w:basedOn w:val="1"/>
    <w:next w:val="1"/>
    <w:qFormat/>
    <w:uiPriority w:val="0"/>
    <w:pPr>
      <w:widowControl/>
      <w:adjustRightInd w:val="0"/>
      <w:snapToGrid w:val="0"/>
      <w:spacing w:before="215" w:after="419" w:line="436" w:lineRule="atLeast"/>
      <w:ind w:firstLine="419" w:firstLineChars="200"/>
      <w:jc w:val="center"/>
      <w:textAlignment w:val="baseline"/>
    </w:pPr>
    <w:rPr>
      <w:rFonts w:ascii="Arial" w:hAnsi="Times New Roman" w:eastAsia="黑体" w:cs="Times New Roman"/>
      <w:snapToGrid w:val="0"/>
      <w:color w:val="000000"/>
      <w:spacing w:val="283"/>
      <w:kern w:val="0"/>
      <w:sz w:val="42"/>
      <w:szCs w:val="24"/>
      <w:u w:color="000000"/>
    </w:rPr>
  </w:style>
  <w:style w:type="paragraph" w:customStyle="1" w:styleId="562">
    <w:name w:val="样式 小四 行距: 1.5 倍行距"/>
    <w:basedOn w:val="1"/>
    <w:qFormat/>
    <w:uiPriority w:val="0"/>
    <w:pPr>
      <w:ind w:firstLine="200" w:firstLineChars="200"/>
    </w:pPr>
    <w:rPr>
      <w:rFonts w:ascii="Times New Roman" w:hAnsi="Times New Roman" w:eastAsia="宋体" w:cs="Times New Roman"/>
      <w:sz w:val="24"/>
      <w:szCs w:val="20"/>
    </w:rPr>
  </w:style>
  <w:style w:type="paragraph" w:customStyle="1" w:styleId="563">
    <w:name w:val="普通 (Web)"/>
    <w:basedOn w:val="1"/>
    <w:qFormat/>
    <w:uiPriority w:val="0"/>
    <w:pPr>
      <w:widowControl/>
      <w:spacing w:before="100" w:after="100" w:line="360" w:lineRule="atLeast"/>
      <w:jc w:val="left"/>
    </w:pPr>
    <w:rPr>
      <w:rFonts w:ascii="宋体" w:hAnsi="宋体" w:eastAsia="宋体" w:cs="Times New Roman"/>
      <w:kern w:val="0"/>
      <w:sz w:val="18"/>
      <w:szCs w:val="20"/>
    </w:rPr>
  </w:style>
  <w:style w:type="paragraph" w:customStyle="1" w:styleId="564">
    <w:name w:val="目录3"/>
    <w:basedOn w:val="1"/>
    <w:next w:val="1"/>
    <w:qFormat/>
    <w:uiPriority w:val="0"/>
    <w:pPr>
      <w:widowControl/>
      <w:tabs>
        <w:tab w:val="left" w:leader="dot" w:pos="8503"/>
      </w:tabs>
      <w:adjustRightInd w:val="0"/>
      <w:snapToGrid w:val="0"/>
      <w:spacing w:line="317" w:lineRule="atLeast"/>
      <w:ind w:left="419" w:firstLine="419" w:firstLineChars="200"/>
      <w:textAlignment w:val="baseline"/>
    </w:pPr>
    <w:rPr>
      <w:rFonts w:ascii="Times New Roman" w:hAnsi="Times New Roman" w:eastAsia="宋体" w:cs="Times New Roman"/>
      <w:snapToGrid w:val="0"/>
      <w:color w:val="000000"/>
      <w:kern w:val="0"/>
      <w:sz w:val="24"/>
      <w:szCs w:val="24"/>
      <w:u w:color="000000"/>
    </w:rPr>
  </w:style>
  <w:style w:type="paragraph" w:customStyle="1" w:styleId="565">
    <w:name w:val="样式 表名 + Times New Roman 段前: 0.5 行 段后: 0.5 行1"/>
    <w:basedOn w:val="465"/>
    <w:qFormat/>
    <w:uiPriority w:val="0"/>
    <w:pPr>
      <w:overflowPunct w:val="0"/>
      <w:topLinePunct/>
      <w:spacing w:beforeLines="50"/>
      <w:outlineLvl w:val="4"/>
    </w:pPr>
    <w:rPr>
      <w:rFonts w:ascii="Times New Roman" w:eastAsia="宋体" w:cs="宋体"/>
      <w:b/>
      <w:bCs/>
    </w:rPr>
  </w:style>
  <w:style w:type="paragraph" w:customStyle="1" w:styleId="566">
    <w:name w:val="图表名称"/>
    <w:basedOn w:val="1"/>
    <w:qFormat/>
    <w:uiPriority w:val="0"/>
    <w:pPr>
      <w:spacing w:line="440" w:lineRule="exact"/>
      <w:jc w:val="center"/>
    </w:pPr>
    <w:rPr>
      <w:rFonts w:ascii="Times New Roman" w:hAnsi="Times New Roman" w:eastAsia="黑体" w:cs="Times New Roman"/>
      <w:szCs w:val="20"/>
    </w:rPr>
  </w:style>
  <w:style w:type="paragraph" w:customStyle="1" w:styleId="567">
    <w:name w:val="表题"/>
    <w:basedOn w:val="1"/>
    <w:qFormat/>
    <w:uiPriority w:val="0"/>
    <w:pPr>
      <w:tabs>
        <w:tab w:val="left" w:pos="720"/>
      </w:tabs>
      <w:adjustRightInd w:val="0"/>
      <w:snapToGrid w:val="0"/>
      <w:spacing w:line="280" w:lineRule="exact"/>
      <w:ind w:left="-105" w:leftChars="-50" w:right="-105" w:rightChars="-50"/>
      <w:jc w:val="center"/>
    </w:pPr>
    <w:rPr>
      <w:rFonts w:ascii="Times New Roman" w:hAnsi="Times New Roman" w:eastAsia="宋体" w:cs="Times New Roman"/>
      <w:color w:val="000000"/>
      <w:sz w:val="24"/>
      <w:szCs w:val="24"/>
    </w:rPr>
  </w:style>
  <w:style w:type="paragraph" w:customStyle="1" w:styleId="568">
    <w:name w:val="（1）"/>
    <w:basedOn w:val="1"/>
    <w:qFormat/>
    <w:uiPriority w:val="0"/>
    <w:pPr>
      <w:spacing w:beforeLines="50" w:afterLines="50" w:line="400" w:lineRule="exact"/>
      <w:ind w:firstLine="200" w:firstLineChars="200"/>
    </w:pPr>
    <w:rPr>
      <w:rFonts w:ascii="仿宋_GB2312" w:hAnsi="Times New Roman" w:eastAsia="楷体_GB2312" w:cs="Times New Roman"/>
      <w:b/>
      <w:sz w:val="28"/>
      <w:szCs w:val="20"/>
    </w:rPr>
  </w:style>
  <w:style w:type="paragraph" w:customStyle="1" w:styleId="569">
    <w:name w:val="目录1"/>
    <w:basedOn w:val="1"/>
    <w:next w:val="1"/>
    <w:qFormat/>
    <w:uiPriority w:val="0"/>
    <w:pPr>
      <w:widowControl/>
      <w:tabs>
        <w:tab w:val="left" w:leader="dot" w:pos="8503"/>
      </w:tabs>
      <w:adjustRightInd w:val="0"/>
      <w:snapToGrid w:val="0"/>
      <w:spacing w:after="102" w:line="215" w:lineRule="atLeast"/>
      <w:ind w:firstLine="419" w:firstLineChars="200"/>
      <w:jc w:val="left"/>
      <w:textAlignment w:val="baseline"/>
    </w:pPr>
    <w:rPr>
      <w:rFonts w:ascii="Times New Roman" w:hAnsi="Times New Roman" w:eastAsia="宋体" w:cs="Times New Roman"/>
      <w:snapToGrid w:val="0"/>
      <w:color w:val="000000"/>
      <w:kern w:val="0"/>
      <w:sz w:val="24"/>
      <w:szCs w:val="24"/>
      <w:u w:color="000000"/>
    </w:rPr>
  </w:style>
  <w:style w:type="paragraph" w:customStyle="1" w:styleId="570">
    <w:name w:val="样式17 Char Char"/>
    <w:basedOn w:val="1"/>
    <w:qFormat/>
    <w:uiPriority w:val="0"/>
    <w:pPr>
      <w:spacing w:line="240" w:lineRule="auto"/>
      <w:ind w:firstLine="480" w:firstLineChars="200"/>
    </w:pPr>
    <w:rPr>
      <w:rFonts w:ascii="Times New Roman" w:hAnsi="Times New Roman" w:eastAsia="华文中宋" w:cs="Times New Roman"/>
      <w:sz w:val="24"/>
      <w:szCs w:val="24"/>
    </w:rPr>
  </w:style>
  <w:style w:type="paragraph" w:customStyle="1" w:styleId="571">
    <w:name w:val="样式 首行缩进:  2 字符1"/>
    <w:basedOn w:val="1"/>
    <w:qFormat/>
    <w:uiPriority w:val="0"/>
    <w:pPr>
      <w:spacing w:line="440" w:lineRule="exact"/>
      <w:ind w:firstLine="480" w:firstLineChars="200"/>
    </w:pPr>
    <w:rPr>
      <w:rFonts w:ascii="Tahoma" w:hAnsi="Tahoma" w:eastAsia="宋体" w:cs="宋体"/>
      <w:sz w:val="24"/>
      <w:szCs w:val="24"/>
    </w:rPr>
  </w:style>
  <w:style w:type="paragraph" w:customStyle="1" w:styleId="572">
    <w:name w:val="图表头2"/>
    <w:basedOn w:val="573"/>
    <w:qFormat/>
    <w:uiPriority w:val="0"/>
    <w:pPr>
      <w:snapToGrid/>
      <w:spacing w:beforeLines="50" w:afterLines="0"/>
      <w:ind w:left="-50" w:leftChars="-50" w:right="20" w:rightChars="20" w:firstLine="0" w:firstLineChars="0"/>
      <w:jc w:val="both"/>
    </w:pPr>
    <w:rPr>
      <w:rFonts w:ascii="黑体" w:eastAsia="黑体"/>
      <w:bCs w:val="0"/>
      <w:spacing w:val="5"/>
      <w:kern w:val="2"/>
      <w:sz w:val="18"/>
      <w:szCs w:val="20"/>
    </w:rPr>
  </w:style>
  <w:style w:type="paragraph" w:customStyle="1" w:styleId="573">
    <w:name w:val="图表头"/>
    <w:basedOn w:val="1"/>
    <w:qFormat/>
    <w:uiPriority w:val="0"/>
    <w:pPr>
      <w:adjustRightInd w:val="0"/>
      <w:snapToGrid w:val="0"/>
      <w:spacing w:beforeLines="5" w:afterLines="5" w:line="240" w:lineRule="auto"/>
      <w:ind w:firstLine="964" w:firstLineChars="400"/>
      <w:jc w:val="center"/>
      <w:textAlignment w:val="baseline"/>
    </w:pPr>
    <w:rPr>
      <w:rFonts w:ascii="Times New Roman" w:hAnsi="Times New Roman" w:eastAsia="宋体" w:cs="Times New Roman"/>
      <w:b/>
      <w:bCs/>
      <w:kern w:val="0"/>
      <w:sz w:val="24"/>
    </w:rPr>
  </w:style>
  <w:style w:type="paragraph" w:customStyle="1" w:styleId="574">
    <w:name w:val="样式22"/>
    <w:basedOn w:val="1"/>
    <w:qFormat/>
    <w:uiPriority w:val="0"/>
    <w:pPr>
      <w:spacing w:line="480" w:lineRule="exact"/>
      <w:ind w:firstLine="200" w:firstLineChars="200"/>
    </w:pPr>
    <w:rPr>
      <w:rFonts w:ascii="Times New Roman" w:hAnsi="Times New Roman" w:eastAsia="宋体" w:cs="Times New Roman"/>
      <w:sz w:val="24"/>
      <w:szCs w:val="24"/>
    </w:rPr>
  </w:style>
  <w:style w:type="paragraph" w:customStyle="1" w:styleId="575">
    <w:name w:val="样式 正文（首行缩进两字） + 行距: 固定值 20 磅"/>
    <w:basedOn w:val="24"/>
    <w:qFormat/>
    <w:uiPriority w:val="0"/>
    <w:pPr>
      <w:spacing w:afterLines="20" w:line="400" w:lineRule="exact"/>
      <w:ind w:firstLine="480"/>
    </w:pPr>
    <w:rPr>
      <w:szCs w:val="20"/>
    </w:rPr>
  </w:style>
  <w:style w:type="paragraph" w:customStyle="1" w:styleId="576">
    <w:name w:val="样式 标题1 + (西文) Times New Roman (中文) 华文中宋 行距: 1.5 倍行距"/>
    <w:basedOn w:val="46"/>
    <w:qFormat/>
    <w:uiPriority w:val="0"/>
    <w:pPr>
      <w:overflowPunct w:val="0"/>
      <w:topLinePunct/>
      <w:ind w:firstLine="0" w:firstLineChars="0"/>
      <w:jc w:val="center"/>
      <w:outlineLvl w:val="0"/>
    </w:pPr>
    <w:rPr>
      <w:rFonts w:ascii="Times New Roman" w:hAnsi="Times New Roman" w:eastAsia="黑体" w:cs="宋体"/>
      <w:b/>
      <w:bCs/>
      <w:color w:val="000000"/>
      <w:sz w:val="32"/>
      <w:szCs w:val="32"/>
    </w:rPr>
  </w:style>
  <w:style w:type="paragraph" w:customStyle="1" w:styleId="577">
    <w:name w:val="二章表格标题"/>
    <w:basedOn w:val="1"/>
    <w:qFormat/>
    <w:uiPriority w:val="0"/>
    <w:pPr>
      <w:jc w:val="center"/>
    </w:pPr>
    <w:rPr>
      <w:rFonts w:ascii="Times New Roman" w:hAnsi="Times New Roman" w:eastAsia="黑体" w:cs="Times New Roman"/>
      <w:sz w:val="24"/>
      <w:szCs w:val="20"/>
    </w:rPr>
  </w:style>
  <w:style w:type="paragraph" w:customStyle="1" w:styleId="578">
    <w:name w:val="报告书正文 Char1"/>
    <w:basedOn w:val="1"/>
    <w:qFormat/>
    <w:uiPriority w:val="0"/>
    <w:pPr>
      <w:spacing w:line="300" w:lineRule="auto"/>
      <w:ind w:firstLine="200" w:firstLineChars="200"/>
    </w:pPr>
    <w:rPr>
      <w:rFonts w:ascii="Times New Roman" w:hAnsi="Times New Roman" w:eastAsia="宋体" w:cs="Times New Roman"/>
      <w:sz w:val="24"/>
      <w:szCs w:val="20"/>
    </w:rPr>
  </w:style>
  <w:style w:type="paragraph" w:customStyle="1" w:styleId="579">
    <w:name w:val="图表文字"/>
    <w:basedOn w:val="1"/>
    <w:next w:val="1"/>
    <w:qFormat/>
    <w:uiPriority w:val="0"/>
    <w:pPr>
      <w:adjustRightInd w:val="0"/>
      <w:snapToGrid w:val="0"/>
      <w:spacing w:line="240" w:lineRule="auto"/>
      <w:jc w:val="center"/>
    </w:pPr>
    <w:rPr>
      <w:rFonts w:ascii="Times New Roman" w:hAnsi="Times New Roman" w:eastAsia="仿宋_GB2312" w:cs="Times New Roman"/>
      <w:sz w:val="24"/>
      <w:szCs w:val="20"/>
    </w:rPr>
  </w:style>
  <w:style w:type="paragraph" w:customStyle="1" w:styleId="580">
    <w:name w:val="修订1"/>
    <w:qFormat/>
    <w:uiPriority w:val="0"/>
    <w:rPr>
      <w:rFonts w:ascii="Times New Roman" w:hAnsi="Times New Roman" w:eastAsia="宋体" w:cs="Times New Roman"/>
      <w:kern w:val="2"/>
      <w:sz w:val="24"/>
      <w:lang w:val="en-US" w:eastAsia="zh-CN" w:bidi="ar-SA"/>
    </w:rPr>
  </w:style>
  <w:style w:type="paragraph" w:customStyle="1" w:styleId="581">
    <w:name w:val="xl67"/>
    <w:basedOn w:val="1"/>
    <w:qFormat/>
    <w:uiPriority w:val="0"/>
    <w:pPr>
      <w:widowControl/>
      <w:pBdr>
        <w:bottom w:val="single" w:color="auto" w:sz="8" w:space="0"/>
        <w:right w:val="single" w:color="auto" w:sz="4" w:space="0"/>
      </w:pBdr>
      <w:spacing w:before="100" w:beforeAutospacing="1" w:after="100" w:afterAutospacing="1" w:line="240" w:lineRule="auto"/>
      <w:textAlignment w:val="top"/>
    </w:pPr>
    <w:rPr>
      <w:rFonts w:ascii="Arial Unicode MS" w:hAnsi="Arial Unicode MS" w:eastAsia="Arial Unicode MS" w:cs="Arial Unicode MS"/>
      <w:kern w:val="0"/>
      <w:sz w:val="18"/>
      <w:szCs w:val="18"/>
    </w:rPr>
  </w:style>
  <w:style w:type="paragraph" w:customStyle="1" w:styleId="582">
    <w:name w:val="正文文本 21"/>
    <w:basedOn w:val="1"/>
    <w:qFormat/>
    <w:uiPriority w:val="0"/>
    <w:pPr>
      <w:adjustRightInd w:val="0"/>
      <w:spacing w:line="240" w:lineRule="auto"/>
      <w:textAlignment w:val="baseline"/>
    </w:pPr>
    <w:rPr>
      <w:rFonts w:ascii="Times New Roman" w:hAnsi="Times New Roman" w:eastAsia="宋体" w:cs="Times New Roman"/>
      <w:kern w:val="0"/>
      <w:sz w:val="24"/>
      <w:szCs w:val="20"/>
    </w:rPr>
  </w:style>
  <w:style w:type="paragraph" w:customStyle="1" w:styleId="583">
    <w:name w:val="成简2"/>
    <w:basedOn w:val="1"/>
    <w:qFormat/>
    <w:uiPriority w:val="0"/>
    <w:pPr>
      <w:outlineLvl w:val="1"/>
    </w:pPr>
    <w:rPr>
      <w:rFonts w:ascii="黑体" w:hAnsi="Times New Roman" w:eastAsia="楷体_GB2312" w:cs="Times New Roman"/>
      <w:sz w:val="28"/>
      <w:szCs w:val="20"/>
    </w:rPr>
  </w:style>
  <w:style w:type="paragraph" w:customStyle="1" w:styleId="584">
    <w:name w:val="样式 Bt3 + 加粗2"/>
    <w:basedOn w:val="8"/>
    <w:next w:val="1"/>
    <w:qFormat/>
    <w:uiPriority w:val="0"/>
    <w:pPr>
      <w:numPr>
        <w:ilvl w:val="0"/>
        <w:numId w:val="0"/>
      </w:numPr>
      <w:spacing w:before="0" w:after="0" w:line="360" w:lineRule="auto"/>
    </w:pPr>
    <w:rPr>
      <w:rFonts w:eastAsia="黑体" w:cs="Times New Roman"/>
      <w:b w:val="0"/>
      <w:bCs w:val="0"/>
      <w:snapToGrid w:val="0"/>
      <w:kern w:val="0"/>
      <w:szCs w:val="20"/>
    </w:rPr>
  </w:style>
  <w:style w:type="paragraph" w:customStyle="1" w:styleId="585">
    <w:name w:val="!表格(alt+t)"/>
    <w:next w:val="1"/>
    <w:qFormat/>
    <w:uiPriority w:val="0"/>
    <w:pPr>
      <w:adjustRightInd w:val="0"/>
      <w:spacing w:line="320" w:lineRule="exact"/>
      <w:jc w:val="center"/>
      <w:textAlignment w:val="center"/>
    </w:pPr>
    <w:rPr>
      <w:rFonts w:ascii="Times New Roman" w:hAnsi="Times New Roman" w:eastAsia="宋体" w:cs="Times New Roman"/>
      <w:sz w:val="21"/>
      <w:szCs w:val="21"/>
      <w:lang w:val="en-US" w:eastAsia="zh-CN" w:bidi="ar-SA"/>
    </w:rPr>
  </w:style>
  <w:style w:type="paragraph" w:customStyle="1" w:styleId="586">
    <w:name w:val="设计说明3"/>
    <w:basedOn w:val="587"/>
    <w:next w:val="1"/>
    <w:qFormat/>
    <w:uiPriority w:val="0"/>
    <w:pPr>
      <w:tabs>
        <w:tab w:val="left" w:pos="360"/>
        <w:tab w:val="left" w:pos="425"/>
        <w:tab w:val="left" w:pos="630"/>
      </w:tabs>
      <w:spacing w:before="0" w:after="0"/>
      <w:ind w:left="425" w:hanging="425"/>
      <w:outlineLvl w:val="2"/>
    </w:pPr>
    <w:rPr>
      <w:b w:val="0"/>
    </w:rPr>
  </w:style>
  <w:style w:type="paragraph" w:customStyle="1" w:styleId="587">
    <w:name w:val="设计说明2"/>
    <w:basedOn w:val="1"/>
    <w:qFormat/>
    <w:uiPriority w:val="0"/>
    <w:pPr>
      <w:tabs>
        <w:tab w:val="left" w:pos="360"/>
        <w:tab w:val="left" w:pos="630"/>
      </w:tabs>
      <w:spacing w:before="120" w:after="120" w:line="400" w:lineRule="exact"/>
      <w:jc w:val="left"/>
      <w:outlineLvl w:val="1"/>
    </w:pPr>
    <w:rPr>
      <w:rFonts w:ascii="新宋体" w:hAnsi="新宋体" w:eastAsia="宋体" w:cs="Times New Roman"/>
      <w:b/>
      <w:sz w:val="28"/>
      <w:szCs w:val="20"/>
    </w:rPr>
  </w:style>
  <w:style w:type="paragraph" w:customStyle="1" w:styleId="588">
    <w:name w:val="11111"/>
    <w:basedOn w:val="1"/>
    <w:qFormat/>
    <w:uiPriority w:val="0"/>
    <w:pPr>
      <w:spacing w:line="240" w:lineRule="auto"/>
    </w:pPr>
    <w:rPr>
      <w:rFonts w:ascii="Times New Roman" w:hAnsi="Times New Roman" w:eastAsia="宋体" w:cs="Times New Roman"/>
      <w:szCs w:val="20"/>
    </w:rPr>
  </w:style>
  <w:style w:type="character" w:customStyle="1" w:styleId="589">
    <w:name w:val="标题 Char"/>
    <w:basedOn w:val="94"/>
    <w:qFormat/>
    <w:uiPriority w:val="0"/>
    <w:rPr>
      <w:rFonts w:eastAsia="宋体" w:asciiTheme="majorHAnsi" w:hAnsiTheme="majorHAnsi" w:cstheme="majorBidi"/>
      <w:b/>
      <w:bCs/>
      <w:sz w:val="32"/>
      <w:szCs w:val="32"/>
    </w:rPr>
  </w:style>
  <w:style w:type="paragraph" w:customStyle="1" w:styleId="590">
    <w:name w:val="font10"/>
    <w:basedOn w:val="1"/>
    <w:qFormat/>
    <w:uiPriority w:val="0"/>
    <w:pPr>
      <w:widowControl/>
      <w:spacing w:before="100" w:beforeAutospacing="1" w:after="100" w:afterAutospacing="1" w:line="240" w:lineRule="auto"/>
      <w:jc w:val="left"/>
    </w:pPr>
    <w:rPr>
      <w:rFonts w:ascii="Times New Roman" w:hAnsi="Times New Roman" w:eastAsia="Arial Unicode MS" w:cs="Times New Roman"/>
      <w:kern w:val="0"/>
      <w:sz w:val="18"/>
      <w:szCs w:val="18"/>
    </w:rPr>
  </w:style>
  <w:style w:type="paragraph" w:customStyle="1" w:styleId="591">
    <w:name w:val="9"/>
    <w:basedOn w:val="1"/>
    <w:next w:val="24"/>
    <w:qFormat/>
    <w:uiPriority w:val="0"/>
    <w:pPr>
      <w:ind w:firstLine="420" w:firstLineChars="200"/>
    </w:pPr>
    <w:rPr>
      <w:rFonts w:ascii="Times New Roman" w:hAnsi="Times New Roman" w:eastAsia="宋体" w:cs="Times New Roman"/>
      <w:sz w:val="24"/>
    </w:rPr>
  </w:style>
  <w:style w:type="paragraph" w:customStyle="1" w:styleId="592">
    <w:name w:val="修订11"/>
    <w:qFormat/>
    <w:uiPriority w:val="0"/>
    <w:rPr>
      <w:rFonts w:ascii="Times New Roman" w:hAnsi="Times New Roman" w:eastAsia="宋体" w:cs="Times New Roman"/>
      <w:kern w:val="2"/>
      <w:sz w:val="21"/>
      <w:lang w:val="en-US" w:eastAsia="zh-CN" w:bidi="ar-SA"/>
    </w:rPr>
  </w:style>
  <w:style w:type="paragraph" w:customStyle="1" w:styleId="593">
    <w:name w:val="正文LA"/>
    <w:qFormat/>
    <w:uiPriority w:val="0"/>
    <w:pPr>
      <w:tabs>
        <w:tab w:val="left" w:pos="0"/>
      </w:tabs>
      <w:adjustRightInd w:val="0"/>
      <w:snapToGrid w:val="0"/>
      <w:spacing w:line="360" w:lineRule="auto"/>
      <w:ind w:firstLine="200" w:firstLineChars="200"/>
      <w:jc w:val="both"/>
    </w:pPr>
    <w:rPr>
      <w:rFonts w:ascii="Times New Roman" w:hAnsi="Times New Roman" w:eastAsia="宋体" w:cs="Times New Roman"/>
      <w:snapToGrid w:val="0"/>
      <w:sz w:val="24"/>
      <w:lang w:val="en-US" w:eastAsia="zh-CN" w:bidi="ar-SA"/>
    </w:rPr>
  </w:style>
  <w:style w:type="paragraph" w:customStyle="1" w:styleId="594">
    <w:name w:val="样式 正文文字缩进 2 + 首行缩进:  2 字符 行距: 固定值 23 磅"/>
    <w:basedOn w:val="52"/>
    <w:qFormat/>
    <w:uiPriority w:val="0"/>
    <w:pPr>
      <w:spacing w:line="240" w:lineRule="auto"/>
      <w:ind w:firstLine="200"/>
    </w:pPr>
    <w:rPr>
      <w:rFonts w:ascii="Times New Roman" w:eastAsia="华文中宋"/>
      <w:sz w:val="24"/>
    </w:rPr>
  </w:style>
  <w:style w:type="paragraph" w:customStyle="1" w:styleId="595">
    <w:name w:val="xl28"/>
    <w:basedOn w:val="1"/>
    <w:qFormat/>
    <w:uiPriority w:val="0"/>
    <w:pPr>
      <w:widowControl/>
      <w:pBdr>
        <w:left w:val="single" w:color="auto" w:sz="8" w:space="0"/>
        <w:bottom w:val="single" w:color="auto" w:sz="4" w:space="0"/>
        <w:right w:val="single" w:color="auto" w:sz="4" w:space="0"/>
      </w:pBdr>
      <w:spacing w:before="100" w:beforeAutospacing="1" w:after="100" w:afterAutospacing="1" w:line="240" w:lineRule="auto"/>
      <w:jc w:val="left"/>
    </w:pPr>
    <w:rPr>
      <w:rFonts w:ascii="Arial Unicode MS" w:hAnsi="Arial Unicode MS" w:eastAsia="Arial Unicode MS" w:cs="Arial Unicode MS"/>
      <w:kern w:val="0"/>
      <w:sz w:val="24"/>
      <w:szCs w:val="24"/>
    </w:rPr>
  </w:style>
  <w:style w:type="paragraph" w:customStyle="1" w:styleId="596">
    <w:name w:val="1表格头"/>
    <w:basedOn w:val="597"/>
    <w:qFormat/>
    <w:uiPriority w:val="0"/>
    <w:rPr>
      <w:sz w:val="24"/>
    </w:rPr>
  </w:style>
  <w:style w:type="paragraph" w:customStyle="1" w:styleId="597">
    <w:name w:val="1表格"/>
    <w:basedOn w:val="1"/>
    <w:qFormat/>
    <w:uiPriority w:val="0"/>
    <w:pPr>
      <w:snapToGrid w:val="0"/>
      <w:spacing w:line="160" w:lineRule="atLeast"/>
      <w:jc w:val="center"/>
    </w:pPr>
    <w:rPr>
      <w:rFonts w:ascii="Times New Roman" w:hAnsi="Times New Roman" w:eastAsia="仿宋_GB2312" w:cs="Times New Roman"/>
      <w:szCs w:val="20"/>
    </w:rPr>
  </w:style>
  <w:style w:type="paragraph" w:customStyle="1" w:styleId="598">
    <w:name w:val="p16"/>
    <w:basedOn w:val="1"/>
    <w:qFormat/>
    <w:uiPriority w:val="0"/>
    <w:pPr>
      <w:widowControl/>
      <w:spacing w:line="240" w:lineRule="auto"/>
    </w:pPr>
    <w:rPr>
      <w:rFonts w:ascii="Times New Roman" w:hAnsi="Times New Roman" w:eastAsia="宋体" w:cs="Times New Roman"/>
      <w:kern w:val="0"/>
    </w:rPr>
  </w:style>
  <w:style w:type="paragraph" w:customStyle="1" w:styleId="599">
    <w:name w:val="Char Char Char1"/>
    <w:basedOn w:val="1"/>
    <w:qFormat/>
    <w:uiPriority w:val="0"/>
    <w:pPr>
      <w:ind w:firstLine="200" w:firstLineChars="200"/>
    </w:pPr>
    <w:rPr>
      <w:rFonts w:ascii="宋体" w:hAnsi="宋体" w:eastAsia="宋体" w:cs="Times New Roman"/>
      <w:sz w:val="24"/>
      <w:szCs w:val="20"/>
    </w:rPr>
  </w:style>
  <w:style w:type="paragraph" w:customStyle="1" w:styleId="600">
    <w:name w:val="TOC 标题1"/>
    <w:basedOn w:val="6"/>
    <w:next w:val="1"/>
    <w:qFormat/>
    <w:uiPriority w:val="0"/>
    <w:pPr>
      <w:widowControl/>
      <w:numPr>
        <w:numId w:val="0"/>
      </w:numPr>
      <w:spacing w:before="480" w:after="0" w:line="276" w:lineRule="auto"/>
      <w:jc w:val="left"/>
      <w:outlineLvl w:val="9"/>
    </w:pPr>
    <w:rPr>
      <w:rFonts w:ascii="Cambria" w:hAnsi="Cambria" w:eastAsia="宋体" w:cs="Times New Roman"/>
      <w:color w:val="365F91"/>
      <w:kern w:val="0"/>
      <w:sz w:val="28"/>
      <w:szCs w:val="28"/>
    </w:rPr>
  </w:style>
  <w:style w:type="paragraph" w:customStyle="1" w:styleId="601">
    <w:name w:val="样式 标题 3一H3h33rd level第二层条 + 段前: 0.5 行 段后: 0.5 行 行距: 多倍行距 ..."/>
    <w:basedOn w:val="8"/>
    <w:qFormat/>
    <w:uiPriority w:val="0"/>
    <w:pPr>
      <w:keepLines w:val="0"/>
      <w:widowControl/>
      <w:numPr>
        <w:ilvl w:val="0"/>
        <w:numId w:val="0"/>
      </w:numPr>
      <w:tabs>
        <w:tab w:val="left" w:pos="720"/>
      </w:tabs>
      <w:overflowPunct w:val="0"/>
      <w:autoSpaceDE w:val="0"/>
      <w:autoSpaceDN w:val="0"/>
      <w:adjustRightInd w:val="0"/>
      <w:snapToGrid w:val="0"/>
      <w:spacing w:beforeLines="50" w:afterLines="50" w:line="360" w:lineRule="exact"/>
      <w:ind w:left="720" w:hanging="720"/>
      <w:jc w:val="center"/>
      <w:textAlignment w:val="baseline"/>
    </w:pPr>
    <w:rPr>
      <w:rFonts w:hAnsi="宋体" w:eastAsia="宋体" w:cs="Times New Roman"/>
      <w:b w:val="0"/>
      <w:kern w:val="0"/>
      <w:sz w:val="21"/>
      <w:szCs w:val="21"/>
    </w:rPr>
  </w:style>
  <w:style w:type="paragraph" w:customStyle="1" w:styleId="602">
    <w:name w:val="样式21"/>
    <w:basedOn w:val="200"/>
    <w:qFormat/>
    <w:uiPriority w:val="0"/>
    <w:pPr>
      <w:widowControl w:val="0"/>
      <w:spacing w:line="360" w:lineRule="auto"/>
      <w:jc w:val="both"/>
    </w:pPr>
    <w:rPr>
      <w:rFonts w:asciiTheme="minorHAnsi" w:hAnsiTheme="minorHAnsi" w:eastAsiaTheme="minorEastAsia" w:cstheme="minorBidi"/>
      <w:szCs w:val="22"/>
    </w:rPr>
  </w:style>
  <w:style w:type="paragraph" w:customStyle="1" w:styleId="603">
    <w:name w:val="样式 标题 5 + 行距: 1.5 倍行距"/>
    <w:basedOn w:val="10"/>
    <w:qFormat/>
    <w:uiPriority w:val="0"/>
    <w:pPr>
      <w:tabs>
        <w:tab w:val="left" w:pos="1800"/>
      </w:tabs>
      <w:adjustRightInd w:val="0"/>
      <w:spacing w:before="0" w:after="0" w:line="360" w:lineRule="auto"/>
      <w:textAlignment w:val="baseline"/>
    </w:pPr>
    <w:rPr>
      <w:rFonts w:eastAsia="宋体" w:cs="Times New Roman"/>
      <w:bCs w:val="0"/>
      <w:kern w:val="0"/>
      <w:szCs w:val="20"/>
    </w:rPr>
  </w:style>
  <w:style w:type="paragraph" w:customStyle="1" w:styleId="604">
    <w:name w:val="Bt1"/>
    <w:basedOn w:val="6"/>
    <w:next w:val="605"/>
    <w:qFormat/>
    <w:uiPriority w:val="0"/>
    <w:pPr>
      <w:widowControl/>
      <w:numPr>
        <w:numId w:val="0"/>
      </w:numPr>
      <w:adjustRightInd w:val="0"/>
      <w:snapToGrid w:val="0"/>
      <w:spacing w:beforeLines="50" w:after="240" w:line="360" w:lineRule="auto"/>
    </w:pPr>
    <w:rPr>
      <w:rFonts w:ascii="黑体" w:eastAsia="黑体" w:cs="Times New Roman"/>
      <w:b w:val="0"/>
      <w:bCs w:val="0"/>
      <w:snapToGrid w:val="0"/>
      <w:color w:val="000000"/>
      <w:kern w:val="0"/>
      <w:sz w:val="44"/>
      <w:szCs w:val="20"/>
    </w:rPr>
  </w:style>
  <w:style w:type="paragraph" w:customStyle="1" w:styleId="605">
    <w:name w:val="Zw"/>
    <w:basedOn w:val="1"/>
    <w:next w:val="1"/>
    <w:qFormat/>
    <w:uiPriority w:val="0"/>
    <w:pPr>
      <w:ind w:firstLine="200" w:firstLineChars="200"/>
    </w:pPr>
    <w:rPr>
      <w:rFonts w:ascii="宋体" w:hAnsi="Times New Roman" w:eastAsia="宋体" w:cs="Times New Roman"/>
      <w:sz w:val="24"/>
      <w:szCs w:val="20"/>
    </w:rPr>
  </w:style>
  <w:style w:type="paragraph" w:customStyle="1" w:styleId="606">
    <w:name w:val="(1)"/>
    <w:basedOn w:val="1"/>
    <w:qFormat/>
    <w:uiPriority w:val="0"/>
    <w:pPr>
      <w:spacing w:line="500" w:lineRule="atLeast"/>
      <w:ind w:firstLine="200" w:firstLineChars="200"/>
    </w:pPr>
    <w:rPr>
      <w:rFonts w:ascii="Times New Roman" w:hAnsi="Times New Roman" w:eastAsia="宋体" w:cs="Times New Roman"/>
      <w:b/>
      <w:sz w:val="24"/>
      <w:szCs w:val="20"/>
    </w:rPr>
  </w:style>
  <w:style w:type="paragraph" w:customStyle="1" w:styleId="607">
    <w:name w:val="Char1 Char Char Char"/>
    <w:basedOn w:val="1"/>
    <w:qFormat/>
    <w:uiPriority w:val="0"/>
    <w:pPr>
      <w:spacing w:line="240" w:lineRule="auto"/>
    </w:pPr>
    <w:rPr>
      <w:rFonts w:ascii="Times New Roman" w:hAnsi="Times New Roman" w:eastAsia="宋体" w:cs="Times New Roman"/>
      <w:szCs w:val="20"/>
    </w:rPr>
  </w:style>
  <w:style w:type="paragraph" w:customStyle="1" w:styleId="608">
    <w:name w:val="xl52"/>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pPr>
    <w:rPr>
      <w:rFonts w:ascii="Arial Unicode MS" w:hAnsi="Arial Unicode MS" w:eastAsia="Arial Unicode MS" w:cs="Arial Unicode MS"/>
      <w:kern w:val="0"/>
      <w:sz w:val="18"/>
      <w:szCs w:val="18"/>
    </w:rPr>
  </w:style>
  <w:style w:type="paragraph" w:customStyle="1" w:styleId="609">
    <w:name w:val="使用正文"/>
    <w:basedOn w:val="1"/>
    <w:qFormat/>
    <w:uiPriority w:val="0"/>
    <w:pPr>
      <w:snapToGrid w:val="0"/>
      <w:ind w:firstLine="573"/>
    </w:pPr>
    <w:rPr>
      <w:rFonts w:ascii="Times New Roman" w:hAnsi="Times New Roman" w:eastAsia="宋体" w:cs="Times New Roman"/>
      <w:sz w:val="28"/>
      <w:szCs w:val="20"/>
    </w:rPr>
  </w:style>
  <w:style w:type="paragraph" w:customStyle="1" w:styleId="610">
    <w:name w:val="xl53"/>
    <w:basedOn w:val="1"/>
    <w:qFormat/>
    <w:uiPriority w:val="0"/>
    <w:pPr>
      <w:widowControl/>
      <w:pBdr>
        <w:left w:val="single" w:color="auto" w:sz="4" w:space="0"/>
        <w:right w:val="single" w:color="auto" w:sz="4" w:space="0"/>
      </w:pBdr>
      <w:spacing w:before="100" w:beforeAutospacing="1" w:after="100" w:afterAutospacing="1" w:line="240" w:lineRule="auto"/>
    </w:pPr>
    <w:rPr>
      <w:rFonts w:ascii="Arial Unicode MS" w:hAnsi="Arial Unicode MS" w:eastAsia="Arial Unicode MS" w:cs="Arial Unicode MS"/>
      <w:kern w:val="0"/>
      <w:sz w:val="18"/>
      <w:szCs w:val="18"/>
    </w:rPr>
  </w:style>
  <w:style w:type="paragraph" w:customStyle="1" w:styleId="611">
    <w:name w:val="样式7表名"/>
    <w:next w:val="1"/>
    <w:qFormat/>
    <w:uiPriority w:val="0"/>
    <w:pPr>
      <w:spacing w:before="120" w:line="360" w:lineRule="auto"/>
      <w:jc w:val="center"/>
    </w:pPr>
    <w:rPr>
      <w:rFonts w:ascii="黑体" w:hAnsi="Times New Roman" w:eastAsia="黑体" w:cs="黑体"/>
      <w:spacing w:val="60"/>
      <w:sz w:val="24"/>
      <w:szCs w:val="24"/>
      <w:lang w:val="en-US" w:eastAsia="zh-CN" w:bidi="ar-SA"/>
    </w:rPr>
  </w:style>
  <w:style w:type="paragraph" w:customStyle="1" w:styleId="612">
    <w:name w:val="样式 标题 4 + 段前: 0.5 行 段后: 0.5 行1"/>
    <w:basedOn w:val="9"/>
    <w:qFormat/>
    <w:uiPriority w:val="0"/>
    <w:pPr>
      <w:numPr>
        <w:ilvl w:val="0"/>
        <w:numId w:val="0"/>
      </w:numPr>
      <w:spacing w:before="0" w:after="0" w:line="440" w:lineRule="exact"/>
      <w:jc w:val="both"/>
    </w:pPr>
    <w:rPr>
      <w:rFonts w:eastAsia="华文中宋" w:cs="宋体"/>
      <w:szCs w:val="24"/>
    </w:rPr>
  </w:style>
  <w:style w:type="paragraph" w:customStyle="1" w:styleId="613">
    <w:name w:val="样式 标题 1 + 段前: 0.5 行 段后: 0.5 行2"/>
    <w:basedOn w:val="6"/>
    <w:qFormat/>
    <w:uiPriority w:val="0"/>
    <w:pPr>
      <w:numPr>
        <w:numId w:val="0"/>
      </w:numPr>
      <w:spacing w:beforeLines="50" w:afterLines="50" w:line="440" w:lineRule="exact"/>
    </w:pPr>
    <w:rPr>
      <w:rFonts w:eastAsia="黑体" w:cs="宋体"/>
      <w:szCs w:val="32"/>
    </w:rPr>
  </w:style>
  <w:style w:type="paragraph" w:customStyle="1" w:styleId="614">
    <w:name w:val="章标题"/>
    <w:basedOn w:val="1"/>
    <w:next w:val="615"/>
    <w:qFormat/>
    <w:uiPriority w:val="0"/>
    <w:pPr>
      <w:widowControl/>
      <w:adjustRightInd w:val="0"/>
      <w:snapToGrid w:val="0"/>
      <w:spacing w:before="158" w:after="153" w:line="323" w:lineRule="atLeast"/>
      <w:ind w:firstLine="200" w:firstLineChars="200"/>
      <w:jc w:val="center"/>
      <w:textAlignment w:val="baseline"/>
    </w:pPr>
    <w:rPr>
      <w:rFonts w:ascii="Arial" w:hAnsi="Times New Roman" w:eastAsia="黑体" w:cs="Times New Roman"/>
      <w:snapToGrid w:val="0"/>
      <w:color w:val="000000"/>
      <w:kern w:val="0"/>
      <w:sz w:val="31"/>
      <w:szCs w:val="24"/>
      <w:u w:color="000000"/>
    </w:rPr>
  </w:style>
  <w:style w:type="paragraph" w:customStyle="1" w:styleId="615">
    <w:name w:val="节标题"/>
    <w:basedOn w:val="1"/>
    <w:next w:val="616"/>
    <w:qFormat/>
    <w:uiPriority w:val="0"/>
    <w:pPr>
      <w:widowControl/>
      <w:adjustRightInd w:val="0"/>
      <w:snapToGrid w:val="0"/>
      <w:spacing w:line="289" w:lineRule="atLeast"/>
      <w:ind w:firstLine="200" w:firstLineChars="200"/>
      <w:jc w:val="center"/>
      <w:textAlignment w:val="baseline"/>
    </w:pPr>
    <w:rPr>
      <w:rFonts w:ascii="Times New Roman" w:hAnsi="Times New Roman" w:eastAsia="宋体" w:cs="Times New Roman"/>
      <w:snapToGrid w:val="0"/>
      <w:color w:val="000000"/>
      <w:kern w:val="0"/>
      <w:sz w:val="28"/>
      <w:szCs w:val="24"/>
      <w:u w:color="000000"/>
    </w:rPr>
  </w:style>
  <w:style w:type="paragraph" w:customStyle="1" w:styleId="616">
    <w:name w:val="小节标题"/>
    <w:basedOn w:val="1"/>
    <w:next w:val="1"/>
    <w:qFormat/>
    <w:uiPriority w:val="0"/>
    <w:pPr>
      <w:widowControl/>
      <w:adjustRightInd w:val="0"/>
      <w:snapToGrid w:val="0"/>
      <w:spacing w:before="175" w:after="102" w:line="351" w:lineRule="atLeast"/>
      <w:ind w:firstLine="200" w:firstLineChars="200"/>
      <w:textAlignment w:val="baseline"/>
    </w:pPr>
    <w:rPr>
      <w:rFonts w:ascii="Times New Roman" w:hAnsi="Times New Roman" w:eastAsia="黑体" w:cs="Times New Roman"/>
      <w:snapToGrid w:val="0"/>
      <w:color w:val="000000"/>
      <w:kern w:val="0"/>
      <w:sz w:val="24"/>
      <w:szCs w:val="24"/>
      <w:u w:color="000000"/>
    </w:rPr>
  </w:style>
  <w:style w:type="paragraph" w:customStyle="1" w:styleId="617">
    <w:name w:val="Char1"/>
    <w:basedOn w:val="1"/>
    <w:qFormat/>
    <w:uiPriority w:val="0"/>
    <w:pPr>
      <w:ind w:firstLine="200" w:firstLineChars="200"/>
    </w:pPr>
    <w:rPr>
      <w:rFonts w:ascii="宋体" w:hAnsi="宋体" w:eastAsia="宋体" w:cs="宋体"/>
      <w:sz w:val="24"/>
      <w:szCs w:val="24"/>
    </w:rPr>
  </w:style>
  <w:style w:type="paragraph" w:customStyle="1" w:styleId="618">
    <w:name w:val="7"/>
    <w:basedOn w:val="1"/>
    <w:next w:val="40"/>
    <w:qFormat/>
    <w:uiPriority w:val="0"/>
    <w:pPr>
      <w:spacing w:line="324" w:lineRule="auto"/>
      <w:ind w:left="-105" w:leftChars="-50" w:right="-105" w:rightChars="-50" w:firstLine="482"/>
      <w:jc w:val="left"/>
    </w:pPr>
    <w:rPr>
      <w:rFonts w:ascii="Times New Roman" w:hAnsi="Times New Roman" w:eastAsia="宋体" w:cs="Times New Roman"/>
      <w:color w:val="000000"/>
      <w:sz w:val="24"/>
      <w:szCs w:val="24"/>
    </w:rPr>
  </w:style>
  <w:style w:type="paragraph" w:customStyle="1" w:styleId="619">
    <w:name w:val="p18"/>
    <w:basedOn w:val="1"/>
    <w:qFormat/>
    <w:uiPriority w:val="0"/>
    <w:pPr>
      <w:widowControl/>
      <w:pBdr>
        <w:bottom w:val="single" w:color="000000" w:sz="12" w:space="0"/>
        <w:right w:val="single" w:color="000000" w:sz="4" w:space="0"/>
      </w:pBdr>
      <w:spacing w:before="100" w:after="100" w:line="240" w:lineRule="auto"/>
      <w:jc w:val="center"/>
    </w:pPr>
    <w:rPr>
      <w:rFonts w:ascii="宋体" w:hAnsi="宋体" w:eastAsia="宋体" w:cs="宋体"/>
      <w:kern w:val="0"/>
    </w:rPr>
  </w:style>
  <w:style w:type="paragraph" w:customStyle="1" w:styleId="620">
    <w:name w:val="表号 Char Char1"/>
    <w:basedOn w:val="1"/>
    <w:qFormat/>
    <w:uiPriority w:val="0"/>
    <w:pPr>
      <w:overflowPunct w:val="0"/>
      <w:topLinePunct/>
      <w:spacing w:line="240" w:lineRule="auto"/>
      <w:ind w:firstLine="200" w:firstLineChars="200"/>
      <w:outlineLvl w:val="5"/>
    </w:pPr>
    <w:rPr>
      <w:rFonts w:ascii="Times New Roman" w:hAnsi="Times New Roman" w:eastAsia="宋体" w:cs="Times New Roman"/>
      <w:szCs w:val="24"/>
    </w:rPr>
  </w:style>
  <w:style w:type="paragraph" w:customStyle="1" w:styleId="621">
    <w:name w:val="font1"/>
    <w:basedOn w:val="1"/>
    <w:qFormat/>
    <w:uiPriority w:val="0"/>
    <w:pPr>
      <w:widowControl/>
      <w:spacing w:before="100" w:beforeAutospacing="1" w:after="100" w:afterAutospacing="1" w:line="240" w:lineRule="auto"/>
      <w:jc w:val="left"/>
    </w:pPr>
    <w:rPr>
      <w:rFonts w:hint="eastAsia" w:ascii="宋体" w:hAnsi="宋体" w:eastAsia="宋体" w:cs="Arial Unicode MS"/>
      <w:kern w:val="0"/>
      <w:sz w:val="24"/>
      <w:szCs w:val="24"/>
    </w:rPr>
  </w:style>
  <w:style w:type="paragraph" w:customStyle="1" w:styleId="622">
    <w:name w:val="样式 标题 1 + 段前: 7.8 磅 段后: 7.8 磅"/>
    <w:basedOn w:val="6"/>
    <w:qFormat/>
    <w:uiPriority w:val="0"/>
    <w:pPr>
      <w:numPr>
        <w:numId w:val="0"/>
      </w:numPr>
      <w:spacing w:beforeLines="50" w:afterLines="50" w:line="440" w:lineRule="exact"/>
    </w:pPr>
    <w:rPr>
      <w:rFonts w:eastAsia="黑体" w:cs="宋体"/>
      <w:szCs w:val="20"/>
    </w:rPr>
  </w:style>
  <w:style w:type="paragraph" w:customStyle="1" w:styleId="623">
    <w:name w:val="正文加粗"/>
    <w:basedOn w:val="1"/>
    <w:qFormat/>
    <w:uiPriority w:val="0"/>
    <w:rPr>
      <w:rFonts w:ascii="Times New Roman" w:hAnsi="Times New Roman" w:eastAsia="宋体" w:cs="Times New Roman"/>
      <w:b/>
      <w:color w:val="000000"/>
      <w:sz w:val="24"/>
      <w:szCs w:val="24"/>
    </w:rPr>
  </w:style>
  <w:style w:type="paragraph" w:customStyle="1" w:styleId="624">
    <w:name w:val="xl33"/>
    <w:basedOn w:val="1"/>
    <w:qFormat/>
    <w:uiPriority w:val="0"/>
    <w:pPr>
      <w:widowControl/>
      <w:pBdr>
        <w:bottom w:val="single" w:color="auto" w:sz="8" w:space="0"/>
        <w:right w:val="single" w:color="auto" w:sz="4" w:space="0"/>
      </w:pBdr>
      <w:spacing w:before="100" w:beforeAutospacing="1" w:after="100" w:afterAutospacing="1" w:line="240" w:lineRule="auto"/>
      <w:jc w:val="center"/>
    </w:pPr>
    <w:rPr>
      <w:rFonts w:ascii="Times New Roman" w:hAnsi="Times New Roman" w:eastAsia="Arial Unicode MS" w:cs="Times New Roman"/>
      <w:kern w:val="0"/>
      <w:sz w:val="18"/>
      <w:szCs w:val="18"/>
    </w:rPr>
  </w:style>
  <w:style w:type="paragraph" w:customStyle="1" w:styleId="625">
    <w:name w:val="表芯"/>
    <w:basedOn w:val="1"/>
    <w:next w:val="1"/>
    <w:qFormat/>
    <w:uiPriority w:val="0"/>
    <w:pPr>
      <w:keepNext/>
      <w:adjustRightInd w:val="0"/>
      <w:spacing w:before="20" w:line="0" w:lineRule="atLeast"/>
      <w:jc w:val="center"/>
      <w:textAlignment w:val="baseline"/>
    </w:pPr>
    <w:rPr>
      <w:rFonts w:ascii="Times New Roman" w:hAnsi="Times New Roman" w:eastAsia="宋体" w:cs="Times New Roman"/>
      <w:kern w:val="21"/>
      <w:szCs w:val="20"/>
    </w:rPr>
  </w:style>
  <w:style w:type="paragraph" w:customStyle="1" w:styleId="626">
    <w:name w:val="表格文字2"/>
    <w:basedOn w:val="1"/>
    <w:link w:val="627"/>
    <w:qFormat/>
    <w:uiPriority w:val="0"/>
    <w:pPr>
      <w:adjustRightInd w:val="0"/>
      <w:spacing w:before="60" w:line="240" w:lineRule="auto"/>
      <w:jc w:val="center"/>
      <w:textAlignment w:val="baseline"/>
    </w:pPr>
    <w:rPr>
      <w:rFonts w:ascii="宋体" w:hAnsi="Times New Roman" w:eastAsia="宋体" w:cs="Times New Roman"/>
      <w:kern w:val="0"/>
      <w:sz w:val="24"/>
      <w:szCs w:val="20"/>
    </w:rPr>
  </w:style>
  <w:style w:type="character" w:customStyle="1" w:styleId="627">
    <w:name w:val="表格文字2 Char"/>
    <w:basedOn w:val="94"/>
    <w:link w:val="626"/>
    <w:qFormat/>
    <w:uiPriority w:val="0"/>
    <w:rPr>
      <w:rFonts w:ascii="宋体" w:hAnsi="Times New Roman" w:eastAsia="宋体" w:cs="Times New Roman"/>
      <w:sz w:val="24"/>
    </w:rPr>
  </w:style>
  <w:style w:type="paragraph" w:customStyle="1" w:styleId="628">
    <w:name w:val="样式46"/>
    <w:basedOn w:val="1"/>
    <w:qFormat/>
    <w:uiPriority w:val="0"/>
    <w:pPr>
      <w:spacing w:line="240" w:lineRule="auto"/>
      <w:jc w:val="center"/>
      <w:outlineLvl w:val="0"/>
    </w:pPr>
    <w:rPr>
      <w:rFonts w:ascii="Times New Roman" w:hAnsi="Times New Roman" w:eastAsia="黑体" w:cs="Times New Roman"/>
      <w:color w:val="000000"/>
      <w:sz w:val="24"/>
      <w:szCs w:val="24"/>
    </w:rPr>
  </w:style>
  <w:style w:type="paragraph" w:customStyle="1" w:styleId="629">
    <w:name w:val="样式 样式6 + (中文) 华文中宋 五号 行距: 固定值 15 磅"/>
    <w:basedOn w:val="630"/>
    <w:qFormat/>
    <w:uiPriority w:val="0"/>
    <w:pPr>
      <w:spacing w:line="300" w:lineRule="exact"/>
      <w:ind w:left="-120" w:leftChars="-50" w:right="-120" w:rightChars="-50"/>
    </w:pPr>
    <w:rPr>
      <w:rFonts w:eastAsia="华文中宋"/>
      <w:sz w:val="21"/>
      <w:szCs w:val="21"/>
    </w:rPr>
  </w:style>
  <w:style w:type="paragraph" w:customStyle="1" w:styleId="630">
    <w:name w:val="样式6"/>
    <w:basedOn w:val="493"/>
    <w:link w:val="631"/>
    <w:qFormat/>
    <w:uiPriority w:val="0"/>
    <w:pPr>
      <w:adjustRightInd/>
      <w:spacing w:line="240" w:lineRule="auto"/>
    </w:pPr>
    <w:rPr>
      <w:rFonts w:eastAsia="黑体"/>
      <w:caps w:val="0"/>
      <w:sz w:val="24"/>
    </w:rPr>
  </w:style>
  <w:style w:type="character" w:customStyle="1" w:styleId="631">
    <w:name w:val="样式6 Char"/>
    <w:link w:val="630"/>
    <w:qFormat/>
    <w:uiPriority w:val="0"/>
    <w:rPr>
      <w:rFonts w:eastAsia="黑体" w:cs="宋体"/>
      <w:b/>
      <w:bCs/>
      <w:sz w:val="24"/>
      <w:szCs w:val="24"/>
    </w:rPr>
  </w:style>
  <w:style w:type="paragraph" w:customStyle="1" w:styleId="632">
    <w:name w:val="xl50"/>
    <w:basedOn w:val="1"/>
    <w:qFormat/>
    <w:uiPriority w:val="0"/>
    <w:pPr>
      <w:widowControl/>
      <w:pBdr>
        <w:bottom w:val="single" w:color="auto" w:sz="8" w:space="0"/>
        <w:right w:val="single" w:color="auto" w:sz="4" w:space="0"/>
      </w:pBdr>
      <w:spacing w:before="100" w:beforeAutospacing="1" w:after="100" w:afterAutospacing="1" w:line="240" w:lineRule="auto"/>
    </w:pPr>
    <w:rPr>
      <w:rFonts w:ascii="Arial Unicode MS" w:hAnsi="Arial Unicode MS" w:eastAsia="Arial Unicode MS" w:cs="Arial Unicode MS"/>
      <w:kern w:val="0"/>
      <w:sz w:val="18"/>
      <w:szCs w:val="18"/>
    </w:rPr>
  </w:style>
  <w:style w:type="paragraph" w:customStyle="1" w:styleId="633">
    <w:name w:val="基准页眉样式"/>
    <w:basedOn w:val="4"/>
    <w:qFormat/>
    <w:uiPriority w:val="0"/>
    <w:pPr>
      <w:spacing w:after="0"/>
      <w:jc w:val="center"/>
    </w:pPr>
    <w:rPr>
      <w:rFonts w:ascii="Times New Roman" w:hAnsi="Times New Roman" w:eastAsia="宋体" w:cs="Times New Roman"/>
      <w:sz w:val="24"/>
      <w:szCs w:val="20"/>
    </w:rPr>
  </w:style>
  <w:style w:type="paragraph" w:customStyle="1" w:styleId="634">
    <w:name w:val="w正文"/>
    <w:basedOn w:val="1"/>
    <w:qFormat/>
    <w:uiPriority w:val="0"/>
    <w:pPr>
      <w:ind w:firstLine="496" w:firstLineChars="200"/>
    </w:pPr>
    <w:rPr>
      <w:rFonts w:ascii="Times New Roman" w:hAnsi="Times New Roman" w:eastAsia="宋体" w:cs="Times New Roman"/>
      <w:spacing w:val="4"/>
      <w:sz w:val="24"/>
      <w:szCs w:val="20"/>
    </w:rPr>
  </w:style>
  <w:style w:type="paragraph" w:customStyle="1" w:styleId="635">
    <w:name w:val="南大梁1.1.1.1-2级标题"/>
    <w:basedOn w:val="1"/>
    <w:qFormat/>
    <w:uiPriority w:val="0"/>
    <w:pPr>
      <w:ind w:left="200" w:leftChars="200"/>
    </w:pPr>
    <w:rPr>
      <w:rFonts w:ascii="宋体" w:hAnsi="宋体" w:eastAsia="宋体" w:cs="Times New Roman"/>
      <w:sz w:val="24"/>
      <w:szCs w:val="24"/>
    </w:rPr>
  </w:style>
  <w:style w:type="paragraph" w:customStyle="1" w:styleId="636">
    <w:name w:val="样式 标题 1标题7章 + 自动设置 段前: 0.5 行 段后: 0.5 行 行距: 1.5 倍行距"/>
    <w:basedOn w:val="88"/>
    <w:next w:val="1"/>
    <w:qFormat/>
    <w:uiPriority w:val="0"/>
    <w:pPr>
      <w:spacing w:afterLines="50" w:line="360" w:lineRule="auto"/>
    </w:pPr>
    <w:rPr>
      <w:rFonts w:eastAsia="黑体" w:cs="Times New Roman"/>
      <w:b w:val="0"/>
      <w:bCs w:val="0"/>
      <w:sz w:val="44"/>
      <w:szCs w:val="20"/>
    </w:rPr>
  </w:style>
  <w:style w:type="paragraph" w:customStyle="1" w:styleId="637">
    <w:name w:val="段落1"/>
    <w:basedOn w:val="1"/>
    <w:qFormat/>
    <w:uiPriority w:val="0"/>
    <w:pPr>
      <w:ind w:firstLine="480" w:firstLineChars="200"/>
    </w:pPr>
    <w:rPr>
      <w:rFonts w:ascii="Times New Roman" w:hAnsi="Times New Roman" w:eastAsia="宋体" w:cs="Times New Roman"/>
      <w:sz w:val="24"/>
      <w:szCs w:val="20"/>
    </w:rPr>
  </w:style>
  <w:style w:type="paragraph" w:customStyle="1" w:styleId="638">
    <w:name w:val="xl56"/>
    <w:basedOn w:val="1"/>
    <w:qFormat/>
    <w:uiPriority w:val="0"/>
    <w:pPr>
      <w:widowControl/>
      <w:pBdr>
        <w:top w:val="single" w:color="auto" w:sz="8" w:space="0"/>
        <w:bottom w:val="single" w:color="auto" w:sz="4" w:space="0"/>
        <w:right w:val="single" w:color="auto" w:sz="4" w:space="0"/>
      </w:pBdr>
      <w:spacing w:before="100" w:beforeAutospacing="1" w:after="100" w:afterAutospacing="1" w:line="240" w:lineRule="auto"/>
    </w:pPr>
    <w:rPr>
      <w:rFonts w:ascii="Arial Unicode MS" w:hAnsi="Arial Unicode MS" w:eastAsia="Arial Unicode MS" w:cs="Arial Unicode MS"/>
      <w:kern w:val="0"/>
      <w:sz w:val="18"/>
      <w:szCs w:val="18"/>
    </w:rPr>
  </w:style>
  <w:style w:type="paragraph" w:customStyle="1" w:styleId="639">
    <w:name w:val="一、"/>
    <w:basedOn w:val="1"/>
    <w:qFormat/>
    <w:uiPriority w:val="0"/>
    <w:pPr>
      <w:spacing w:beforeLines="50" w:afterLines="50" w:line="480" w:lineRule="exact"/>
      <w:ind w:firstLine="562" w:firstLineChars="200"/>
      <w:jc w:val="center"/>
    </w:pPr>
    <w:rPr>
      <w:rFonts w:ascii="仿宋_GB2312" w:hAnsi="Times New Roman" w:eastAsia="黑体" w:cs="Times New Roman"/>
      <w:b/>
      <w:sz w:val="28"/>
      <w:szCs w:val="20"/>
    </w:rPr>
  </w:style>
  <w:style w:type="character" w:customStyle="1" w:styleId="640">
    <w:name w:val="尾注文本 Char"/>
    <w:basedOn w:val="94"/>
    <w:qFormat/>
    <w:uiPriority w:val="0"/>
  </w:style>
  <w:style w:type="paragraph" w:customStyle="1" w:styleId="641">
    <w:name w:val="xl41"/>
    <w:basedOn w:val="1"/>
    <w:qFormat/>
    <w:uiPriority w:val="0"/>
    <w:pPr>
      <w:widowControl/>
      <w:pBdr>
        <w:right w:val="single" w:color="auto" w:sz="4" w:space="0"/>
      </w:pBdr>
      <w:spacing w:before="100" w:beforeAutospacing="1" w:after="100" w:afterAutospacing="1" w:line="240" w:lineRule="auto"/>
      <w:jc w:val="center"/>
    </w:pPr>
    <w:rPr>
      <w:rFonts w:ascii="Times New Roman" w:hAnsi="Times New Roman" w:eastAsia="Arial Unicode MS" w:cs="Times New Roman"/>
      <w:kern w:val="0"/>
      <w:sz w:val="18"/>
      <w:szCs w:val="18"/>
    </w:rPr>
  </w:style>
  <w:style w:type="paragraph" w:customStyle="1" w:styleId="642">
    <w:name w:val="font8"/>
    <w:basedOn w:val="1"/>
    <w:qFormat/>
    <w:uiPriority w:val="0"/>
    <w:pPr>
      <w:widowControl/>
      <w:spacing w:before="100" w:beforeAutospacing="1" w:after="100" w:afterAutospacing="1" w:line="240" w:lineRule="auto"/>
      <w:jc w:val="left"/>
    </w:pPr>
    <w:rPr>
      <w:rFonts w:hint="eastAsia" w:ascii="新宋体" w:hAnsi="新宋体" w:eastAsia="新宋体" w:cs="Arial Unicode MS"/>
      <w:kern w:val="0"/>
      <w:sz w:val="15"/>
      <w:szCs w:val="15"/>
    </w:rPr>
  </w:style>
  <w:style w:type="paragraph" w:customStyle="1" w:styleId="643">
    <w:name w:val="xl35"/>
    <w:basedOn w:val="1"/>
    <w:qFormat/>
    <w:uiPriority w:val="0"/>
    <w:pPr>
      <w:widowControl/>
      <w:pBdr>
        <w:bottom w:val="single" w:color="auto" w:sz="4" w:space="0"/>
        <w:right w:val="single" w:color="auto" w:sz="4" w:space="0"/>
      </w:pBdr>
      <w:spacing w:before="100" w:beforeAutospacing="1" w:after="100" w:afterAutospacing="1" w:line="240" w:lineRule="auto"/>
    </w:pPr>
    <w:rPr>
      <w:rFonts w:ascii="Times New Roman" w:hAnsi="Times New Roman" w:eastAsia="Arial Unicode MS" w:cs="Times New Roman"/>
      <w:kern w:val="0"/>
      <w:sz w:val="18"/>
      <w:szCs w:val="18"/>
    </w:rPr>
  </w:style>
  <w:style w:type="paragraph" w:customStyle="1" w:styleId="644">
    <w:name w:val="xl58"/>
    <w:basedOn w:val="1"/>
    <w:qFormat/>
    <w:uiPriority w:val="0"/>
    <w:pPr>
      <w:widowControl/>
      <w:pBdr>
        <w:top w:val="single" w:color="auto" w:sz="8" w:space="0"/>
        <w:bottom w:val="single" w:color="auto" w:sz="4" w:space="0"/>
      </w:pBdr>
      <w:spacing w:before="100" w:beforeAutospacing="1" w:after="100" w:afterAutospacing="1" w:line="240" w:lineRule="auto"/>
      <w:jc w:val="center"/>
    </w:pPr>
    <w:rPr>
      <w:rFonts w:hint="eastAsia" w:ascii="新宋体" w:hAnsi="新宋体" w:eastAsia="新宋体" w:cs="Arial Unicode MS"/>
      <w:kern w:val="0"/>
      <w:sz w:val="18"/>
      <w:szCs w:val="18"/>
    </w:rPr>
  </w:style>
  <w:style w:type="paragraph" w:customStyle="1" w:styleId="645">
    <w:name w:val="黑宋体"/>
    <w:basedOn w:val="9"/>
    <w:qFormat/>
    <w:uiPriority w:val="0"/>
    <w:pPr>
      <w:numPr>
        <w:ilvl w:val="0"/>
        <w:numId w:val="0"/>
      </w:numPr>
      <w:tabs>
        <w:tab w:val="left" w:pos="864"/>
      </w:tabs>
      <w:spacing w:before="0" w:after="0" w:line="360" w:lineRule="auto"/>
      <w:jc w:val="both"/>
      <w:textAlignment w:val="baseline"/>
      <w:outlineLvl w:val="9"/>
    </w:pPr>
    <w:rPr>
      <w:rFonts w:ascii="宋体" w:eastAsia="宋体" w:cs="Times New Roman"/>
      <w:b w:val="0"/>
      <w:bCs w:val="0"/>
      <w:snapToGrid w:val="0"/>
      <w:color w:val="000000"/>
      <w:kern w:val="0"/>
      <w:szCs w:val="20"/>
    </w:rPr>
  </w:style>
  <w:style w:type="paragraph" w:customStyle="1" w:styleId="646">
    <w:name w:val="样式8"/>
    <w:basedOn w:val="200"/>
    <w:qFormat/>
    <w:uiPriority w:val="0"/>
    <w:pPr>
      <w:widowControl w:val="0"/>
      <w:spacing w:line="360" w:lineRule="auto"/>
      <w:jc w:val="both"/>
    </w:pPr>
    <w:rPr>
      <w:rFonts w:asciiTheme="minorHAnsi" w:hAnsiTheme="minorHAnsi" w:eastAsiaTheme="minorEastAsia" w:cstheme="minorBidi"/>
      <w:szCs w:val="22"/>
    </w:rPr>
  </w:style>
  <w:style w:type="paragraph" w:customStyle="1" w:styleId="647">
    <w:name w:val="xl34"/>
    <w:basedOn w:val="1"/>
    <w:qFormat/>
    <w:uiPriority w:val="0"/>
    <w:pPr>
      <w:widowControl/>
      <w:pBdr>
        <w:bottom w:val="single" w:color="auto" w:sz="8" w:space="0"/>
        <w:right w:val="single" w:color="auto" w:sz="8"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648">
    <w:name w:val="正文文字3(西藏样式)"/>
    <w:basedOn w:val="1"/>
    <w:qFormat/>
    <w:uiPriority w:val="0"/>
    <w:pPr>
      <w:adjustRightInd w:val="0"/>
      <w:snapToGrid w:val="0"/>
      <w:spacing w:line="240" w:lineRule="auto"/>
      <w:ind w:left="-57" w:right="-57"/>
      <w:jc w:val="center"/>
    </w:pPr>
    <w:rPr>
      <w:rFonts w:ascii="黑体" w:hAnsi="Times New Roman" w:eastAsia="黑体" w:cs="Times New Roman"/>
      <w:snapToGrid w:val="0"/>
      <w:kern w:val="0"/>
      <w:sz w:val="18"/>
      <w:szCs w:val="20"/>
    </w:rPr>
  </w:style>
  <w:style w:type="paragraph" w:customStyle="1" w:styleId="649">
    <w:name w:val="样式 标题4 + 段前: 0.5 行"/>
    <w:qFormat/>
    <w:uiPriority w:val="0"/>
    <w:rPr>
      <w:rFonts w:ascii="Times New Roman" w:hAnsi="Times New Roman" w:eastAsia="宋体" w:cs="宋体"/>
      <w:lang w:val="en-US" w:eastAsia="zh-CN" w:bidi="ar-SA"/>
    </w:rPr>
  </w:style>
  <w:style w:type="paragraph" w:customStyle="1" w:styleId="650">
    <w:name w:val="表号 Char Char"/>
    <w:basedOn w:val="1"/>
    <w:qFormat/>
    <w:uiPriority w:val="0"/>
    <w:pPr>
      <w:overflowPunct w:val="0"/>
      <w:topLinePunct/>
      <w:spacing w:line="240" w:lineRule="auto"/>
      <w:ind w:firstLine="200" w:firstLineChars="200"/>
      <w:outlineLvl w:val="5"/>
    </w:pPr>
    <w:rPr>
      <w:rFonts w:ascii="Times New Roman" w:hAnsi="Times New Roman" w:eastAsia="宋体" w:cs="Times New Roman"/>
      <w:szCs w:val="24"/>
    </w:rPr>
  </w:style>
  <w:style w:type="paragraph" w:customStyle="1" w:styleId="651">
    <w:name w:val="Char Char Char Char"/>
    <w:basedOn w:val="1"/>
    <w:qFormat/>
    <w:uiPriority w:val="0"/>
    <w:pPr>
      <w:spacing w:line="240" w:lineRule="auto"/>
    </w:pPr>
    <w:rPr>
      <w:rFonts w:ascii="宋体" w:hAnsi="Times New Roman" w:eastAsia="宋体" w:cs="宋体"/>
    </w:rPr>
  </w:style>
  <w:style w:type="paragraph" w:customStyle="1" w:styleId="652">
    <w:name w:val="样式 表文居中 + 段前: 0.5 行"/>
    <w:basedOn w:val="1"/>
    <w:qFormat/>
    <w:uiPriority w:val="0"/>
    <w:pPr>
      <w:autoSpaceDE w:val="0"/>
      <w:autoSpaceDN w:val="0"/>
      <w:adjustRightInd w:val="0"/>
      <w:snapToGrid w:val="0"/>
      <w:spacing w:line="240" w:lineRule="auto"/>
      <w:jc w:val="center"/>
      <w:textAlignment w:val="baseline"/>
    </w:pPr>
    <w:rPr>
      <w:rFonts w:ascii="Times New Roman" w:hAnsi="Times New Roman" w:eastAsia="宋体" w:cs="宋体"/>
      <w:kern w:val="0"/>
      <w:szCs w:val="20"/>
    </w:rPr>
  </w:style>
  <w:style w:type="paragraph" w:customStyle="1" w:styleId="653">
    <w:name w:val="表格编号"/>
    <w:basedOn w:val="1"/>
    <w:qFormat/>
    <w:uiPriority w:val="0"/>
    <w:pPr>
      <w:jc w:val="center"/>
    </w:pPr>
    <w:rPr>
      <w:rFonts w:ascii="黑体" w:hAnsi="宋体" w:eastAsia="黑体" w:cs="Times New Roman"/>
      <w:kern w:val="0"/>
      <w:sz w:val="24"/>
      <w:szCs w:val="24"/>
    </w:rPr>
  </w:style>
  <w:style w:type="paragraph" w:customStyle="1" w:styleId="654">
    <w:name w:val="表格内容1"/>
    <w:basedOn w:val="1"/>
    <w:qFormat/>
    <w:uiPriority w:val="0"/>
    <w:pPr>
      <w:spacing w:line="280" w:lineRule="exact"/>
      <w:ind w:left="-70" w:right="-108"/>
    </w:pPr>
    <w:rPr>
      <w:rFonts w:ascii="Times New Roman" w:hAnsi="Times New Roman" w:eastAsia="宋体" w:cs="Times New Roman"/>
      <w:sz w:val="24"/>
      <w:szCs w:val="20"/>
    </w:rPr>
  </w:style>
  <w:style w:type="paragraph" w:customStyle="1" w:styleId="655">
    <w:name w:val="正文缩进（自定义）"/>
    <w:basedOn w:val="1"/>
    <w:qFormat/>
    <w:uiPriority w:val="0"/>
    <w:pPr>
      <w:spacing w:before="120" w:after="120"/>
      <w:ind w:firstLine="480" w:firstLineChars="200"/>
    </w:pPr>
    <w:rPr>
      <w:rFonts w:ascii="Century Gothic" w:hAnsi="Century Gothic" w:eastAsia="宋体" w:cs="Times New Roman"/>
      <w:kern w:val="0"/>
      <w:sz w:val="24"/>
      <w:szCs w:val="24"/>
    </w:rPr>
  </w:style>
  <w:style w:type="paragraph" w:customStyle="1" w:styleId="656">
    <w:name w:val="小标题"/>
    <w:basedOn w:val="88"/>
    <w:qFormat/>
    <w:uiPriority w:val="0"/>
    <w:pPr>
      <w:spacing w:before="120" w:line="360" w:lineRule="auto"/>
      <w:jc w:val="left"/>
    </w:pPr>
    <w:rPr>
      <w:rFonts w:eastAsia="黑体"/>
      <w:b w:val="0"/>
      <w:sz w:val="24"/>
      <w:szCs w:val="24"/>
    </w:rPr>
  </w:style>
  <w:style w:type="paragraph" w:customStyle="1" w:styleId="657">
    <w:name w:val="正文2000"/>
    <w:basedOn w:val="1"/>
    <w:qFormat/>
    <w:uiPriority w:val="0"/>
    <w:pPr>
      <w:snapToGrid w:val="0"/>
      <w:ind w:firstLine="480" w:firstLineChars="200"/>
    </w:pPr>
    <w:rPr>
      <w:rFonts w:ascii="Times New Roman" w:hAnsi="Times New Roman" w:eastAsia="宋体" w:cs="Times New Roman"/>
      <w:kern w:val="0"/>
      <w:sz w:val="24"/>
      <w:szCs w:val="20"/>
    </w:rPr>
  </w:style>
  <w:style w:type="paragraph" w:customStyle="1" w:styleId="658">
    <w:name w:val="样式 样式 样式4 + 黑色 + 自动设置"/>
    <w:basedOn w:val="659"/>
    <w:qFormat/>
    <w:uiPriority w:val="0"/>
    <w:rPr>
      <w:color w:val="auto"/>
    </w:rPr>
  </w:style>
  <w:style w:type="paragraph" w:customStyle="1" w:styleId="659">
    <w:name w:val="样式 样式4 + 黑色"/>
    <w:basedOn w:val="1"/>
    <w:qFormat/>
    <w:uiPriority w:val="0"/>
    <w:pPr>
      <w:spacing w:line="240" w:lineRule="auto"/>
      <w:ind w:firstLine="480" w:firstLineChars="200"/>
    </w:pPr>
    <w:rPr>
      <w:rFonts w:ascii="Times New Roman" w:hAnsi="Times New Roman" w:eastAsia="华文中宋" w:cs="Times New Roman"/>
      <w:color w:val="000000"/>
      <w:sz w:val="24"/>
      <w:szCs w:val="24"/>
    </w:rPr>
  </w:style>
  <w:style w:type="paragraph" w:customStyle="1" w:styleId="660">
    <w:name w:val="xl63"/>
    <w:basedOn w:val="1"/>
    <w:qFormat/>
    <w:uiPriority w:val="0"/>
    <w:pPr>
      <w:widowControl/>
      <w:pBdr>
        <w:top w:val="single" w:color="auto" w:sz="8" w:space="0"/>
        <w:bottom w:val="single" w:color="auto" w:sz="4" w:space="0"/>
        <w:right w:val="single" w:color="auto" w:sz="4" w:space="0"/>
      </w:pBdr>
      <w:spacing w:before="100" w:beforeAutospacing="1" w:after="100" w:afterAutospacing="1" w:line="240" w:lineRule="auto"/>
    </w:pPr>
    <w:rPr>
      <w:rFonts w:ascii="Times New Roman" w:hAnsi="Times New Roman" w:eastAsia="Arial Unicode MS" w:cs="Times New Roman"/>
      <w:kern w:val="0"/>
      <w:sz w:val="18"/>
      <w:szCs w:val="18"/>
    </w:rPr>
  </w:style>
  <w:style w:type="paragraph" w:customStyle="1" w:styleId="661">
    <w:name w:val="样式 样式 宋体 段前: 0.5 行 行距: 固定值 18 磅 + 首行缩进:  2 字符 Char Char"/>
    <w:basedOn w:val="1"/>
    <w:qFormat/>
    <w:uiPriority w:val="0"/>
    <w:pPr>
      <w:snapToGrid w:val="0"/>
      <w:ind w:firstLine="480" w:firstLineChars="200"/>
    </w:pPr>
    <w:rPr>
      <w:rFonts w:ascii="Times New Roman" w:hAnsi="Times New Roman" w:eastAsia="宋体" w:cs="Times New Roman"/>
      <w:color w:val="000000"/>
      <w:sz w:val="24"/>
      <w:szCs w:val="24"/>
    </w:rPr>
  </w:style>
  <w:style w:type="paragraph" w:customStyle="1" w:styleId="662">
    <w:name w:val="6"/>
    <w:basedOn w:val="1"/>
    <w:next w:val="24"/>
    <w:qFormat/>
    <w:uiPriority w:val="0"/>
    <w:pPr>
      <w:ind w:firstLine="420" w:firstLineChars="200"/>
    </w:pPr>
    <w:rPr>
      <w:rFonts w:ascii="Times New Roman" w:hAnsi="Times New Roman" w:eastAsia="宋体" w:cs="Times New Roman"/>
      <w:sz w:val="24"/>
    </w:rPr>
  </w:style>
  <w:style w:type="paragraph" w:customStyle="1" w:styleId="663">
    <w:name w:val="表内文字"/>
    <w:basedOn w:val="1"/>
    <w:qFormat/>
    <w:uiPriority w:val="0"/>
    <w:pPr>
      <w:adjustRightInd w:val="0"/>
      <w:spacing w:before="80" w:line="240" w:lineRule="atLeast"/>
      <w:jc w:val="center"/>
      <w:textAlignment w:val="baseline"/>
    </w:pPr>
    <w:rPr>
      <w:rFonts w:ascii="Times New Roman" w:hAnsi="Times New Roman" w:eastAsia="宋体" w:cs="Times New Roman"/>
      <w:kern w:val="0"/>
      <w:szCs w:val="20"/>
    </w:rPr>
  </w:style>
  <w:style w:type="paragraph" w:customStyle="1" w:styleId="664">
    <w:name w:val="xl83"/>
    <w:basedOn w:val="1"/>
    <w:qFormat/>
    <w:uiPriority w:val="0"/>
    <w:pPr>
      <w:widowControl/>
      <w:pBdr>
        <w:bottom w:val="single" w:color="auto" w:sz="4" w:space="0"/>
        <w:right w:val="single" w:color="auto" w:sz="4" w:space="0"/>
      </w:pBdr>
      <w:spacing w:before="100" w:beforeAutospacing="1" w:after="100" w:afterAutospacing="1" w:line="240" w:lineRule="auto"/>
      <w:jc w:val="center"/>
      <w:textAlignment w:val="top"/>
    </w:pPr>
    <w:rPr>
      <w:rFonts w:ascii="Arial Unicode MS" w:hAnsi="Arial Unicode MS" w:eastAsia="Arial Unicode MS" w:cs="Times New Roman"/>
      <w:kern w:val="0"/>
      <w:sz w:val="20"/>
      <w:szCs w:val="20"/>
    </w:rPr>
  </w:style>
  <w:style w:type="paragraph" w:customStyle="1" w:styleId="665">
    <w:name w:val="font6"/>
    <w:basedOn w:val="1"/>
    <w:qFormat/>
    <w:uiPriority w:val="0"/>
    <w:pPr>
      <w:widowControl/>
      <w:spacing w:before="100" w:beforeAutospacing="1" w:after="100" w:afterAutospacing="1" w:line="240" w:lineRule="auto"/>
      <w:jc w:val="left"/>
    </w:pPr>
    <w:rPr>
      <w:rFonts w:hint="eastAsia" w:ascii="宋体" w:hAnsi="宋体" w:eastAsia="宋体" w:cs="Arial Unicode MS"/>
      <w:kern w:val="0"/>
      <w:sz w:val="20"/>
      <w:szCs w:val="20"/>
    </w:rPr>
  </w:style>
  <w:style w:type="paragraph" w:customStyle="1" w:styleId="666">
    <w:name w:val="xl24"/>
    <w:basedOn w:val="1"/>
    <w:qFormat/>
    <w:uiPriority w:val="0"/>
    <w:pPr>
      <w:widowControl/>
      <w:spacing w:before="100" w:beforeAutospacing="1" w:after="100" w:afterAutospacing="1" w:line="240" w:lineRule="auto"/>
      <w:jc w:val="left"/>
    </w:pPr>
    <w:rPr>
      <w:rFonts w:ascii="Arial Unicode MS" w:hAnsi="Arial Unicode MS" w:eastAsia="Arial Unicode MS" w:cs="Arial Unicode MS"/>
      <w:kern w:val="0"/>
      <w:sz w:val="20"/>
      <w:szCs w:val="20"/>
    </w:rPr>
  </w:style>
  <w:style w:type="paragraph" w:customStyle="1" w:styleId="667">
    <w:name w:val="标题5"/>
    <w:basedOn w:val="26"/>
    <w:qFormat/>
    <w:uiPriority w:val="0"/>
    <w:pPr>
      <w:spacing w:line="440" w:lineRule="exact"/>
      <w:ind w:left="0" w:leftChars="0" w:firstLine="200" w:firstLineChars="200"/>
      <w:outlineLvl w:val="4"/>
    </w:pPr>
    <w:rPr>
      <w:sz w:val="24"/>
      <w:szCs w:val="36"/>
    </w:rPr>
  </w:style>
  <w:style w:type="paragraph" w:customStyle="1" w:styleId="668">
    <w:name w:val="3"/>
    <w:basedOn w:val="1"/>
    <w:next w:val="52"/>
    <w:qFormat/>
    <w:uiPriority w:val="0"/>
    <w:pPr>
      <w:spacing w:line="500" w:lineRule="exact"/>
      <w:ind w:firstLine="480" w:firstLineChars="200"/>
    </w:pPr>
    <w:rPr>
      <w:rFonts w:ascii="Times New Roman" w:hAnsi="Times New Roman" w:eastAsia="宋体" w:cs="Times New Roman"/>
      <w:sz w:val="24"/>
      <w:szCs w:val="20"/>
    </w:rPr>
  </w:style>
  <w:style w:type="paragraph" w:customStyle="1" w:styleId="669">
    <w:name w:val="Char Char Char Char Char Char Char Char Char Char Char Char Char Char Char Char Char Char1 Char Char Char Char Char Char Char Char Char Char Char Char Char Char Char Char"/>
    <w:basedOn w:val="1"/>
    <w:qFormat/>
    <w:uiPriority w:val="0"/>
    <w:pPr>
      <w:ind w:firstLine="200" w:firstLineChars="200"/>
    </w:pPr>
    <w:rPr>
      <w:rFonts w:ascii="宋体" w:hAnsi="Times New Roman" w:eastAsia="宋体" w:cs="Times New Roman"/>
      <w:sz w:val="24"/>
      <w:szCs w:val="20"/>
    </w:rPr>
  </w:style>
  <w:style w:type="paragraph" w:customStyle="1" w:styleId="670">
    <w:name w:val="样式 表名 + Times New Roman 段前: 0.5 行 段后: 0.5 行"/>
    <w:basedOn w:val="465"/>
    <w:qFormat/>
    <w:uiPriority w:val="0"/>
    <w:pPr>
      <w:overflowPunct w:val="0"/>
      <w:topLinePunct/>
      <w:spacing w:beforeLines="50"/>
      <w:outlineLvl w:val="4"/>
    </w:pPr>
    <w:rPr>
      <w:rFonts w:ascii="Times New Roman" w:hAnsi="华文楷体" w:eastAsia="宋体" w:cs="宋体"/>
      <w:b/>
      <w:bCs/>
    </w:rPr>
  </w:style>
  <w:style w:type="paragraph" w:customStyle="1" w:styleId="671">
    <w:name w:val="样式14"/>
    <w:basedOn w:val="1"/>
    <w:qFormat/>
    <w:uiPriority w:val="0"/>
    <w:pPr>
      <w:tabs>
        <w:tab w:val="left" w:pos="1140"/>
      </w:tabs>
      <w:spacing w:beforeLines="50" w:afterLines="50" w:line="240" w:lineRule="auto"/>
    </w:pPr>
    <w:rPr>
      <w:rFonts w:ascii="Times New Roman" w:hAnsi="Times New Roman" w:eastAsia="黑体" w:cs="Times New Roman"/>
      <w:sz w:val="28"/>
      <w:szCs w:val="28"/>
    </w:rPr>
  </w:style>
  <w:style w:type="paragraph" w:customStyle="1" w:styleId="672">
    <w:name w:val="Char Char Char Char Char Char1 Char"/>
    <w:basedOn w:val="1"/>
    <w:qFormat/>
    <w:uiPriority w:val="0"/>
    <w:pPr>
      <w:ind w:firstLine="200" w:firstLineChars="200"/>
    </w:pPr>
    <w:rPr>
      <w:rFonts w:ascii="宋体" w:hAnsi="宋体" w:eastAsia="宋体" w:cs="Times New Roman"/>
      <w:sz w:val="24"/>
      <w:szCs w:val="20"/>
    </w:rPr>
  </w:style>
  <w:style w:type="paragraph" w:customStyle="1" w:styleId="673">
    <w:name w:val="xl42"/>
    <w:basedOn w:val="1"/>
    <w:qFormat/>
    <w:uiPriority w:val="0"/>
    <w:pPr>
      <w:widowControl/>
      <w:pBdr>
        <w:bottom w:val="single" w:color="auto" w:sz="8" w:space="0"/>
        <w:right w:val="single" w:color="auto" w:sz="4" w:space="0"/>
      </w:pBdr>
      <w:spacing w:before="100" w:beforeAutospacing="1" w:after="100" w:afterAutospacing="1" w:line="240" w:lineRule="auto"/>
      <w:jc w:val="center"/>
    </w:pPr>
    <w:rPr>
      <w:rFonts w:ascii="Times New Roman" w:hAnsi="Times New Roman" w:eastAsia="Arial Unicode MS" w:cs="Times New Roman"/>
      <w:kern w:val="0"/>
      <w:sz w:val="18"/>
      <w:szCs w:val="18"/>
    </w:rPr>
  </w:style>
  <w:style w:type="paragraph" w:customStyle="1" w:styleId="674">
    <w:name w:val="样式17"/>
    <w:basedOn w:val="1"/>
    <w:qFormat/>
    <w:uiPriority w:val="0"/>
    <w:pPr>
      <w:spacing w:line="240" w:lineRule="auto"/>
      <w:ind w:firstLine="420" w:firstLineChars="200"/>
    </w:pPr>
    <w:rPr>
      <w:rFonts w:ascii="Times New Roman" w:hAnsi="Times New Roman" w:eastAsia="华文中宋" w:cs="Times New Roman"/>
    </w:rPr>
  </w:style>
  <w:style w:type="paragraph" w:customStyle="1" w:styleId="675">
    <w:name w:val="font5"/>
    <w:basedOn w:val="1"/>
    <w:qFormat/>
    <w:uiPriority w:val="0"/>
    <w:pPr>
      <w:widowControl/>
      <w:spacing w:before="100" w:beforeAutospacing="1" w:after="100" w:afterAutospacing="1" w:line="240" w:lineRule="auto"/>
      <w:jc w:val="left"/>
    </w:pPr>
    <w:rPr>
      <w:rFonts w:hint="eastAsia" w:ascii="宋体" w:hAnsi="宋体" w:eastAsia="宋体" w:cs="Arial Unicode MS"/>
      <w:kern w:val="0"/>
      <w:sz w:val="18"/>
      <w:szCs w:val="18"/>
    </w:rPr>
  </w:style>
  <w:style w:type="paragraph" w:customStyle="1" w:styleId="676">
    <w:name w:val="样式19"/>
    <w:basedOn w:val="630"/>
    <w:qFormat/>
    <w:uiPriority w:val="0"/>
    <w:pPr>
      <w:spacing w:line="300" w:lineRule="exact"/>
      <w:ind w:left="-120" w:leftChars="-50" w:right="-120" w:rightChars="-50"/>
    </w:pPr>
    <w:rPr>
      <w:rFonts w:eastAsia="华文中宋"/>
      <w:sz w:val="21"/>
      <w:szCs w:val="21"/>
    </w:rPr>
  </w:style>
  <w:style w:type="paragraph" w:customStyle="1" w:styleId="677">
    <w:name w:val="图表标题"/>
    <w:basedOn w:val="495"/>
    <w:next w:val="1"/>
    <w:link w:val="678"/>
    <w:qFormat/>
    <w:uiPriority w:val="0"/>
    <w:pPr>
      <w:snapToGrid w:val="0"/>
      <w:ind w:firstLine="0"/>
      <w:jc w:val="center"/>
      <w:textAlignment w:val="baseline"/>
    </w:pPr>
    <w:rPr>
      <w:rFonts w:ascii="Times New Roman" w:hAnsi="Times New Roman"/>
      <w:b/>
      <w:color w:val="0000FF"/>
    </w:rPr>
  </w:style>
  <w:style w:type="character" w:customStyle="1" w:styleId="678">
    <w:name w:val="图表标题 Char Char"/>
    <w:link w:val="677"/>
    <w:qFormat/>
    <w:uiPriority w:val="0"/>
    <w:rPr>
      <w:rFonts w:ascii="Times New Roman" w:hAnsi="Times New Roman"/>
      <w:b/>
      <w:color w:val="0000FF"/>
      <w:sz w:val="24"/>
    </w:rPr>
  </w:style>
  <w:style w:type="paragraph" w:customStyle="1" w:styleId="679">
    <w:name w:val="样式 标题3 + 段前: 0.5 行 段后: 0.5 行1"/>
    <w:basedOn w:val="208"/>
    <w:qFormat/>
    <w:uiPriority w:val="0"/>
    <w:pPr>
      <w:widowControl w:val="0"/>
      <w:overflowPunct w:val="0"/>
      <w:topLinePunct/>
      <w:spacing w:line="440" w:lineRule="exact"/>
      <w:ind w:firstLine="0" w:firstLineChars="0"/>
      <w:jc w:val="both"/>
    </w:pPr>
    <w:rPr>
      <w:rFonts w:eastAsia="华文中宋" w:cs="宋体"/>
      <w:b/>
      <w:bCs/>
      <w:color w:val="auto"/>
      <w:kern w:val="10"/>
      <w:sz w:val="28"/>
      <w:szCs w:val="20"/>
    </w:rPr>
  </w:style>
  <w:style w:type="paragraph" w:customStyle="1" w:styleId="680">
    <w:name w:val="xl71"/>
    <w:basedOn w:val="1"/>
    <w:qFormat/>
    <w:uiPriority w:val="0"/>
    <w:pPr>
      <w:widowControl/>
      <w:pBdr>
        <w:top w:val="single" w:color="auto" w:sz="8" w:space="0"/>
        <w:bottom w:val="single" w:color="auto" w:sz="8" w:space="0"/>
      </w:pBdr>
      <w:spacing w:before="100" w:beforeAutospacing="1" w:after="100" w:afterAutospacing="1" w:line="240" w:lineRule="auto"/>
      <w:jc w:val="center"/>
    </w:pPr>
    <w:rPr>
      <w:rFonts w:ascii="宋体" w:hAnsi="宋体" w:eastAsia="宋体" w:cs="宋体"/>
      <w:kern w:val="0"/>
      <w:sz w:val="18"/>
      <w:szCs w:val="18"/>
    </w:rPr>
  </w:style>
  <w:style w:type="paragraph" w:customStyle="1" w:styleId="681">
    <w:name w:val="default paragraph font Char"/>
    <w:basedOn w:val="1"/>
    <w:qFormat/>
    <w:uiPriority w:val="0"/>
    <w:pPr>
      <w:spacing w:line="240" w:lineRule="atLeast"/>
      <w:ind w:left="420" w:firstLine="420"/>
    </w:pPr>
    <w:rPr>
      <w:rFonts w:ascii="Times New Roman" w:hAnsi="Times New Roman" w:eastAsia="宋体" w:cs="Times New Roman"/>
      <w:szCs w:val="20"/>
    </w:rPr>
  </w:style>
  <w:style w:type="paragraph" w:customStyle="1" w:styleId="682">
    <w:name w:val="font0"/>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 w:type="paragraph" w:customStyle="1" w:styleId="683">
    <w:name w:val="我的正文 Char Char"/>
    <w:basedOn w:val="1"/>
    <w:qFormat/>
    <w:uiPriority w:val="0"/>
    <w:pPr>
      <w:ind w:firstLine="200" w:firstLineChars="200"/>
    </w:pPr>
    <w:rPr>
      <w:rFonts w:ascii="Times New Roman" w:hAnsi="Times New Roman" w:eastAsia="宋体" w:cs="Times New Roman"/>
      <w:sz w:val="24"/>
      <w:szCs w:val="20"/>
    </w:rPr>
  </w:style>
  <w:style w:type="paragraph" w:customStyle="1" w:styleId="684">
    <w:name w:val="4"/>
    <w:basedOn w:val="1"/>
    <w:next w:val="24"/>
    <w:qFormat/>
    <w:uiPriority w:val="0"/>
    <w:pPr>
      <w:adjustRightInd w:val="0"/>
      <w:snapToGrid w:val="0"/>
      <w:ind w:firstLine="420" w:firstLineChars="231"/>
    </w:pPr>
    <w:rPr>
      <w:rFonts w:ascii="宋体" w:hAnsi="Times New Roman" w:eastAsia="宋体" w:cs="Times New Roman"/>
      <w:color w:val="000000"/>
      <w:kern w:val="0"/>
      <w:sz w:val="28"/>
      <w:szCs w:val="20"/>
    </w:rPr>
  </w:style>
  <w:style w:type="paragraph" w:customStyle="1" w:styleId="685">
    <w:name w:val="样式 表名 + 段前: 0.5 行 段后: 0.5 行"/>
    <w:basedOn w:val="465"/>
    <w:qFormat/>
    <w:uiPriority w:val="0"/>
    <w:pPr>
      <w:overflowPunct w:val="0"/>
      <w:topLinePunct/>
      <w:spacing w:beforeLines="50"/>
      <w:outlineLvl w:val="4"/>
    </w:pPr>
    <w:rPr>
      <w:rFonts w:ascii="宋体" w:hAnsi="华文楷体" w:eastAsia="宋体" w:cs="宋体"/>
      <w:b/>
      <w:bCs/>
    </w:rPr>
  </w:style>
  <w:style w:type="paragraph" w:customStyle="1" w:styleId="686">
    <w:name w:val="表格正文"/>
    <w:basedOn w:val="1"/>
    <w:next w:val="1"/>
    <w:link w:val="687"/>
    <w:qFormat/>
    <w:uiPriority w:val="0"/>
    <w:pPr>
      <w:adjustRightInd w:val="0"/>
      <w:snapToGrid w:val="0"/>
      <w:spacing w:line="240" w:lineRule="auto"/>
      <w:jc w:val="center"/>
      <w:textAlignment w:val="baseline"/>
    </w:pPr>
    <w:rPr>
      <w:rFonts w:ascii="宋体" w:hAnsi="Times New Roman" w:eastAsia="宋体" w:cs="Times New Roman"/>
      <w:snapToGrid w:val="0"/>
      <w:spacing w:val="4"/>
      <w:w w:val="90"/>
      <w:kern w:val="0"/>
      <w:sz w:val="24"/>
      <w:szCs w:val="24"/>
    </w:rPr>
  </w:style>
  <w:style w:type="character" w:customStyle="1" w:styleId="687">
    <w:name w:val="表格正文 Char Char"/>
    <w:link w:val="686"/>
    <w:qFormat/>
    <w:uiPriority w:val="0"/>
    <w:rPr>
      <w:rFonts w:ascii="宋体" w:hAnsi="Times New Roman" w:eastAsia="宋体" w:cs="Times New Roman"/>
      <w:snapToGrid w:val="0"/>
      <w:spacing w:val="4"/>
      <w:w w:val="90"/>
      <w:kern w:val="0"/>
      <w:sz w:val="24"/>
      <w:szCs w:val="24"/>
    </w:rPr>
  </w:style>
  <w:style w:type="paragraph" w:customStyle="1" w:styleId="688">
    <w:name w:val="正文（西藏格式）"/>
    <w:basedOn w:val="1"/>
    <w:qFormat/>
    <w:uiPriority w:val="0"/>
    <w:pPr>
      <w:adjustRightInd w:val="0"/>
      <w:snapToGrid w:val="0"/>
      <w:spacing w:line="240" w:lineRule="auto"/>
    </w:pPr>
    <w:rPr>
      <w:rFonts w:ascii="Times New Roman" w:hAnsi="Times New Roman" w:eastAsia="宋体" w:cs="Times New Roman"/>
      <w:snapToGrid w:val="0"/>
      <w:sz w:val="24"/>
    </w:rPr>
  </w:style>
  <w:style w:type="paragraph" w:customStyle="1" w:styleId="689">
    <w:name w:val="样式 左侧:  1 字符 右侧:  1 字符1"/>
    <w:basedOn w:val="1"/>
    <w:qFormat/>
    <w:uiPriority w:val="0"/>
    <w:pPr>
      <w:tabs>
        <w:tab w:val="left" w:pos="6660"/>
        <w:tab w:val="left" w:pos="8370"/>
      </w:tabs>
      <w:adjustRightInd w:val="0"/>
      <w:ind w:right="-36" w:rightChars="-15" w:firstLine="449" w:firstLineChars="187"/>
    </w:pPr>
    <w:rPr>
      <w:rFonts w:ascii="Times New Roman" w:hAnsi="Times New Roman" w:eastAsia="宋体" w:cs="宋体"/>
      <w:color w:val="000000"/>
      <w:sz w:val="24"/>
      <w:szCs w:val="20"/>
    </w:rPr>
  </w:style>
  <w:style w:type="paragraph" w:customStyle="1" w:styleId="690">
    <w:name w:val="xl69"/>
    <w:basedOn w:val="1"/>
    <w:qFormat/>
    <w:uiPriority w:val="0"/>
    <w:pPr>
      <w:widowControl/>
      <w:pBdr>
        <w:bottom w:val="single" w:color="auto" w:sz="8" w:space="0"/>
        <w:right w:val="single" w:color="auto" w:sz="4"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691">
    <w:name w:val="样式 样式 首行缩进:  2 字符 + 首行缩进:  2 字符"/>
    <w:basedOn w:val="1"/>
    <w:qFormat/>
    <w:uiPriority w:val="0"/>
    <w:pPr>
      <w:ind w:firstLine="480" w:firstLineChars="200"/>
    </w:pPr>
    <w:rPr>
      <w:rFonts w:ascii="Times New Roman" w:hAnsi="宋体" w:eastAsia="宋体" w:cs="Times New Roman"/>
      <w:sz w:val="24"/>
      <w:szCs w:val="24"/>
    </w:rPr>
  </w:style>
  <w:style w:type="paragraph" w:customStyle="1" w:styleId="692">
    <w:name w:val="样式 样式 样式 标题 3标题 33 + 段前: 0.5 行 + 段前: 0.5 行 + 段前: 6 磅 段后: 6 磅"/>
    <w:basedOn w:val="1"/>
    <w:qFormat/>
    <w:uiPriority w:val="0"/>
    <w:pPr>
      <w:keepNext/>
      <w:keepLines/>
      <w:outlineLvl w:val="2"/>
    </w:pPr>
    <w:rPr>
      <w:rFonts w:ascii="黑体" w:hAnsi="Times New Roman" w:eastAsia="黑体" w:cs="Times New Roman"/>
      <w:snapToGrid w:val="0"/>
      <w:kern w:val="0"/>
      <w:sz w:val="24"/>
      <w:szCs w:val="20"/>
    </w:rPr>
  </w:style>
  <w:style w:type="paragraph" w:customStyle="1" w:styleId="693">
    <w:name w:val="表头文字"/>
    <w:basedOn w:val="1"/>
    <w:qFormat/>
    <w:uiPriority w:val="0"/>
    <w:pPr>
      <w:adjustRightInd w:val="0"/>
      <w:snapToGrid w:val="0"/>
      <w:spacing w:before="120" w:line="300" w:lineRule="auto"/>
      <w:jc w:val="center"/>
    </w:pPr>
    <w:rPr>
      <w:rFonts w:ascii="Times New Roman" w:hAnsi="Times New Roman" w:eastAsia="黑体" w:cs="Times New Roman"/>
      <w:sz w:val="24"/>
      <w:szCs w:val="24"/>
    </w:rPr>
  </w:style>
  <w:style w:type="paragraph" w:customStyle="1" w:styleId="694">
    <w:name w:val="xl51"/>
    <w:basedOn w:val="1"/>
    <w:qFormat/>
    <w:uiPriority w:val="0"/>
    <w:pPr>
      <w:widowControl/>
      <w:pBdr>
        <w:top w:val="single" w:color="auto" w:sz="4" w:space="0"/>
        <w:right w:val="single" w:color="auto" w:sz="4" w:space="0"/>
      </w:pBdr>
      <w:spacing w:before="100" w:beforeAutospacing="1" w:after="100" w:afterAutospacing="1" w:line="240" w:lineRule="auto"/>
      <w:jc w:val="center"/>
    </w:pPr>
    <w:rPr>
      <w:rFonts w:hint="eastAsia" w:ascii="新宋体" w:hAnsi="新宋体" w:eastAsia="新宋体" w:cs="Arial Unicode MS"/>
      <w:kern w:val="0"/>
      <w:sz w:val="18"/>
      <w:szCs w:val="18"/>
    </w:rPr>
  </w:style>
  <w:style w:type="paragraph" w:customStyle="1" w:styleId="695">
    <w:name w:val="Char Char Char Char Char Char Char Char Char1 Char Char Char Char"/>
    <w:basedOn w:val="1"/>
    <w:qFormat/>
    <w:uiPriority w:val="0"/>
    <w:pPr>
      <w:ind w:firstLine="200" w:firstLineChars="200"/>
    </w:pPr>
    <w:rPr>
      <w:rFonts w:ascii="宋体" w:hAnsi="宋体" w:eastAsia="宋体" w:cs="宋体"/>
      <w:sz w:val="24"/>
      <w:szCs w:val="26"/>
    </w:rPr>
  </w:style>
  <w:style w:type="paragraph" w:customStyle="1" w:styleId="696">
    <w:name w:val="三章正文"/>
    <w:basedOn w:val="4"/>
    <w:qFormat/>
    <w:uiPriority w:val="0"/>
    <w:pPr>
      <w:spacing w:after="0"/>
      <w:ind w:firstLine="200" w:firstLineChars="200"/>
    </w:pPr>
    <w:rPr>
      <w:rFonts w:ascii="Times New Roman" w:hAnsi="Times New Roman" w:eastAsia="宋体" w:cs="Times New Roman"/>
      <w:sz w:val="24"/>
      <w:szCs w:val="20"/>
    </w:rPr>
  </w:style>
  <w:style w:type="paragraph" w:customStyle="1" w:styleId="697">
    <w:name w:val="xl75"/>
    <w:basedOn w:val="1"/>
    <w:qFormat/>
    <w:uiPriority w:val="0"/>
    <w:pPr>
      <w:widowControl/>
      <w:pBdr>
        <w:left w:val="single" w:color="auto" w:sz="8" w:space="0"/>
        <w:right w:val="single" w:color="auto" w:sz="8" w:space="0"/>
      </w:pBdr>
      <w:spacing w:before="100" w:beforeAutospacing="1" w:after="100" w:afterAutospacing="1" w:line="240" w:lineRule="auto"/>
      <w:jc w:val="center"/>
    </w:pPr>
    <w:rPr>
      <w:rFonts w:ascii="宋体" w:hAnsi="宋体" w:eastAsia="宋体" w:cs="宋体"/>
      <w:kern w:val="0"/>
      <w:sz w:val="18"/>
      <w:szCs w:val="18"/>
    </w:rPr>
  </w:style>
  <w:style w:type="paragraph" w:customStyle="1" w:styleId="698">
    <w:name w:val="表中"/>
    <w:qFormat/>
    <w:uiPriority w:val="0"/>
    <w:pPr>
      <w:spacing w:line="240" w:lineRule="atLeast"/>
      <w:jc w:val="center"/>
    </w:pPr>
    <w:rPr>
      <w:rFonts w:ascii="Times New Roman" w:hAnsi="Times New Roman" w:eastAsia="宋体" w:cs="Times New Roman"/>
      <w:sz w:val="24"/>
      <w:lang w:val="en-US" w:eastAsia="zh-CN" w:bidi="ar-SA"/>
    </w:rPr>
  </w:style>
  <w:style w:type="paragraph" w:customStyle="1" w:styleId="699">
    <w:name w:val="xl74"/>
    <w:basedOn w:val="1"/>
    <w:qFormat/>
    <w:uiPriority w:val="0"/>
    <w:pPr>
      <w:widowControl/>
      <w:pBdr>
        <w:top w:val="single" w:color="auto" w:sz="8" w:space="0"/>
        <w:bottom w:val="single" w:color="auto" w:sz="8" w:space="0"/>
        <w:right w:val="single" w:color="auto" w:sz="8" w:space="0"/>
      </w:pBdr>
      <w:spacing w:before="100" w:beforeAutospacing="1" w:after="100" w:afterAutospacing="1" w:line="240" w:lineRule="auto"/>
      <w:jc w:val="center"/>
    </w:pPr>
    <w:rPr>
      <w:rFonts w:ascii="宋体" w:hAnsi="宋体" w:eastAsia="宋体" w:cs="宋体"/>
      <w:kern w:val="0"/>
      <w:sz w:val="18"/>
      <w:szCs w:val="18"/>
    </w:rPr>
  </w:style>
  <w:style w:type="paragraph" w:customStyle="1" w:styleId="700">
    <w:name w:val="报告书"/>
    <w:basedOn w:val="1"/>
    <w:link w:val="701"/>
    <w:qFormat/>
    <w:uiPriority w:val="0"/>
    <w:pPr>
      <w:spacing w:line="300" w:lineRule="auto"/>
      <w:ind w:firstLine="200" w:firstLineChars="200"/>
    </w:pPr>
    <w:rPr>
      <w:rFonts w:ascii="Times New Roman" w:hAnsi="Times New Roman" w:eastAsia="宋体" w:cs="Times New Roman"/>
      <w:sz w:val="24"/>
      <w:szCs w:val="20"/>
    </w:rPr>
  </w:style>
  <w:style w:type="character" w:customStyle="1" w:styleId="701">
    <w:name w:val="报告书 Char"/>
    <w:basedOn w:val="94"/>
    <w:link w:val="700"/>
    <w:qFormat/>
    <w:uiPriority w:val="0"/>
    <w:rPr>
      <w:rFonts w:ascii="Times New Roman" w:hAnsi="Times New Roman" w:eastAsia="宋体" w:cs="Times New Roman"/>
      <w:kern w:val="2"/>
      <w:sz w:val="24"/>
    </w:rPr>
  </w:style>
  <w:style w:type="paragraph" w:customStyle="1" w:styleId="702">
    <w:name w:val="样式 标题 1 + 段前: 0.5 行 段后: 0.5 行1"/>
    <w:basedOn w:val="6"/>
    <w:qFormat/>
    <w:uiPriority w:val="0"/>
    <w:pPr>
      <w:numPr>
        <w:numId w:val="0"/>
      </w:numPr>
      <w:spacing w:beforeLines="50" w:afterLines="50" w:line="440" w:lineRule="exact"/>
    </w:pPr>
    <w:rPr>
      <w:rFonts w:eastAsia="华文中宋" w:cs="宋体"/>
      <w:szCs w:val="32"/>
    </w:rPr>
  </w:style>
  <w:style w:type="paragraph" w:customStyle="1" w:styleId="703">
    <w:name w:val="表样"/>
    <w:basedOn w:val="1"/>
    <w:qFormat/>
    <w:uiPriority w:val="0"/>
    <w:pPr>
      <w:adjustRightInd w:val="0"/>
      <w:snapToGrid w:val="0"/>
      <w:jc w:val="center"/>
      <w:textAlignment w:val="baseline"/>
    </w:pPr>
    <w:rPr>
      <w:rFonts w:ascii="Times New Roman" w:hAnsi="Times New Roman" w:eastAsia="宋体" w:cs="Times New Roman"/>
      <w:kern w:val="0"/>
      <w:sz w:val="24"/>
      <w:szCs w:val="20"/>
    </w:rPr>
  </w:style>
  <w:style w:type="paragraph" w:customStyle="1" w:styleId="704">
    <w:name w:val="Char11"/>
    <w:basedOn w:val="1"/>
    <w:qFormat/>
    <w:uiPriority w:val="0"/>
    <w:pPr>
      <w:spacing w:line="240" w:lineRule="auto"/>
    </w:pPr>
    <w:rPr>
      <w:rFonts w:ascii="Times New Roman" w:hAnsi="Times New Roman" w:eastAsia="宋体" w:cs="Times New Roman"/>
      <w:sz w:val="24"/>
      <w:szCs w:val="20"/>
    </w:rPr>
  </w:style>
  <w:style w:type="paragraph" w:customStyle="1" w:styleId="705">
    <w:name w:val="样式 样式 样式 标题 3标题 33 + 段前: 0.5 行 + 段前: 0.5 行 + 段前: 6 磅 段后: 6 磅1"/>
    <w:basedOn w:val="706"/>
    <w:qFormat/>
    <w:uiPriority w:val="0"/>
  </w:style>
  <w:style w:type="paragraph" w:customStyle="1" w:styleId="706">
    <w:name w:val="样式 样式 标题 3标题 33 + 段前: 0.5 行 + 段前: 0.5 行"/>
    <w:basedOn w:val="707"/>
    <w:qFormat/>
    <w:uiPriority w:val="0"/>
  </w:style>
  <w:style w:type="paragraph" w:customStyle="1" w:styleId="707">
    <w:name w:val="样式 标题 3标题 33 + 段前: 0.5 行"/>
    <w:basedOn w:val="8"/>
    <w:qFormat/>
    <w:uiPriority w:val="0"/>
    <w:pPr>
      <w:numPr>
        <w:ilvl w:val="0"/>
        <w:numId w:val="0"/>
      </w:numPr>
      <w:spacing w:before="0" w:after="0" w:line="360" w:lineRule="auto"/>
      <w:jc w:val="both"/>
    </w:pPr>
    <w:rPr>
      <w:rFonts w:ascii="黑体" w:eastAsia="黑体" w:cs="Times New Roman"/>
      <w:b w:val="0"/>
      <w:bCs w:val="0"/>
      <w:snapToGrid w:val="0"/>
      <w:color w:val="008000"/>
      <w:kern w:val="0"/>
      <w:szCs w:val="20"/>
    </w:rPr>
  </w:style>
  <w:style w:type="paragraph" w:customStyle="1" w:styleId="708">
    <w:name w:val="z-窗体底端1"/>
    <w:basedOn w:val="1"/>
    <w:next w:val="1"/>
    <w:link w:val="709"/>
    <w:qFormat/>
    <w:uiPriority w:val="0"/>
    <w:pPr>
      <w:widowControl/>
      <w:pBdr>
        <w:top w:val="single" w:color="auto" w:sz="6" w:space="1"/>
      </w:pBdr>
      <w:spacing w:line="240" w:lineRule="auto"/>
      <w:jc w:val="center"/>
    </w:pPr>
    <w:rPr>
      <w:rFonts w:ascii="Arial" w:hAnsi="Arial" w:eastAsia="宋体" w:cs="Times New Roman"/>
      <w:vanish/>
      <w:kern w:val="0"/>
      <w:sz w:val="16"/>
      <w:szCs w:val="16"/>
    </w:rPr>
  </w:style>
  <w:style w:type="character" w:customStyle="1" w:styleId="709">
    <w:name w:val="z-窗体底端 Char"/>
    <w:basedOn w:val="94"/>
    <w:link w:val="708"/>
    <w:qFormat/>
    <w:uiPriority w:val="0"/>
    <w:rPr>
      <w:rFonts w:ascii="Arial" w:hAnsi="Arial" w:eastAsia="宋体" w:cs="Times New Roman"/>
      <w:vanish/>
      <w:kern w:val="0"/>
      <w:sz w:val="16"/>
      <w:szCs w:val="16"/>
    </w:rPr>
  </w:style>
  <w:style w:type="paragraph" w:customStyle="1" w:styleId="710">
    <w:name w:val="生物拉丁文名"/>
    <w:basedOn w:val="1"/>
    <w:qFormat/>
    <w:uiPriority w:val="0"/>
    <w:pPr>
      <w:tabs>
        <w:tab w:val="left" w:pos="-120"/>
      </w:tabs>
      <w:overflowPunct w:val="0"/>
      <w:topLinePunct/>
      <w:autoSpaceDE w:val="0"/>
      <w:adjustRightInd w:val="0"/>
      <w:snapToGrid w:val="0"/>
      <w:spacing w:before="60" w:afterLines="50" w:line="0" w:lineRule="atLeast"/>
      <w:ind w:firstLine="454"/>
    </w:pPr>
    <w:rPr>
      <w:rFonts w:ascii="Times New Roman" w:hAnsi="Times New Roman" w:eastAsia="宋体" w:cs="Times New Roman"/>
      <w:i/>
      <w:spacing w:val="20"/>
      <w:sz w:val="24"/>
      <w:szCs w:val="20"/>
    </w:rPr>
  </w:style>
  <w:style w:type="paragraph" w:customStyle="1" w:styleId="711">
    <w:name w:val="xl30"/>
    <w:basedOn w:val="1"/>
    <w:qFormat/>
    <w:uiPriority w:val="0"/>
    <w:pPr>
      <w:widowControl/>
      <w:pBdr>
        <w:bottom w:val="single" w:color="auto" w:sz="4" w:space="0"/>
        <w:right w:val="single" w:color="auto" w:sz="4" w:space="0"/>
      </w:pBdr>
      <w:spacing w:before="100" w:beforeAutospacing="1" w:after="100" w:afterAutospacing="1" w:line="240" w:lineRule="auto"/>
      <w:jc w:val="center"/>
    </w:pPr>
    <w:rPr>
      <w:rFonts w:ascii="Times New Roman" w:hAnsi="Times New Roman" w:eastAsia="Arial Unicode MS" w:cs="Times New Roman"/>
      <w:kern w:val="0"/>
      <w:sz w:val="18"/>
      <w:szCs w:val="18"/>
    </w:rPr>
  </w:style>
  <w:style w:type="paragraph" w:customStyle="1" w:styleId="712">
    <w:name w:val="样式42"/>
    <w:basedOn w:val="1"/>
    <w:qFormat/>
    <w:uiPriority w:val="0"/>
    <w:pPr>
      <w:spacing w:beforeLines="50" w:afterLines="50" w:line="240" w:lineRule="auto"/>
      <w:ind w:firstLine="480" w:firstLineChars="200"/>
    </w:pPr>
    <w:rPr>
      <w:rFonts w:ascii="Times New Roman" w:hAnsi="Times New Roman" w:eastAsia="华文中宋" w:cs="Times New Roman"/>
      <w:color w:val="000000"/>
      <w:sz w:val="24"/>
      <w:szCs w:val="24"/>
    </w:rPr>
  </w:style>
  <w:style w:type="paragraph" w:customStyle="1" w:styleId="713">
    <w:name w:val="样式 正文文字1 + 首行缩进:  2 字符"/>
    <w:basedOn w:val="1"/>
    <w:qFormat/>
    <w:uiPriority w:val="0"/>
    <w:pPr>
      <w:spacing w:line="300" w:lineRule="auto"/>
      <w:ind w:firstLine="200" w:firstLineChars="200"/>
    </w:pPr>
    <w:rPr>
      <w:rFonts w:ascii="Times New Roman" w:hAnsi="Times New Roman" w:eastAsia="宋体" w:cs="Times New Roman"/>
      <w:sz w:val="24"/>
      <w:szCs w:val="20"/>
    </w:rPr>
  </w:style>
  <w:style w:type="paragraph" w:customStyle="1" w:styleId="714">
    <w:name w:val="正文 + (符号) 宋体"/>
    <w:basedOn w:val="59"/>
    <w:qFormat/>
    <w:uiPriority w:val="0"/>
    <w:pPr>
      <w:spacing w:line="500" w:lineRule="exact"/>
      <w:ind w:firstLine="504" w:firstLineChars="200"/>
    </w:pPr>
    <w:rPr>
      <w:spacing w:val="6"/>
      <w:kern w:val="0"/>
    </w:rPr>
  </w:style>
  <w:style w:type="paragraph" w:customStyle="1" w:styleId="715">
    <w:name w:val="样式 (中文) 楷体_GB2312 小四 行距: 1.5 倍行距"/>
    <w:basedOn w:val="1"/>
    <w:qFormat/>
    <w:uiPriority w:val="0"/>
    <w:pPr>
      <w:ind w:firstLine="480" w:firstLineChars="200"/>
    </w:pPr>
    <w:rPr>
      <w:rFonts w:ascii="Times New Roman" w:hAnsi="Times New Roman" w:eastAsia="楷体_GB2312" w:cs="宋体"/>
      <w:sz w:val="24"/>
      <w:szCs w:val="20"/>
    </w:rPr>
  </w:style>
  <w:style w:type="paragraph" w:customStyle="1" w:styleId="716">
    <w:name w:val="样式 标题 2 + 段前: 0.5 行 段后: 0.5 行"/>
    <w:basedOn w:val="7"/>
    <w:qFormat/>
    <w:uiPriority w:val="0"/>
    <w:pPr>
      <w:numPr>
        <w:ilvl w:val="0"/>
        <w:numId w:val="0"/>
      </w:numPr>
      <w:spacing w:before="156" w:after="156" w:line="440" w:lineRule="exact"/>
      <w:jc w:val="both"/>
    </w:pPr>
    <w:rPr>
      <w:rFonts w:eastAsia="黑体" w:cs="宋体"/>
      <w:sz w:val="30"/>
      <w:szCs w:val="30"/>
    </w:rPr>
  </w:style>
  <w:style w:type="paragraph" w:customStyle="1" w:styleId="717">
    <w:name w:val="xyb自建表格名称"/>
    <w:basedOn w:val="1"/>
    <w:qFormat/>
    <w:uiPriority w:val="0"/>
    <w:pPr>
      <w:jc w:val="center"/>
    </w:pPr>
    <w:rPr>
      <w:rFonts w:ascii="宋体" w:hAnsi="宋体" w:eastAsia="宋体" w:cs="Times New Roman"/>
      <w:sz w:val="24"/>
      <w:szCs w:val="24"/>
    </w:rPr>
  </w:style>
  <w:style w:type="paragraph" w:customStyle="1" w:styleId="718">
    <w:name w:val="样式 标题1 + 行距: 1.5 倍行距"/>
    <w:basedOn w:val="46"/>
    <w:next w:val="6"/>
    <w:qFormat/>
    <w:uiPriority w:val="0"/>
    <w:pPr>
      <w:overflowPunct w:val="0"/>
      <w:topLinePunct/>
      <w:ind w:firstLine="0" w:firstLineChars="0"/>
      <w:jc w:val="center"/>
      <w:outlineLvl w:val="0"/>
    </w:pPr>
    <w:rPr>
      <w:rFonts w:hAnsi="宋体" w:eastAsia="华文中宋" w:cs="宋体"/>
      <w:b/>
      <w:bCs/>
      <w:color w:val="000000"/>
      <w:sz w:val="32"/>
    </w:rPr>
  </w:style>
  <w:style w:type="paragraph" w:customStyle="1" w:styleId="719">
    <w:name w:val="PSPSPSPS"/>
    <w:basedOn w:val="1"/>
    <w:qFormat/>
    <w:uiPriority w:val="0"/>
    <w:pPr>
      <w:adjustRightInd w:val="0"/>
      <w:spacing w:line="600" w:lineRule="atLeast"/>
      <w:textAlignment w:val="baseline"/>
    </w:pPr>
    <w:rPr>
      <w:rFonts w:ascii="Times New Roman" w:hAnsi="Times New Roman" w:eastAsia="宋体" w:cs="Times New Roman"/>
      <w:kern w:val="0"/>
      <w:sz w:val="28"/>
      <w:szCs w:val="20"/>
    </w:rPr>
  </w:style>
  <w:style w:type="paragraph" w:customStyle="1" w:styleId="720">
    <w:name w:val="样式 首行缩进:  2 字符"/>
    <w:basedOn w:val="1"/>
    <w:qFormat/>
    <w:uiPriority w:val="0"/>
    <w:pPr>
      <w:spacing w:line="440" w:lineRule="exact"/>
      <w:ind w:firstLine="200" w:firstLineChars="200"/>
    </w:pPr>
    <w:rPr>
      <w:rFonts w:ascii="Times New Roman" w:hAnsi="Times New Roman" w:eastAsia="宋体" w:cs="宋体"/>
      <w:sz w:val="24"/>
      <w:szCs w:val="20"/>
    </w:rPr>
  </w:style>
  <w:style w:type="paragraph" w:customStyle="1" w:styleId="721">
    <w:name w:val="样式 标题 2 + (中文) 华文中宋 四号"/>
    <w:basedOn w:val="7"/>
    <w:qFormat/>
    <w:uiPriority w:val="0"/>
    <w:pPr>
      <w:numPr>
        <w:ilvl w:val="0"/>
        <w:numId w:val="0"/>
      </w:numPr>
      <w:tabs>
        <w:tab w:val="left" w:pos="992"/>
      </w:tabs>
      <w:adjustRightInd w:val="0"/>
      <w:snapToGrid w:val="0"/>
      <w:spacing w:before="232" w:after="232" w:line="240" w:lineRule="auto"/>
      <w:ind w:left="992" w:hanging="567"/>
      <w:jc w:val="both"/>
      <w:textAlignment w:val="baseline"/>
    </w:pPr>
    <w:rPr>
      <w:rFonts w:eastAsia="华文中宋" w:cs="Times New Roman"/>
      <w:kern w:val="30"/>
    </w:rPr>
  </w:style>
  <w:style w:type="paragraph" w:customStyle="1" w:styleId="722">
    <w:name w:val="10"/>
    <w:basedOn w:val="1"/>
    <w:next w:val="40"/>
    <w:qFormat/>
    <w:uiPriority w:val="0"/>
    <w:pPr>
      <w:spacing w:line="324" w:lineRule="auto"/>
      <w:ind w:left="-105" w:leftChars="-50" w:right="-105" w:rightChars="-50" w:firstLine="482"/>
      <w:jc w:val="left"/>
    </w:pPr>
    <w:rPr>
      <w:rFonts w:ascii="Times New Roman" w:hAnsi="Times New Roman" w:eastAsia="宋体" w:cs="Times New Roman"/>
      <w:color w:val="000000"/>
      <w:sz w:val="24"/>
      <w:szCs w:val="24"/>
    </w:rPr>
  </w:style>
  <w:style w:type="paragraph" w:customStyle="1" w:styleId="723">
    <w:name w:val="样式 标题 1 + 段前: 0.5 行 段后: 0.5 行"/>
    <w:basedOn w:val="6"/>
    <w:qFormat/>
    <w:uiPriority w:val="0"/>
    <w:pPr>
      <w:numPr>
        <w:numId w:val="0"/>
      </w:numPr>
      <w:spacing w:beforeLines="50" w:afterLines="50" w:line="440" w:lineRule="exact"/>
    </w:pPr>
    <w:rPr>
      <w:rFonts w:eastAsia="黑体" w:cs="宋体"/>
      <w:szCs w:val="32"/>
    </w:rPr>
  </w:style>
  <w:style w:type="paragraph" w:customStyle="1" w:styleId="724">
    <w:name w:val="Bt3"/>
    <w:basedOn w:val="8"/>
    <w:next w:val="1"/>
    <w:qFormat/>
    <w:uiPriority w:val="0"/>
    <w:pPr>
      <w:numPr>
        <w:ilvl w:val="0"/>
        <w:numId w:val="0"/>
      </w:numPr>
      <w:spacing w:before="0" w:after="0" w:line="360" w:lineRule="auto"/>
    </w:pPr>
    <w:rPr>
      <w:rFonts w:eastAsia="黑体" w:cs="Times New Roman"/>
      <w:b w:val="0"/>
      <w:bCs w:val="0"/>
      <w:snapToGrid w:val="0"/>
      <w:kern w:val="0"/>
      <w:szCs w:val="20"/>
    </w:rPr>
  </w:style>
  <w:style w:type="paragraph" w:customStyle="1" w:styleId="725">
    <w:name w:val="xl73"/>
    <w:basedOn w:val="1"/>
    <w:qFormat/>
    <w:uiPriority w:val="0"/>
    <w:pPr>
      <w:widowControl/>
      <w:pBdr>
        <w:left w:val="single" w:color="auto" w:sz="8" w:space="0"/>
        <w:right w:val="single" w:color="auto" w:sz="8" w:space="0"/>
      </w:pBdr>
      <w:spacing w:before="100" w:beforeAutospacing="1" w:after="100" w:afterAutospacing="1" w:line="240" w:lineRule="auto"/>
      <w:jc w:val="center"/>
    </w:pPr>
    <w:rPr>
      <w:rFonts w:ascii="宋体" w:hAnsi="宋体" w:eastAsia="宋体" w:cs="宋体"/>
      <w:kern w:val="0"/>
      <w:sz w:val="18"/>
      <w:szCs w:val="18"/>
    </w:rPr>
  </w:style>
  <w:style w:type="character" w:customStyle="1" w:styleId="726">
    <w:name w:val="报告表格 Char"/>
    <w:link w:val="176"/>
    <w:qFormat/>
    <w:uiPriority w:val="0"/>
    <w:rPr>
      <w:rFonts w:ascii="Times New Roman" w:hAnsi="Times New Roman" w:eastAsia="宋体" w:cs="Times New Roman"/>
      <w:sz w:val="24"/>
      <w:szCs w:val="24"/>
    </w:rPr>
  </w:style>
  <w:style w:type="paragraph" w:customStyle="1" w:styleId="727">
    <w:name w:val="正文文字 Char Char1"/>
    <w:basedOn w:val="1"/>
    <w:qFormat/>
    <w:uiPriority w:val="0"/>
    <w:pPr>
      <w:spacing w:line="300" w:lineRule="auto"/>
      <w:ind w:firstLine="200" w:firstLineChars="200"/>
    </w:pPr>
    <w:rPr>
      <w:rFonts w:ascii="Times New Roman" w:hAnsi="Times New Roman" w:eastAsia="宋体" w:cs="Times New Roman"/>
      <w:sz w:val="24"/>
      <w:szCs w:val="20"/>
    </w:rPr>
  </w:style>
  <w:style w:type="paragraph" w:customStyle="1" w:styleId="728">
    <w:name w:val="xl37"/>
    <w:basedOn w:val="1"/>
    <w:qFormat/>
    <w:uiPriority w:val="0"/>
    <w:pPr>
      <w:widowControl/>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729">
    <w:name w:val="Char5"/>
    <w:basedOn w:val="1"/>
    <w:qFormat/>
    <w:uiPriority w:val="0"/>
    <w:pPr>
      <w:shd w:val="clear" w:color="auto" w:fill="000080"/>
      <w:adjustRightInd w:val="0"/>
      <w:spacing w:line="436" w:lineRule="exact"/>
      <w:ind w:left="357"/>
      <w:jc w:val="left"/>
      <w:outlineLvl w:val="3"/>
    </w:pPr>
    <w:rPr>
      <w:rFonts w:ascii="Tahoma" w:hAnsi="Tahoma" w:eastAsia="宋体" w:cs="Times New Roman"/>
      <w:b/>
      <w:sz w:val="24"/>
      <w:szCs w:val="28"/>
      <w:shd w:val="clear" w:color="auto" w:fill="000080"/>
    </w:rPr>
  </w:style>
  <w:style w:type="paragraph" w:customStyle="1" w:styleId="730">
    <w:name w:val="样式 标题2 + 三号"/>
    <w:basedOn w:val="1"/>
    <w:qFormat/>
    <w:uiPriority w:val="0"/>
    <w:pPr>
      <w:keepNext/>
      <w:keepLines/>
      <w:outlineLvl w:val="0"/>
    </w:pPr>
    <w:rPr>
      <w:rFonts w:ascii="Times New Roman" w:hAnsi="Times New Roman" w:eastAsia="黑体" w:cs="宋体"/>
      <w:b/>
      <w:bCs/>
      <w:kern w:val="44"/>
      <w:sz w:val="32"/>
      <w:szCs w:val="20"/>
    </w:rPr>
  </w:style>
  <w:style w:type="paragraph" w:customStyle="1" w:styleId="731">
    <w:name w:val="我的样式"/>
    <w:basedOn w:val="1"/>
    <w:qFormat/>
    <w:uiPriority w:val="0"/>
    <w:pPr>
      <w:tabs>
        <w:tab w:val="left" w:pos="360"/>
      </w:tabs>
      <w:spacing w:line="240" w:lineRule="auto"/>
      <w:ind w:left="360" w:hanging="360"/>
    </w:pPr>
    <w:rPr>
      <w:rFonts w:ascii="Times New Roman" w:hAnsi="Times New Roman" w:eastAsia="宋体" w:cs="Times New Roman"/>
      <w:szCs w:val="24"/>
    </w:rPr>
  </w:style>
  <w:style w:type="paragraph" w:customStyle="1" w:styleId="732">
    <w:name w:val="font12"/>
    <w:basedOn w:val="1"/>
    <w:qFormat/>
    <w:uiPriority w:val="0"/>
    <w:pPr>
      <w:widowControl/>
      <w:spacing w:before="100" w:beforeAutospacing="1" w:after="100" w:afterAutospacing="1" w:line="240" w:lineRule="auto"/>
      <w:jc w:val="left"/>
    </w:pPr>
    <w:rPr>
      <w:rFonts w:ascii="Times New Roman" w:hAnsi="Times New Roman" w:eastAsia="宋体" w:cs="Times New Roman"/>
      <w:color w:val="FF6600"/>
      <w:kern w:val="0"/>
      <w:sz w:val="24"/>
      <w:szCs w:val="24"/>
    </w:rPr>
  </w:style>
  <w:style w:type="paragraph" w:customStyle="1" w:styleId="733">
    <w:name w:val="xl40"/>
    <w:basedOn w:val="1"/>
    <w:qFormat/>
    <w:uiPriority w:val="0"/>
    <w:pPr>
      <w:widowControl/>
      <w:pBdr>
        <w:bottom w:val="single" w:color="auto" w:sz="4" w:space="0"/>
        <w:right w:val="single" w:color="auto" w:sz="4" w:space="0"/>
      </w:pBdr>
      <w:spacing w:before="100" w:beforeAutospacing="1" w:after="100" w:afterAutospacing="1" w:line="240" w:lineRule="auto"/>
      <w:jc w:val="center"/>
    </w:pPr>
    <w:rPr>
      <w:rFonts w:ascii="Times New Roman" w:hAnsi="Times New Roman" w:eastAsia="Arial Unicode MS" w:cs="Times New Roman"/>
      <w:kern w:val="0"/>
      <w:sz w:val="18"/>
      <w:szCs w:val="18"/>
    </w:rPr>
  </w:style>
  <w:style w:type="paragraph" w:customStyle="1" w:styleId="734">
    <w:name w:val="xl72"/>
    <w:basedOn w:val="1"/>
    <w:qFormat/>
    <w:uiPriority w:val="0"/>
    <w:pPr>
      <w:widowControl/>
      <w:pBdr>
        <w:top w:val="single" w:color="auto" w:sz="8" w:space="0"/>
        <w:bottom w:val="single" w:color="auto" w:sz="8" w:space="0"/>
        <w:right w:val="single" w:color="auto" w:sz="8" w:space="0"/>
      </w:pBdr>
      <w:spacing w:before="100" w:beforeAutospacing="1" w:after="100" w:afterAutospacing="1" w:line="240" w:lineRule="auto"/>
      <w:jc w:val="center"/>
    </w:pPr>
    <w:rPr>
      <w:rFonts w:ascii="宋体" w:hAnsi="宋体" w:eastAsia="宋体" w:cs="宋体"/>
      <w:kern w:val="0"/>
      <w:sz w:val="18"/>
      <w:szCs w:val="18"/>
    </w:rPr>
  </w:style>
  <w:style w:type="paragraph" w:customStyle="1" w:styleId="735">
    <w:name w:val="样式9"/>
    <w:basedOn w:val="1"/>
    <w:link w:val="736"/>
    <w:qFormat/>
    <w:uiPriority w:val="0"/>
    <w:pPr>
      <w:spacing w:beforeLines="50" w:afterLines="50" w:line="460" w:lineRule="exact"/>
      <w:ind w:firstLine="480" w:firstLineChars="200"/>
    </w:pPr>
    <w:rPr>
      <w:rFonts w:ascii="Times New Roman" w:hAnsi="Times New Roman" w:eastAsia="宋体" w:cs="Times New Roman"/>
      <w:sz w:val="24"/>
      <w:szCs w:val="20"/>
    </w:rPr>
  </w:style>
  <w:style w:type="character" w:customStyle="1" w:styleId="736">
    <w:name w:val="样式9 Char Char"/>
    <w:link w:val="735"/>
    <w:qFormat/>
    <w:uiPriority w:val="0"/>
    <w:rPr>
      <w:rFonts w:ascii="Times New Roman" w:hAnsi="Times New Roman" w:eastAsia="宋体" w:cs="Times New Roman"/>
      <w:sz w:val="24"/>
      <w:szCs w:val="20"/>
    </w:rPr>
  </w:style>
  <w:style w:type="paragraph" w:customStyle="1" w:styleId="737">
    <w:name w:val="Char31"/>
    <w:basedOn w:val="1"/>
    <w:qFormat/>
    <w:uiPriority w:val="0"/>
    <w:pPr>
      <w:adjustRightInd w:val="0"/>
      <w:ind w:firstLine="200" w:firstLineChars="200"/>
    </w:pPr>
    <w:rPr>
      <w:rFonts w:ascii="宋体" w:hAnsi="宋体" w:eastAsia="宋体" w:cs="宋体"/>
      <w:sz w:val="24"/>
      <w:szCs w:val="24"/>
    </w:rPr>
  </w:style>
  <w:style w:type="paragraph" w:customStyle="1" w:styleId="738">
    <w:name w:val="xl45"/>
    <w:basedOn w:val="1"/>
    <w:qFormat/>
    <w:uiPriority w:val="0"/>
    <w:pPr>
      <w:widowControl/>
      <w:pBdr>
        <w:left w:val="single" w:color="auto" w:sz="8" w:space="0"/>
        <w:bottom w:val="single" w:color="auto" w:sz="8"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739">
    <w:name w:val="xl27"/>
    <w:basedOn w:val="1"/>
    <w:qFormat/>
    <w:uiPriority w:val="0"/>
    <w:pPr>
      <w:widowControl/>
      <w:pBdr>
        <w:left w:val="single" w:color="auto" w:sz="8" w:space="0"/>
        <w:right w:val="single" w:color="auto" w:sz="4" w:space="0"/>
      </w:pBdr>
      <w:spacing w:before="100" w:beforeAutospacing="1" w:after="100" w:afterAutospacing="1" w:line="240" w:lineRule="auto"/>
      <w:jc w:val="left"/>
    </w:pPr>
    <w:rPr>
      <w:rFonts w:ascii="Arial Unicode MS" w:hAnsi="Arial Unicode MS" w:eastAsia="Arial Unicode MS" w:cs="Arial Unicode MS"/>
      <w:kern w:val="0"/>
      <w:sz w:val="24"/>
      <w:szCs w:val="24"/>
    </w:rPr>
  </w:style>
  <w:style w:type="paragraph" w:customStyle="1" w:styleId="740">
    <w:name w:val="zh正文"/>
    <w:basedOn w:val="1"/>
    <w:qFormat/>
    <w:uiPriority w:val="0"/>
    <w:pPr>
      <w:spacing w:line="360" w:lineRule="exact"/>
      <w:ind w:firstLine="560" w:firstLineChars="200"/>
    </w:pPr>
    <w:rPr>
      <w:rFonts w:ascii="宋体" w:hAnsi="宋体" w:eastAsia="宋体" w:cs="Times New Roman"/>
      <w:sz w:val="28"/>
      <w:szCs w:val="20"/>
    </w:rPr>
  </w:style>
  <w:style w:type="paragraph" w:customStyle="1" w:styleId="741">
    <w:name w:val="font13"/>
    <w:basedOn w:val="1"/>
    <w:qFormat/>
    <w:uiPriority w:val="0"/>
    <w:pPr>
      <w:widowControl/>
      <w:spacing w:before="100" w:beforeAutospacing="1" w:after="100" w:afterAutospacing="1" w:line="240" w:lineRule="auto"/>
      <w:jc w:val="left"/>
    </w:pPr>
    <w:rPr>
      <w:rFonts w:ascii="宋体" w:hAnsi="Times New Roman" w:eastAsia="宋体" w:cs="Times New Roman"/>
      <w:color w:val="FF6600"/>
      <w:kern w:val="0"/>
      <w:sz w:val="24"/>
      <w:szCs w:val="20"/>
    </w:rPr>
  </w:style>
  <w:style w:type="paragraph" w:customStyle="1" w:styleId="742">
    <w:name w:val="11"/>
    <w:basedOn w:val="1"/>
    <w:next w:val="24"/>
    <w:qFormat/>
    <w:uiPriority w:val="0"/>
    <w:pPr>
      <w:spacing w:line="440" w:lineRule="exact"/>
      <w:ind w:firstLine="420" w:firstLineChars="200"/>
    </w:pPr>
    <w:rPr>
      <w:rFonts w:ascii="Times New Roman" w:hAnsi="Times New Roman" w:eastAsia="宋体" w:cs="Times New Roman"/>
      <w:sz w:val="24"/>
    </w:rPr>
  </w:style>
  <w:style w:type="paragraph" w:customStyle="1" w:styleId="743">
    <w:name w:val="样式 标题 2 + 加粗"/>
    <w:basedOn w:val="7"/>
    <w:qFormat/>
    <w:uiPriority w:val="0"/>
    <w:pPr>
      <w:numPr>
        <w:ilvl w:val="0"/>
        <w:numId w:val="0"/>
      </w:numPr>
      <w:spacing w:before="0" w:after="0" w:line="240" w:lineRule="auto"/>
    </w:pPr>
    <w:rPr>
      <w:rFonts w:eastAsia="黑体" w:cs="Times New Roman"/>
      <w:kern w:val="0"/>
      <w:sz w:val="32"/>
    </w:rPr>
  </w:style>
  <w:style w:type="paragraph" w:customStyle="1" w:styleId="744">
    <w:name w:val="样式 标题 1章章标题一、1.标题 1PAGE HEADINGh1headingHeader 1st Page..."/>
    <w:basedOn w:val="6"/>
    <w:qFormat/>
    <w:uiPriority w:val="0"/>
    <w:pPr>
      <w:numPr>
        <w:numId w:val="0"/>
      </w:numPr>
      <w:spacing w:before="100" w:after="90"/>
      <w:jc w:val="both"/>
    </w:pPr>
    <w:rPr>
      <w:rFonts w:eastAsia="黑体" w:cs="Times New Roman"/>
      <w:sz w:val="44"/>
    </w:rPr>
  </w:style>
  <w:style w:type="paragraph" w:customStyle="1" w:styleId="745">
    <w:name w:val="font7"/>
    <w:basedOn w:val="1"/>
    <w:qFormat/>
    <w:uiPriority w:val="0"/>
    <w:pPr>
      <w:widowControl/>
      <w:spacing w:before="100" w:beforeAutospacing="1" w:after="100" w:afterAutospacing="1" w:line="240" w:lineRule="auto"/>
      <w:jc w:val="left"/>
    </w:pPr>
    <w:rPr>
      <w:rFonts w:ascii="Times New Roman" w:hAnsi="Times New Roman" w:eastAsia="Arial Unicode MS" w:cs="Times New Roman"/>
      <w:kern w:val="0"/>
      <w:sz w:val="20"/>
      <w:szCs w:val="20"/>
    </w:rPr>
  </w:style>
  <w:style w:type="paragraph" w:customStyle="1" w:styleId="746">
    <w:name w:val="正文01"/>
    <w:basedOn w:val="1"/>
    <w:qFormat/>
    <w:uiPriority w:val="0"/>
    <w:pPr>
      <w:spacing w:before="60" w:line="460" w:lineRule="exact"/>
      <w:ind w:firstLine="200" w:firstLineChars="200"/>
    </w:pPr>
    <w:rPr>
      <w:rFonts w:ascii="Arial" w:hAnsi="Arial" w:eastAsia="宋体" w:cs="Times New Roman"/>
      <w:bCs/>
      <w:sz w:val="24"/>
      <w:szCs w:val="28"/>
    </w:rPr>
  </w:style>
  <w:style w:type="paragraph" w:customStyle="1" w:styleId="747">
    <w:name w:val="表目录"/>
    <w:basedOn w:val="1"/>
    <w:qFormat/>
    <w:uiPriority w:val="0"/>
    <w:pPr>
      <w:adjustRightInd w:val="0"/>
      <w:snapToGrid w:val="0"/>
    </w:pPr>
    <w:rPr>
      <w:rFonts w:ascii="黑体" w:hAnsi="Times New Roman" w:eastAsia="黑体" w:cs="Times New Roman"/>
      <w:szCs w:val="20"/>
    </w:rPr>
  </w:style>
  <w:style w:type="paragraph" w:customStyle="1" w:styleId="748">
    <w:name w:val="Char Char Char Char2"/>
    <w:basedOn w:val="1"/>
    <w:qFormat/>
    <w:uiPriority w:val="0"/>
    <w:pPr>
      <w:ind w:firstLine="200" w:firstLineChars="200"/>
    </w:pPr>
    <w:rPr>
      <w:rFonts w:ascii="宋体" w:hAnsi="宋体" w:eastAsia="宋体" w:cs="宋体"/>
      <w:sz w:val="24"/>
      <w:szCs w:val="24"/>
    </w:rPr>
  </w:style>
  <w:style w:type="paragraph" w:customStyle="1" w:styleId="749">
    <w:name w:val="样式 四号 行距: 多倍行距 1.25 字行"/>
    <w:basedOn w:val="1"/>
    <w:qFormat/>
    <w:uiPriority w:val="0"/>
    <w:pPr>
      <w:spacing w:line="300" w:lineRule="auto"/>
      <w:ind w:firstLine="560" w:firstLineChars="200"/>
    </w:pPr>
    <w:rPr>
      <w:rFonts w:ascii="Times New Roman" w:hAnsi="Times New Roman" w:eastAsia="宋体" w:cs="宋体"/>
      <w:sz w:val="28"/>
      <w:szCs w:val="20"/>
    </w:rPr>
  </w:style>
  <w:style w:type="paragraph" w:customStyle="1" w:styleId="750">
    <w:name w:val="text"/>
    <w:basedOn w:val="1"/>
    <w:qFormat/>
    <w:uiPriority w:val="0"/>
    <w:pPr>
      <w:widowControl/>
      <w:spacing w:before="150" w:after="150" w:line="240" w:lineRule="auto"/>
      <w:ind w:firstLine="480"/>
      <w:jc w:val="left"/>
    </w:pPr>
    <w:rPr>
      <w:rFonts w:ascii="ˎ̥" w:hAnsi="ˎ̥" w:eastAsia="宋体" w:cs="Times New Roman"/>
      <w:color w:val="486B8A"/>
      <w:kern w:val="0"/>
      <w:sz w:val="18"/>
      <w:szCs w:val="18"/>
    </w:rPr>
  </w:style>
  <w:style w:type="paragraph" w:customStyle="1" w:styleId="751">
    <w:name w:val="正文文字缩进"/>
    <w:basedOn w:val="3"/>
    <w:qFormat/>
    <w:uiPriority w:val="0"/>
    <w:pPr>
      <w:adjustRightInd w:val="0"/>
      <w:snapToGrid w:val="0"/>
      <w:spacing w:line="240" w:lineRule="auto"/>
      <w:ind w:left="2552" w:right="1134" w:hanging="1418" w:firstLineChars="0"/>
    </w:pPr>
    <w:rPr>
      <w:rFonts w:ascii="Calibri" w:hAnsi="Calibri" w:eastAsia="宋体"/>
      <w:snapToGrid w:val="0"/>
      <w:kern w:val="0"/>
      <w:sz w:val="28"/>
      <w:szCs w:val="28"/>
    </w:rPr>
  </w:style>
  <w:style w:type="paragraph" w:customStyle="1" w:styleId="752">
    <w:name w:val="xl80"/>
    <w:basedOn w:val="1"/>
    <w:qFormat/>
    <w:uiPriority w:val="0"/>
    <w:pPr>
      <w:widowControl/>
      <w:pBdr>
        <w:left w:val="single" w:color="auto" w:sz="4" w:space="0"/>
        <w:bottom w:val="single" w:color="auto" w:sz="4" w:space="0"/>
      </w:pBdr>
      <w:spacing w:before="100" w:beforeAutospacing="1" w:after="100" w:afterAutospacing="1" w:line="240" w:lineRule="auto"/>
      <w:jc w:val="center"/>
    </w:pPr>
    <w:rPr>
      <w:rFonts w:ascii="Arial Unicode MS" w:hAnsi="Arial Unicode MS" w:eastAsia="Arial Unicode MS" w:cs="Times New Roman"/>
      <w:kern w:val="0"/>
      <w:sz w:val="20"/>
      <w:szCs w:val="20"/>
    </w:rPr>
  </w:style>
  <w:style w:type="paragraph" w:customStyle="1" w:styleId="753">
    <w:name w:val="正文文字(西藏样式)"/>
    <w:basedOn w:val="1"/>
    <w:qFormat/>
    <w:uiPriority w:val="0"/>
    <w:pPr>
      <w:adjustRightInd w:val="0"/>
      <w:snapToGrid w:val="0"/>
      <w:spacing w:line="240" w:lineRule="auto"/>
      <w:ind w:left="-57" w:right="-57"/>
      <w:jc w:val="center"/>
    </w:pPr>
    <w:rPr>
      <w:rFonts w:ascii="宋体" w:hAnsi="Times New Roman" w:eastAsia="宋体" w:cs="Times New Roman"/>
      <w:snapToGrid w:val="0"/>
      <w:kern w:val="0"/>
      <w:sz w:val="18"/>
      <w:szCs w:val="20"/>
    </w:rPr>
  </w:style>
  <w:style w:type="paragraph" w:customStyle="1" w:styleId="754">
    <w:name w:val="样式 标题 2节1标题21 Char标题 2 Char Char二级 标题 2H2h2第一层条标题 2 Ch..."/>
    <w:basedOn w:val="7"/>
    <w:qFormat/>
    <w:uiPriority w:val="0"/>
    <w:pPr>
      <w:numPr>
        <w:ilvl w:val="0"/>
        <w:numId w:val="0"/>
      </w:numPr>
      <w:spacing w:before="0" w:after="0" w:line="360" w:lineRule="auto"/>
      <w:jc w:val="both"/>
    </w:pPr>
    <w:rPr>
      <w:rFonts w:ascii="仿宋_GB2312" w:hAnsi="仿宋_GB2312" w:eastAsia="黑体" w:cs="Times New Roman"/>
      <w:b w:val="0"/>
      <w:kern w:val="0"/>
      <w:sz w:val="32"/>
    </w:rPr>
  </w:style>
  <w:style w:type="paragraph" w:customStyle="1" w:styleId="755">
    <w:name w:val="样式 样式7 + 黑色"/>
    <w:basedOn w:val="756"/>
    <w:qFormat/>
    <w:uiPriority w:val="0"/>
    <w:pPr>
      <w:keepNext/>
      <w:keepLines/>
      <w:tabs>
        <w:tab w:val="left" w:pos="992"/>
      </w:tabs>
      <w:spacing w:beforeLines="50" w:afterLines="50" w:line="240" w:lineRule="auto"/>
      <w:ind w:left="992" w:firstLine="0" w:firstLineChars="0"/>
      <w:textAlignment w:val="baseline"/>
      <w:outlineLvl w:val="1"/>
    </w:pPr>
    <w:rPr>
      <w:rFonts w:eastAsia="黑体"/>
      <w:color w:val="000000"/>
      <w:kern w:val="30"/>
      <w:sz w:val="28"/>
      <w:szCs w:val="28"/>
    </w:rPr>
  </w:style>
  <w:style w:type="paragraph" w:customStyle="1" w:styleId="756">
    <w:name w:val="样式7"/>
    <w:basedOn w:val="273"/>
    <w:qFormat/>
    <w:uiPriority w:val="0"/>
    <w:pPr>
      <w:keepNext w:val="0"/>
      <w:keepLines w:val="0"/>
      <w:adjustRightInd w:val="0"/>
      <w:snapToGrid w:val="0"/>
      <w:spacing w:line="460" w:lineRule="exact"/>
      <w:ind w:firstLine="487" w:firstLineChars="200"/>
      <w:outlineLvl w:val="9"/>
    </w:pPr>
  </w:style>
  <w:style w:type="paragraph" w:customStyle="1" w:styleId="757">
    <w:name w:val="样式 样式 标题 4 + 段前: 0.5 行 段后: 0.5 行 + 段前: 7.8 磅 段后: 7.8 磅"/>
    <w:basedOn w:val="288"/>
    <w:qFormat/>
    <w:uiPriority w:val="0"/>
    <w:rPr>
      <w:szCs w:val="20"/>
    </w:rPr>
  </w:style>
  <w:style w:type="paragraph" w:customStyle="1" w:styleId="758">
    <w:name w:val="Char Char Char Char Char Char Char Char Char Char Char Char Char Char Char Char Char Char Char Char Char Char Char Char Char"/>
    <w:basedOn w:val="1"/>
    <w:qFormat/>
    <w:uiPriority w:val="0"/>
    <w:pPr>
      <w:ind w:firstLine="200" w:firstLineChars="200"/>
    </w:pPr>
    <w:rPr>
      <w:rFonts w:ascii="宋体" w:hAnsi="宋体" w:eastAsia="宋体" w:cs="宋体"/>
      <w:sz w:val="24"/>
      <w:szCs w:val="24"/>
    </w:rPr>
  </w:style>
  <w:style w:type="paragraph" w:customStyle="1" w:styleId="759">
    <w:name w:val="Char Char Char Char Char Char Char Char Char Char Char Char Char Char Char Char Char Char Char"/>
    <w:basedOn w:val="1"/>
    <w:qFormat/>
    <w:uiPriority w:val="0"/>
    <w:pPr>
      <w:ind w:firstLine="200" w:firstLineChars="200"/>
    </w:pPr>
    <w:rPr>
      <w:rFonts w:ascii="宋体" w:hAnsi="宋体" w:eastAsia="宋体" w:cs="宋体"/>
      <w:sz w:val="24"/>
      <w:szCs w:val="24"/>
    </w:rPr>
  </w:style>
  <w:style w:type="paragraph" w:customStyle="1" w:styleId="760">
    <w:name w:val="样式 四号 首行缩进:  1.01 厘米 行距: 固定值 28 磅"/>
    <w:basedOn w:val="1"/>
    <w:qFormat/>
    <w:uiPriority w:val="0"/>
    <w:pPr>
      <w:snapToGrid w:val="0"/>
      <w:ind w:firstLine="573"/>
    </w:pPr>
    <w:rPr>
      <w:rFonts w:ascii="Times New Roman" w:hAnsi="Times New Roman" w:eastAsia="宋体" w:cs="宋体"/>
      <w:sz w:val="24"/>
      <w:szCs w:val="20"/>
    </w:rPr>
  </w:style>
  <w:style w:type="paragraph" w:customStyle="1" w:styleId="761">
    <w:name w:val="样式 样式7 + 黑色 行距: 固定值 15 磅"/>
    <w:basedOn w:val="756"/>
    <w:qFormat/>
    <w:uiPriority w:val="0"/>
    <w:pPr>
      <w:adjustRightInd/>
      <w:snapToGrid/>
      <w:spacing w:line="300" w:lineRule="exact"/>
      <w:ind w:firstLine="0" w:firstLineChars="0"/>
      <w:jc w:val="center"/>
    </w:pPr>
    <w:rPr>
      <w:rFonts w:cs="宋体"/>
      <w:color w:val="000000"/>
      <w:sz w:val="21"/>
      <w:szCs w:val="20"/>
    </w:rPr>
  </w:style>
  <w:style w:type="paragraph" w:customStyle="1" w:styleId="762">
    <w:name w:val="xl70"/>
    <w:basedOn w:val="1"/>
    <w:qFormat/>
    <w:uiPriority w:val="0"/>
    <w:pPr>
      <w:widowControl/>
      <w:pBdr>
        <w:bottom w:val="single" w:color="auto" w:sz="4" w:space="0"/>
        <w:right w:val="single" w:color="auto" w:sz="4" w:space="0"/>
      </w:pBdr>
      <w:spacing w:before="100" w:beforeAutospacing="1" w:after="100" w:afterAutospacing="1" w:line="240" w:lineRule="auto"/>
      <w:jc w:val="center"/>
    </w:pPr>
    <w:rPr>
      <w:rFonts w:ascii="Times New Roman" w:hAnsi="Times New Roman" w:eastAsia="Arial Unicode MS" w:cs="Times New Roman"/>
      <w:kern w:val="0"/>
    </w:rPr>
  </w:style>
  <w:style w:type="paragraph" w:customStyle="1" w:styleId="763">
    <w:name w:val="样式11"/>
    <w:basedOn w:val="493"/>
    <w:qFormat/>
    <w:uiPriority w:val="0"/>
    <w:pPr>
      <w:adjustRightInd/>
      <w:spacing w:beforeLines="50" w:afterLines="50" w:line="240" w:lineRule="auto"/>
      <w:ind w:firstLine="475" w:firstLineChars="200"/>
      <w:jc w:val="both"/>
    </w:pPr>
    <w:rPr>
      <w:caps w:val="0"/>
      <w:sz w:val="24"/>
    </w:rPr>
  </w:style>
  <w:style w:type="paragraph" w:customStyle="1" w:styleId="764">
    <w:name w:val="样式36"/>
    <w:basedOn w:val="1"/>
    <w:qFormat/>
    <w:uiPriority w:val="0"/>
    <w:pPr>
      <w:spacing w:after="120" w:line="280" w:lineRule="exact"/>
      <w:ind w:firstLine="425"/>
      <w:jc w:val="center"/>
    </w:pPr>
    <w:rPr>
      <w:rFonts w:ascii="Times New Roman" w:hAnsi="Times New Roman" w:eastAsia="华文中宋" w:cs="Times New Roman"/>
      <w:color w:val="000000"/>
      <w:sz w:val="24"/>
      <w:szCs w:val="20"/>
    </w:rPr>
  </w:style>
  <w:style w:type="paragraph" w:customStyle="1" w:styleId="765">
    <w:name w:val="样式29"/>
    <w:basedOn w:val="200"/>
    <w:qFormat/>
    <w:uiPriority w:val="0"/>
    <w:pPr>
      <w:widowControl w:val="0"/>
      <w:spacing w:line="360" w:lineRule="auto"/>
      <w:jc w:val="both"/>
    </w:pPr>
    <w:rPr>
      <w:rFonts w:asciiTheme="minorHAnsi" w:hAnsiTheme="minorHAnsi" w:eastAsiaTheme="minorEastAsia" w:cstheme="minorBidi"/>
      <w:szCs w:val="22"/>
    </w:rPr>
  </w:style>
  <w:style w:type="paragraph" w:customStyle="1" w:styleId="766">
    <w:name w:val="font11"/>
    <w:basedOn w:val="1"/>
    <w:qFormat/>
    <w:uiPriority w:val="0"/>
    <w:pPr>
      <w:widowControl/>
      <w:spacing w:before="100" w:beforeAutospacing="1" w:after="100" w:afterAutospacing="1" w:line="240" w:lineRule="auto"/>
      <w:jc w:val="left"/>
    </w:pPr>
    <w:rPr>
      <w:rFonts w:ascii="宋体" w:hAnsi="宋体" w:eastAsia="宋体" w:cs="宋体"/>
      <w:color w:val="FF6600"/>
      <w:kern w:val="0"/>
      <w:sz w:val="24"/>
      <w:szCs w:val="24"/>
    </w:rPr>
  </w:style>
  <w:style w:type="paragraph" w:customStyle="1" w:styleId="767">
    <w:name w:val="样式12"/>
    <w:basedOn w:val="51"/>
    <w:qFormat/>
    <w:uiPriority w:val="0"/>
    <w:pPr>
      <w:spacing w:beforeLines="50" w:afterLines="50" w:line="240" w:lineRule="auto"/>
      <w:ind w:left="0" w:leftChars="0" w:firstLine="0" w:firstLineChars="0"/>
    </w:pPr>
    <w:rPr>
      <w:rFonts w:eastAsia="黑体"/>
      <w:b/>
      <w:color w:val="000000"/>
      <w:sz w:val="32"/>
      <w:szCs w:val="32"/>
    </w:rPr>
  </w:style>
  <w:style w:type="paragraph" w:customStyle="1" w:styleId="768">
    <w:name w:val="6'"/>
    <w:basedOn w:val="1"/>
    <w:qFormat/>
    <w:uiPriority w:val="0"/>
    <w:pPr>
      <w:autoSpaceDE w:val="0"/>
      <w:autoSpaceDN w:val="0"/>
      <w:adjustRightInd w:val="0"/>
      <w:snapToGrid w:val="0"/>
      <w:spacing w:line="320" w:lineRule="exact"/>
      <w:jc w:val="center"/>
      <w:textAlignment w:val="baseline"/>
    </w:pPr>
    <w:rPr>
      <w:rFonts w:ascii="Times New Roman" w:hAnsi="Times New Roman" w:eastAsia="宋体" w:cs="Times New Roman"/>
      <w:spacing w:val="20"/>
      <w:kern w:val="28"/>
      <w:sz w:val="24"/>
      <w:szCs w:val="20"/>
    </w:rPr>
  </w:style>
  <w:style w:type="paragraph" w:customStyle="1" w:styleId="769">
    <w:name w:val="南大梁1.1.1.1-1标题"/>
    <w:basedOn w:val="1"/>
    <w:qFormat/>
    <w:uiPriority w:val="0"/>
    <w:pPr>
      <w:spacing w:before="60" w:after="60"/>
    </w:pPr>
    <w:rPr>
      <w:rFonts w:ascii="黑体" w:hAnsi="宋体" w:eastAsia="黑体" w:cs="Times New Roman"/>
      <w:sz w:val="24"/>
      <w:szCs w:val="24"/>
    </w:rPr>
  </w:style>
  <w:style w:type="paragraph" w:customStyle="1" w:styleId="770">
    <w:name w:val="样式 小四 黑色 行距: 单倍行距"/>
    <w:basedOn w:val="1"/>
    <w:qFormat/>
    <w:uiPriority w:val="0"/>
    <w:pPr>
      <w:adjustRightInd w:val="0"/>
      <w:snapToGrid w:val="0"/>
      <w:spacing w:line="240" w:lineRule="auto"/>
    </w:pPr>
    <w:rPr>
      <w:rFonts w:ascii="Times New Roman" w:hAnsi="Times New Roman" w:eastAsia="宋体" w:cs="Times New Roman"/>
      <w:snapToGrid w:val="0"/>
      <w:color w:val="000000"/>
      <w:kern w:val="0"/>
      <w:sz w:val="24"/>
      <w:szCs w:val="24"/>
    </w:rPr>
  </w:style>
  <w:style w:type="paragraph" w:customStyle="1" w:styleId="771">
    <w:name w:val="2"/>
    <w:basedOn w:val="1"/>
    <w:next w:val="24"/>
    <w:qFormat/>
    <w:uiPriority w:val="0"/>
    <w:pPr>
      <w:snapToGrid w:val="0"/>
      <w:spacing w:line="440" w:lineRule="atLeast"/>
      <w:ind w:firstLine="420"/>
    </w:pPr>
    <w:rPr>
      <w:rFonts w:ascii="Times New Roman" w:hAnsi="Times New Roman" w:eastAsia="宋体" w:cs="Times New Roman"/>
      <w:sz w:val="24"/>
      <w:szCs w:val="20"/>
    </w:rPr>
  </w:style>
  <w:style w:type="paragraph" w:customStyle="1" w:styleId="772">
    <w:name w:val="xl26"/>
    <w:basedOn w:val="1"/>
    <w:qFormat/>
    <w:uiPriority w:val="0"/>
    <w:pPr>
      <w:widowControl/>
      <w:spacing w:before="100" w:beforeAutospacing="1" w:after="100" w:afterAutospacing="1" w:line="240" w:lineRule="auto"/>
      <w:jc w:val="left"/>
    </w:pPr>
    <w:rPr>
      <w:rFonts w:ascii="Times New Roman" w:hAnsi="Times New Roman" w:eastAsia="Arial Unicode MS" w:cs="Times New Roman"/>
      <w:kern w:val="0"/>
      <w:sz w:val="20"/>
      <w:szCs w:val="20"/>
    </w:rPr>
  </w:style>
  <w:style w:type="paragraph" w:customStyle="1" w:styleId="773">
    <w:name w:val="一级标题"/>
    <w:basedOn w:val="1"/>
    <w:qFormat/>
    <w:uiPriority w:val="0"/>
    <w:pPr>
      <w:tabs>
        <w:tab w:val="left" w:pos="425"/>
      </w:tabs>
      <w:spacing w:before="360" w:after="240" w:line="300" w:lineRule="auto"/>
      <w:ind w:left="425" w:hanging="425"/>
      <w:jc w:val="center"/>
      <w:outlineLvl w:val="0"/>
    </w:pPr>
    <w:rPr>
      <w:rFonts w:ascii="Times New Roman" w:hAnsi="Times New Roman" w:eastAsia="黑体" w:cs="Times New Roman"/>
      <w:sz w:val="36"/>
      <w:szCs w:val="20"/>
    </w:rPr>
  </w:style>
  <w:style w:type="paragraph" w:customStyle="1" w:styleId="774">
    <w:name w:val="表名1"/>
    <w:basedOn w:val="1"/>
    <w:qFormat/>
    <w:uiPriority w:val="0"/>
    <w:rPr>
      <w:rFonts w:ascii="Times New Roman" w:hAnsi="Times New Roman" w:eastAsia="黑体" w:cs="Times New Roman"/>
      <w:szCs w:val="20"/>
    </w:rPr>
  </w:style>
  <w:style w:type="paragraph" w:customStyle="1" w:styleId="775">
    <w:name w:val="5"/>
    <w:basedOn w:val="1"/>
    <w:next w:val="24"/>
    <w:qFormat/>
    <w:uiPriority w:val="0"/>
    <w:pPr>
      <w:ind w:firstLine="420" w:firstLineChars="200"/>
    </w:pPr>
    <w:rPr>
      <w:rFonts w:ascii="Times New Roman" w:hAnsi="Times New Roman" w:eastAsia="宋体" w:cs="Times New Roman"/>
      <w:sz w:val="24"/>
    </w:rPr>
  </w:style>
  <w:style w:type="paragraph" w:customStyle="1" w:styleId="776">
    <w:name w:val="表格文字居中"/>
    <w:qFormat/>
    <w:uiPriority w:val="0"/>
    <w:pPr>
      <w:widowControl w:val="0"/>
      <w:adjustRightInd w:val="0"/>
      <w:snapToGrid w:val="0"/>
      <w:jc w:val="center"/>
    </w:pPr>
    <w:rPr>
      <w:rFonts w:ascii="Times New Roman" w:hAnsi="Times New Roman" w:eastAsia="宋体" w:cs="Times New Roman"/>
      <w:color w:val="FF0000"/>
      <w:kern w:val="2"/>
      <w:sz w:val="21"/>
      <w:lang w:val="en-US" w:eastAsia="zh-CN" w:bidi="ar-SA"/>
    </w:rPr>
  </w:style>
  <w:style w:type="paragraph" w:customStyle="1" w:styleId="777">
    <w:name w:val="简单回函地址"/>
    <w:basedOn w:val="1"/>
    <w:qFormat/>
    <w:uiPriority w:val="0"/>
    <w:pPr>
      <w:spacing w:line="240" w:lineRule="auto"/>
    </w:pPr>
    <w:rPr>
      <w:rFonts w:ascii="Times New Roman" w:hAnsi="Times New Roman" w:eastAsia="宋体" w:cs="Times New Roman"/>
      <w:szCs w:val="20"/>
    </w:rPr>
  </w:style>
  <w:style w:type="paragraph" w:customStyle="1" w:styleId="778">
    <w:name w:val="p0"/>
    <w:basedOn w:val="1"/>
    <w:qFormat/>
    <w:uiPriority w:val="0"/>
    <w:pPr>
      <w:widowControl/>
      <w:spacing w:line="240" w:lineRule="auto"/>
    </w:pPr>
    <w:rPr>
      <w:rFonts w:ascii="Times New Roman" w:hAnsi="Times New Roman" w:eastAsia="宋体" w:cs="Times New Roman"/>
      <w:kern w:val="0"/>
    </w:rPr>
  </w:style>
  <w:style w:type="paragraph" w:customStyle="1" w:styleId="779">
    <w:name w:val="表格，五宋"/>
    <w:qFormat/>
    <w:uiPriority w:val="0"/>
    <w:pPr>
      <w:adjustRightInd w:val="0"/>
      <w:spacing w:line="360" w:lineRule="exact"/>
      <w:jc w:val="center"/>
    </w:pPr>
    <w:rPr>
      <w:rFonts w:ascii="Times New Roman" w:hAnsi="Times New Roman" w:eastAsia="宋体" w:cs="Times New Roman"/>
      <w:sz w:val="21"/>
      <w:lang w:val="en-US" w:eastAsia="zh-CN" w:bidi="ar-SA"/>
    </w:rPr>
  </w:style>
  <w:style w:type="paragraph" w:customStyle="1" w:styleId="780">
    <w:name w:val="XCHG论文节"/>
    <w:basedOn w:val="1"/>
    <w:qFormat/>
    <w:uiPriority w:val="0"/>
    <w:pPr>
      <w:tabs>
        <w:tab w:val="left" w:pos="750"/>
      </w:tabs>
      <w:spacing w:beforeLines="100" w:afterLines="100" w:line="240" w:lineRule="auto"/>
    </w:pPr>
    <w:rPr>
      <w:rFonts w:ascii="方正姚体" w:hAnsi="Times New Roman" w:eastAsia="方正姚体" w:cs="Times New Roman"/>
      <w:b/>
      <w:sz w:val="36"/>
      <w:szCs w:val="20"/>
    </w:rPr>
  </w:style>
  <w:style w:type="paragraph" w:customStyle="1" w:styleId="781">
    <w:name w:val="p15"/>
    <w:basedOn w:val="1"/>
    <w:qFormat/>
    <w:uiPriority w:val="0"/>
    <w:pPr>
      <w:widowControl/>
      <w:ind w:firstLine="420"/>
    </w:pPr>
    <w:rPr>
      <w:rFonts w:ascii="宋体" w:hAnsi="宋体" w:eastAsia="宋体" w:cs="宋体"/>
      <w:spacing w:val="-2"/>
      <w:kern w:val="0"/>
      <w:sz w:val="24"/>
      <w:szCs w:val="24"/>
    </w:rPr>
  </w:style>
  <w:style w:type="paragraph" w:customStyle="1" w:styleId="782">
    <w:name w:val="列表延续 5"/>
    <w:basedOn w:val="1"/>
    <w:qFormat/>
    <w:uiPriority w:val="0"/>
    <w:pPr>
      <w:autoSpaceDE w:val="0"/>
      <w:autoSpaceDN w:val="0"/>
      <w:adjustRightInd w:val="0"/>
      <w:spacing w:after="120" w:line="400" w:lineRule="exact"/>
      <w:ind w:left="1260"/>
      <w:jc w:val="left"/>
    </w:pPr>
    <w:rPr>
      <w:rFonts w:ascii="宋体" w:hAnsi="Tms Rmn" w:eastAsia="宋体" w:cs="Times New Roman"/>
      <w:spacing w:val="-5"/>
      <w:kern w:val="0"/>
      <w:sz w:val="26"/>
      <w:szCs w:val="20"/>
    </w:rPr>
  </w:style>
  <w:style w:type="paragraph" w:customStyle="1" w:styleId="783">
    <w:name w:val="正文缩进（自定义） Char Char"/>
    <w:basedOn w:val="1"/>
    <w:qFormat/>
    <w:uiPriority w:val="0"/>
    <w:pPr>
      <w:spacing w:before="120" w:after="120"/>
      <w:ind w:firstLine="480" w:firstLineChars="200"/>
    </w:pPr>
    <w:rPr>
      <w:rFonts w:ascii="Century Gothic" w:hAnsi="Century Gothic" w:eastAsia="宋体" w:cs="Times New Roman"/>
      <w:kern w:val="0"/>
      <w:sz w:val="24"/>
      <w:szCs w:val="20"/>
    </w:rPr>
  </w:style>
  <w:style w:type="paragraph" w:customStyle="1" w:styleId="784">
    <w:name w:val="Char Char Char Char Char Char1 Char1"/>
    <w:basedOn w:val="1"/>
    <w:qFormat/>
    <w:uiPriority w:val="0"/>
    <w:pPr>
      <w:ind w:firstLine="200" w:firstLineChars="200"/>
    </w:pPr>
    <w:rPr>
      <w:rFonts w:ascii="宋体" w:hAnsi="宋体" w:eastAsia="宋体" w:cs="宋体"/>
      <w:sz w:val="24"/>
      <w:szCs w:val="24"/>
    </w:rPr>
  </w:style>
  <w:style w:type="paragraph" w:customStyle="1" w:styleId="785">
    <w:name w:val="样式 标题3"/>
    <w:basedOn w:val="8"/>
    <w:qFormat/>
    <w:uiPriority w:val="0"/>
    <w:pPr>
      <w:numPr>
        <w:ilvl w:val="0"/>
        <w:numId w:val="0"/>
      </w:numPr>
      <w:spacing w:beforeLines="50" w:afterLines="50" w:line="360" w:lineRule="auto"/>
      <w:ind w:firstLine="200"/>
    </w:pPr>
    <w:rPr>
      <w:rFonts w:ascii="宋体" w:hAnsi="宋体" w:eastAsia="宋体" w:cs="宋体"/>
      <w:sz w:val="28"/>
      <w:szCs w:val="24"/>
    </w:rPr>
  </w:style>
  <w:style w:type="paragraph" w:customStyle="1" w:styleId="786">
    <w:name w:val="font9"/>
    <w:basedOn w:val="1"/>
    <w:qFormat/>
    <w:uiPriority w:val="0"/>
    <w:pPr>
      <w:widowControl/>
      <w:spacing w:before="100" w:beforeAutospacing="1" w:after="100" w:afterAutospacing="1" w:line="240" w:lineRule="auto"/>
      <w:jc w:val="left"/>
    </w:pPr>
    <w:rPr>
      <w:rFonts w:ascii="Times New Roman" w:hAnsi="Times New Roman" w:eastAsia="Arial Unicode MS" w:cs="Times New Roman"/>
      <w:kern w:val="0"/>
      <w:sz w:val="15"/>
      <w:szCs w:val="15"/>
    </w:rPr>
  </w:style>
  <w:style w:type="paragraph" w:customStyle="1" w:styleId="787">
    <w:name w:val="样式 报告书正文 + 小四 首行缩进:  2 字符"/>
    <w:basedOn w:val="1"/>
    <w:qFormat/>
    <w:uiPriority w:val="0"/>
    <w:pPr>
      <w:spacing w:line="440" w:lineRule="exact"/>
      <w:ind w:firstLine="200" w:firstLineChars="200"/>
    </w:pPr>
    <w:rPr>
      <w:rFonts w:ascii="Times New Roman" w:hAnsi="Times New Roman" w:eastAsia="宋体" w:cs="宋体"/>
      <w:sz w:val="24"/>
      <w:szCs w:val="24"/>
    </w:rPr>
  </w:style>
  <w:style w:type="paragraph" w:customStyle="1" w:styleId="788">
    <w:name w:val="表格1"/>
    <w:basedOn w:val="1"/>
    <w:qFormat/>
    <w:uiPriority w:val="0"/>
    <w:pPr>
      <w:adjustRightInd w:val="0"/>
      <w:spacing w:line="240" w:lineRule="auto"/>
      <w:jc w:val="center"/>
      <w:textAlignment w:val="baseline"/>
    </w:pPr>
    <w:rPr>
      <w:rFonts w:ascii="CG Times (WN)" w:hAnsi="Times New Roman" w:eastAsia="宋体" w:cs="Times New Roman"/>
      <w:kern w:val="0"/>
      <w:szCs w:val="20"/>
    </w:rPr>
  </w:style>
  <w:style w:type="paragraph" w:customStyle="1" w:styleId="789">
    <w:name w:val="正文 + 四号"/>
    <w:basedOn w:val="24"/>
    <w:qFormat/>
    <w:uiPriority w:val="0"/>
    <w:pPr>
      <w:spacing w:line="240" w:lineRule="auto"/>
      <w:ind w:firstLine="560"/>
    </w:pPr>
    <w:rPr>
      <w:kern w:val="0"/>
      <w:sz w:val="28"/>
      <w:szCs w:val="28"/>
    </w:rPr>
  </w:style>
  <w:style w:type="paragraph" w:customStyle="1" w:styleId="790">
    <w:name w:val="xl38"/>
    <w:basedOn w:val="1"/>
    <w:qFormat/>
    <w:uiPriority w:val="0"/>
    <w:pPr>
      <w:widowControl/>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791">
    <w:name w:val="Char Char Char Char Char Char"/>
    <w:basedOn w:val="1"/>
    <w:qFormat/>
    <w:uiPriority w:val="0"/>
    <w:pPr>
      <w:ind w:firstLine="200" w:firstLineChars="200"/>
    </w:pPr>
    <w:rPr>
      <w:rFonts w:ascii="宋体" w:hAnsi="宋体" w:eastAsia="宋体" w:cs="宋体"/>
      <w:sz w:val="24"/>
      <w:szCs w:val="24"/>
    </w:rPr>
  </w:style>
  <w:style w:type="paragraph" w:customStyle="1" w:styleId="792">
    <w:name w:val="样式10"/>
    <w:basedOn w:val="756"/>
    <w:qFormat/>
    <w:uiPriority w:val="0"/>
    <w:pPr>
      <w:ind w:firstLine="0" w:firstLineChars="0"/>
      <w:jc w:val="center"/>
    </w:pPr>
    <w:rPr>
      <w:sz w:val="21"/>
      <w:szCs w:val="21"/>
    </w:rPr>
  </w:style>
  <w:style w:type="paragraph" w:customStyle="1" w:styleId="793">
    <w:name w:val="XCHG论文正文"/>
    <w:basedOn w:val="1"/>
    <w:qFormat/>
    <w:uiPriority w:val="0"/>
    <w:pPr>
      <w:spacing w:line="288" w:lineRule="auto"/>
      <w:ind w:firstLine="480" w:firstLineChars="200"/>
    </w:pPr>
    <w:rPr>
      <w:rFonts w:ascii="Times New Roman" w:hAnsi="Times New Roman" w:eastAsia="宋体" w:cs="Times New Roman"/>
      <w:color w:val="000000"/>
      <w:sz w:val="24"/>
      <w:szCs w:val="24"/>
    </w:rPr>
  </w:style>
  <w:style w:type="paragraph" w:customStyle="1" w:styleId="794">
    <w:name w:val="样式 标题 1章章标题一、1.标题 1PAGE HEADINGh1headingHeader 1st Page...2"/>
    <w:basedOn w:val="6"/>
    <w:qFormat/>
    <w:uiPriority w:val="0"/>
    <w:pPr>
      <w:numPr>
        <w:numId w:val="0"/>
      </w:numPr>
      <w:spacing w:before="0" w:after="0" w:line="240" w:lineRule="exact"/>
    </w:pPr>
    <w:rPr>
      <w:rFonts w:eastAsia="宋体" w:cs="Times New Roman"/>
      <w:b w:val="0"/>
      <w:sz w:val="21"/>
      <w:szCs w:val="21"/>
    </w:rPr>
  </w:style>
  <w:style w:type="paragraph" w:customStyle="1" w:styleId="795">
    <w:name w:val="xl54"/>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pPr>
    <w:rPr>
      <w:rFonts w:ascii="Arial Unicode MS" w:hAnsi="Arial Unicode MS" w:eastAsia="Arial Unicode MS" w:cs="Arial Unicode MS"/>
      <w:kern w:val="0"/>
      <w:sz w:val="18"/>
      <w:szCs w:val="18"/>
    </w:rPr>
  </w:style>
  <w:style w:type="paragraph" w:customStyle="1" w:styleId="796">
    <w:name w:val="日期1"/>
    <w:basedOn w:val="1"/>
    <w:next w:val="1"/>
    <w:qFormat/>
    <w:uiPriority w:val="0"/>
    <w:pPr>
      <w:adjustRightInd w:val="0"/>
      <w:spacing w:line="240" w:lineRule="auto"/>
      <w:textAlignment w:val="baseline"/>
    </w:pPr>
    <w:rPr>
      <w:rFonts w:ascii="Times New Roman" w:hAnsi="Times New Roman" w:eastAsia="宋体" w:cs="Times New Roman"/>
      <w:snapToGrid w:val="0"/>
      <w:sz w:val="24"/>
      <w:szCs w:val="20"/>
    </w:rPr>
  </w:style>
  <w:style w:type="paragraph" w:customStyle="1" w:styleId="797">
    <w:name w:val="正文文字2"/>
    <w:link w:val="798"/>
    <w:qFormat/>
    <w:uiPriority w:val="0"/>
    <w:pPr>
      <w:adjustRightInd w:val="0"/>
      <w:snapToGrid w:val="0"/>
      <w:jc w:val="center"/>
    </w:pPr>
    <w:rPr>
      <w:rFonts w:ascii="Times New Roman" w:hAnsi="Times New Roman" w:eastAsia="黑体" w:cs="Times New Roman"/>
      <w:snapToGrid w:val="0"/>
      <w:kern w:val="2"/>
      <w:sz w:val="30"/>
      <w:szCs w:val="30"/>
      <w:lang w:val="en-US" w:eastAsia="zh-CN" w:bidi="ar-SA"/>
    </w:rPr>
  </w:style>
  <w:style w:type="character" w:customStyle="1" w:styleId="798">
    <w:name w:val="正文文字2 Char Char"/>
    <w:link w:val="797"/>
    <w:qFormat/>
    <w:uiPriority w:val="0"/>
    <w:rPr>
      <w:rFonts w:ascii="Times New Roman" w:hAnsi="Times New Roman" w:eastAsia="黑体" w:cs="Times New Roman"/>
      <w:snapToGrid w:val="0"/>
      <w:sz w:val="30"/>
      <w:szCs w:val="30"/>
    </w:rPr>
  </w:style>
  <w:style w:type="paragraph" w:customStyle="1" w:styleId="799">
    <w:name w:val="Char Char Char Char Char Char Char Char Char Char Char Char Char Char Char Char Char Char"/>
    <w:basedOn w:val="1"/>
    <w:qFormat/>
    <w:uiPriority w:val="0"/>
    <w:pPr>
      <w:spacing w:line="240" w:lineRule="auto"/>
    </w:pPr>
    <w:rPr>
      <w:rFonts w:ascii="宋体" w:hAnsi="Times New Roman" w:eastAsia="宋体" w:cs="Times New Roman"/>
      <w:sz w:val="24"/>
      <w:szCs w:val="20"/>
    </w:rPr>
  </w:style>
  <w:style w:type="paragraph" w:customStyle="1" w:styleId="800">
    <w:name w:val="Char Char4 Char Char Char Char1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30"/>
      <w:lang w:eastAsia="en-US"/>
    </w:rPr>
  </w:style>
  <w:style w:type="paragraph" w:customStyle="1" w:styleId="801">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textAlignment w:val="center"/>
    </w:pPr>
    <w:rPr>
      <w:rFonts w:ascii="Arial Unicode MS" w:hAnsi="Arial Unicode MS" w:eastAsia="Arial Unicode MS" w:cs="Times New Roman"/>
      <w:color w:val="FF00FF"/>
      <w:kern w:val="0"/>
      <w:sz w:val="20"/>
      <w:szCs w:val="20"/>
    </w:rPr>
  </w:style>
  <w:style w:type="paragraph" w:customStyle="1" w:styleId="802">
    <w:name w:val="报告正文"/>
    <w:basedOn w:val="24"/>
    <w:qFormat/>
    <w:uiPriority w:val="0"/>
    <w:pPr>
      <w:spacing w:line="460" w:lineRule="exact"/>
      <w:ind w:firstLine="200"/>
    </w:pPr>
    <w:rPr>
      <w:szCs w:val="20"/>
    </w:rPr>
  </w:style>
  <w:style w:type="paragraph" w:customStyle="1" w:styleId="803">
    <w:name w:val="Char Char Char Char Char Char Char Char Char Char Char Char Char Char Char Char Char Char1 Char Char Char Char"/>
    <w:basedOn w:val="1"/>
    <w:qFormat/>
    <w:uiPriority w:val="0"/>
    <w:pPr>
      <w:spacing w:line="240" w:lineRule="auto"/>
    </w:pPr>
    <w:rPr>
      <w:rFonts w:ascii="Times New Roman" w:hAnsi="Times New Roman" w:eastAsia="宋体" w:cs="Times New Roman"/>
      <w:szCs w:val="24"/>
    </w:rPr>
  </w:style>
  <w:style w:type="paragraph" w:customStyle="1" w:styleId="804">
    <w:name w:val="xl59"/>
    <w:basedOn w:val="1"/>
    <w:qFormat/>
    <w:uiPriority w:val="0"/>
    <w:pPr>
      <w:widowControl/>
      <w:pBdr>
        <w:bottom w:val="single" w:color="auto" w:sz="8" w:space="0"/>
      </w:pBdr>
      <w:spacing w:before="100" w:beforeAutospacing="1" w:after="100" w:afterAutospacing="1" w:line="240" w:lineRule="auto"/>
      <w:jc w:val="center"/>
    </w:pPr>
    <w:rPr>
      <w:rFonts w:ascii="Times New Roman" w:hAnsi="Times New Roman" w:eastAsia="Arial Unicode MS" w:cs="Times New Roman"/>
      <w:kern w:val="0"/>
    </w:rPr>
  </w:style>
  <w:style w:type="paragraph" w:customStyle="1" w:styleId="805">
    <w:name w:val="xl65"/>
    <w:basedOn w:val="1"/>
    <w:qFormat/>
    <w:uiPriority w:val="0"/>
    <w:pPr>
      <w:widowControl/>
      <w:pBdr>
        <w:bottom w:val="single" w:color="auto" w:sz="4" w:space="0"/>
        <w:right w:val="single" w:color="auto" w:sz="4" w:space="0"/>
      </w:pBdr>
      <w:spacing w:before="100" w:beforeAutospacing="1" w:after="100" w:afterAutospacing="1" w:line="240" w:lineRule="auto"/>
      <w:jc w:val="center"/>
      <w:textAlignment w:val="top"/>
    </w:pPr>
    <w:rPr>
      <w:rFonts w:ascii="Arial Unicode MS" w:hAnsi="Arial Unicode MS" w:eastAsia="Arial Unicode MS" w:cs="Arial Unicode MS"/>
      <w:kern w:val="0"/>
      <w:sz w:val="18"/>
      <w:szCs w:val="18"/>
    </w:rPr>
  </w:style>
  <w:style w:type="paragraph" w:customStyle="1" w:styleId="806">
    <w:name w:val="表格内容 Char Char"/>
    <w:basedOn w:val="1"/>
    <w:qFormat/>
    <w:uiPriority w:val="0"/>
    <w:pPr>
      <w:tabs>
        <w:tab w:val="left" w:pos="1535"/>
        <w:tab w:val="left" w:pos="3105"/>
        <w:tab w:val="left" w:pos="4676"/>
        <w:tab w:val="left" w:pos="6247"/>
        <w:tab w:val="left" w:pos="7740"/>
        <w:tab w:val="left" w:pos="9288"/>
      </w:tabs>
      <w:adjustRightInd w:val="0"/>
      <w:snapToGrid w:val="0"/>
      <w:spacing w:line="240" w:lineRule="exact"/>
      <w:jc w:val="center"/>
      <w:textAlignment w:val="baseline"/>
    </w:pPr>
    <w:rPr>
      <w:rFonts w:ascii="Times New Roman" w:hAnsi="Times New Roman" w:eastAsia="宋体" w:cs="Times New Roman"/>
      <w:color w:val="000000"/>
      <w:szCs w:val="16"/>
    </w:rPr>
  </w:style>
  <w:style w:type="paragraph" w:customStyle="1" w:styleId="807">
    <w:name w:val="样式 标题 3 + 段前: 0.5 行 段后: 0.5 行1"/>
    <w:basedOn w:val="8"/>
    <w:qFormat/>
    <w:uiPriority w:val="0"/>
    <w:pPr>
      <w:numPr>
        <w:ilvl w:val="0"/>
        <w:numId w:val="0"/>
      </w:numPr>
      <w:spacing w:before="0" w:after="0" w:line="440" w:lineRule="exact"/>
      <w:jc w:val="both"/>
    </w:pPr>
    <w:rPr>
      <w:rFonts w:eastAsia="华文中宋" w:cs="宋体"/>
      <w:sz w:val="28"/>
      <w:szCs w:val="20"/>
    </w:rPr>
  </w:style>
  <w:style w:type="paragraph" w:customStyle="1" w:styleId="808">
    <w:name w:val="xl23"/>
    <w:basedOn w:val="1"/>
    <w:qFormat/>
    <w:uiPriority w:val="0"/>
    <w:pPr>
      <w:widowControl/>
      <w:pBdr>
        <w:bottom w:val="single" w:color="auto" w:sz="8" w:space="0"/>
      </w:pBdr>
      <w:spacing w:before="100" w:beforeAutospacing="1" w:after="100" w:afterAutospacing="1" w:line="240" w:lineRule="auto"/>
      <w:jc w:val="center"/>
    </w:pPr>
    <w:rPr>
      <w:rFonts w:ascii="宋体" w:hAnsi="宋体" w:eastAsia="宋体" w:cs="宋体"/>
      <w:kern w:val="0"/>
      <w:sz w:val="18"/>
      <w:szCs w:val="18"/>
    </w:rPr>
  </w:style>
  <w:style w:type="paragraph" w:customStyle="1" w:styleId="809">
    <w:name w:val="三级标题 Char"/>
    <w:basedOn w:val="1"/>
    <w:qFormat/>
    <w:uiPriority w:val="0"/>
    <w:pPr>
      <w:tabs>
        <w:tab w:val="left" w:pos="709"/>
      </w:tabs>
      <w:adjustRightInd w:val="0"/>
      <w:snapToGrid w:val="0"/>
      <w:spacing w:before="120" w:after="120" w:line="300" w:lineRule="auto"/>
      <w:ind w:left="709" w:hanging="709"/>
      <w:jc w:val="left"/>
      <w:outlineLvl w:val="2"/>
    </w:pPr>
    <w:rPr>
      <w:rFonts w:ascii="Times New Roman" w:hAnsi="Times New Roman" w:eastAsia="黑体" w:cs="Times New Roman"/>
      <w:sz w:val="28"/>
      <w:szCs w:val="20"/>
    </w:rPr>
  </w:style>
  <w:style w:type="paragraph" w:customStyle="1" w:styleId="810">
    <w:name w:val="样式 样式5 + 黑色"/>
    <w:basedOn w:val="1"/>
    <w:qFormat/>
    <w:uiPriority w:val="0"/>
    <w:pPr>
      <w:spacing w:line="240" w:lineRule="auto"/>
      <w:ind w:firstLine="420" w:firstLineChars="200"/>
    </w:pPr>
    <w:rPr>
      <w:rFonts w:ascii="Times New Roman" w:hAnsi="Times New Roman" w:eastAsia="华文中宋" w:cs="Times New Roman"/>
      <w:color w:val="000000"/>
    </w:rPr>
  </w:style>
  <w:style w:type="paragraph" w:customStyle="1" w:styleId="811">
    <w:name w:val="批注文字（西藏格式）"/>
    <w:basedOn w:val="31"/>
    <w:qFormat/>
    <w:uiPriority w:val="0"/>
    <w:pPr>
      <w:adjustRightInd w:val="0"/>
      <w:snapToGrid w:val="0"/>
      <w:spacing w:before="120" w:line="400" w:lineRule="exact"/>
      <w:ind w:left="1248" w:right="284" w:hanging="964" w:firstLineChars="0"/>
      <w:jc w:val="both"/>
    </w:pPr>
    <w:rPr>
      <w:rFonts w:ascii="Calibri" w:hAnsi="Calibri"/>
      <w:snapToGrid w:val="0"/>
      <w:kern w:val="0"/>
      <w:szCs w:val="21"/>
    </w:rPr>
  </w:style>
  <w:style w:type="paragraph" w:customStyle="1" w:styleId="812">
    <w:name w:val="样式 样式 表文 + 左 段后: 6 磅 + 段后: 6 磅"/>
    <w:basedOn w:val="1"/>
    <w:qFormat/>
    <w:uiPriority w:val="0"/>
    <w:pPr>
      <w:overflowPunct w:val="0"/>
      <w:topLinePunct/>
      <w:spacing w:line="320" w:lineRule="exact"/>
      <w:jc w:val="left"/>
      <w:outlineLvl w:val="6"/>
    </w:pPr>
    <w:rPr>
      <w:rFonts w:ascii="Times New Roman" w:hAnsi="Times New Roman" w:eastAsia="宋体" w:cs="宋体"/>
      <w:sz w:val="18"/>
      <w:szCs w:val="20"/>
    </w:rPr>
  </w:style>
  <w:style w:type="paragraph" w:customStyle="1" w:styleId="813">
    <w:name w:val="样式16"/>
    <w:basedOn w:val="814"/>
    <w:qFormat/>
    <w:uiPriority w:val="0"/>
    <w:pPr>
      <w:spacing w:line="280" w:lineRule="exact"/>
    </w:pPr>
  </w:style>
  <w:style w:type="paragraph" w:customStyle="1" w:styleId="814">
    <w:name w:val="样式 样式8 + 左  -0.5 字符 右  -0.5 字符"/>
    <w:basedOn w:val="646"/>
    <w:qFormat/>
    <w:uiPriority w:val="0"/>
    <w:pPr>
      <w:spacing w:line="320" w:lineRule="exact"/>
      <w:ind w:left="-120" w:leftChars="-50" w:right="-120" w:rightChars="-50"/>
      <w:jc w:val="center"/>
    </w:pPr>
    <w:rPr>
      <w:rFonts w:ascii="Times New Roman" w:hAnsi="Times New Roman" w:eastAsia="华文中宋" w:cs="Times New Roman"/>
      <w:color w:val="000000"/>
      <w:kern w:val="0"/>
      <w:szCs w:val="21"/>
    </w:rPr>
  </w:style>
  <w:style w:type="paragraph" w:customStyle="1" w:styleId="815">
    <w:name w:val="Char Char Char2"/>
    <w:basedOn w:val="1"/>
    <w:qFormat/>
    <w:uiPriority w:val="0"/>
    <w:pPr>
      <w:spacing w:line="240" w:lineRule="auto"/>
    </w:pPr>
    <w:rPr>
      <w:rFonts w:ascii="宋体" w:hAnsi="Times New Roman" w:eastAsia="宋体" w:cs="Times New Roman"/>
      <w:szCs w:val="20"/>
    </w:rPr>
  </w:style>
  <w:style w:type="paragraph" w:customStyle="1" w:styleId="816">
    <w:name w:val="样式47"/>
    <w:basedOn w:val="1"/>
    <w:qFormat/>
    <w:uiPriority w:val="0"/>
    <w:pPr>
      <w:spacing w:line="240" w:lineRule="auto"/>
      <w:ind w:firstLine="420" w:firstLineChars="200"/>
    </w:pPr>
    <w:rPr>
      <w:rFonts w:ascii="Times New Roman" w:hAnsi="Times New Roman" w:eastAsia="华文中宋" w:cs="Times New Roman"/>
      <w:color w:val="000000"/>
      <w:szCs w:val="24"/>
    </w:rPr>
  </w:style>
  <w:style w:type="paragraph" w:customStyle="1" w:styleId="817">
    <w:name w:val="目录7～8（西藏样式）"/>
    <w:basedOn w:val="818"/>
    <w:qFormat/>
    <w:uiPriority w:val="0"/>
    <w:pPr>
      <w:ind w:left="731" w:hanging="731"/>
    </w:pPr>
  </w:style>
  <w:style w:type="paragraph" w:customStyle="1" w:styleId="818">
    <w:name w:val="目录4（西藏格式）"/>
    <w:basedOn w:val="65"/>
    <w:qFormat/>
    <w:uiPriority w:val="0"/>
    <w:pPr>
      <w:adjustRightInd w:val="0"/>
      <w:snapToGrid w:val="0"/>
      <w:ind w:left="720"/>
    </w:pPr>
    <w:rPr>
      <w:rFonts w:ascii="Calibri" w:hAnsi="Calibri" w:cs="Calibri"/>
      <w:snapToGrid w:val="0"/>
    </w:rPr>
  </w:style>
  <w:style w:type="paragraph" w:customStyle="1" w:styleId="819">
    <w:name w:val="xl47"/>
    <w:basedOn w:val="1"/>
    <w:qFormat/>
    <w:uiPriority w:val="0"/>
    <w:pPr>
      <w:widowControl/>
      <w:pBdr>
        <w:left w:val="single" w:color="auto" w:sz="4"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820">
    <w:name w:val="表5号字"/>
    <w:qFormat/>
    <w:uiPriority w:val="0"/>
    <w:pPr>
      <w:keepNext/>
      <w:widowControl w:val="0"/>
      <w:adjustRightInd w:val="0"/>
      <w:spacing w:before="120" w:after="120" w:line="60" w:lineRule="atLeast"/>
      <w:jc w:val="center"/>
      <w:textAlignment w:val="baseline"/>
    </w:pPr>
    <w:rPr>
      <w:rFonts w:ascii="Times New Roman" w:hAnsi="Times New Roman" w:eastAsia="宋体" w:cs="Times New Roman"/>
      <w:sz w:val="21"/>
      <w:lang w:val="en-US" w:eastAsia="zh-CN" w:bidi="ar-SA"/>
    </w:rPr>
  </w:style>
  <w:style w:type="paragraph" w:customStyle="1" w:styleId="821">
    <w:name w:val="目录2"/>
    <w:basedOn w:val="1"/>
    <w:next w:val="1"/>
    <w:qFormat/>
    <w:uiPriority w:val="0"/>
    <w:pPr>
      <w:widowControl/>
      <w:tabs>
        <w:tab w:val="left" w:leader="dot" w:pos="8503"/>
      </w:tabs>
      <w:adjustRightInd w:val="0"/>
      <w:snapToGrid w:val="0"/>
      <w:spacing w:line="317" w:lineRule="atLeast"/>
      <w:ind w:left="419" w:firstLine="419" w:firstLineChars="200"/>
      <w:textAlignment w:val="baseline"/>
    </w:pPr>
    <w:rPr>
      <w:rFonts w:ascii="Times New Roman" w:hAnsi="Times New Roman" w:eastAsia="宋体" w:cs="Times New Roman"/>
      <w:snapToGrid w:val="0"/>
      <w:color w:val="000000"/>
      <w:kern w:val="0"/>
      <w:sz w:val="24"/>
      <w:szCs w:val="24"/>
      <w:u w:color="000000"/>
    </w:rPr>
  </w:style>
  <w:style w:type="paragraph" w:customStyle="1" w:styleId="822">
    <w:name w:val="正文文本缩进 31"/>
    <w:basedOn w:val="1"/>
    <w:qFormat/>
    <w:uiPriority w:val="0"/>
    <w:pPr>
      <w:adjustRightInd w:val="0"/>
      <w:spacing w:line="300" w:lineRule="auto"/>
      <w:ind w:firstLine="691"/>
      <w:textAlignment w:val="baseline"/>
    </w:pPr>
    <w:rPr>
      <w:rFonts w:ascii="宋体" w:hAnsi="Times New Roman" w:eastAsia="宋体" w:cs="Times New Roman"/>
      <w:kern w:val="0"/>
      <w:sz w:val="28"/>
      <w:szCs w:val="20"/>
    </w:rPr>
  </w:style>
  <w:style w:type="paragraph" w:customStyle="1" w:styleId="823">
    <w:name w:val="文"/>
    <w:basedOn w:val="1"/>
    <w:qFormat/>
    <w:uiPriority w:val="0"/>
    <w:pPr>
      <w:autoSpaceDE w:val="0"/>
      <w:autoSpaceDN w:val="0"/>
      <w:adjustRightInd w:val="0"/>
      <w:snapToGrid w:val="0"/>
      <w:spacing w:line="447" w:lineRule="atLeast"/>
      <w:ind w:firstLine="419" w:firstLineChars="200"/>
    </w:pPr>
    <w:rPr>
      <w:rFonts w:ascii="Times New Roman" w:hAnsi="Times New Roman" w:eastAsia="宋体" w:cs="Times New Roman"/>
      <w:snapToGrid w:val="0"/>
      <w:color w:val="000000"/>
      <w:kern w:val="0"/>
      <w:sz w:val="24"/>
      <w:szCs w:val="24"/>
      <w:lang w:val="zh-CN"/>
    </w:rPr>
  </w:style>
  <w:style w:type="paragraph" w:customStyle="1" w:styleId="824">
    <w:name w:val="样式 标题 2节 + 左 行距: 单倍行距"/>
    <w:basedOn w:val="7"/>
    <w:qFormat/>
    <w:uiPriority w:val="0"/>
    <w:pPr>
      <w:widowControl/>
      <w:numPr>
        <w:ilvl w:val="0"/>
        <w:numId w:val="0"/>
      </w:numPr>
      <w:tabs>
        <w:tab w:val="left" w:pos="576"/>
      </w:tabs>
      <w:autoSpaceDE w:val="0"/>
      <w:autoSpaceDN w:val="0"/>
      <w:spacing w:before="120" w:after="120" w:line="360" w:lineRule="exact"/>
      <w:ind w:left="576" w:hanging="576"/>
      <w:textAlignment w:val="bottom"/>
    </w:pPr>
    <w:rPr>
      <w:rFonts w:ascii="Arial" w:hAnsi="Arial" w:eastAsia="黑体" w:cs="宋体"/>
      <w:b w:val="0"/>
      <w:bCs w:val="0"/>
      <w:kern w:val="0"/>
      <w:szCs w:val="28"/>
    </w:rPr>
  </w:style>
  <w:style w:type="paragraph" w:customStyle="1" w:styleId="825">
    <w:name w:val="签名（西藏格式）"/>
    <w:basedOn w:val="62"/>
    <w:qFormat/>
    <w:uiPriority w:val="0"/>
    <w:pPr>
      <w:adjustRightInd w:val="0"/>
      <w:snapToGrid w:val="0"/>
      <w:spacing w:line="400" w:lineRule="exact"/>
      <w:ind w:left="3969" w:leftChars="0"/>
      <w:jc w:val="center"/>
    </w:pPr>
    <w:rPr>
      <w:snapToGrid w:val="0"/>
      <w:sz w:val="24"/>
    </w:rPr>
  </w:style>
  <w:style w:type="paragraph" w:customStyle="1" w:styleId="826">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Times New Roman" w:hAnsi="Times New Roman" w:eastAsia="宋体" w:cs="Times New Roman"/>
      <w:sz w:val="32"/>
      <w:szCs w:val="20"/>
    </w:rPr>
  </w:style>
  <w:style w:type="paragraph" w:customStyle="1" w:styleId="827">
    <w:name w:val="样式25"/>
    <w:basedOn w:val="1"/>
    <w:qFormat/>
    <w:uiPriority w:val="0"/>
    <w:pPr>
      <w:adjustRightInd w:val="0"/>
      <w:spacing w:line="460" w:lineRule="exact"/>
      <w:ind w:firstLine="480" w:firstLineChars="200"/>
      <w:textAlignment w:val="baseline"/>
    </w:pPr>
    <w:rPr>
      <w:rFonts w:ascii="Times New Roman" w:hAnsi="Times New Roman" w:eastAsia="宋体" w:cs="Times New Roman"/>
      <w:color w:val="000000"/>
      <w:sz w:val="24"/>
      <w:szCs w:val="20"/>
    </w:rPr>
  </w:style>
  <w:style w:type="paragraph" w:customStyle="1" w:styleId="828">
    <w:name w:val="样式 样式6 + 黑色"/>
    <w:basedOn w:val="630"/>
    <w:qFormat/>
    <w:uiPriority w:val="0"/>
    <w:pPr>
      <w:widowControl/>
      <w:spacing w:line="300" w:lineRule="exact"/>
      <w:ind w:left="-120" w:leftChars="-50" w:right="-120" w:rightChars="-50"/>
    </w:pPr>
    <w:rPr>
      <w:rFonts w:eastAsia="华文中宋"/>
      <w:color w:val="000000"/>
      <w:sz w:val="21"/>
      <w:szCs w:val="21"/>
    </w:rPr>
  </w:style>
  <w:style w:type="paragraph" w:customStyle="1" w:styleId="829">
    <w:name w:val="Char Char Char Char Char Char Char"/>
    <w:basedOn w:val="1"/>
    <w:qFormat/>
    <w:uiPriority w:val="0"/>
    <w:pPr>
      <w:spacing w:line="240" w:lineRule="auto"/>
    </w:pPr>
    <w:rPr>
      <w:rFonts w:ascii="Times New Roman" w:hAnsi="Times New Roman" w:eastAsia="宋体" w:cs="Times New Roman"/>
    </w:rPr>
  </w:style>
  <w:style w:type="paragraph" w:customStyle="1" w:styleId="830">
    <w:name w:val="样式 样式 样式 标题 3标题 33 + 段前: 0.5 行 + 段前: 0.5 行 + 段前: 6 磅 段后: 0.5 行"/>
    <w:basedOn w:val="706"/>
    <w:qFormat/>
    <w:uiPriority w:val="0"/>
  </w:style>
  <w:style w:type="paragraph" w:customStyle="1" w:styleId="831">
    <w:name w:val="麦志勤正文"/>
    <w:basedOn w:val="1"/>
    <w:qFormat/>
    <w:uiPriority w:val="0"/>
    <w:pPr>
      <w:widowControl/>
      <w:adjustRightInd w:val="0"/>
      <w:snapToGrid w:val="0"/>
      <w:spacing w:beforeLines="20" w:line="300" w:lineRule="auto"/>
      <w:ind w:firstLine="200" w:firstLineChars="200"/>
    </w:pPr>
    <w:rPr>
      <w:rFonts w:ascii="宋体" w:hAnsi="宋体" w:eastAsia="宋体" w:cs="Times New Roman"/>
      <w:sz w:val="24"/>
    </w:rPr>
  </w:style>
  <w:style w:type="paragraph" w:customStyle="1" w:styleId="832">
    <w:name w:val="样式 标题 2 + 段前: 0.5 行 段后: 0.5 行1"/>
    <w:basedOn w:val="7"/>
    <w:qFormat/>
    <w:uiPriority w:val="0"/>
    <w:pPr>
      <w:numPr>
        <w:ilvl w:val="0"/>
        <w:numId w:val="0"/>
      </w:numPr>
      <w:spacing w:beforeLines="50" w:after="0" w:line="440" w:lineRule="exact"/>
      <w:jc w:val="both"/>
    </w:pPr>
    <w:rPr>
      <w:rFonts w:eastAsia="华文中宋" w:cs="宋体"/>
      <w:sz w:val="30"/>
      <w:szCs w:val="30"/>
    </w:rPr>
  </w:style>
  <w:style w:type="paragraph" w:customStyle="1" w:styleId="833">
    <w:name w:val="xl29"/>
    <w:basedOn w:val="1"/>
    <w:qFormat/>
    <w:uiPriority w:val="0"/>
    <w:pPr>
      <w:widowControl/>
      <w:pBdr>
        <w:bottom w:val="single" w:color="auto" w:sz="4" w:space="0"/>
        <w:right w:val="single" w:color="auto" w:sz="4"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834">
    <w:name w:val="八级标题"/>
    <w:qFormat/>
    <w:uiPriority w:val="0"/>
    <w:pPr>
      <w:adjustRightInd w:val="0"/>
      <w:snapToGrid w:val="0"/>
      <w:spacing w:after="60"/>
      <w:jc w:val="center"/>
    </w:pPr>
    <w:rPr>
      <w:rFonts w:ascii="黑体" w:hAnsi="Times New Roman" w:eastAsia="黑体" w:cs="Times New Roman"/>
      <w:snapToGrid w:val="0"/>
      <w:sz w:val="21"/>
      <w:lang w:val="en-US" w:eastAsia="zh-CN" w:bidi="ar-SA"/>
    </w:rPr>
  </w:style>
  <w:style w:type="paragraph" w:customStyle="1" w:styleId="835">
    <w:name w:val="表标题"/>
    <w:basedOn w:val="1"/>
    <w:link w:val="836"/>
    <w:qFormat/>
    <w:uiPriority w:val="0"/>
    <w:pPr>
      <w:tabs>
        <w:tab w:val="left" w:pos="3578"/>
      </w:tabs>
      <w:spacing w:beforeLines="50" w:afterLines="50" w:line="300" w:lineRule="auto"/>
      <w:ind w:left="3578" w:hanging="600"/>
      <w:jc w:val="center"/>
    </w:pPr>
    <w:rPr>
      <w:rFonts w:ascii="Arial" w:hAnsi="Arial" w:eastAsia="宋体" w:cs="Times New Roman"/>
      <w:b/>
      <w:sz w:val="24"/>
      <w:szCs w:val="20"/>
      <w:lang w:val="en-GB"/>
    </w:rPr>
  </w:style>
  <w:style w:type="character" w:customStyle="1" w:styleId="836">
    <w:name w:val="表标题 Char"/>
    <w:link w:val="835"/>
    <w:qFormat/>
    <w:uiPriority w:val="0"/>
    <w:rPr>
      <w:rFonts w:ascii="Arial" w:hAnsi="Arial" w:eastAsia="宋体" w:cs="Times New Roman"/>
      <w:b/>
      <w:sz w:val="24"/>
      <w:szCs w:val="20"/>
      <w:lang w:val="en-GB"/>
    </w:rPr>
  </w:style>
  <w:style w:type="paragraph" w:customStyle="1" w:styleId="837">
    <w:name w:val="二级标题"/>
    <w:basedOn w:val="1"/>
    <w:qFormat/>
    <w:uiPriority w:val="0"/>
    <w:pPr>
      <w:tabs>
        <w:tab w:val="left" w:pos="567"/>
      </w:tabs>
      <w:spacing w:before="240" w:after="120" w:line="300" w:lineRule="auto"/>
      <w:ind w:left="567" w:hanging="567"/>
      <w:jc w:val="left"/>
      <w:outlineLvl w:val="1"/>
    </w:pPr>
    <w:rPr>
      <w:rFonts w:ascii="Times New Roman" w:hAnsi="Times New Roman" w:eastAsia="黑体" w:cs="Times New Roman"/>
      <w:kern w:val="0"/>
      <w:sz w:val="32"/>
      <w:szCs w:val="20"/>
    </w:rPr>
  </w:style>
  <w:style w:type="paragraph" w:customStyle="1" w:styleId="838">
    <w:name w:val="样式 标题3 + 段前: 0.5 行 段后: 0.5 行"/>
    <w:basedOn w:val="208"/>
    <w:qFormat/>
    <w:uiPriority w:val="0"/>
    <w:pPr>
      <w:widowControl w:val="0"/>
      <w:overflowPunct w:val="0"/>
      <w:topLinePunct/>
      <w:spacing w:line="440" w:lineRule="exact"/>
      <w:ind w:firstLine="0" w:firstLineChars="0"/>
      <w:jc w:val="both"/>
    </w:pPr>
    <w:rPr>
      <w:rFonts w:eastAsia="华文中宋" w:cs="宋体"/>
      <w:b/>
      <w:bCs/>
      <w:color w:val="auto"/>
      <w:kern w:val="10"/>
      <w:sz w:val="28"/>
      <w:szCs w:val="20"/>
    </w:rPr>
  </w:style>
  <w:style w:type="paragraph" w:customStyle="1" w:styleId="839">
    <w:name w:val="8"/>
    <w:basedOn w:val="1"/>
    <w:next w:val="46"/>
    <w:qFormat/>
    <w:uiPriority w:val="0"/>
    <w:pPr>
      <w:spacing w:line="240" w:lineRule="auto"/>
    </w:pPr>
    <w:rPr>
      <w:rFonts w:ascii="宋体" w:hAnsi="Courier New" w:eastAsia="宋体" w:cs="Times New Roman"/>
    </w:rPr>
  </w:style>
  <w:style w:type="paragraph" w:customStyle="1" w:styleId="840">
    <w:name w:val="样式 Bt3 + 加粗"/>
    <w:basedOn w:val="8"/>
    <w:next w:val="1"/>
    <w:qFormat/>
    <w:uiPriority w:val="0"/>
    <w:pPr>
      <w:numPr>
        <w:ilvl w:val="0"/>
        <w:numId w:val="0"/>
      </w:numPr>
      <w:spacing w:before="0" w:after="0" w:line="360" w:lineRule="auto"/>
      <w:jc w:val="both"/>
    </w:pPr>
    <w:rPr>
      <w:rFonts w:eastAsia="黑体" w:cs="Times New Roman"/>
      <w:b w:val="0"/>
      <w:bCs w:val="0"/>
      <w:snapToGrid w:val="0"/>
      <w:kern w:val="0"/>
      <w:szCs w:val="20"/>
    </w:rPr>
  </w:style>
  <w:style w:type="paragraph" w:customStyle="1" w:styleId="841">
    <w:name w:val="目录4"/>
    <w:basedOn w:val="1"/>
    <w:next w:val="1"/>
    <w:qFormat/>
    <w:uiPriority w:val="0"/>
    <w:pPr>
      <w:widowControl/>
      <w:tabs>
        <w:tab w:val="left" w:leader="dot" w:pos="8503"/>
      </w:tabs>
      <w:adjustRightInd w:val="0"/>
      <w:snapToGrid w:val="0"/>
      <w:spacing w:line="240" w:lineRule="auto"/>
      <w:ind w:left="419" w:firstLine="629" w:firstLineChars="200"/>
      <w:textAlignment w:val="baseline"/>
    </w:pPr>
    <w:rPr>
      <w:rFonts w:ascii="Times New Roman" w:hAnsi="Times New Roman" w:eastAsia="宋体" w:cs="Times New Roman"/>
      <w:snapToGrid w:val="0"/>
      <w:color w:val="000000"/>
      <w:kern w:val="0"/>
      <w:sz w:val="24"/>
      <w:szCs w:val="24"/>
      <w:u w:color="000000"/>
    </w:rPr>
  </w:style>
  <w:style w:type="paragraph" w:customStyle="1" w:styleId="842">
    <w:name w:val="xl44"/>
    <w:basedOn w:val="1"/>
    <w:qFormat/>
    <w:uiPriority w:val="0"/>
    <w:pPr>
      <w:widowControl/>
      <w:pBdr>
        <w:top w:val="single" w:color="auto" w:sz="8" w:space="0"/>
        <w:left w:val="single" w:color="auto" w:sz="8"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843">
    <w:name w:val="表文1"/>
    <w:basedOn w:val="200"/>
    <w:qFormat/>
    <w:uiPriority w:val="0"/>
    <w:pPr>
      <w:widowControl w:val="0"/>
      <w:spacing w:line="360" w:lineRule="auto"/>
      <w:jc w:val="both"/>
    </w:pPr>
    <w:rPr>
      <w:rFonts w:asciiTheme="minorHAnsi" w:hAnsiTheme="minorHAnsi" w:eastAsiaTheme="minorEastAsia" w:cstheme="minorBidi"/>
      <w:szCs w:val="22"/>
    </w:rPr>
  </w:style>
  <w:style w:type="paragraph" w:customStyle="1" w:styleId="844">
    <w:name w:val="13"/>
    <w:basedOn w:val="1"/>
    <w:next w:val="24"/>
    <w:qFormat/>
    <w:uiPriority w:val="0"/>
    <w:pPr>
      <w:spacing w:line="240" w:lineRule="auto"/>
      <w:ind w:firstLine="420"/>
    </w:pPr>
    <w:rPr>
      <w:rFonts w:ascii="Times New Roman" w:hAnsi="Times New Roman" w:eastAsia="宋体" w:cs="Times New Roman"/>
      <w:szCs w:val="20"/>
    </w:rPr>
  </w:style>
  <w:style w:type="paragraph" w:customStyle="1" w:styleId="845">
    <w:name w:val="Char Char Char1 Char"/>
    <w:basedOn w:val="1"/>
    <w:qFormat/>
    <w:uiPriority w:val="99"/>
    <w:pPr>
      <w:spacing w:line="240" w:lineRule="auto"/>
    </w:pPr>
    <w:rPr>
      <w:rFonts w:ascii="Times New Roman" w:hAnsi="Times New Roman" w:eastAsia="宋体" w:cs="Times New Roman"/>
      <w:sz w:val="24"/>
      <w:szCs w:val="20"/>
    </w:rPr>
  </w:style>
  <w:style w:type="paragraph" w:customStyle="1" w:styleId="846">
    <w:name w:val="xl60"/>
    <w:basedOn w:val="1"/>
    <w:qFormat/>
    <w:uiPriority w:val="0"/>
    <w:pPr>
      <w:widowControl/>
      <w:pBdr>
        <w:top w:val="single" w:color="auto" w:sz="8" w:space="0"/>
        <w:bottom w:val="single" w:color="auto" w:sz="4" w:space="0"/>
      </w:pBdr>
      <w:spacing w:before="100" w:beforeAutospacing="1" w:after="100" w:afterAutospacing="1" w:line="240" w:lineRule="auto"/>
      <w:jc w:val="center"/>
    </w:pPr>
    <w:rPr>
      <w:rFonts w:ascii="Times New Roman" w:hAnsi="Times New Roman" w:eastAsia="Arial Unicode MS" w:cs="Times New Roman"/>
      <w:kern w:val="0"/>
    </w:rPr>
  </w:style>
  <w:style w:type="paragraph" w:customStyle="1" w:styleId="847">
    <w:name w:val="表格文字块"/>
    <w:basedOn w:val="40"/>
    <w:qFormat/>
    <w:uiPriority w:val="0"/>
    <w:pPr>
      <w:keepNext/>
      <w:snapToGrid w:val="0"/>
      <w:spacing w:after="0" w:line="240" w:lineRule="auto"/>
      <w:ind w:left="0" w:leftChars="0" w:right="0" w:rightChars="0" w:firstLine="0"/>
      <w:jc w:val="center"/>
    </w:pPr>
    <w:rPr>
      <w:rFonts w:eastAsia="楷体_GB2312"/>
      <w:snapToGrid w:val="0"/>
      <w:kern w:val="0"/>
      <w:szCs w:val="20"/>
    </w:rPr>
  </w:style>
  <w:style w:type="paragraph" w:customStyle="1" w:styleId="848">
    <w:name w:val="标准"/>
    <w:basedOn w:val="1"/>
    <w:qFormat/>
    <w:uiPriority w:val="0"/>
    <w:pPr>
      <w:tabs>
        <w:tab w:val="left" w:pos="720"/>
      </w:tabs>
      <w:adjustRightInd w:val="0"/>
      <w:spacing w:line="312" w:lineRule="atLeast"/>
      <w:textAlignment w:val="baseline"/>
    </w:pPr>
    <w:rPr>
      <w:rFonts w:ascii="Times New Roman" w:hAnsi="Times New Roman" w:eastAsia="宋体" w:cs="Times New Roman"/>
      <w:kern w:val="0"/>
      <w:szCs w:val="20"/>
    </w:rPr>
  </w:style>
  <w:style w:type="paragraph" w:customStyle="1" w:styleId="849">
    <w:name w:val="样式 标题 3 + 段前: 0.5 行 段后: 0.5 行"/>
    <w:basedOn w:val="8"/>
    <w:qFormat/>
    <w:uiPriority w:val="0"/>
    <w:pPr>
      <w:numPr>
        <w:ilvl w:val="0"/>
        <w:numId w:val="0"/>
      </w:numPr>
      <w:spacing w:beforeLines="50" w:afterLines="50" w:line="440" w:lineRule="exact"/>
      <w:jc w:val="both"/>
    </w:pPr>
    <w:rPr>
      <w:rFonts w:eastAsia="黑体" w:cs="宋体"/>
      <w:sz w:val="28"/>
      <w:szCs w:val="28"/>
    </w:rPr>
  </w:style>
  <w:style w:type="paragraph" w:customStyle="1" w:styleId="850">
    <w:name w:val="12"/>
    <w:basedOn w:val="1"/>
    <w:next w:val="46"/>
    <w:qFormat/>
    <w:uiPriority w:val="0"/>
    <w:pPr>
      <w:spacing w:line="240" w:lineRule="auto"/>
    </w:pPr>
    <w:rPr>
      <w:rFonts w:ascii="宋体" w:hAnsi="Courier New" w:eastAsia="宋体" w:cs="Times New Roman"/>
      <w:szCs w:val="20"/>
    </w:rPr>
  </w:style>
  <w:style w:type="paragraph" w:customStyle="1" w:styleId="851">
    <w:name w:val="样式 样式 标题 2 + 加粗 + 加粗"/>
    <w:basedOn w:val="1"/>
    <w:qFormat/>
    <w:uiPriority w:val="0"/>
    <w:pPr>
      <w:keepNext/>
      <w:keepLines/>
      <w:spacing w:line="240" w:lineRule="auto"/>
      <w:jc w:val="left"/>
      <w:outlineLvl w:val="1"/>
    </w:pPr>
    <w:rPr>
      <w:rFonts w:ascii="Times New Roman" w:hAnsi="Times New Roman" w:eastAsia="黑体" w:cs="Times New Roman"/>
      <w:bCs/>
      <w:sz w:val="32"/>
      <w:szCs w:val="32"/>
    </w:rPr>
  </w:style>
  <w:style w:type="paragraph" w:customStyle="1" w:styleId="852">
    <w:name w:val="xl49"/>
    <w:basedOn w:val="1"/>
    <w:qFormat/>
    <w:uiPriority w:val="0"/>
    <w:pPr>
      <w:widowControl/>
      <w:pBdr>
        <w:bottom w:val="single" w:color="auto" w:sz="4" w:space="0"/>
      </w:pBdr>
      <w:spacing w:before="100" w:beforeAutospacing="1" w:after="100" w:afterAutospacing="1" w:line="240" w:lineRule="auto"/>
      <w:jc w:val="center"/>
    </w:pPr>
    <w:rPr>
      <w:rFonts w:hint="eastAsia" w:ascii="新宋体" w:hAnsi="新宋体" w:eastAsia="新宋体" w:cs="Arial Unicode MS"/>
      <w:kern w:val="0"/>
      <w:sz w:val="15"/>
      <w:szCs w:val="15"/>
    </w:rPr>
  </w:style>
  <w:style w:type="paragraph" w:customStyle="1" w:styleId="853">
    <w:name w:val="xl64"/>
    <w:basedOn w:val="1"/>
    <w:qFormat/>
    <w:uiPriority w:val="0"/>
    <w:pPr>
      <w:widowControl/>
      <w:pBdr>
        <w:bottom w:val="single" w:color="auto" w:sz="4" w:space="0"/>
        <w:right w:val="single" w:color="auto" w:sz="4" w:space="0"/>
      </w:pBdr>
      <w:spacing w:before="100" w:beforeAutospacing="1" w:after="100" w:afterAutospacing="1" w:line="240" w:lineRule="auto"/>
      <w:jc w:val="center"/>
      <w:textAlignment w:val="top"/>
    </w:pPr>
    <w:rPr>
      <w:rFonts w:ascii="Times New Roman" w:hAnsi="Times New Roman" w:eastAsia="Arial Unicode MS" w:cs="Times New Roman"/>
      <w:kern w:val="0"/>
    </w:rPr>
  </w:style>
  <w:style w:type="paragraph" w:customStyle="1" w:styleId="854">
    <w:name w:val="xl66"/>
    <w:basedOn w:val="1"/>
    <w:qFormat/>
    <w:uiPriority w:val="0"/>
    <w:pPr>
      <w:widowControl/>
      <w:pBdr>
        <w:bottom w:val="single" w:color="auto" w:sz="4" w:space="0"/>
        <w:right w:val="single" w:color="auto" w:sz="4" w:space="0"/>
      </w:pBdr>
      <w:spacing w:before="100" w:beforeAutospacing="1" w:after="100" w:afterAutospacing="1" w:line="240" w:lineRule="auto"/>
      <w:textAlignment w:val="top"/>
    </w:pPr>
    <w:rPr>
      <w:rFonts w:ascii="Arial Unicode MS" w:hAnsi="Arial Unicode MS" w:eastAsia="Arial Unicode MS" w:cs="Arial Unicode MS"/>
      <w:kern w:val="0"/>
      <w:sz w:val="18"/>
      <w:szCs w:val="18"/>
    </w:rPr>
  </w:style>
  <w:style w:type="paragraph" w:customStyle="1" w:styleId="855">
    <w:name w:val="公式"/>
    <w:next w:val="1"/>
    <w:qFormat/>
    <w:uiPriority w:val="0"/>
    <w:pPr>
      <w:jc w:val="center"/>
    </w:pPr>
    <w:rPr>
      <w:rFonts w:ascii="Times New Roman" w:hAnsi="Times New Roman" w:eastAsia="宋体" w:cs="Times New Roman"/>
      <w:kern w:val="2"/>
      <w:position w:val="-24"/>
      <w:sz w:val="21"/>
      <w:lang w:val="en-US" w:eastAsia="zh-CN" w:bidi="ar-SA"/>
    </w:rPr>
  </w:style>
  <w:style w:type="paragraph" w:customStyle="1" w:styleId="856">
    <w:name w:val="样式15"/>
    <w:basedOn w:val="1"/>
    <w:qFormat/>
    <w:uiPriority w:val="0"/>
    <w:pPr>
      <w:spacing w:line="240" w:lineRule="auto"/>
      <w:ind w:firstLine="420" w:firstLineChars="200"/>
    </w:pPr>
    <w:rPr>
      <w:rFonts w:ascii="Times New Roman" w:hAnsi="Times New Roman" w:eastAsia="华文中宋" w:cs="Times New Roman"/>
      <w:kern w:val="0"/>
    </w:rPr>
  </w:style>
  <w:style w:type="paragraph" w:customStyle="1" w:styleId="857">
    <w:name w:val="样式 Bt3 + 加粗1"/>
    <w:basedOn w:val="724"/>
    <w:qFormat/>
    <w:uiPriority w:val="0"/>
  </w:style>
  <w:style w:type="paragraph" w:customStyle="1" w:styleId="858">
    <w:name w:val="样式 标题 1章章标题一、1.标题 1PAGE HEADINGh1headingHeader 1st Page...1"/>
    <w:basedOn w:val="6"/>
    <w:qFormat/>
    <w:uiPriority w:val="0"/>
    <w:pPr>
      <w:numPr>
        <w:numId w:val="0"/>
      </w:numPr>
      <w:spacing w:before="100" w:after="90"/>
      <w:jc w:val="both"/>
    </w:pPr>
    <w:rPr>
      <w:rFonts w:ascii="宋体" w:hAnsi="宋体" w:eastAsia="黑体" w:cs="Times New Roman"/>
      <w:sz w:val="44"/>
    </w:rPr>
  </w:style>
  <w:style w:type="paragraph" w:customStyle="1" w:styleId="859">
    <w:name w:val="我的正文 Char Char Char"/>
    <w:basedOn w:val="1"/>
    <w:qFormat/>
    <w:uiPriority w:val="0"/>
    <w:pPr>
      <w:ind w:firstLine="200" w:firstLineChars="200"/>
    </w:pPr>
    <w:rPr>
      <w:rFonts w:ascii="Times New Roman" w:hAnsi="Times New Roman" w:eastAsia="宋体" w:cs="Times New Roman"/>
      <w:sz w:val="24"/>
      <w:szCs w:val="24"/>
    </w:rPr>
  </w:style>
  <w:style w:type="paragraph" w:customStyle="1" w:styleId="860">
    <w:name w:val="xl31"/>
    <w:basedOn w:val="1"/>
    <w:qFormat/>
    <w:uiPriority w:val="0"/>
    <w:pPr>
      <w:widowControl/>
      <w:pBdr>
        <w:left w:val="single" w:color="auto" w:sz="8" w:space="0"/>
        <w:bottom w:val="single" w:color="auto" w:sz="4" w:space="0"/>
        <w:right w:val="single" w:color="auto" w:sz="4"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861">
    <w:name w:val="样式 表号 + 首行缩进:  2 字符"/>
    <w:basedOn w:val="650"/>
    <w:qFormat/>
    <w:uiPriority w:val="0"/>
    <w:rPr>
      <w:rFonts w:cs="宋体"/>
      <w:szCs w:val="20"/>
    </w:rPr>
  </w:style>
  <w:style w:type="paragraph" w:customStyle="1" w:styleId="862">
    <w:name w:val="南大梁1.1.1级标题"/>
    <w:basedOn w:val="1"/>
    <w:qFormat/>
    <w:uiPriority w:val="0"/>
    <w:pPr>
      <w:spacing w:before="93" w:after="93"/>
    </w:pPr>
    <w:rPr>
      <w:rFonts w:ascii="黑体" w:hAnsi="宋体" w:eastAsia="黑体" w:cs="Times New Roman"/>
      <w:sz w:val="28"/>
      <w:szCs w:val="28"/>
    </w:rPr>
  </w:style>
  <w:style w:type="paragraph" w:customStyle="1" w:styleId="863">
    <w:name w:val="样式 样式 标题 2 + 段前: 0.5 行 段后: 0.5 行 + 段前: 0.5 行 段后: 0.5 行"/>
    <w:basedOn w:val="716"/>
    <w:qFormat/>
    <w:uiPriority w:val="0"/>
    <w:pPr>
      <w:spacing w:before="50" w:after="0"/>
    </w:pPr>
    <w:rPr>
      <w:rFonts w:eastAsia="华文中宋"/>
    </w:rPr>
  </w:style>
  <w:style w:type="paragraph" w:customStyle="1" w:styleId="864">
    <w:name w:val="8.1.1b Char Char Char Char Char Char Char"/>
    <w:next w:val="1"/>
    <w:qFormat/>
    <w:uiPriority w:val="0"/>
    <w:pPr>
      <w:snapToGrid w:val="0"/>
      <w:spacing w:beforeLines="50" w:afterLines="50"/>
    </w:pPr>
    <w:rPr>
      <w:rFonts w:ascii="Times New Roman" w:hAnsi="Times New Roman" w:eastAsia="华文中宋" w:cs="Times New Roman"/>
      <w:b/>
      <w:kern w:val="2"/>
      <w:sz w:val="28"/>
      <w:szCs w:val="28"/>
      <w:lang w:val="en-US" w:eastAsia="zh-CN" w:bidi="ar-SA"/>
    </w:rPr>
  </w:style>
  <w:style w:type="paragraph" w:customStyle="1" w:styleId="865">
    <w:name w:val="正文一"/>
    <w:basedOn w:val="1"/>
    <w:qFormat/>
    <w:uiPriority w:val="0"/>
    <w:pPr>
      <w:adjustRightInd w:val="0"/>
      <w:spacing w:line="520" w:lineRule="exact"/>
      <w:ind w:firstLine="200" w:firstLineChars="200"/>
      <w:textAlignment w:val="baseline"/>
    </w:pPr>
    <w:rPr>
      <w:rFonts w:ascii="宋体" w:hAnsi="宋体" w:eastAsia="宋体" w:cs="Times New Roman"/>
      <w:kern w:val="0"/>
      <w:sz w:val="24"/>
      <w:szCs w:val="20"/>
    </w:rPr>
  </w:style>
  <w:style w:type="paragraph" w:customStyle="1" w:styleId="866">
    <w:name w:val="xl46"/>
    <w:basedOn w:val="1"/>
    <w:qFormat/>
    <w:uiPriority w:val="0"/>
    <w:pPr>
      <w:widowControl/>
      <w:pBdr>
        <w:top w:val="single" w:color="auto" w:sz="4" w:space="0"/>
        <w:left w:val="single" w:color="auto" w:sz="8" w:space="0"/>
        <w:right w:val="single" w:color="auto" w:sz="4"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867">
    <w:name w:val="表文字"/>
    <w:basedOn w:val="1"/>
    <w:next w:val="1"/>
    <w:link w:val="868"/>
    <w:qFormat/>
    <w:uiPriority w:val="0"/>
    <w:pPr>
      <w:adjustRightInd w:val="0"/>
      <w:spacing w:line="0" w:lineRule="atLeast"/>
      <w:ind w:firstLine="200" w:firstLineChars="200"/>
      <w:jc w:val="left"/>
    </w:pPr>
    <w:rPr>
      <w:rFonts w:ascii="宋体" w:hAnsi="宋体" w:eastAsia="宋体" w:cs="Times New Roman"/>
      <w:kern w:val="0"/>
      <w:sz w:val="18"/>
      <w:szCs w:val="20"/>
    </w:rPr>
  </w:style>
  <w:style w:type="character" w:customStyle="1" w:styleId="868">
    <w:name w:val="表文字 Char Char"/>
    <w:link w:val="867"/>
    <w:qFormat/>
    <w:uiPriority w:val="0"/>
    <w:rPr>
      <w:rFonts w:ascii="宋体" w:hAnsi="宋体" w:eastAsia="宋体" w:cs="Times New Roman"/>
      <w:kern w:val="0"/>
      <w:sz w:val="18"/>
      <w:szCs w:val="20"/>
    </w:rPr>
  </w:style>
  <w:style w:type="paragraph" w:customStyle="1" w:styleId="869">
    <w:name w:val="设计说明1"/>
    <w:basedOn w:val="1"/>
    <w:qFormat/>
    <w:uiPriority w:val="0"/>
    <w:pPr>
      <w:tabs>
        <w:tab w:val="left" w:pos="567"/>
      </w:tabs>
      <w:spacing w:before="240" w:after="240" w:line="400" w:lineRule="exact"/>
      <w:ind w:left="567" w:hanging="567"/>
      <w:jc w:val="left"/>
      <w:outlineLvl w:val="0"/>
    </w:pPr>
    <w:rPr>
      <w:rFonts w:ascii="宋体" w:hAnsi="宋体" w:eastAsia="宋体" w:cs="Times New Roman"/>
      <w:b/>
      <w:sz w:val="24"/>
      <w:szCs w:val="20"/>
    </w:rPr>
  </w:style>
  <w:style w:type="paragraph" w:customStyle="1" w:styleId="870">
    <w:name w:val="xl32"/>
    <w:basedOn w:val="1"/>
    <w:qFormat/>
    <w:uiPriority w:val="0"/>
    <w:pPr>
      <w:widowControl/>
      <w:pBdr>
        <w:left w:val="single" w:color="auto" w:sz="8" w:space="0"/>
        <w:bottom w:val="single" w:color="auto" w:sz="8" w:space="0"/>
        <w:right w:val="single" w:color="auto" w:sz="4"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871">
    <w:name w:val="目录1（西藏格式）"/>
    <w:basedOn w:val="63"/>
    <w:qFormat/>
    <w:uiPriority w:val="0"/>
    <w:pPr>
      <w:tabs>
        <w:tab w:val="right" w:leader="dot" w:pos="8280"/>
      </w:tabs>
      <w:adjustRightInd w:val="0"/>
      <w:snapToGrid w:val="0"/>
      <w:ind w:left="731" w:hanging="731"/>
    </w:pPr>
    <w:rPr>
      <w:rFonts w:cs="Calibri"/>
      <w:b w:val="0"/>
      <w:caps w:val="0"/>
      <w:snapToGrid w:val="0"/>
    </w:rPr>
  </w:style>
  <w:style w:type="paragraph" w:customStyle="1" w:styleId="872">
    <w:name w:val="文章"/>
    <w:basedOn w:val="24"/>
    <w:qFormat/>
    <w:uiPriority w:val="0"/>
    <w:pPr>
      <w:adjustRightInd w:val="0"/>
      <w:snapToGrid w:val="0"/>
      <w:spacing w:beforeLines="20" w:afterLines="20"/>
      <w:ind w:firstLine="520"/>
      <w:textAlignment w:val="baseline"/>
    </w:pPr>
    <w:rPr>
      <w:rFonts w:ascii="Garamond" w:hAnsi="Garamond"/>
      <w:kern w:val="0"/>
      <w:sz w:val="26"/>
      <w:szCs w:val="20"/>
    </w:rPr>
  </w:style>
  <w:style w:type="paragraph" w:customStyle="1" w:styleId="873">
    <w:name w:val="样式 样式3 + 黑色"/>
    <w:basedOn w:val="60"/>
    <w:qFormat/>
    <w:uiPriority w:val="0"/>
    <w:pPr>
      <w:ind w:left="0" w:firstLine="480" w:firstLineChars="200"/>
    </w:pPr>
    <w:rPr>
      <w:rFonts w:ascii="Times New Roman" w:hAnsi="Times New Roman" w:eastAsia="华文中宋"/>
      <w:b w:val="0"/>
      <w:color w:val="000000"/>
      <w:sz w:val="24"/>
    </w:rPr>
  </w:style>
  <w:style w:type="paragraph" w:customStyle="1" w:styleId="874">
    <w:name w:val="样式 标题 3 + 段前: 0.5 行 段后: 0.5 行2"/>
    <w:basedOn w:val="8"/>
    <w:qFormat/>
    <w:uiPriority w:val="0"/>
    <w:pPr>
      <w:numPr>
        <w:ilvl w:val="0"/>
        <w:numId w:val="0"/>
      </w:numPr>
      <w:spacing w:before="0" w:after="0" w:line="440" w:lineRule="exact"/>
      <w:jc w:val="both"/>
    </w:pPr>
    <w:rPr>
      <w:rFonts w:eastAsia="华文中宋" w:cs="宋体"/>
      <w:sz w:val="28"/>
      <w:szCs w:val="20"/>
    </w:rPr>
  </w:style>
  <w:style w:type="paragraph" w:customStyle="1" w:styleId="875">
    <w:name w:val="xl68"/>
    <w:basedOn w:val="1"/>
    <w:qFormat/>
    <w:uiPriority w:val="0"/>
    <w:pPr>
      <w:widowControl/>
      <w:pBdr>
        <w:bottom w:val="single" w:color="auto" w:sz="8" w:space="0"/>
        <w:right w:val="single" w:color="auto" w:sz="8" w:space="0"/>
      </w:pBdr>
      <w:spacing w:before="100" w:beforeAutospacing="1" w:after="100" w:afterAutospacing="1" w:line="240" w:lineRule="auto"/>
      <w:jc w:val="center"/>
    </w:pPr>
    <w:rPr>
      <w:rFonts w:ascii="Times New Roman" w:hAnsi="Times New Roman" w:eastAsia="宋体" w:cs="Times New Roman"/>
      <w:kern w:val="0"/>
      <w:sz w:val="18"/>
      <w:szCs w:val="18"/>
    </w:rPr>
  </w:style>
  <w:style w:type="paragraph" w:customStyle="1" w:styleId="876">
    <w:name w:val="图形中文字"/>
    <w:basedOn w:val="1"/>
    <w:qFormat/>
    <w:uiPriority w:val="0"/>
    <w:pPr>
      <w:autoSpaceDE w:val="0"/>
      <w:autoSpaceDN w:val="0"/>
      <w:adjustRightInd w:val="0"/>
      <w:spacing w:line="240" w:lineRule="auto"/>
      <w:jc w:val="center"/>
    </w:pPr>
    <w:rPr>
      <w:rFonts w:ascii="宋体" w:hAnsi="Times New Roman" w:eastAsia="宋体" w:cs="Times New Roman"/>
      <w:kern w:val="0"/>
      <w:sz w:val="24"/>
      <w:szCs w:val="20"/>
    </w:rPr>
  </w:style>
  <w:style w:type="paragraph" w:customStyle="1" w:styleId="877">
    <w:name w:val="样式 标题3 + (中文) 黑体 段前: 0.5 行 段后: 0.5 行 行距: 1.5 倍行距"/>
    <w:basedOn w:val="208"/>
    <w:qFormat/>
    <w:uiPriority w:val="0"/>
    <w:pPr>
      <w:widowControl w:val="0"/>
      <w:overflowPunct w:val="0"/>
      <w:topLinePunct/>
      <w:ind w:firstLine="0" w:firstLineChars="0"/>
      <w:jc w:val="both"/>
    </w:pPr>
    <w:rPr>
      <w:rFonts w:eastAsia="黑体" w:cs="宋体"/>
      <w:b/>
      <w:bCs/>
      <w:color w:val="auto"/>
      <w:kern w:val="10"/>
      <w:sz w:val="28"/>
      <w:szCs w:val="28"/>
    </w:rPr>
  </w:style>
  <w:style w:type="paragraph" w:customStyle="1" w:styleId="878">
    <w:name w:val="样式 样式 标题 4 + 段前: 0.5 行 段后: 0.5 行 + 段前: 7.8 磅 段后: 7.8 磅1"/>
    <w:basedOn w:val="288"/>
    <w:qFormat/>
    <w:uiPriority w:val="0"/>
    <w:rPr>
      <w:szCs w:val="20"/>
    </w:rPr>
  </w:style>
  <w:style w:type="paragraph" w:customStyle="1" w:styleId="879">
    <w:name w:val="六级标题"/>
    <w:qFormat/>
    <w:uiPriority w:val="0"/>
    <w:pPr>
      <w:adjustRightInd w:val="0"/>
      <w:snapToGrid w:val="0"/>
      <w:spacing w:before="120" w:after="60"/>
      <w:ind w:firstLine="510"/>
      <w:jc w:val="both"/>
    </w:pPr>
    <w:rPr>
      <w:rFonts w:ascii="黑体" w:hAnsi="Times New Roman" w:eastAsia="黑体" w:cs="Times New Roman"/>
      <w:snapToGrid w:val="0"/>
      <w:sz w:val="24"/>
      <w:lang w:val="en-US" w:eastAsia="zh-CN" w:bidi="ar-SA"/>
    </w:rPr>
  </w:style>
  <w:style w:type="paragraph" w:customStyle="1" w:styleId="880">
    <w:name w:val="新正文样式"/>
    <w:basedOn w:val="1"/>
    <w:qFormat/>
    <w:uiPriority w:val="0"/>
    <w:pPr>
      <w:tabs>
        <w:tab w:val="left" w:pos="567"/>
      </w:tabs>
      <w:ind w:firstLine="567"/>
    </w:pPr>
    <w:rPr>
      <w:rFonts w:ascii="Times New Roman" w:hAnsi="Times New Roman" w:eastAsia="宋体" w:cs="Times New Roman"/>
      <w:spacing w:val="20"/>
      <w:sz w:val="24"/>
      <w:szCs w:val="20"/>
    </w:rPr>
  </w:style>
  <w:style w:type="paragraph" w:customStyle="1" w:styleId="881">
    <w:name w:val="xyb四级标题"/>
    <w:basedOn w:val="1"/>
    <w:next w:val="339"/>
    <w:qFormat/>
    <w:uiPriority w:val="0"/>
    <w:pPr>
      <w:autoSpaceDE w:val="0"/>
      <w:autoSpaceDN w:val="0"/>
      <w:spacing w:beforeLines="50"/>
      <w:jc w:val="left"/>
    </w:pPr>
    <w:rPr>
      <w:rFonts w:ascii="宋体" w:hAnsi="Times New Roman" w:eastAsia="宋体" w:cs="Times New Roman"/>
      <w:b/>
      <w:color w:val="000000"/>
      <w:kern w:val="24"/>
      <w:sz w:val="24"/>
      <w:szCs w:val="20"/>
    </w:rPr>
  </w:style>
  <w:style w:type="paragraph" w:customStyle="1" w:styleId="882">
    <w:name w:val="样式 标题 3头小节标题标题 3 Char小标题标题 3 Char Char标题 3 Char2标题 3 Char..."/>
    <w:basedOn w:val="8"/>
    <w:qFormat/>
    <w:uiPriority w:val="0"/>
    <w:pPr>
      <w:numPr>
        <w:ilvl w:val="0"/>
        <w:numId w:val="0"/>
      </w:numPr>
      <w:spacing w:before="0" w:after="0" w:line="240" w:lineRule="auto"/>
      <w:jc w:val="both"/>
    </w:pPr>
    <w:rPr>
      <w:rFonts w:eastAsia="黑体" w:cs="Times New Roman"/>
      <w:b w:val="0"/>
    </w:rPr>
  </w:style>
  <w:style w:type="paragraph" w:customStyle="1" w:styleId="883">
    <w:name w:val="xl61"/>
    <w:basedOn w:val="1"/>
    <w:qFormat/>
    <w:uiPriority w:val="0"/>
    <w:pPr>
      <w:widowControl/>
      <w:pBdr>
        <w:bottom w:val="single" w:color="auto" w:sz="4" w:space="0"/>
      </w:pBdr>
      <w:spacing w:before="100" w:beforeAutospacing="1" w:after="100" w:afterAutospacing="1" w:line="240" w:lineRule="auto"/>
      <w:jc w:val="center"/>
    </w:pPr>
    <w:rPr>
      <w:rFonts w:ascii="Times New Roman" w:hAnsi="Times New Roman" w:eastAsia="Arial Unicode MS" w:cs="Times New Roman"/>
      <w:kern w:val="0"/>
      <w:sz w:val="15"/>
      <w:szCs w:val="15"/>
    </w:rPr>
  </w:style>
  <w:style w:type="paragraph" w:customStyle="1" w:styleId="884">
    <w:name w:val="样式 表文 + 左  2 字符"/>
    <w:basedOn w:val="200"/>
    <w:qFormat/>
    <w:uiPriority w:val="0"/>
    <w:pPr>
      <w:widowControl w:val="0"/>
      <w:spacing w:line="360" w:lineRule="auto"/>
      <w:jc w:val="both"/>
    </w:pPr>
    <w:rPr>
      <w:rFonts w:asciiTheme="minorHAnsi" w:hAnsiTheme="minorHAnsi" w:eastAsiaTheme="minorEastAsia" w:cstheme="minorBidi"/>
      <w:szCs w:val="22"/>
    </w:rPr>
  </w:style>
  <w:style w:type="paragraph" w:customStyle="1" w:styleId="885">
    <w:name w:val="日期（西藏格式）"/>
    <w:basedOn w:val="51"/>
    <w:qFormat/>
    <w:uiPriority w:val="0"/>
    <w:pPr>
      <w:adjustRightInd w:val="0"/>
      <w:snapToGrid w:val="0"/>
      <w:spacing w:line="600" w:lineRule="exact"/>
      <w:ind w:left="0" w:leftChars="0" w:right="1361" w:firstLine="0" w:firstLineChars="0"/>
      <w:jc w:val="right"/>
    </w:pPr>
    <w:rPr>
      <w:rFonts w:ascii="Calibri" w:hAnsi="Calibri" w:eastAsia="仿宋_GB2312"/>
      <w:snapToGrid w:val="0"/>
      <w:kern w:val="0"/>
      <w:sz w:val="32"/>
      <w:szCs w:val="32"/>
    </w:rPr>
  </w:style>
  <w:style w:type="paragraph" w:customStyle="1" w:styleId="886">
    <w:name w:val="正文首行缩进2（西藏格式）"/>
    <w:basedOn w:val="2"/>
    <w:qFormat/>
    <w:uiPriority w:val="0"/>
    <w:pPr>
      <w:adjustRightInd w:val="0"/>
      <w:snapToGrid w:val="0"/>
      <w:spacing w:line="360" w:lineRule="auto"/>
      <w:ind w:left="0" w:leftChars="0" w:firstLine="482" w:firstLineChars="0"/>
    </w:pPr>
    <w:rPr>
      <w:rFonts w:ascii="Calibri" w:hAnsi="Calibri"/>
      <w:snapToGrid w:val="0"/>
      <w:kern w:val="0"/>
      <w:szCs w:val="20"/>
    </w:rPr>
  </w:style>
  <w:style w:type="paragraph" w:customStyle="1" w:styleId="887">
    <w:name w:val="样式 样式15 + 黑色"/>
    <w:basedOn w:val="1"/>
    <w:qFormat/>
    <w:uiPriority w:val="0"/>
    <w:pPr>
      <w:spacing w:line="240" w:lineRule="auto"/>
      <w:ind w:firstLine="420" w:firstLineChars="200"/>
    </w:pPr>
    <w:rPr>
      <w:rFonts w:ascii="Times New Roman" w:hAnsi="Times New Roman" w:eastAsia="华文中宋" w:cs="Times New Roman"/>
      <w:color w:val="000000"/>
      <w:kern w:val="0"/>
    </w:rPr>
  </w:style>
  <w:style w:type="paragraph" w:customStyle="1" w:styleId="888">
    <w:name w:val="默认段落字体 Para Char Char Char Char Char Char Char Char Char Char"/>
    <w:basedOn w:val="1"/>
    <w:qFormat/>
    <w:uiPriority w:val="0"/>
    <w:pPr>
      <w:spacing w:line="240" w:lineRule="auto"/>
    </w:pPr>
    <w:rPr>
      <w:rFonts w:ascii="Times New Roman" w:hAnsi="Times New Roman" w:eastAsia="宋体" w:cs="Times New Roman"/>
      <w:szCs w:val="24"/>
    </w:rPr>
  </w:style>
  <w:style w:type="paragraph" w:customStyle="1" w:styleId="889">
    <w:name w:val="九级标题"/>
    <w:basedOn w:val="14"/>
    <w:qFormat/>
    <w:uiPriority w:val="0"/>
    <w:pPr>
      <w:tabs>
        <w:tab w:val="clear" w:pos="1584"/>
      </w:tabs>
      <w:adjustRightInd w:val="0"/>
      <w:snapToGrid w:val="0"/>
      <w:spacing w:before="120" w:after="0" w:line="240" w:lineRule="auto"/>
      <w:ind w:left="0" w:firstLine="482" w:firstLineChars="0"/>
    </w:pPr>
    <w:rPr>
      <w:snapToGrid w:val="0"/>
      <w:kern w:val="0"/>
      <w:sz w:val="28"/>
      <w:szCs w:val="28"/>
    </w:rPr>
  </w:style>
  <w:style w:type="paragraph" w:customStyle="1" w:styleId="890">
    <w:name w:val="生物中文名"/>
    <w:basedOn w:val="1"/>
    <w:qFormat/>
    <w:uiPriority w:val="0"/>
    <w:pPr>
      <w:tabs>
        <w:tab w:val="left" w:pos="-120"/>
      </w:tabs>
      <w:overflowPunct w:val="0"/>
      <w:topLinePunct/>
      <w:autoSpaceDE w:val="0"/>
      <w:adjustRightInd w:val="0"/>
      <w:snapToGrid w:val="0"/>
      <w:spacing w:before="60" w:afterLines="50" w:line="0" w:lineRule="atLeast"/>
      <w:ind w:firstLine="454"/>
    </w:pPr>
    <w:rPr>
      <w:rFonts w:ascii="Times New Roman" w:hAnsi="Times New Roman" w:eastAsia="宋体" w:cs="Times New Roman"/>
      <w:spacing w:val="20"/>
      <w:sz w:val="24"/>
      <w:szCs w:val="20"/>
    </w:rPr>
  </w:style>
  <w:style w:type="paragraph" w:customStyle="1" w:styleId="891">
    <w:name w:val="xl62"/>
    <w:basedOn w:val="1"/>
    <w:qFormat/>
    <w:uiPriority w:val="0"/>
    <w:pPr>
      <w:widowControl/>
      <w:pBdr>
        <w:top w:val="single" w:color="auto" w:sz="4" w:space="0"/>
        <w:right w:val="single" w:color="auto" w:sz="4" w:space="0"/>
      </w:pBdr>
      <w:spacing w:before="100" w:beforeAutospacing="1" w:after="100" w:afterAutospacing="1" w:line="240" w:lineRule="auto"/>
      <w:jc w:val="center"/>
    </w:pPr>
    <w:rPr>
      <w:rFonts w:ascii="Arial Unicode MS" w:hAnsi="Arial Unicode MS" w:eastAsia="Arial Unicode MS" w:cs="Arial Unicode MS"/>
      <w:kern w:val="0"/>
      <w:sz w:val="18"/>
      <w:szCs w:val="18"/>
    </w:rPr>
  </w:style>
  <w:style w:type="paragraph" w:customStyle="1" w:styleId="892">
    <w:name w:val="xl22"/>
    <w:basedOn w:val="1"/>
    <w:qFormat/>
    <w:uiPriority w:val="0"/>
    <w:pPr>
      <w:widowControl/>
      <w:pBdr>
        <w:top w:val="single" w:color="auto" w:sz="8" w:space="0"/>
        <w:left w:val="single" w:color="auto" w:sz="8" w:space="0"/>
        <w:right w:val="single" w:color="auto" w:sz="8" w:space="0"/>
      </w:pBdr>
      <w:spacing w:before="100" w:beforeAutospacing="1" w:after="100" w:afterAutospacing="1" w:line="240" w:lineRule="auto"/>
      <w:jc w:val="center"/>
    </w:pPr>
    <w:rPr>
      <w:rFonts w:ascii="宋体" w:hAnsi="宋体" w:eastAsia="宋体" w:cs="宋体"/>
      <w:kern w:val="0"/>
      <w:sz w:val="18"/>
      <w:szCs w:val="18"/>
    </w:rPr>
  </w:style>
  <w:style w:type="paragraph" w:customStyle="1" w:styleId="893">
    <w:name w:val="仿宋"/>
    <w:basedOn w:val="1"/>
    <w:qFormat/>
    <w:uiPriority w:val="0"/>
    <w:pPr>
      <w:snapToGrid w:val="0"/>
      <w:ind w:firstLine="200" w:firstLineChars="200"/>
      <w:outlineLvl w:val="2"/>
    </w:pPr>
    <w:rPr>
      <w:rFonts w:ascii="Times New Roman" w:hAnsi="Times New Roman" w:eastAsia="仿宋_GB2312" w:cs="Times New Roman"/>
      <w:sz w:val="24"/>
      <w:szCs w:val="24"/>
    </w:rPr>
  </w:style>
  <w:style w:type="paragraph" w:customStyle="1" w:styleId="894">
    <w:name w:val="xyb自建正文 Char"/>
    <w:basedOn w:val="1"/>
    <w:qFormat/>
    <w:uiPriority w:val="0"/>
    <w:pPr>
      <w:tabs>
        <w:tab w:val="left" w:pos="1440"/>
        <w:tab w:val="left" w:pos="8280"/>
      </w:tabs>
      <w:ind w:firstLine="472" w:firstLineChars="200"/>
    </w:pPr>
    <w:rPr>
      <w:rFonts w:ascii="宋体" w:hAnsi="Times New Roman" w:eastAsia="宋体" w:cs="Times New Roman"/>
      <w:spacing w:val="-2"/>
      <w:kern w:val="0"/>
      <w:sz w:val="24"/>
      <w:szCs w:val="20"/>
    </w:rPr>
  </w:style>
  <w:style w:type="paragraph" w:customStyle="1" w:styleId="895">
    <w:name w:val="小表文"/>
    <w:basedOn w:val="1"/>
    <w:qFormat/>
    <w:uiPriority w:val="0"/>
    <w:pPr>
      <w:autoSpaceDE w:val="0"/>
      <w:autoSpaceDN w:val="0"/>
      <w:adjustRightInd w:val="0"/>
      <w:spacing w:before="20" w:line="240" w:lineRule="auto"/>
      <w:textAlignment w:val="baseline"/>
    </w:pPr>
    <w:rPr>
      <w:rFonts w:ascii="Times New Roman" w:hAnsi="Times New Roman" w:eastAsia="宋体" w:cs="Times New Roman"/>
      <w:kern w:val="0"/>
      <w:sz w:val="18"/>
      <w:szCs w:val="20"/>
    </w:rPr>
  </w:style>
  <w:style w:type="paragraph" w:customStyle="1" w:styleId="896">
    <w:name w:val="文档结构图1"/>
    <w:basedOn w:val="1"/>
    <w:link w:val="897"/>
    <w:qFormat/>
    <w:uiPriority w:val="0"/>
    <w:pPr>
      <w:ind w:firstLine="200" w:firstLineChars="200"/>
    </w:pPr>
    <w:rPr>
      <w:rFonts w:ascii="宋体" w:hAnsi="Calibri" w:eastAsia="宋体" w:cs="Times New Roman"/>
      <w:kern w:val="0"/>
      <w:sz w:val="18"/>
      <w:szCs w:val="18"/>
    </w:rPr>
  </w:style>
  <w:style w:type="character" w:customStyle="1" w:styleId="897">
    <w:name w:val="文档结构图 Char Char"/>
    <w:link w:val="896"/>
    <w:qFormat/>
    <w:uiPriority w:val="0"/>
    <w:rPr>
      <w:rFonts w:ascii="宋体" w:hAnsi="Calibri" w:eastAsia="宋体" w:cs="Times New Roman"/>
      <w:kern w:val="0"/>
      <w:sz w:val="18"/>
      <w:szCs w:val="18"/>
    </w:rPr>
  </w:style>
  <w:style w:type="paragraph" w:customStyle="1" w:styleId="898">
    <w:name w:val="样式18"/>
    <w:basedOn w:val="1"/>
    <w:qFormat/>
    <w:uiPriority w:val="0"/>
    <w:pPr>
      <w:tabs>
        <w:tab w:val="left" w:pos="480"/>
      </w:tabs>
      <w:spacing w:line="300" w:lineRule="exact"/>
      <w:ind w:left="-120" w:leftChars="-50" w:right="-120" w:rightChars="-50"/>
      <w:jc w:val="center"/>
    </w:pPr>
    <w:rPr>
      <w:rFonts w:ascii="Times New Roman" w:hAnsi="Times New Roman" w:eastAsia="华文中宋" w:cs="Times New Roman"/>
      <w:color w:val="000000"/>
      <w:szCs w:val="24"/>
    </w:rPr>
  </w:style>
  <w:style w:type="paragraph" w:customStyle="1" w:styleId="899">
    <w:name w:val="表格前后"/>
    <w:basedOn w:val="1"/>
    <w:next w:val="339"/>
    <w:qFormat/>
    <w:uiPriority w:val="0"/>
    <w:pPr>
      <w:spacing w:line="240" w:lineRule="auto"/>
      <w:textAlignment w:val="baseline"/>
    </w:pPr>
    <w:rPr>
      <w:rFonts w:ascii="Times New Roman" w:hAnsi="Times New Roman" w:eastAsia="宋体" w:cs="Times New Roman"/>
      <w:kern w:val="0"/>
      <w:sz w:val="18"/>
      <w:szCs w:val="20"/>
    </w:rPr>
  </w:style>
  <w:style w:type="paragraph" w:customStyle="1" w:styleId="900">
    <w:name w:val="列出段落111"/>
    <w:basedOn w:val="1"/>
    <w:qFormat/>
    <w:uiPriority w:val="0"/>
    <w:pPr>
      <w:ind w:firstLine="420" w:firstLineChars="200"/>
    </w:pPr>
    <w:rPr>
      <w:rFonts w:ascii="Times New Roman" w:hAnsi="Times New Roman" w:eastAsia="宋体" w:cs="Times New Roman"/>
      <w:sz w:val="24"/>
    </w:rPr>
  </w:style>
  <w:style w:type="paragraph" w:customStyle="1" w:styleId="901">
    <w:name w:val="南大梁章标题"/>
    <w:basedOn w:val="1"/>
    <w:qFormat/>
    <w:uiPriority w:val="0"/>
    <w:pPr>
      <w:spacing w:before="312" w:after="312" w:line="240" w:lineRule="auto"/>
      <w:jc w:val="center"/>
    </w:pPr>
    <w:rPr>
      <w:rFonts w:ascii="黑体" w:hAnsi="Times New Roman" w:eastAsia="黑体" w:cs="Times New Roman"/>
      <w:b/>
      <w:sz w:val="36"/>
      <w:szCs w:val="36"/>
    </w:rPr>
  </w:style>
  <w:style w:type="paragraph" w:customStyle="1" w:styleId="902">
    <w:name w:val="标题21"/>
    <w:basedOn w:val="87"/>
    <w:qFormat/>
    <w:uiPriority w:val="0"/>
    <w:pPr>
      <w:overflowPunct w:val="0"/>
      <w:topLinePunct/>
      <w:spacing w:before="100" w:beforeAutospacing="1" w:line="360" w:lineRule="auto"/>
      <w:ind w:left="0" w:leftChars="0"/>
      <w:outlineLvl w:val="1"/>
    </w:pPr>
    <w:rPr>
      <w:rFonts w:eastAsia="黑体"/>
      <w:b/>
      <w:bCs/>
      <w:sz w:val="30"/>
      <w:szCs w:val="30"/>
    </w:rPr>
  </w:style>
  <w:style w:type="paragraph" w:customStyle="1" w:styleId="903">
    <w:name w:val="z-窗体顶端1"/>
    <w:basedOn w:val="1"/>
    <w:next w:val="1"/>
    <w:link w:val="904"/>
    <w:qFormat/>
    <w:uiPriority w:val="0"/>
    <w:pPr>
      <w:widowControl/>
      <w:pBdr>
        <w:bottom w:val="single" w:color="auto" w:sz="6" w:space="1"/>
      </w:pBdr>
      <w:spacing w:line="240" w:lineRule="auto"/>
      <w:jc w:val="center"/>
    </w:pPr>
    <w:rPr>
      <w:rFonts w:ascii="Arial" w:hAnsi="Arial" w:eastAsia="宋体" w:cs="Times New Roman"/>
      <w:vanish/>
      <w:kern w:val="0"/>
      <w:sz w:val="16"/>
      <w:szCs w:val="16"/>
    </w:rPr>
  </w:style>
  <w:style w:type="character" w:customStyle="1" w:styleId="904">
    <w:name w:val="z-窗体顶端 Char"/>
    <w:basedOn w:val="94"/>
    <w:link w:val="903"/>
    <w:qFormat/>
    <w:uiPriority w:val="0"/>
    <w:rPr>
      <w:rFonts w:ascii="Arial" w:hAnsi="Arial" w:eastAsia="宋体" w:cs="Times New Roman"/>
      <w:vanish/>
      <w:kern w:val="0"/>
      <w:sz w:val="16"/>
      <w:szCs w:val="16"/>
    </w:rPr>
  </w:style>
  <w:style w:type="paragraph" w:customStyle="1" w:styleId="905">
    <w:name w:val="xl39"/>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center"/>
    </w:pPr>
    <w:rPr>
      <w:rFonts w:ascii="Times New Roman" w:hAnsi="Times New Roman" w:eastAsia="Arial Unicode MS" w:cs="Times New Roman"/>
      <w:kern w:val="0"/>
      <w:sz w:val="18"/>
      <w:szCs w:val="18"/>
    </w:rPr>
  </w:style>
  <w:style w:type="paragraph" w:customStyle="1" w:styleId="906">
    <w:name w:val="Zw Char Char Char Char Char Char"/>
    <w:basedOn w:val="1"/>
    <w:qFormat/>
    <w:uiPriority w:val="0"/>
    <w:pPr>
      <w:spacing w:line="240" w:lineRule="auto"/>
    </w:pPr>
    <w:rPr>
      <w:rFonts w:ascii="宋体" w:hAnsi="宋体" w:eastAsia="宋体" w:cs="宋体"/>
      <w:sz w:val="24"/>
      <w:szCs w:val="24"/>
    </w:rPr>
  </w:style>
  <w:style w:type="paragraph" w:customStyle="1" w:styleId="907">
    <w:name w:val="xl43"/>
    <w:basedOn w:val="1"/>
    <w:qFormat/>
    <w:uiPriority w:val="0"/>
    <w:pPr>
      <w:widowControl/>
      <w:pBdr>
        <w:bottom w:val="single" w:color="auto" w:sz="8" w:space="0"/>
        <w:right w:val="single" w:color="auto" w:sz="4" w:space="0"/>
      </w:pBdr>
      <w:spacing w:before="100" w:beforeAutospacing="1" w:after="100" w:afterAutospacing="1" w:line="240" w:lineRule="auto"/>
      <w:jc w:val="center"/>
    </w:pPr>
    <w:rPr>
      <w:rFonts w:ascii="Times New Roman" w:hAnsi="Times New Roman" w:eastAsia="Arial Unicode MS" w:cs="Times New Roman"/>
      <w:kern w:val="0"/>
      <w:sz w:val="18"/>
      <w:szCs w:val="18"/>
    </w:rPr>
  </w:style>
  <w:style w:type="paragraph" w:customStyle="1" w:styleId="908">
    <w:name w:val="xyb自建四级标题"/>
    <w:basedOn w:val="1"/>
    <w:qFormat/>
    <w:uiPriority w:val="0"/>
    <w:pPr>
      <w:tabs>
        <w:tab w:val="left" w:pos="8280"/>
      </w:tabs>
      <w:spacing w:beforeLines="50"/>
      <w:outlineLvl w:val="3"/>
    </w:pPr>
    <w:rPr>
      <w:rFonts w:ascii="楷体_GB2312" w:hAnsi="Times New Roman" w:eastAsia="楷体_GB2312" w:cs="Times New Roman"/>
      <w:b/>
      <w:bCs/>
      <w:sz w:val="24"/>
      <w:szCs w:val="24"/>
    </w:rPr>
  </w:style>
  <w:style w:type="paragraph" w:customStyle="1" w:styleId="909">
    <w:name w:val="xyb自建表格名称 Char"/>
    <w:basedOn w:val="1"/>
    <w:qFormat/>
    <w:uiPriority w:val="0"/>
    <w:pPr>
      <w:jc w:val="center"/>
    </w:pPr>
    <w:rPr>
      <w:rFonts w:ascii="宋体" w:hAnsi="Times New Roman" w:eastAsia="宋体" w:cs="Times New Roman"/>
      <w:sz w:val="24"/>
      <w:szCs w:val="24"/>
    </w:rPr>
  </w:style>
  <w:style w:type="paragraph" w:customStyle="1" w:styleId="910">
    <w:name w:val="标题11"/>
    <w:basedOn w:val="1"/>
    <w:qFormat/>
    <w:uiPriority w:val="0"/>
    <w:pPr>
      <w:tabs>
        <w:tab w:val="left" w:pos="720"/>
      </w:tabs>
      <w:adjustRightInd w:val="0"/>
      <w:snapToGrid w:val="0"/>
      <w:ind w:left="567" w:hanging="567"/>
    </w:pPr>
    <w:rPr>
      <w:rFonts w:ascii="Times New Roman" w:hAnsi="Times New Roman" w:eastAsia="宋体" w:cs="Times New Roman"/>
      <w:sz w:val="28"/>
      <w:szCs w:val="20"/>
    </w:rPr>
  </w:style>
  <w:style w:type="paragraph" w:customStyle="1" w:styleId="911">
    <w:name w:val="正文文字3"/>
    <w:basedOn w:val="206"/>
    <w:qFormat/>
    <w:uiPriority w:val="0"/>
    <w:pPr>
      <w:adjustRightInd w:val="0"/>
      <w:snapToGrid w:val="0"/>
      <w:spacing w:after="0"/>
      <w:ind w:left="-57" w:right="-57"/>
      <w:jc w:val="center"/>
    </w:pPr>
    <w:rPr>
      <w:rFonts w:eastAsia="黑体"/>
      <w:snapToGrid w:val="0"/>
      <w:sz w:val="18"/>
      <w:szCs w:val="18"/>
    </w:rPr>
  </w:style>
  <w:style w:type="paragraph" w:customStyle="1" w:styleId="912">
    <w:name w:val="xl55"/>
    <w:basedOn w:val="1"/>
    <w:qFormat/>
    <w:uiPriority w:val="0"/>
    <w:pPr>
      <w:widowControl/>
      <w:pBdr>
        <w:top w:val="single" w:color="auto" w:sz="8" w:space="0"/>
        <w:bottom w:val="single" w:color="auto" w:sz="4" w:space="0"/>
        <w:right w:val="single" w:color="auto" w:sz="4" w:space="0"/>
      </w:pBdr>
      <w:spacing w:before="100" w:beforeAutospacing="1" w:after="100" w:afterAutospacing="1" w:line="240" w:lineRule="auto"/>
      <w:jc w:val="center"/>
    </w:pPr>
    <w:rPr>
      <w:rFonts w:ascii="Times New Roman" w:hAnsi="Times New Roman" w:eastAsia="Arial Unicode MS" w:cs="Times New Roman"/>
      <w:kern w:val="0"/>
      <w:sz w:val="18"/>
      <w:szCs w:val="18"/>
    </w:rPr>
  </w:style>
  <w:style w:type="paragraph" w:customStyle="1" w:styleId="913">
    <w:name w:val="Char Char Char Char Char Char Char Char Char Char Char Char Char Char Char Char Char Char1 Char Char Char Char Char Char Char Char Char Char Char Char Char Char Char Char1"/>
    <w:basedOn w:val="1"/>
    <w:qFormat/>
    <w:uiPriority w:val="0"/>
    <w:pPr>
      <w:ind w:firstLine="200" w:firstLineChars="200"/>
    </w:pPr>
    <w:rPr>
      <w:rFonts w:ascii="宋体" w:hAnsi="宋体" w:eastAsia="宋体" w:cs="宋体"/>
      <w:sz w:val="24"/>
      <w:szCs w:val="24"/>
    </w:rPr>
  </w:style>
  <w:style w:type="paragraph" w:customStyle="1" w:styleId="914">
    <w:name w:val="p17"/>
    <w:basedOn w:val="1"/>
    <w:qFormat/>
    <w:uiPriority w:val="0"/>
    <w:pPr>
      <w:widowControl/>
      <w:snapToGrid w:val="0"/>
      <w:spacing w:before="156"/>
      <w:ind w:firstLine="420"/>
    </w:pPr>
    <w:rPr>
      <w:rFonts w:ascii="宋体" w:hAnsi="宋体" w:eastAsia="宋体" w:cs="宋体"/>
      <w:kern w:val="0"/>
      <w:sz w:val="24"/>
      <w:szCs w:val="24"/>
    </w:rPr>
  </w:style>
  <w:style w:type="paragraph" w:customStyle="1" w:styleId="915">
    <w:name w:val="样式13"/>
    <w:basedOn w:val="1"/>
    <w:qFormat/>
    <w:uiPriority w:val="0"/>
    <w:pPr>
      <w:spacing w:line="240" w:lineRule="auto"/>
      <w:ind w:firstLine="475" w:firstLineChars="200"/>
    </w:pPr>
    <w:rPr>
      <w:rFonts w:ascii="Times New Roman" w:hAnsi="Times New Roman" w:eastAsia="华文中宋" w:cs="Times New Roman"/>
      <w:color w:val="000000"/>
      <w:sz w:val="24"/>
      <w:szCs w:val="24"/>
    </w:rPr>
  </w:style>
  <w:style w:type="paragraph" w:customStyle="1" w:styleId="916">
    <w:name w:val="正文文字缩进2"/>
    <w:basedOn w:val="52"/>
    <w:qFormat/>
    <w:uiPriority w:val="0"/>
    <w:pPr>
      <w:adjustRightInd w:val="0"/>
      <w:snapToGrid w:val="0"/>
      <w:spacing w:after="240" w:line="240" w:lineRule="auto"/>
      <w:ind w:firstLine="0" w:firstLineChars="0"/>
      <w:jc w:val="center"/>
    </w:pPr>
    <w:rPr>
      <w:rFonts w:ascii="Calibri" w:hAnsi="Calibri" w:eastAsia="黑体"/>
      <w:snapToGrid w:val="0"/>
      <w:kern w:val="0"/>
      <w:sz w:val="20"/>
      <w:szCs w:val="21"/>
    </w:rPr>
  </w:style>
  <w:style w:type="paragraph" w:customStyle="1" w:styleId="917">
    <w:name w:val="样式 四号 黑色 行距: 1.5 倍行距1"/>
    <w:basedOn w:val="1"/>
    <w:qFormat/>
    <w:uiPriority w:val="0"/>
    <w:pPr>
      <w:ind w:firstLine="560" w:firstLineChars="200"/>
    </w:pPr>
    <w:rPr>
      <w:rFonts w:ascii="Times New Roman" w:hAnsi="Times New Roman" w:eastAsia="宋体" w:cs="宋体"/>
      <w:color w:val="000000"/>
      <w:sz w:val="28"/>
      <w:szCs w:val="20"/>
    </w:rPr>
  </w:style>
  <w:style w:type="paragraph" w:customStyle="1" w:styleId="918">
    <w:name w:val="普通(网站)1"/>
    <w:basedOn w:val="1"/>
    <w:qFormat/>
    <w:uiPriority w:val="0"/>
    <w:pPr>
      <w:widowControl/>
      <w:spacing w:before="100" w:beforeAutospacing="1" w:after="100" w:afterAutospacing="1" w:line="240" w:lineRule="auto"/>
      <w:jc w:val="left"/>
    </w:pPr>
    <w:rPr>
      <w:rFonts w:ascii="ˎ̥" w:hAnsi="ˎ̥" w:eastAsia="宋体" w:cs="宋体"/>
      <w:kern w:val="0"/>
      <w:sz w:val="18"/>
      <w:szCs w:val="18"/>
    </w:rPr>
  </w:style>
  <w:style w:type="paragraph" w:customStyle="1" w:styleId="919">
    <w:name w:val="样式 报告正文——首行缩进:  2 字符1 + 首行缩进:  2 字符"/>
    <w:basedOn w:val="1"/>
    <w:qFormat/>
    <w:uiPriority w:val="0"/>
    <w:pPr>
      <w:ind w:firstLine="200" w:firstLineChars="200"/>
    </w:pPr>
    <w:rPr>
      <w:rFonts w:ascii="Times New Roman" w:hAnsi="Times New Roman" w:eastAsia="宋体" w:cs="宋体"/>
      <w:sz w:val="28"/>
      <w:szCs w:val="20"/>
    </w:rPr>
  </w:style>
  <w:style w:type="paragraph" w:customStyle="1" w:styleId="920">
    <w:name w:val="目录3（西藏格式）"/>
    <w:basedOn w:val="45"/>
    <w:qFormat/>
    <w:uiPriority w:val="0"/>
    <w:pPr>
      <w:tabs>
        <w:tab w:val="right" w:leader="middleDot" w:pos="9174"/>
      </w:tabs>
      <w:adjustRightInd w:val="0"/>
      <w:snapToGrid w:val="0"/>
      <w:ind w:left="964" w:hanging="964" w:firstLineChars="400"/>
    </w:pPr>
    <w:rPr>
      <w:rFonts w:eastAsia="黑体" w:cs="Calibri"/>
      <w:snapToGrid w:val="0"/>
      <w:sz w:val="24"/>
      <w:szCs w:val="21"/>
    </w:rPr>
  </w:style>
  <w:style w:type="paragraph" w:customStyle="1" w:styleId="921">
    <w:name w:val="五级标题"/>
    <w:qFormat/>
    <w:uiPriority w:val="0"/>
    <w:pPr>
      <w:adjustRightInd w:val="0"/>
      <w:snapToGrid w:val="0"/>
      <w:spacing w:before="120"/>
      <w:ind w:firstLine="510"/>
      <w:jc w:val="both"/>
    </w:pPr>
    <w:rPr>
      <w:rFonts w:ascii="黑体" w:hAnsi="Times New Roman" w:eastAsia="黑体" w:cs="Times New Roman"/>
      <w:snapToGrid w:val="0"/>
      <w:sz w:val="28"/>
      <w:lang w:val="en-US" w:eastAsia="zh-CN" w:bidi="ar-SA"/>
    </w:rPr>
  </w:style>
  <w:style w:type="paragraph" w:customStyle="1" w:styleId="922">
    <w:name w:val="Char Char Char1 Char Char Char Char Char Char Char Char Char Char"/>
    <w:basedOn w:val="1"/>
    <w:qFormat/>
    <w:uiPriority w:val="0"/>
    <w:pPr>
      <w:spacing w:line="240" w:lineRule="atLeast"/>
      <w:ind w:left="420" w:firstLine="420"/>
    </w:pPr>
    <w:rPr>
      <w:rFonts w:ascii="Times New Roman" w:hAnsi="Times New Roman" w:eastAsia="宋体" w:cs="Times New Roman"/>
      <w:szCs w:val="24"/>
    </w:rPr>
  </w:style>
  <w:style w:type="paragraph" w:customStyle="1" w:styleId="923">
    <w:name w:val="正文（藏式）"/>
    <w:basedOn w:val="1"/>
    <w:qFormat/>
    <w:uiPriority w:val="0"/>
    <w:pPr>
      <w:adjustRightInd w:val="0"/>
      <w:snapToGrid w:val="0"/>
      <w:spacing w:line="240" w:lineRule="auto"/>
    </w:pPr>
    <w:rPr>
      <w:rFonts w:ascii="Times New Roman" w:hAnsi="Times New Roman" w:eastAsia="宋体" w:cs="Times New Roman"/>
      <w:snapToGrid w:val="0"/>
      <w:sz w:val="24"/>
    </w:rPr>
  </w:style>
  <w:style w:type="paragraph" w:customStyle="1" w:styleId="924">
    <w:name w:val="无间隔1"/>
    <w:qFormat/>
    <w:uiPriority w:val="0"/>
    <w:pPr>
      <w:widowControl w:val="0"/>
      <w:ind w:firstLine="200" w:firstLineChars="200"/>
      <w:jc w:val="both"/>
    </w:pPr>
    <w:rPr>
      <w:rFonts w:ascii="Calibri" w:hAnsi="Calibri" w:eastAsia="宋体" w:cs="Times New Roman"/>
      <w:kern w:val="2"/>
      <w:sz w:val="24"/>
      <w:szCs w:val="21"/>
      <w:lang w:val="en-US" w:eastAsia="zh-CN" w:bidi="ar-SA"/>
    </w:rPr>
  </w:style>
  <w:style w:type="paragraph" w:customStyle="1" w:styleId="925">
    <w:name w:val="目录7～8（西藏格式）"/>
    <w:basedOn w:val="16"/>
    <w:qFormat/>
    <w:uiPriority w:val="0"/>
    <w:pPr>
      <w:adjustRightInd w:val="0"/>
      <w:snapToGrid w:val="0"/>
      <w:ind w:left="1440"/>
    </w:pPr>
    <w:rPr>
      <w:rFonts w:ascii="Calibri" w:hAnsi="Calibri" w:cs="Calibri"/>
      <w:snapToGrid w:val="0"/>
    </w:rPr>
  </w:style>
  <w:style w:type="paragraph" w:customStyle="1" w:styleId="926">
    <w:name w:val="目录2（西藏格式）"/>
    <w:basedOn w:val="78"/>
    <w:qFormat/>
    <w:uiPriority w:val="0"/>
    <w:pPr>
      <w:adjustRightInd w:val="0"/>
      <w:snapToGrid w:val="0"/>
      <w:spacing w:line="240" w:lineRule="auto"/>
    </w:pPr>
    <w:rPr>
      <w:rFonts w:eastAsia="黑体" w:cs="Calibri"/>
      <w:b/>
      <w:snapToGrid w:val="0"/>
      <w:sz w:val="24"/>
    </w:rPr>
  </w:style>
  <w:style w:type="paragraph" w:customStyle="1" w:styleId="927">
    <w:name w:val="正文首行缩进(西藏样式)"/>
    <w:basedOn w:val="1"/>
    <w:qFormat/>
    <w:uiPriority w:val="0"/>
    <w:pPr>
      <w:adjustRightInd w:val="0"/>
      <w:snapToGrid w:val="0"/>
      <w:spacing w:line="400" w:lineRule="exact"/>
      <w:ind w:firstLine="482"/>
    </w:pPr>
    <w:rPr>
      <w:rFonts w:ascii="宋体" w:hAnsi="Times New Roman" w:eastAsia="宋体" w:cs="Times New Roman"/>
      <w:snapToGrid w:val="0"/>
      <w:kern w:val="0"/>
      <w:sz w:val="24"/>
      <w:szCs w:val="20"/>
    </w:rPr>
  </w:style>
  <w:style w:type="paragraph" w:customStyle="1" w:styleId="928">
    <w:name w:val="正文缩进（西藏格式）"/>
    <w:basedOn w:val="24"/>
    <w:qFormat/>
    <w:uiPriority w:val="0"/>
    <w:pPr>
      <w:adjustRightInd w:val="0"/>
      <w:snapToGrid w:val="0"/>
      <w:spacing w:before="120" w:after="120" w:line="240" w:lineRule="auto"/>
      <w:ind w:left="113" w:right="113" w:firstLine="482" w:firstLineChars="0"/>
    </w:pPr>
    <w:rPr>
      <w:rFonts w:ascii="Calibri" w:hAnsi="Calibri"/>
      <w:snapToGrid w:val="0"/>
      <w:kern w:val="0"/>
      <w:sz w:val="20"/>
      <w:szCs w:val="21"/>
    </w:rPr>
  </w:style>
  <w:style w:type="paragraph" w:customStyle="1" w:styleId="929">
    <w:name w:val="正文文字缩进3"/>
    <w:basedOn w:val="34"/>
    <w:qFormat/>
    <w:uiPriority w:val="0"/>
    <w:pPr>
      <w:adjustRightInd w:val="0"/>
      <w:snapToGrid w:val="0"/>
      <w:spacing w:line="240" w:lineRule="auto"/>
      <w:ind w:firstLine="0" w:firstLineChars="0"/>
    </w:pPr>
    <w:rPr>
      <w:rFonts w:ascii="Calibri" w:hAnsi="Calibri" w:eastAsia="黑体"/>
      <w:b w:val="0"/>
      <w:bCs w:val="0"/>
      <w:snapToGrid w:val="0"/>
      <w:kern w:val="0"/>
      <w:sz w:val="28"/>
      <w:szCs w:val="28"/>
    </w:rPr>
  </w:style>
  <w:style w:type="paragraph" w:customStyle="1" w:styleId="930">
    <w:name w:val="表标题1"/>
    <w:basedOn w:val="1"/>
    <w:qFormat/>
    <w:uiPriority w:val="0"/>
    <w:pPr>
      <w:tabs>
        <w:tab w:val="left" w:pos="1848"/>
        <w:tab w:val="left" w:pos="6061"/>
        <w:tab w:val="left" w:pos="8665"/>
      </w:tabs>
      <w:adjustRightInd w:val="0"/>
      <w:snapToGrid w:val="0"/>
      <w:spacing w:beforeLines="50" w:line="460" w:lineRule="exact"/>
      <w:ind w:firstLine="480" w:firstLineChars="200"/>
      <w:jc w:val="center"/>
    </w:pPr>
    <w:rPr>
      <w:rFonts w:ascii="宋体" w:hAnsi="宋体" w:eastAsia="宋体" w:cs="Times New Roman"/>
      <w:sz w:val="24"/>
      <w:szCs w:val="20"/>
    </w:rPr>
  </w:style>
  <w:style w:type="paragraph" w:customStyle="1" w:styleId="931">
    <w:name w:val="目录6（西藏格式）"/>
    <w:basedOn w:val="72"/>
    <w:qFormat/>
    <w:uiPriority w:val="0"/>
    <w:pPr>
      <w:adjustRightInd w:val="0"/>
      <w:snapToGrid w:val="0"/>
      <w:ind w:left="1094" w:hanging="363"/>
    </w:pPr>
    <w:rPr>
      <w:rFonts w:ascii="Calibri" w:hAnsi="Calibri" w:cs="Calibri"/>
      <w:snapToGrid w:val="0"/>
      <w:sz w:val="24"/>
    </w:rPr>
  </w:style>
  <w:style w:type="paragraph" w:customStyle="1" w:styleId="932">
    <w:name w:val="样式 正文首行缩进（西藏格式） + 首行缩进:  0 厘米"/>
    <w:basedOn w:val="933"/>
    <w:qFormat/>
    <w:uiPriority w:val="0"/>
    <w:rPr>
      <w:rFonts w:cs="宋体"/>
      <w:szCs w:val="20"/>
    </w:rPr>
  </w:style>
  <w:style w:type="paragraph" w:customStyle="1" w:styleId="933">
    <w:name w:val="正文首行缩进（西藏格式）"/>
    <w:basedOn w:val="171"/>
    <w:qFormat/>
    <w:uiPriority w:val="0"/>
    <w:pPr>
      <w:adjustRightInd w:val="0"/>
      <w:snapToGrid w:val="0"/>
      <w:spacing w:after="0" w:line="400" w:lineRule="exact"/>
      <w:ind w:firstLine="482" w:firstLineChars="0"/>
    </w:pPr>
    <w:rPr>
      <w:snapToGrid w:val="0"/>
    </w:rPr>
  </w:style>
  <w:style w:type="paragraph" w:customStyle="1" w:styleId="934">
    <w:name w:val="目录5（西藏格式）"/>
    <w:basedOn w:val="44"/>
    <w:qFormat/>
    <w:uiPriority w:val="0"/>
    <w:pPr>
      <w:adjustRightInd w:val="0"/>
      <w:snapToGrid w:val="0"/>
      <w:ind w:left="482" w:firstLine="482"/>
    </w:pPr>
    <w:rPr>
      <w:rFonts w:ascii="Calibri" w:hAnsi="Calibri" w:cs="Calibri"/>
      <w:snapToGrid w:val="0"/>
      <w:sz w:val="24"/>
    </w:rPr>
  </w:style>
  <w:style w:type="paragraph" w:customStyle="1" w:styleId="935">
    <w:name w:val="七级标题"/>
    <w:qFormat/>
    <w:uiPriority w:val="0"/>
    <w:pPr>
      <w:adjustRightInd w:val="0"/>
      <w:snapToGrid w:val="0"/>
      <w:spacing w:before="60"/>
      <w:jc w:val="center"/>
    </w:pPr>
    <w:rPr>
      <w:rFonts w:ascii="黑体" w:hAnsi="Times New Roman" w:eastAsia="黑体" w:cs="Times New Roman"/>
      <w:snapToGrid w:val="0"/>
      <w:lang w:val="en-US" w:eastAsia="zh-CN" w:bidi="ar-SA"/>
    </w:rPr>
  </w:style>
  <w:style w:type="paragraph" w:customStyle="1" w:styleId="936">
    <w:name w:val="样式 表格 + 首行缩进:  0.84 厘米"/>
    <w:basedOn w:val="468"/>
    <w:qFormat/>
    <w:uiPriority w:val="0"/>
    <w:pPr>
      <w:snapToGrid/>
      <w:spacing w:line="240" w:lineRule="exact"/>
    </w:pPr>
    <w:rPr>
      <w:rFonts w:cs="宋体"/>
      <w:spacing w:val="14"/>
      <w:kern w:val="0"/>
      <w:sz w:val="20"/>
      <w:szCs w:val="20"/>
    </w:rPr>
  </w:style>
  <w:style w:type="paragraph" w:customStyle="1" w:styleId="937">
    <w:name w:val="表中文字"/>
    <w:basedOn w:val="1"/>
    <w:qFormat/>
    <w:uiPriority w:val="0"/>
    <w:pPr>
      <w:spacing w:line="240" w:lineRule="auto"/>
      <w:jc w:val="center"/>
    </w:pPr>
    <w:rPr>
      <w:rFonts w:ascii="Times New Roman" w:hAnsi="Times New Roman" w:eastAsia="宋体" w:cs="Times New Roman"/>
      <w:szCs w:val="24"/>
    </w:rPr>
  </w:style>
  <w:style w:type="paragraph" w:customStyle="1" w:styleId="938">
    <w:name w:val="李海涛正文"/>
    <w:basedOn w:val="1"/>
    <w:next w:val="1"/>
    <w:qFormat/>
    <w:uiPriority w:val="0"/>
    <w:pPr>
      <w:widowControl/>
      <w:spacing w:line="240" w:lineRule="auto"/>
      <w:ind w:firstLine="480" w:firstLineChars="200"/>
    </w:pPr>
    <w:rPr>
      <w:rFonts w:ascii="宋体" w:hAnsi="Times New Roman" w:eastAsia="宋体" w:cs="Times New Roman"/>
      <w:sz w:val="24"/>
      <w:szCs w:val="20"/>
    </w:rPr>
  </w:style>
  <w:style w:type="paragraph" w:customStyle="1" w:styleId="939">
    <w:name w:val="表格专用文本"/>
    <w:basedOn w:val="431"/>
    <w:qFormat/>
    <w:uiPriority w:val="0"/>
    <w:pPr>
      <w:spacing w:line="240" w:lineRule="auto"/>
      <w:ind w:firstLine="0" w:firstLineChars="0"/>
      <w:jc w:val="center"/>
    </w:pPr>
    <w:rPr>
      <w:rFonts w:cs="宋体"/>
      <w:sz w:val="21"/>
      <w:szCs w:val="20"/>
    </w:rPr>
  </w:style>
  <w:style w:type="paragraph" w:customStyle="1" w:styleId="940">
    <w:name w:val="表头、图片说明文字"/>
    <w:basedOn w:val="431"/>
    <w:qFormat/>
    <w:uiPriority w:val="0"/>
    <w:pPr>
      <w:ind w:firstLine="0" w:firstLineChars="0"/>
      <w:jc w:val="center"/>
    </w:pPr>
    <w:rPr>
      <w:rFonts w:cs="宋体"/>
      <w:b/>
      <w:bCs/>
      <w:szCs w:val="20"/>
    </w:rPr>
  </w:style>
  <w:style w:type="paragraph" w:customStyle="1" w:styleId="941">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942">
    <w:name w:val="正文（标准）"/>
    <w:basedOn w:val="1"/>
    <w:qFormat/>
    <w:uiPriority w:val="0"/>
    <w:pPr>
      <w:tabs>
        <w:tab w:val="left" w:pos="432"/>
      </w:tabs>
      <w:adjustRightInd w:val="0"/>
      <w:ind w:left="432" w:firstLine="200" w:firstLineChars="200"/>
    </w:pPr>
    <w:rPr>
      <w:rFonts w:ascii="Times New Roman" w:hAnsi="Times New Roman" w:eastAsia="宋体" w:cs="Times New Roman"/>
      <w:sz w:val="24"/>
      <w:szCs w:val="30"/>
    </w:rPr>
  </w:style>
  <w:style w:type="paragraph" w:customStyle="1" w:styleId="943">
    <w:name w:val="表格标题-10"/>
    <w:basedOn w:val="1"/>
    <w:next w:val="1"/>
    <w:qFormat/>
    <w:uiPriority w:val="0"/>
    <w:pPr>
      <w:tabs>
        <w:tab w:val="left" w:pos="851"/>
      </w:tabs>
      <w:adjustRightInd w:val="0"/>
      <w:snapToGrid w:val="0"/>
      <w:jc w:val="center"/>
    </w:pPr>
    <w:rPr>
      <w:rFonts w:ascii="Times New Roman" w:hAnsi="Times New Roman" w:eastAsia="黑体" w:cs="Times New Roman"/>
      <w:sz w:val="24"/>
      <w:szCs w:val="24"/>
    </w:rPr>
  </w:style>
  <w:style w:type="paragraph" w:customStyle="1" w:styleId="944">
    <w:name w:val="第三章 图件标题"/>
    <w:basedOn w:val="1"/>
    <w:next w:val="1"/>
    <w:qFormat/>
    <w:uiPriority w:val="0"/>
    <w:pPr>
      <w:tabs>
        <w:tab w:val="left" w:pos="851"/>
      </w:tabs>
      <w:adjustRightInd w:val="0"/>
      <w:snapToGrid w:val="0"/>
      <w:jc w:val="center"/>
    </w:pPr>
    <w:rPr>
      <w:rFonts w:ascii="Times New Roman" w:hAnsi="Times New Roman" w:eastAsia="黑体" w:cs="Times New Roman"/>
      <w:sz w:val="24"/>
      <w:szCs w:val="24"/>
    </w:rPr>
  </w:style>
  <w:style w:type="paragraph" w:customStyle="1" w:styleId="945">
    <w:name w:val="表格首行"/>
    <w:basedOn w:val="1"/>
    <w:next w:val="1"/>
    <w:qFormat/>
    <w:uiPriority w:val="0"/>
    <w:pPr>
      <w:adjustRightInd w:val="0"/>
      <w:spacing w:line="240" w:lineRule="auto"/>
      <w:jc w:val="center"/>
    </w:pPr>
    <w:rPr>
      <w:rFonts w:ascii="Times New Roman" w:hAnsi="Times New Roman" w:eastAsia="宋体" w:cs="宋体"/>
      <w:b/>
      <w:szCs w:val="20"/>
    </w:rPr>
  </w:style>
  <w:style w:type="paragraph" w:customStyle="1" w:styleId="946">
    <w:name w:val="表格标题-1"/>
    <w:basedOn w:val="1"/>
    <w:next w:val="1"/>
    <w:qFormat/>
    <w:uiPriority w:val="0"/>
    <w:pPr>
      <w:adjustRightInd w:val="0"/>
      <w:snapToGrid w:val="0"/>
      <w:ind w:left="360" w:hanging="360"/>
      <w:jc w:val="center"/>
    </w:pPr>
    <w:rPr>
      <w:rFonts w:ascii="Times New Roman" w:hAnsi="Times New Roman" w:eastAsia="黑体" w:cs="Times New Roman"/>
      <w:sz w:val="24"/>
      <w:szCs w:val="24"/>
    </w:rPr>
  </w:style>
  <w:style w:type="paragraph" w:customStyle="1" w:styleId="947">
    <w:name w:val="reader-word-layer"/>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 w:type="paragraph" w:customStyle="1" w:styleId="948">
    <w:name w:val="album-div1"/>
    <w:basedOn w:val="1"/>
    <w:qFormat/>
    <w:uiPriority w:val="0"/>
    <w:pPr>
      <w:widowControl/>
      <w:shd w:val="clear" w:color="auto" w:fill="FFFFFF"/>
      <w:spacing w:before="100" w:beforeAutospacing="1" w:after="100" w:afterAutospacing="1" w:line="240" w:lineRule="auto"/>
      <w:jc w:val="left"/>
    </w:pPr>
    <w:rPr>
      <w:rFonts w:ascii="宋体" w:hAnsi="宋体" w:eastAsia="宋体" w:cs="宋体"/>
      <w:kern w:val="0"/>
      <w:sz w:val="24"/>
      <w:szCs w:val="24"/>
    </w:rPr>
  </w:style>
  <w:style w:type="paragraph" w:customStyle="1" w:styleId="949">
    <w:name w:val="CCY-正文文本-1"/>
    <w:basedOn w:val="1"/>
    <w:qFormat/>
    <w:uiPriority w:val="0"/>
    <w:pPr>
      <w:ind w:firstLine="200" w:firstLineChars="200"/>
    </w:pPr>
    <w:rPr>
      <w:rFonts w:ascii="宋体" w:hAnsi="宋体" w:eastAsia="宋体" w:cs="Times New Roman"/>
      <w:sz w:val="24"/>
      <w:szCs w:val="24"/>
    </w:rPr>
  </w:style>
  <w:style w:type="paragraph" w:customStyle="1" w:styleId="950">
    <w:name w:val="样式 标题 4 + 行距: 固定值 25 磅"/>
    <w:basedOn w:val="9"/>
    <w:qFormat/>
    <w:uiPriority w:val="0"/>
    <w:pPr>
      <w:numPr>
        <w:ilvl w:val="0"/>
        <w:numId w:val="0"/>
      </w:numPr>
      <w:adjustRightInd w:val="0"/>
      <w:spacing w:before="0" w:after="0" w:line="500" w:lineRule="exact"/>
      <w:textAlignment w:val="baseline"/>
    </w:pPr>
    <w:rPr>
      <w:rFonts w:eastAsia="宋体" w:cs="宋体"/>
      <w:kern w:val="0"/>
      <w:sz w:val="28"/>
      <w:szCs w:val="20"/>
    </w:rPr>
  </w:style>
  <w:style w:type="paragraph" w:customStyle="1" w:styleId="951">
    <w:name w:val="样式 标题 3Re + (中文) 宋体 加粗"/>
    <w:basedOn w:val="8"/>
    <w:qFormat/>
    <w:uiPriority w:val="0"/>
    <w:pPr>
      <w:numPr>
        <w:ilvl w:val="0"/>
        <w:numId w:val="0"/>
      </w:numPr>
      <w:tabs>
        <w:tab w:val="left" w:pos="0"/>
      </w:tabs>
      <w:autoSpaceDE w:val="0"/>
      <w:autoSpaceDN w:val="0"/>
      <w:adjustRightInd w:val="0"/>
      <w:snapToGrid w:val="0"/>
      <w:spacing w:before="20" w:after="20" w:line="360" w:lineRule="auto"/>
      <w:textAlignment w:val="baseline"/>
    </w:pPr>
    <w:rPr>
      <w:rFonts w:eastAsia="宋体" w:cs="Times New Roman"/>
      <w:kern w:val="0"/>
      <w:sz w:val="28"/>
      <w:szCs w:val="20"/>
    </w:rPr>
  </w:style>
  <w:style w:type="paragraph" w:customStyle="1" w:styleId="952">
    <w:name w:val="样式 样式 标题 2标题 2 Char1 + 四号 + Times New Roman"/>
    <w:basedOn w:val="1"/>
    <w:qFormat/>
    <w:uiPriority w:val="0"/>
    <w:pPr>
      <w:keepNext/>
      <w:keepLines/>
      <w:tabs>
        <w:tab w:val="left" w:pos="0"/>
      </w:tabs>
      <w:adjustRightInd w:val="0"/>
      <w:snapToGrid w:val="0"/>
      <w:spacing w:line="500" w:lineRule="exact"/>
      <w:jc w:val="left"/>
      <w:textAlignment w:val="baseline"/>
      <w:outlineLvl w:val="1"/>
    </w:pPr>
    <w:rPr>
      <w:rFonts w:ascii="Times New Roman" w:hAnsi="Times New Roman" w:eastAsia="宋体" w:cs="Times New Roman"/>
      <w:b/>
      <w:bCs/>
      <w:kern w:val="0"/>
      <w:sz w:val="28"/>
      <w:szCs w:val="20"/>
    </w:rPr>
  </w:style>
  <w:style w:type="paragraph" w:customStyle="1" w:styleId="953">
    <w:name w:val="样式 样式 样式 标题 2标题 2 Char1 + 四号 + Times New Roman + 段前: 6 磅 段后: 6 磅"/>
    <w:basedOn w:val="952"/>
    <w:qFormat/>
    <w:uiPriority w:val="0"/>
    <w:pPr>
      <w:spacing w:before="120" w:after="120"/>
    </w:pPr>
    <w:rPr>
      <w:rFonts w:cs="宋体"/>
    </w:rPr>
  </w:style>
  <w:style w:type="character" w:customStyle="1" w:styleId="954">
    <w:name w:val="排版正文 Char Char"/>
    <w:link w:val="955"/>
    <w:qFormat/>
    <w:uiPriority w:val="0"/>
    <w:rPr>
      <w:rFonts w:eastAsia="宋体"/>
      <w:color w:val="000000"/>
      <w:sz w:val="26"/>
    </w:rPr>
  </w:style>
  <w:style w:type="paragraph" w:customStyle="1" w:styleId="955">
    <w:name w:val="排版正文"/>
    <w:basedOn w:val="1"/>
    <w:next w:val="1"/>
    <w:link w:val="954"/>
    <w:qFormat/>
    <w:uiPriority w:val="0"/>
    <w:pPr>
      <w:adjustRightInd w:val="0"/>
      <w:snapToGrid w:val="0"/>
      <w:spacing w:line="460" w:lineRule="exact"/>
      <w:ind w:firstLine="510" w:firstLineChars="200"/>
    </w:pPr>
    <w:rPr>
      <w:rFonts w:eastAsia="宋体"/>
      <w:color w:val="000000"/>
      <w:sz w:val="26"/>
    </w:rPr>
  </w:style>
  <w:style w:type="paragraph" w:customStyle="1" w:styleId="956">
    <w:name w:val="二级无标题条"/>
    <w:basedOn w:val="1"/>
    <w:qFormat/>
    <w:uiPriority w:val="0"/>
    <w:pPr>
      <w:spacing w:line="240" w:lineRule="auto"/>
    </w:pPr>
    <w:rPr>
      <w:rFonts w:ascii="Times New Roman" w:hAnsi="Times New Roman" w:eastAsia="宋体" w:cs="Times New Roman"/>
      <w:szCs w:val="24"/>
    </w:rPr>
  </w:style>
  <w:style w:type="paragraph" w:customStyle="1" w:styleId="957">
    <w:name w:val="样式 加粗 居中 段前: 5 磅 行距: 最小值 12 磅"/>
    <w:basedOn w:val="1"/>
    <w:qFormat/>
    <w:uiPriority w:val="0"/>
    <w:pPr>
      <w:adjustRightInd w:val="0"/>
      <w:spacing w:before="100" w:line="240" w:lineRule="atLeast"/>
      <w:jc w:val="center"/>
      <w:textAlignment w:val="baseline"/>
    </w:pPr>
    <w:rPr>
      <w:rFonts w:ascii="Times New Roman" w:hAnsi="Times New Roman" w:eastAsia="宋体" w:cs="宋体"/>
      <w:b/>
      <w:bCs/>
      <w:kern w:val="0"/>
      <w:sz w:val="24"/>
      <w:szCs w:val="20"/>
    </w:rPr>
  </w:style>
  <w:style w:type="paragraph" w:customStyle="1" w:styleId="958">
    <w:name w:val="Char Char Char Char Char Char Char1"/>
    <w:basedOn w:val="1"/>
    <w:qFormat/>
    <w:uiPriority w:val="0"/>
    <w:pPr>
      <w:spacing w:line="240" w:lineRule="auto"/>
    </w:pPr>
    <w:rPr>
      <w:rFonts w:ascii="宋体" w:hAnsi="Times New Roman" w:eastAsia="宋体" w:cs="Times New Roman"/>
      <w:sz w:val="24"/>
      <w:szCs w:val="20"/>
    </w:rPr>
  </w:style>
  <w:style w:type="character" w:customStyle="1" w:styleId="959">
    <w:name w:val="正文文本 (2)_"/>
    <w:link w:val="960"/>
    <w:qFormat/>
    <w:uiPriority w:val="0"/>
    <w:rPr>
      <w:rFonts w:ascii="MingLiU" w:eastAsia="MingLiU"/>
      <w:sz w:val="22"/>
      <w:shd w:val="clear" w:color="auto" w:fill="FFFFFF"/>
    </w:rPr>
  </w:style>
  <w:style w:type="paragraph" w:customStyle="1" w:styleId="960">
    <w:name w:val="正文文本 (2)1"/>
    <w:basedOn w:val="1"/>
    <w:link w:val="959"/>
    <w:qFormat/>
    <w:uiPriority w:val="0"/>
    <w:pPr>
      <w:shd w:val="clear" w:color="auto" w:fill="FFFFFF"/>
      <w:spacing w:before="5460" w:after="60" w:line="240" w:lineRule="atLeast"/>
      <w:ind w:hanging="660"/>
      <w:jc w:val="left"/>
    </w:pPr>
    <w:rPr>
      <w:rFonts w:ascii="MingLiU" w:eastAsia="MingLiU"/>
      <w:sz w:val="22"/>
    </w:rPr>
  </w:style>
  <w:style w:type="character" w:customStyle="1" w:styleId="961">
    <w:name w:val="正文文本 (2)17"/>
    <w:basedOn w:val="959"/>
    <w:qFormat/>
    <w:uiPriority w:val="0"/>
    <w:rPr>
      <w:rFonts w:ascii="MingLiU" w:eastAsia="MingLiU"/>
      <w:sz w:val="22"/>
      <w:shd w:val="clear" w:color="auto" w:fill="FFFFFF"/>
    </w:rPr>
  </w:style>
  <w:style w:type="character" w:customStyle="1" w:styleId="962">
    <w:name w:val="正文文本 (2) + Constantia54"/>
    <w:qFormat/>
    <w:uiPriority w:val="0"/>
    <w:rPr>
      <w:rFonts w:ascii="Constantia" w:hAnsi="Constantia" w:eastAsia="MingLiU" w:cs="Constantia"/>
      <w:b/>
      <w:bCs/>
      <w:kern w:val="2"/>
      <w:sz w:val="22"/>
      <w:szCs w:val="22"/>
      <w:lang w:val="en-US" w:eastAsia="en-US" w:bidi="ar-SA"/>
    </w:rPr>
  </w:style>
  <w:style w:type="character" w:customStyle="1" w:styleId="963">
    <w:name w:val="表格标题 + Constantia"/>
    <w:qFormat/>
    <w:uiPriority w:val="0"/>
    <w:rPr>
      <w:rFonts w:ascii="Constantia" w:hAnsi="Constantia" w:eastAsia="宋体" w:cs="Constantia"/>
      <w:b/>
      <w:bCs/>
      <w:kern w:val="2"/>
      <w:sz w:val="22"/>
      <w:szCs w:val="22"/>
      <w:u w:val="none"/>
      <w:lang w:val="en-US" w:eastAsia="en-US" w:bidi="ar-SA"/>
    </w:rPr>
  </w:style>
  <w:style w:type="character" w:customStyle="1" w:styleId="964">
    <w:name w:val="表格标题3"/>
    <w:qFormat/>
    <w:uiPriority w:val="0"/>
    <w:rPr>
      <w:rFonts w:ascii="MingLiU" w:eastAsia="MingLiU" w:cs="MingLiU"/>
      <w:kern w:val="2"/>
      <w:sz w:val="22"/>
      <w:szCs w:val="22"/>
      <w:u w:val="none"/>
      <w:lang w:val="en-US" w:eastAsia="zh-CN" w:bidi="ar-SA"/>
    </w:rPr>
  </w:style>
  <w:style w:type="character" w:customStyle="1" w:styleId="965">
    <w:name w:val="正文文本 (17)_"/>
    <w:link w:val="966"/>
    <w:qFormat/>
    <w:uiPriority w:val="0"/>
    <w:rPr>
      <w:rFonts w:ascii="MingLiU" w:eastAsia="MingLiU"/>
      <w:sz w:val="22"/>
      <w:shd w:val="clear" w:color="auto" w:fill="FFFFFF"/>
    </w:rPr>
  </w:style>
  <w:style w:type="paragraph" w:customStyle="1" w:styleId="966">
    <w:name w:val="正文文本 (17)1"/>
    <w:basedOn w:val="1"/>
    <w:link w:val="965"/>
    <w:qFormat/>
    <w:uiPriority w:val="0"/>
    <w:pPr>
      <w:shd w:val="clear" w:color="auto" w:fill="FFFFFF"/>
      <w:spacing w:before="480" w:after="60" w:line="528" w:lineRule="exact"/>
      <w:jc w:val="left"/>
    </w:pPr>
    <w:rPr>
      <w:rFonts w:ascii="MingLiU" w:eastAsia="MingLiU"/>
      <w:sz w:val="22"/>
    </w:rPr>
  </w:style>
  <w:style w:type="character" w:customStyle="1" w:styleId="967">
    <w:name w:val="正文文本 (2) + Constantia55"/>
    <w:qFormat/>
    <w:uiPriority w:val="0"/>
    <w:rPr>
      <w:rFonts w:ascii="Constantia" w:hAnsi="Constantia" w:eastAsia="MingLiU" w:cs="Constantia"/>
      <w:b/>
      <w:bCs/>
      <w:kern w:val="2"/>
      <w:sz w:val="22"/>
      <w:szCs w:val="22"/>
      <w:u w:val="none"/>
      <w:lang w:val="en-US" w:eastAsia="en-US" w:bidi="ar-SA"/>
    </w:rPr>
  </w:style>
  <w:style w:type="character" w:customStyle="1" w:styleId="968">
    <w:name w:val="正文文本 (2)18"/>
    <w:qFormat/>
    <w:uiPriority w:val="0"/>
    <w:rPr>
      <w:rFonts w:ascii="MingLiU" w:eastAsia="MingLiU" w:cs="MingLiU"/>
      <w:kern w:val="2"/>
      <w:sz w:val="22"/>
      <w:szCs w:val="22"/>
      <w:u w:val="none"/>
      <w:lang w:val="en-US" w:eastAsia="zh-CN" w:bidi="ar-SA"/>
    </w:rPr>
  </w:style>
  <w:style w:type="character" w:customStyle="1" w:styleId="969">
    <w:name w:val="正文文本 (17)3"/>
    <w:qFormat/>
    <w:uiPriority w:val="0"/>
    <w:rPr>
      <w:rFonts w:ascii="MingLiU" w:eastAsia="MingLiU"/>
      <w:kern w:val="2"/>
      <w:sz w:val="22"/>
      <w:szCs w:val="22"/>
      <w:lang w:val="en-US" w:eastAsia="en-US" w:bidi="ar-SA"/>
    </w:rPr>
  </w:style>
  <w:style w:type="character" w:customStyle="1" w:styleId="970">
    <w:name w:val="正文文本 (17) + Bookman Old Style"/>
    <w:qFormat/>
    <w:uiPriority w:val="0"/>
    <w:rPr>
      <w:rFonts w:ascii="Bookman Old Style" w:hAnsi="Bookman Old Style" w:eastAsia="MingLiU" w:cs="Bookman Old Style"/>
      <w:kern w:val="2"/>
      <w:sz w:val="24"/>
      <w:szCs w:val="24"/>
      <w:lang w:val="en-US" w:eastAsia="en-US" w:bidi="ar-SA"/>
    </w:rPr>
  </w:style>
  <w:style w:type="character" w:customStyle="1" w:styleId="971">
    <w:name w:val="正文文本 (17)2"/>
    <w:basedOn w:val="965"/>
    <w:qFormat/>
    <w:uiPriority w:val="0"/>
    <w:rPr>
      <w:rFonts w:ascii="MingLiU" w:eastAsia="MingLiU"/>
      <w:sz w:val="22"/>
      <w:shd w:val="clear" w:color="auto" w:fill="FFFFFF"/>
    </w:rPr>
  </w:style>
  <w:style w:type="character" w:customStyle="1" w:styleId="972">
    <w:name w:val="正文文本 (2) + 间距 3 pt3"/>
    <w:qFormat/>
    <w:uiPriority w:val="0"/>
    <w:rPr>
      <w:rFonts w:ascii="MingLiU" w:eastAsia="MingLiU" w:cs="MingLiU"/>
      <w:spacing w:val="60"/>
      <w:kern w:val="2"/>
      <w:sz w:val="22"/>
      <w:szCs w:val="22"/>
      <w:u w:val="none"/>
      <w:lang w:val="en-US" w:eastAsia="zh-CN" w:bidi="ar-SA"/>
    </w:rPr>
  </w:style>
  <w:style w:type="character" w:customStyle="1" w:styleId="973">
    <w:name w:val="正文文本 (2) + 间距 3 pt2"/>
    <w:qFormat/>
    <w:uiPriority w:val="0"/>
    <w:rPr>
      <w:rFonts w:ascii="MingLiU" w:eastAsia="MingLiU" w:cs="MingLiU"/>
      <w:spacing w:val="60"/>
      <w:kern w:val="2"/>
      <w:sz w:val="22"/>
      <w:szCs w:val="22"/>
      <w:u w:val="none"/>
      <w:lang w:val="en-US" w:eastAsia="zh-CN" w:bidi="ar-SA"/>
    </w:rPr>
  </w:style>
  <w:style w:type="character" w:customStyle="1" w:styleId="974">
    <w:name w:val="Char Char401"/>
    <w:qFormat/>
    <w:uiPriority w:val="0"/>
    <w:rPr>
      <w:rFonts w:ascii="宋体" w:eastAsia="黑体"/>
      <w:b/>
      <w:kern w:val="44"/>
      <w:sz w:val="44"/>
      <w:lang w:val="en-US" w:eastAsia="zh-CN" w:bidi="ar-SA"/>
    </w:rPr>
  </w:style>
  <w:style w:type="character" w:customStyle="1" w:styleId="975">
    <w:name w:val="Char Char391"/>
    <w:qFormat/>
    <w:uiPriority w:val="0"/>
    <w:rPr>
      <w:rFonts w:ascii="Arial" w:hAnsi="Arial" w:eastAsia="黑体"/>
      <w:b/>
      <w:kern w:val="2"/>
      <w:sz w:val="28"/>
      <w:lang w:val="en-US" w:eastAsia="zh-CN" w:bidi="ar-SA"/>
    </w:rPr>
  </w:style>
  <w:style w:type="character" w:customStyle="1" w:styleId="976">
    <w:name w:val="Char Char381"/>
    <w:qFormat/>
    <w:uiPriority w:val="0"/>
    <w:rPr>
      <w:rFonts w:eastAsia="宋体"/>
      <w:b/>
      <w:bCs/>
      <w:kern w:val="2"/>
      <w:sz w:val="26"/>
      <w:szCs w:val="32"/>
      <w:lang w:val="en-US" w:eastAsia="zh-CN" w:bidi="ar-SA"/>
    </w:rPr>
  </w:style>
  <w:style w:type="character" w:customStyle="1" w:styleId="977">
    <w:name w:val="Char Char371"/>
    <w:qFormat/>
    <w:uiPriority w:val="0"/>
    <w:rPr>
      <w:rFonts w:eastAsia="黑体"/>
      <w:kern w:val="2"/>
      <w:sz w:val="24"/>
      <w:lang w:val="en-US" w:eastAsia="zh-CN" w:bidi="ar-SA"/>
    </w:rPr>
  </w:style>
  <w:style w:type="character" w:customStyle="1" w:styleId="978">
    <w:name w:val="Char Char361"/>
    <w:qFormat/>
    <w:uiPriority w:val="0"/>
    <w:rPr>
      <w:rFonts w:eastAsia="宋体"/>
      <w:b/>
      <w:kern w:val="2"/>
      <w:sz w:val="28"/>
      <w:lang w:bidi="ar-SA"/>
    </w:rPr>
  </w:style>
  <w:style w:type="character" w:customStyle="1" w:styleId="979">
    <w:name w:val="Char Char351"/>
    <w:qFormat/>
    <w:uiPriority w:val="0"/>
    <w:rPr>
      <w:rFonts w:ascii="Arial" w:hAnsi="Arial" w:eastAsia="黑体"/>
      <w:b/>
      <w:kern w:val="2"/>
      <w:sz w:val="24"/>
      <w:lang w:bidi="ar-SA"/>
    </w:rPr>
  </w:style>
  <w:style w:type="character" w:customStyle="1" w:styleId="980">
    <w:name w:val="Char Char34"/>
    <w:qFormat/>
    <w:uiPriority w:val="0"/>
    <w:rPr>
      <w:rFonts w:eastAsia="宋体"/>
      <w:b/>
      <w:kern w:val="2"/>
      <w:sz w:val="24"/>
      <w:lang w:bidi="ar-SA"/>
    </w:rPr>
  </w:style>
  <w:style w:type="character" w:customStyle="1" w:styleId="981">
    <w:name w:val="Char Char33"/>
    <w:qFormat/>
    <w:uiPriority w:val="0"/>
    <w:rPr>
      <w:rFonts w:ascii="Arial" w:hAnsi="Arial" w:eastAsia="黑体"/>
      <w:kern w:val="2"/>
      <w:sz w:val="24"/>
      <w:lang w:bidi="ar-SA"/>
    </w:rPr>
  </w:style>
  <w:style w:type="character" w:customStyle="1" w:styleId="982">
    <w:name w:val="Char Char32"/>
    <w:qFormat/>
    <w:uiPriority w:val="0"/>
    <w:rPr>
      <w:rFonts w:ascii="Arial" w:hAnsi="Arial" w:eastAsia="黑体"/>
      <w:kern w:val="2"/>
      <w:sz w:val="21"/>
      <w:lang w:bidi="ar-SA"/>
    </w:rPr>
  </w:style>
  <w:style w:type="character" w:customStyle="1" w:styleId="983">
    <w:name w:val="Char Char21"/>
    <w:qFormat/>
    <w:uiPriority w:val="0"/>
    <w:rPr>
      <w:rFonts w:eastAsia="宋体"/>
      <w:kern w:val="2"/>
      <w:sz w:val="24"/>
      <w:szCs w:val="24"/>
      <w:lang w:val="en-US" w:eastAsia="zh-CN" w:bidi="ar-SA"/>
    </w:rPr>
  </w:style>
  <w:style w:type="character" w:customStyle="1" w:styleId="984">
    <w:name w:val="Char Char20"/>
    <w:qFormat/>
    <w:uiPriority w:val="0"/>
    <w:rPr>
      <w:kern w:val="2"/>
      <w:sz w:val="18"/>
      <w:szCs w:val="18"/>
      <w:lang w:bidi="ar-SA"/>
    </w:rPr>
  </w:style>
  <w:style w:type="character" w:customStyle="1" w:styleId="985">
    <w:name w:val="Char Char8"/>
    <w:qFormat/>
    <w:uiPriority w:val="0"/>
    <w:rPr>
      <w:rFonts w:ascii="宋体" w:hAnsi="宋体" w:eastAsia="宋体"/>
      <w:kern w:val="2"/>
      <w:sz w:val="21"/>
      <w:szCs w:val="24"/>
      <w:lang w:val="en-US" w:eastAsia="zh-CN" w:bidi="ar-SA"/>
    </w:rPr>
  </w:style>
  <w:style w:type="character" w:customStyle="1" w:styleId="986">
    <w:name w:val="Char Char271"/>
    <w:qFormat/>
    <w:uiPriority w:val="0"/>
    <w:rPr>
      <w:rFonts w:ascii="幼圆" w:eastAsia="幼圆"/>
      <w:kern w:val="2"/>
      <w:sz w:val="21"/>
      <w:szCs w:val="18"/>
      <w:lang w:val="en-US" w:eastAsia="zh-CN" w:bidi="ar-SA"/>
    </w:rPr>
  </w:style>
  <w:style w:type="character" w:customStyle="1" w:styleId="987">
    <w:name w:val="Char Char15"/>
    <w:qFormat/>
    <w:uiPriority w:val="0"/>
    <w:rPr>
      <w:rFonts w:ascii="宋体" w:hAnsi="宋体" w:eastAsia="宋体"/>
      <w:kern w:val="2"/>
      <w:sz w:val="18"/>
      <w:szCs w:val="18"/>
      <w:lang w:val="en-US" w:eastAsia="zh-CN" w:bidi="ar-SA"/>
    </w:rPr>
  </w:style>
  <w:style w:type="character" w:customStyle="1" w:styleId="988">
    <w:name w:val="Char Char26"/>
    <w:qFormat/>
    <w:uiPriority w:val="0"/>
    <w:rPr>
      <w:rFonts w:ascii="Arial" w:hAnsi="Arial" w:eastAsia="黑体" w:cs="Arial"/>
      <w:kern w:val="2"/>
      <w:lang w:bidi="ar-SA"/>
    </w:rPr>
  </w:style>
  <w:style w:type="character" w:customStyle="1" w:styleId="989">
    <w:name w:val="Char Char13"/>
    <w:qFormat/>
    <w:uiPriority w:val="0"/>
    <w:rPr>
      <w:rFonts w:ascii="Courier New" w:hAnsi="Courier New" w:cs="Courier New"/>
      <w:sz w:val="24"/>
      <w:szCs w:val="24"/>
      <w:lang w:val="en-US" w:eastAsia="zh-CN" w:bidi="ar-SA"/>
    </w:rPr>
  </w:style>
  <w:style w:type="character" w:customStyle="1" w:styleId="990">
    <w:name w:val="Char Char16"/>
    <w:qFormat/>
    <w:uiPriority w:val="0"/>
    <w:rPr>
      <w:szCs w:val="21"/>
      <w:lang w:bidi="ar-SA"/>
    </w:rPr>
  </w:style>
  <w:style w:type="character" w:customStyle="1" w:styleId="991">
    <w:name w:val="Char Char291"/>
    <w:qFormat/>
    <w:uiPriority w:val="0"/>
    <w:rPr>
      <w:rFonts w:ascii="宋体" w:hAnsi="宋体" w:eastAsia="宋体"/>
      <w:kern w:val="2"/>
      <w:sz w:val="24"/>
      <w:lang w:val="en-US" w:eastAsia="zh-CN" w:bidi="ar-SA"/>
    </w:rPr>
  </w:style>
  <w:style w:type="character" w:customStyle="1" w:styleId="992">
    <w:name w:val="Char Char10"/>
    <w:qFormat/>
    <w:uiPriority w:val="0"/>
    <w:rPr>
      <w:rFonts w:ascii="Cambria" w:hAnsi="Cambria"/>
      <w:b/>
      <w:kern w:val="28"/>
      <w:sz w:val="32"/>
      <w:lang w:bidi="ar-SA"/>
    </w:rPr>
  </w:style>
  <w:style w:type="character" w:customStyle="1" w:styleId="993">
    <w:name w:val="Char Char24"/>
    <w:qFormat/>
    <w:uiPriority w:val="0"/>
    <w:rPr>
      <w:rFonts w:ascii="宋体" w:hAnsi="宋体" w:eastAsia="宋体"/>
      <w:sz w:val="24"/>
      <w:lang w:val="en-US" w:eastAsia="zh-CN" w:bidi="ar-SA"/>
    </w:rPr>
  </w:style>
  <w:style w:type="character" w:customStyle="1" w:styleId="994">
    <w:name w:val="Char Char12"/>
    <w:qFormat/>
    <w:uiPriority w:val="0"/>
    <w:rPr>
      <w:kern w:val="2"/>
      <w:sz w:val="24"/>
      <w:szCs w:val="21"/>
      <w:lang w:bidi="ar-SA"/>
    </w:rPr>
  </w:style>
  <w:style w:type="character" w:customStyle="1" w:styleId="995">
    <w:name w:val="Char Char23"/>
    <w:qFormat/>
    <w:uiPriority w:val="0"/>
    <w:rPr>
      <w:kern w:val="2"/>
      <w:sz w:val="24"/>
      <w:szCs w:val="21"/>
      <w:lang w:bidi="ar-SA"/>
    </w:rPr>
  </w:style>
  <w:style w:type="character" w:customStyle="1" w:styleId="996">
    <w:name w:val="Char Char11"/>
    <w:qFormat/>
    <w:uiPriority w:val="0"/>
    <w:rPr>
      <w:kern w:val="2"/>
      <w:sz w:val="24"/>
      <w:lang w:bidi="ar-SA"/>
    </w:rPr>
  </w:style>
  <w:style w:type="character" w:customStyle="1" w:styleId="997">
    <w:name w:val="Char Char17"/>
    <w:qFormat/>
    <w:uiPriority w:val="0"/>
    <w:rPr>
      <w:kern w:val="2"/>
      <w:sz w:val="16"/>
      <w:szCs w:val="16"/>
      <w:lang w:bidi="ar-SA"/>
    </w:rPr>
  </w:style>
  <w:style w:type="character" w:customStyle="1" w:styleId="998">
    <w:name w:val="Char Char181"/>
    <w:qFormat/>
    <w:uiPriority w:val="0"/>
    <w:rPr>
      <w:kern w:val="2"/>
      <w:sz w:val="24"/>
      <w:szCs w:val="21"/>
      <w:lang w:bidi="ar-SA"/>
    </w:rPr>
  </w:style>
  <w:style w:type="character" w:customStyle="1" w:styleId="999">
    <w:name w:val="Char Char30"/>
    <w:qFormat/>
    <w:uiPriority w:val="0"/>
    <w:rPr>
      <w:kern w:val="2"/>
      <w:sz w:val="16"/>
      <w:szCs w:val="16"/>
      <w:lang w:bidi="ar-SA"/>
    </w:rPr>
  </w:style>
  <w:style w:type="character" w:customStyle="1" w:styleId="1000">
    <w:name w:val="Char Char28"/>
    <w:qFormat/>
    <w:uiPriority w:val="0"/>
    <w:rPr>
      <w:rFonts w:ascii="宋体" w:hAnsi="宋体" w:eastAsia="宋体"/>
      <w:kern w:val="2"/>
      <w:sz w:val="18"/>
      <w:szCs w:val="18"/>
      <w:lang w:bidi="ar-SA"/>
    </w:rPr>
  </w:style>
  <w:style w:type="character" w:customStyle="1" w:styleId="1001">
    <w:name w:val="Char Char221"/>
    <w:qFormat/>
    <w:uiPriority w:val="0"/>
    <w:rPr>
      <w:rFonts w:ascii="宋体" w:hAnsi="Courier New" w:eastAsia="宋体" w:cs="Courier New"/>
      <w:kern w:val="2"/>
      <w:sz w:val="21"/>
      <w:szCs w:val="21"/>
      <w:lang w:val="en-US" w:eastAsia="zh-CN" w:bidi="ar-SA"/>
    </w:rPr>
  </w:style>
  <w:style w:type="character" w:customStyle="1" w:styleId="1002">
    <w:name w:val="Char Char31"/>
    <w:qFormat/>
    <w:uiPriority w:val="0"/>
    <w:rPr>
      <w:b/>
      <w:bCs/>
      <w:kern w:val="2"/>
      <w:sz w:val="21"/>
      <w:szCs w:val="24"/>
      <w:lang w:bidi="ar-SA"/>
    </w:rPr>
  </w:style>
  <w:style w:type="character" w:customStyle="1" w:styleId="1003">
    <w:name w:val="Char Char25"/>
    <w:qFormat/>
    <w:uiPriority w:val="0"/>
    <w:rPr>
      <w:kern w:val="2"/>
      <w:sz w:val="18"/>
      <w:szCs w:val="18"/>
      <w:lang w:bidi="ar-SA"/>
    </w:rPr>
  </w:style>
  <w:style w:type="paragraph" w:customStyle="1" w:styleId="1004">
    <w:name w:val="Char4 Char Char Char Char Char Char11"/>
    <w:basedOn w:val="1"/>
    <w:qFormat/>
    <w:uiPriority w:val="0"/>
    <w:pPr>
      <w:ind w:firstLine="200" w:firstLineChars="200"/>
    </w:pPr>
    <w:rPr>
      <w:rFonts w:ascii="宋体" w:hAnsi="宋体" w:eastAsia="宋体" w:cs="宋体"/>
      <w:sz w:val="24"/>
      <w:szCs w:val="24"/>
    </w:rPr>
  </w:style>
  <w:style w:type="paragraph" w:customStyle="1" w:styleId="1005">
    <w:name w:val="1.1"/>
    <w:basedOn w:val="1"/>
    <w:qFormat/>
    <w:uiPriority w:val="0"/>
    <w:pPr>
      <w:spacing w:beforeLines="50" w:afterLines="50" w:line="500" w:lineRule="exact"/>
      <w:ind w:firstLine="200" w:firstLineChars="200"/>
    </w:pPr>
    <w:rPr>
      <w:rFonts w:ascii="Times New Roman" w:hAnsi="Times New Roman" w:eastAsia="黑体" w:cs="Times New Roman"/>
      <w:b/>
      <w:sz w:val="30"/>
      <w:szCs w:val="20"/>
    </w:rPr>
  </w:style>
  <w:style w:type="paragraph" w:customStyle="1" w:styleId="1006">
    <w:name w:val="Char1 Char Char Char1"/>
    <w:basedOn w:val="1"/>
    <w:qFormat/>
    <w:uiPriority w:val="0"/>
    <w:pPr>
      <w:spacing w:line="240" w:lineRule="auto"/>
    </w:pPr>
    <w:rPr>
      <w:rFonts w:ascii="Times New Roman" w:hAnsi="Times New Roman" w:eastAsia="宋体" w:cs="Times New Roman"/>
      <w:szCs w:val="20"/>
    </w:rPr>
  </w:style>
  <w:style w:type="paragraph" w:customStyle="1" w:styleId="1007">
    <w:name w:val="Char1 Char Char Char Char Char Char Char Char1"/>
    <w:basedOn w:val="1"/>
    <w:qFormat/>
    <w:uiPriority w:val="0"/>
    <w:pPr>
      <w:ind w:firstLine="200" w:firstLineChars="200"/>
    </w:pPr>
    <w:rPr>
      <w:rFonts w:ascii="Times New Roman" w:hAnsi="Times New Roman" w:eastAsia="宋体" w:cs="Times New Roman"/>
      <w:szCs w:val="24"/>
    </w:rPr>
  </w:style>
  <w:style w:type="paragraph" w:customStyle="1" w:styleId="1008">
    <w:name w:val="Char21"/>
    <w:basedOn w:val="1"/>
    <w:qFormat/>
    <w:uiPriority w:val="0"/>
    <w:pPr>
      <w:ind w:firstLine="200" w:firstLineChars="200"/>
    </w:pPr>
    <w:rPr>
      <w:rFonts w:ascii="宋体" w:hAnsi="宋体" w:eastAsia="宋体" w:cs="宋体"/>
      <w:sz w:val="24"/>
      <w:szCs w:val="24"/>
    </w:rPr>
  </w:style>
  <w:style w:type="paragraph" w:customStyle="1" w:styleId="1009">
    <w:name w:val="Char4 Char Char Char1"/>
    <w:basedOn w:val="1"/>
    <w:qFormat/>
    <w:uiPriority w:val="0"/>
    <w:pPr>
      <w:adjustRightInd w:val="0"/>
      <w:snapToGrid w:val="0"/>
      <w:ind w:firstLine="200" w:firstLineChars="200"/>
    </w:pPr>
    <w:rPr>
      <w:rFonts w:ascii="宋体" w:hAnsi="宋体" w:eastAsia="宋体" w:cs="宋体"/>
      <w:sz w:val="24"/>
      <w:szCs w:val="26"/>
    </w:rPr>
  </w:style>
  <w:style w:type="character" w:customStyle="1" w:styleId="1010">
    <w:name w:val="表格文字 Char Char"/>
    <w:link w:val="175"/>
    <w:qFormat/>
    <w:uiPriority w:val="0"/>
    <w:rPr>
      <w:rFonts w:ascii="宋体" w:hAnsi="宋体" w:eastAsia="宋体"/>
      <w:kern w:val="2"/>
      <w:sz w:val="21"/>
      <w:szCs w:val="24"/>
      <w:lang w:val="en-US" w:eastAsia="zh-CN" w:bidi="ar-SA"/>
    </w:rPr>
  </w:style>
  <w:style w:type="paragraph" w:customStyle="1" w:styleId="1011">
    <w:name w:val="Char51"/>
    <w:basedOn w:val="1"/>
    <w:qFormat/>
    <w:uiPriority w:val="0"/>
    <w:pPr>
      <w:shd w:val="clear" w:color="auto" w:fill="000080"/>
      <w:adjustRightInd w:val="0"/>
      <w:spacing w:line="436" w:lineRule="exact"/>
      <w:ind w:left="357"/>
      <w:jc w:val="left"/>
      <w:outlineLvl w:val="3"/>
    </w:pPr>
    <w:rPr>
      <w:rFonts w:ascii="Tahoma" w:hAnsi="Tahoma" w:eastAsia="宋体" w:cs="Times New Roman"/>
      <w:b/>
      <w:sz w:val="24"/>
      <w:szCs w:val="28"/>
    </w:rPr>
  </w:style>
  <w:style w:type="paragraph" w:customStyle="1" w:styleId="1012">
    <w:name w:val="Char Char Char Char Char Char Char Char Char Char Char Char Char Char Char Char Char Char Char Char Char Char Char Char Char1"/>
    <w:basedOn w:val="1"/>
    <w:qFormat/>
    <w:uiPriority w:val="0"/>
    <w:pPr>
      <w:ind w:firstLine="200" w:firstLineChars="200"/>
    </w:pPr>
    <w:rPr>
      <w:rFonts w:ascii="宋体" w:hAnsi="宋体" w:eastAsia="宋体" w:cs="宋体"/>
      <w:sz w:val="24"/>
      <w:szCs w:val="24"/>
    </w:rPr>
  </w:style>
  <w:style w:type="paragraph" w:customStyle="1" w:styleId="1013">
    <w:name w:val="Char Char Char Char Char Char Char Char Char Char Char Char Char Char Char Char Char Char Char1"/>
    <w:basedOn w:val="1"/>
    <w:qFormat/>
    <w:uiPriority w:val="0"/>
    <w:pPr>
      <w:ind w:firstLine="200" w:firstLineChars="200"/>
    </w:pPr>
    <w:rPr>
      <w:rFonts w:ascii="宋体" w:hAnsi="宋体" w:eastAsia="宋体" w:cs="宋体"/>
      <w:sz w:val="24"/>
      <w:szCs w:val="24"/>
    </w:rPr>
  </w:style>
  <w:style w:type="character" w:customStyle="1" w:styleId="1014">
    <w:name w:val="1.1.1 Char"/>
    <w:link w:val="1015"/>
    <w:qFormat/>
    <w:uiPriority w:val="0"/>
    <w:rPr>
      <w:rFonts w:ascii="黑体" w:hAnsi="黑体" w:eastAsia="黑体"/>
      <w:b/>
      <w:sz w:val="28"/>
    </w:rPr>
  </w:style>
  <w:style w:type="paragraph" w:customStyle="1" w:styleId="1015">
    <w:name w:val="1.1.1"/>
    <w:basedOn w:val="1"/>
    <w:link w:val="1014"/>
    <w:qFormat/>
    <w:uiPriority w:val="0"/>
    <w:pPr>
      <w:spacing w:beforeLines="50" w:afterLines="50" w:line="500" w:lineRule="exact"/>
      <w:ind w:firstLine="200" w:firstLineChars="200"/>
    </w:pPr>
    <w:rPr>
      <w:rFonts w:ascii="黑体" w:hAnsi="黑体" w:eastAsia="黑体"/>
      <w:b/>
      <w:sz w:val="28"/>
    </w:rPr>
  </w:style>
  <w:style w:type="paragraph" w:customStyle="1" w:styleId="1016">
    <w:name w:val="Char Char Char Char Char Char12"/>
    <w:basedOn w:val="1"/>
    <w:link w:val="1017"/>
    <w:qFormat/>
    <w:uiPriority w:val="0"/>
    <w:pPr>
      <w:ind w:firstLine="200" w:firstLineChars="200"/>
    </w:pPr>
    <w:rPr>
      <w:rFonts w:ascii="宋体" w:hAnsi="宋体" w:eastAsia="宋体" w:cs="宋体"/>
      <w:sz w:val="24"/>
      <w:szCs w:val="24"/>
    </w:rPr>
  </w:style>
  <w:style w:type="character" w:customStyle="1" w:styleId="1017">
    <w:name w:val="Char Char Char Char Char Char Char11"/>
    <w:link w:val="1016"/>
    <w:qFormat/>
    <w:uiPriority w:val="0"/>
    <w:rPr>
      <w:rFonts w:ascii="宋体" w:hAnsi="宋体" w:eastAsia="宋体" w:cs="宋体"/>
      <w:sz w:val="24"/>
      <w:szCs w:val="24"/>
    </w:rPr>
  </w:style>
  <w:style w:type="paragraph" w:customStyle="1" w:styleId="1018">
    <w:name w:val="1.1.1.1.1"/>
    <w:basedOn w:val="1"/>
    <w:qFormat/>
    <w:uiPriority w:val="0"/>
    <w:pPr>
      <w:spacing w:line="240" w:lineRule="auto"/>
      <w:ind w:firstLine="482" w:firstLineChars="200"/>
      <w:outlineLvl w:val="4"/>
    </w:pPr>
    <w:rPr>
      <w:rFonts w:ascii="Times New Roman" w:hAnsi="Times New Roman" w:eastAsia="宋体" w:cs="Times New Roman"/>
      <w:b/>
      <w:sz w:val="24"/>
      <w:szCs w:val="24"/>
    </w:rPr>
  </w:style>
  <w:style w:type="paragraph" w:customStyle="1" w:styleId="1019">
    <w:name w:val="Char Char Char Char Char Char Char Char Char Char Char Char Char Char Char Char Char Char1"/>
    <w:basedOn w:val="1"/>
    <w:qFormat/>
    <w:uiPriority w:val="0"/>
    <w:pPr>
      <w:spacing w:line="240" w:lineRule="auto"/>
    </w:pPr>
    <w:rPr>
      <w:rFonts w:ascii="宋体" w:hAnsi="Times New Roman" w:eastAsia="宋体" w:cs="Times New Roman"/>
      <w:sz w:val="24"/>
      <w:szCs w:val="20"/>
    </w:rPr>
  </w:style>
  <w:style w:type="paragraph" w:customStyle="1" w:styleId="1020">
    <w:name w:val="Char Char Char Char Char Char Char Char Char Char Char Char Char Char Char Char Char Char1 Char Char Char Char1"/>
    <w:basedOn w:val="1"/>
    <w:qFormat/>
    <w:uiPriority w:val="0"/>
    <w:pPr>
      <w:spacing w:line="240" w:lineRule="auto"/>
    </w:pPr>
    <w:rPr>
      <w:rFonts w:ascii="Times New Roman" w:hAnsi="Times New Roman" w:eastAsia="宋体" w:cs="Times New Roman"/>
      <w:szCs w:val="24"/>
    </w:rPr>
  </w:style>
  <w:style w:type="paragraph" w:customStyle="1" w:styleId="1021">
    <w:name w:val="1.1.1.1"/>
    <w:basedOn w:val="1015"/>
    <w:qFormat/>
    <w:uiPriority w:val="0"/>
    <w:rPr>
      <w:rFonts w:eastAsia="楷体_GB2312"/>
    </w:rPr>
  </w:style>
  <w:style w:type="paragraph" w:customStyle="1" w:styleId="1022">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Times New Roman" w:hAnsi="Times New Roman" w:eastAsia="宋体" w:cs="Times New Roman"/>
      <w:sz w:val="32"/>
      <w:szCs w:val="20"/>
    </w:rPr>
  </w:style>
  <w:style w:type="character" w:customStyle="1" w:styleId="1023">
    <w:name w:val="Char Char1411"/>
    <w:qFormat/>
    <w:uiPriority w:val="0"/>
    <w:rPr>
      <w:kern w:val="2"/>
      <w:sz w:val="18"/>
      <w:szCs w:val="18"/>
    </w:rPr>
  </w:style>
  <w:style w:type="character" w:customStyle="1" w:styleId="1024">
    <w:name w:val="Char Char4"/>
    <w:qFormat/>
    <w:uiPriority w:val="0"/>
    <w:rPr>
      <w:kern w:val="2"/>
      <w:sz w:val="18"/>
      <w:szCs w:val="18"/>
    </w:rPr>
  </w:style>
  <w:style w:type="character" w:customStyle="1" w:styleId="1025">
    <w:name w:val="表格文字 Char Char Char"/>
    <w:qFormat/>
    <w:uiPriority w:val="0"/>
    <w:rPr>
      <w:rFonts w:hint="eastAsia" w:ascii="宋体" w:hAnsi="宋体" w:eastAsia="宋体"/>
      <w:kern w:val="2"/>
      <w:sz w:val="21"/>
      <w:lang w:val="en-US" w:eastAsia="zh-CN" w:bidi="ar-SA"/>
    </w:rPr>
  </w:style>
  <w:style w:type="character" w:customStyle="1" w:styleId="1026">
    <w:name w:val="1.1.1 Char Char"/>
    <w:qFormat/>
    <w:uiPriority w:val="0"/>
    <w:rPr>
      <w:rFonts w:hint="eastAsia" w:ascii="黑体" w:hAnsi="黑体" w:eastAsia="黑体"/>
      <w:b/>
      <w:kern w:val="2"/>
      <w:sz w:val="28"/>
    </w:rPr>
  </w:style>
  <w:style w:type="character" w:customStyle="1" w:styleId="1027">
    <w:name w:val="Char Char2"/>
    <w:qFormat/>
    <w:uiPriority w:val="0"/>
    <w:rPr>
      <w:rFonts w:hint="eastAsia" w:ascii="黑体" w:hAnsi="黑体" w:eastAsia="黑体"/>
      <w:bCs/>
      <w:kern w:val="2"/>
      <w:sz w:val="24"/>
      <w:szCs w:val="32"/>
      <w:lang w:val="en-US" w:eastAsia="zh-CN" w:bidi="ar-SA"/>
    </w:rPr>
  </w:style>
  <w:style w:type="character" w:customStyle="1" w:styleId="1028">
    <w:name w:val="Char Char Char Char11"/>
    <w:qFormat/>
    <w:uiPriority w:val="0"/>
    <w:rPr>
      <w:rFonts w:hint="eastAsia" w:ascii="宋体" w:hAnsi="宋体" w:eastAsia="宋体"/>
      <w:kern w:val="2"/>
      <w:sz w:val="24"/>
      <w:lang w:val="en-US" w:eastAsia="zh-CN"/>
    </w:rPr>
  </w:style>
  <w:style w:type="character" w:customStyle="1" w:styleId="1029">
    <w:name w:val="Char Char91"/>
    <w:qFormat/>
    <w:uiPriority w:val="0"/>
    <w:rPr>
      <w:kern w:val="2"/>
      <w:sz w:val="18"/>
    </w:rPr>
  </w:style>
  <w:style w:type="character" w:customStyle="1" w:styleId="1030">
    <w:name w:val="Char Char6"/>
    <w:qFormat/>
    <w:uiPriority w:val="0"/>
    <w:rPr>
      <w:rFonts w:ascii="Arial" w:hAnsi="Arial" w:eastAsia="宋体" w:cs="Arial"/>
      <w:vanish/>
      <w:kern w:val="2"/>
      <w:sz w:val="16"/>
      <w:szCs w:val="16"/>
      <w:lang w:val="en-US" w:eastAsia="zh-CN" w:bidi="ar-SA"/>
    </w:rPr>
  </w:style>
  <w:style w:type="character" w:customStyle="1" w:styleId="1031">
    <w:name w:val="Char Char3"/>
    <w:qFormat/>
    <w:uiPriority w:val="0"/>
    <w:rPr>
      <w:rFonts w:hint="eastAsia" w:ascii="仿宋_GB2312" w:hAnsi="仿宋_GB2312" w:eastAsia="黑体"/>
      <w:bCs/>
      <w:kern w:val="2"/>
      <w:sz w:val="32"/>
      <w:szCs w:val="32"/>
      <w:lang w:val="en-US" w:eastAsia="zh-CN" w:bidi="ar-SA"/>
    </w:rPr>
  </w:style>
  <w:style w:type="paragraph" w:customStyle="1" w:styleId="1032">
    <w:name w:val="宋体"/>
    <w:basedOn w:val="1"/>
    <w:next w:val="7"/>
    <w:semiHidden/>
    <w:qFormat/>
    <w:uiPriority w:val="0"/>
    <w:pPr>
      <w:tabs>
        <w:tab w:val="left" w:pos="540"/>
      </w:tabs>
      <w:ind w:firstLine="560" w:firstLineChars="200"/>
    </w:pPr>
    <w:rPr>
      <w:rFonts w:ascii="Times New Roman" w:hAnsi="Times New Roman" w:eastAsia="宋体" w:cs="Times New Roman"/>
      <w:b/>
      <w:sz w:val="28"/>
      <w:szCs w:val="28"/>
    </w:rPr>
  </w:style>
  <w:style w:type="paragraph" w:customStyle="1" w:styleId="1033">
    <w:name w:val="正文（环评）"/>
    <w:basedOn w:val="1"/>
    <w:link w:val="1034"/>
    <w:qFormat/>
    <w:uiPriority w:val="0"/>
    <w:pPr>
      <w:ind w:firstLine="200" w:firstLineChars="200"/>
      <w:jc w:val="left"/>
    </w:pPr>
    <w:rPr>
      <w:rFonts w:ascii="Times New Roman" w:hAnsi="Times New Roman" w:eastAsia="宋体" w:cs="Times New Roman"/>
      <w:spacing w:val="6"/>
      <w:sz w:val="24"/>
      <w:szCs w:val="24"/>
    </w:rPr>
  </w:style>
  <w:style w:type="character" w:customStyle="1" w:styleId="1034">
    <w:name w:val="正文（环评） Char Char"/>
    <w:link w:val="1033"/>
    <w:qFormat/>
    <w:uiPriority w:val="0"/>
    <w:rPr>
      <w:rFonts w:ascii="Times New Roman" w:hAnsi="Times New Roman" w:eastAsia="宋体" w:cs="Times New Roman"/>
      <w:spacing w:val="6"/>
      <w:sz w:val="24"/>
      <w:szCs w:val="24"/>
    </w:rPr>
  </w:style>
  <w:style w:type="character" w:customStyle="1" w:styleId="1035">
    <w:name w:val="t_tag"/>
    <w:basedOn w:val="94"/>
    <w:qFormat/>
    <w:uiPriority w:val="0"/>
    <w:rPr>
      <w:rFonts w:eastAsia="宋体"/>
      <w:kern w:val="2"/>
      <w:sz w:val="24"/>
      <w:szCs w:val="24"/>
      <w:lang w:val="en-US" w:eastAsia="zh-CN" w:bidi="ar-SA"/>
    </w:rPr>
  </w:style>
  <w:style w:type="paragraph" w:customStyle="1" w:styleId="1036">
    <w:name w:val="+++正文"/>
    <w:basedOn w:val="1"/>
    <w:link w:val="1037"/>
    <w:qFormat/>
    <w:uiPriority w:val="0"/>
    <w:pPr>
      <w:ind w:firstLine="200" w:firstLineChars="200"/>
    </w:pPr>
    <w:rPr>
      <w:rFonts w:ascii="Times New Roman" w:hAnsi="Times New Roman" w:eastAsia="宋体" w:cs="宋体"/>
      <w:sz w:val="24"/>
      <w:szCs w:val="24"/>
    </w:rPr>
  </w:style>
  <w:style w:type="character" w:customStyle="1" w:styleId="1037">
    <w:name w:val="+++正文 Char"/>
    <w:link w:val="1036"/>
    <w:qFormat/>
    <w:uiPriority w:val="0"/>
    <w:rPr>
      <w:rFonts w:ascii="Times New Roman" w:hAnsi="Times New Roman" w:eastAsia="宋体" w:cs="宋体"/>
      <w:sz w:val="24"/>
      <w:szCs w:val="24"/>
    </w:rPr>
  </w:style>
  <w:style w:type="paragraph" w:customStyle="1" w:styleId="1038">
    <w:name w:val="++++正文"/>
    <w:basedOn w:val="1036"/>
    <w:link w:val="1039"/>
    <w:qFormat/>
    <w:uiPriority w:val="0"/>
    <w:rPr>
      <w:rFonts w:eastAsia="黑体"/>
      <w:b/>
    </w:rPr>
  </w:style>
  <w:style w:type="character" w:customStyle="1" w:styleId="1039">
    <w:name w:val="++++正文 Char"/>
    <w:link w:val="1038"/>
    <w:qFormat/>
    <w:uiPriority w:val="0"/>
    <w:rPr>
      <w:rFonts w:ascii="Times New Roman" w:hAnsi="Times New Roman" w:eastAsia="黑体" w:cs="宋体"/>
      <w:b/>
      <w:sz w:val="24"/>
      <w:szCs w:val="24"/>
    </w:rPr>
  </w:style>
  <w:style w:type="character" w:customStyle="1" w:styleId="1040">
    <w:name w:val="正文文本 (17) + AngsanaUPC"/>
    <w:qFormat/>
    <w:uiPriority w:val="0"/>
    <w:rPr>
      <w:rFonts w:ascii="AngsanaUPC" w:hAnsi="AngsanaUPC" w:eastAsia="MingLiU" w:cs="AngsanaUPC"/>
      <w:kern w:val="2"/>
      <w:sz w:val="36"/>
      <w:szCs w:val="36"/>
      <w:u w:val="none"/>
      <w:lang w:val="en-US" w:eastAsia="en-US" w:bidi="ar-SA"/>
    </w:rPr>
  </w:style>
  <w:style w:type="character" w:customStyle="1" w:styleId="1041">
    <w:name w:val="Comment Text Char"/>
    <w:basedOn w:val="94"/>
    <w:qFormat/>
    <w:uiPriority w:val="0"/>
    <w:rPr>
      <w:rFonts w:eastAsia="宋体"/>
      <w:kern w:val="2"/>
      <w:sz w:val="24"/>
      <w:szCs w:val="24"/>
      <w:lang w:val="en-US" w:eastAsia="zh-CN" w:bidi="ar-SA"/>
    </w:rPr>
  </w:style>
  <w:style w:type="paragraph" w:customStyle="1" w:styleId="1042">
    <w:name w:val="图名1"/>
    <w:basedOn w:val="322"/>
    <w:link w:val="1043"/>
    <w:qFormat/>
    <w:uiPriority w:val="0"/>
    <w:pPr>
      <w:spacing w:after="50" w:line="300" w:lineRule="auto"/>
    </w:pPr>
    <w:rPr>
      <w:rFonts w:ascii="Calibri" w:hAnsi="Calibri"/>
    </w:rPr>
  </w:style>
  <w:style w:type="character" w:customStyle="1" w:styleId="1043">
    <w:name w:val="图名1 Char"/>
    <w:link w:val="1042"/>
    <w:qFormat/>
    <w:uiPriority w:val="0"/>
    <w:rPr>
      <w:rFonts w:ascii="Calibri" w:hAnsi="Calibri" w:eastAsia="黑体"/>
      <w:b/>
      <w:szCs w:val="24"/>
    </w:rPr>
  </w:style>
  <w:style w:type="paragraph" w:customStyle="1" w:styleId="1044">
    <w:name w:val="我的图表标题"/>
    <w:basedOn w:val="3"/>
    <w:link w:val="1045"/>
    <w:qFormat/>
    <w:uiPriority w:val="0"/>
    <w:pPr>
      <w:ind w:firstLine="0" w:firstLineChars="0"/>
      <w:jc w:val="center"/>
    </w:pPr>
    <w:rPr>
      <w:rFonts w:ascii="宋体" w:eastAsia="宋体" w:cs="宋体"/>
      <w:b/>
      <w:bCs/>
      <w:color w:val="000000"/>
      <w:sz w:val="24"/>
      <w:szCs w:val="21"/>
    </w:rPr>
  </w:style>
  <w:style w:type="character" w:customStyle="1" w:styleId="1045">
    <w:name w:val="我的图表标题 Char"/>
    <w:link w:val="1044"/>
    <w:qFormat/>
    <w:uiPriority w:val="0"/>
    <w:rPr>
      <w:rFonts w:ascii="宋体" w:hAnsi="Times New Roman" w:eastAsia="宋体" w:cs="宋体"/>
      <w:b/>
      <w:bCs/>
      <w:color w:val="000000"/>
      <w:sz w:val="24"/>
      <w:szCs w:val="21"/>
    </w:rPr>
  </w:style>
  <w:style w:type="paragraph" w:customStyle="1" w:styleId="1046">
    <w:name w:val="自动A"/>
    <w:basedOn w:val="273"/>
    <w:link w:val="1047"/>
    <w:qFormat/>
    <w:uiPriority w:val="0"/>
    <w:pPr>
      <w:keepNext w:val="0"/>
      <w:keepLines w:val="0"/>
      <w:spacing w:beforeLines="50" w:afterLines="50" w:line="360" w:lineRule="auto"/>
      <w:ind w:firstLine="200" w:firstLineChars="200"/>
      <w:outlineLvl w:val="9"/>
    </w:pPr>
    <w:rPr>
      <w:rFonts w:eastAsia="宋体"/>
      <w:color w:val="000000"/>
    </w:rPr>
  </w:style>
  <w:style w:type="character" w:customStyle="1" w:styleId="1047">
    <w:name w:val="自动A Char"/>
    <w:link w:val="1046"/>
    <w:qFormat/>
    <w:uiPriority w:val="0"/>
    <w:rPr>
      <w:rFonts w:eastAsia="宋体"/>
      <w:color w:val="000000"/>
      <w:sz w:val="24"/>
      <w:szCs w:val="24"/>
    </w:rPr>
  </w:style>
  <w:style w:type="paragraph" w:customStyle="1" w:styleId="1048">
    <w:name w:val="表格内文字"/>
    <w:basedOn w:val="1"/>
    <w:link w:val="1049"/>
    <w:qFormat/>
    <w:uiPriority w:val="0"/>
    <w:pPr>
      <w:tabs>
        <w:tab w:val="left" w:pos="-145"/>
      </w:tabs>
      <w:adjustRightInd w:val="0"/>
      <w:snapToGrid w:val="0"/>
      <w:spacing w:line="240" w:lineRule="auto"/>
      <w:jc w:val="center"/>
    </w:pPr>
    <w:rPr>
      <w:rFonts w:ascii="Times New Roman" w:hAnsi="Times New Roman" w:eastAsia="宋体" w:cs="Times New Roman"/>
      <w:snapToGrid w:val="0"/>
      <w:lang w:val="de-DE" w:eastAsia="de-DE"/>
    </w:rPr>
  </w:style>
  <w:style w:type="character" w:customStyle="1" w:styleId="1049">
    <w:name w:val="表格内文字 Char"/>
    <w:link w:val="1048"/>
    <w:qFormat/>
    <w:uiPriority w:val="0"/>
    <w:rPr>
      <w:rFonts w:ascii="Times New Roman" w:hAnsi="Times New Roman" w:eastAsia="宋体" w:cs="Times New Roman"/>
      <w:snapToGrid w:val="0"/>
      <w:szCs w:val="21"/>
      <w:lang w:val="de-DE" w:eastAsia="de-DE"/>
    </w:rPr>
  </w:style>
  <w:style w:type="paragraph" w:customStyle="1" w:styleId="1050">
    <w:name w:val="WPS Plain"/>
    <w:qFormat/>
    <w:uiPriority w:val="0"/>
    <w:rPr>
      <w:rFonts w:ascii="Times New Roman" w:hAnsi="Times New Roman" w:eastAsia="宋体" w:cs="Times New Roman"/>
      <w:lang w:val="en-US" w:eastAsia="zh-CN" w:bidi="ar-SA"/>
    </w:rPr>
  </w:style>
  <w:style w:type="paragraph" w:customStyle="1" w:styleId="1051">
    <w:name w:val="偶的正文"/>
    <w:basedOn w:val="90"/>
    <w:link w:val="1052"/>
    <w:qFormat/>
    <w:uiPriority w:val="0"/>
    <w:pPr>
      <w:tabs>
        <w:tab w:val="left" w:pos="6300"/>
      </w:tabs>
      <w:spacing w:beforeLines="50" w:afterLines="50" w:line="460" w:lineRule="exact"/>
      <w:ind w:firstLine="200" w:firstLineChars="200"/>
    </w:pPr>
    <w:rPr>
      <w:color w:val="FF0000"/>
      <w:sz w:val="24"/>
      <w:szCs w:val="21"/>
    </w:rPr>
  </w:style>
  <w:style w:type="character" w:customStyle="1" w:styleId="1052">
    <w:name w:val="偶的正文 Char Char"/>
    <w:link w:val="1051"/>
    <w:qFormat/>
    <w:uiPriority w:val="0"/>
    <w:rPr>
      <w:rFonts w:ascii="Times New Roman" w:hAnsi="Times New Roman" w:eastAsia="宋体" w:cs="Times New Roman"/>
      <w:color w:val="FF0000"/>
      <w:sz w:val="24"/>
      <w:szCs w:val="21"/>
    </w:rPr>
  </w:style>
  <w:style w:type="paragraph" w:customStyle="1" w:styleId="1053">
    <w:name w:val="无间隔2"/>
    <w:link w:val="1054"/>
    <w:qFormat/>
    <w:uiPriority w:val="0"/>
    <w:rPr>
      <w:rFonts w:ascii="Calibri" w:hAnsi="Calibri" w:eastAsia="宋体" w:cs="Times New Roman"/>
      <w:sz w:val="22"/>
      <w:lang w:val="en-US" w:eastAsia="zh-CN" w:bidi="ar-SA"/>
    </w:rPr>
  </w:style>
  <w:style w:type="character" w:customStyle="1" w:styleId="1054">
    <w:name w:val="No Spacing Char"/>
    <w:link w:val="1053"/>
    <w:qFormat/>
    <w:uiPriority w:val="0"/>
    <w:rPr>
      <w:rFonts w:ascii="Calibri" w:hAnsi="Calibri" w:eastAsia="宋体" w:cs="Times New Roman"/>
      <w:kern w:val="0"/>
      <w:sz w:val="22"/>
      <w:szCs w:val="20"/>
    </w:rPr>
  </w:style>
  <w:style w:type="character" w:customStyle="1" w:styleId="1055">
    <w:name w:val="正文文本 (17)11"/>
    <w:qFormat/>
    <w:uiPriority w:val="0"/>
    <w:rPr>
      <w:rFonts w:ascii="MingLiU" w:eastAsia="MingLiU"/>
      <w:kern w:val="2"/>
      <w:sz w:val="24"/>
      <w:szCs w:val="24"/>
      <w:lang w:val="en-US" w:eastAsia="zh-CN" w:bidi="ar-SA"/>
    </w:rPr>
  </w:style>
  <w:style w:type="character" w:customStyle="1" w:styleId="1056">
    <w:name w:val="正文（首行缩进两字）1 Char"/>
    <w:qFormat/>
    <w:uiPriority w:val="0"/>
    <w:rPr>
      <w:rFonts w:ascii="仿宋_GB2312" w:hAnsi="仿宋_GB2312" w:eastAsia="宋体"/>
      <w:kern w:val="2"/>
      <w:sz w:val="28"/>
      <w:szCs w:val="21"/>
      <w:lang w:val="en-US" w:eastAsia="zh-CN" w:bidi="ar-SA"/>
    </w:rPr>
  </w:style>
  <w:style w:type="character" w:customStyle="1" w:styleId="1057">
    <w:name w:val="目录 + 间距 0 pt1"/>
    <w:qFormat/>
    <w:uiPriority w:val="0"/>
    <w:rPr>
      <w:rFonts w:ascii="MingLiU" w:hAnsi="宋体" w:eastAsia="MingLiU" w:cs="MingLiU"/>
      <w:spacing w:val="-10"/>
      <w:kern w:val="2"/>
      <w:sz w:val="26"/>
      <w:szCs w:val="26"/>
      <w:u w:val="none"/>
      <w:lang w:val="en-US" w:eastAsia="zh-CN" w:bidi="ar-SA"/>
    </w:rPr>
  </w:style>
  <w:style w:type="character" w:customStyle="1" w:styleId="1058">
    <w:name w:val="正文文本 (2) + 10 pt20"/>
    <w:qFormat/>
    <w:uiPriority w:val="0"/>
    <w:rPr>
      <w:rFonts w:ascii="MingLiU" w:eastAsia="MingLiU"/>
      <w:kern w:val="2"/>
      <w:sz w:val="20"/>
      <w:szCs w:val="20"/>
      <w:lang w:val="en-US" w:eastAsia="zh-CN" w:bidi="ar-SA"/>
    </w:rPr>
  </w:style>
  <w:style w:type="character" w:customStyle="1" w:styleId="1059">
    <w:name w:val="正文文本 (2) + Constantia27"/>
    <w:qFormat/>
    <w:uiPriority w:val="0"/>
    <w:rPr>
      <w:rFonts w:ascii="Constantia" w:hAnsi="Constantia" w:eastAsia="MingLiU" w:cs="Constantia"/>
      <w:kern w:val="2"/>
      <w:sz w:val="20"/>
      <w:szCs w:val="20"/>
      <w:u w:val="none"/>
      <w:lang w:val="en-US" w:eastAsia="en-US" w:bidi="ar-SA"/>
    </w:rPr>
  </w:style>
  <w:style w:type="paragraph" w:customStyle="1" w:styleId="1060">
    <w:name w:val="Char Char Char1 Char Char Char Char"/>
    <w:basedOn w:val="1"/>
    <w:qFormat/>
    <w:uiPriority w:val="0"/>
    <w:pPr>
      <w:ind w:firstLine="200" w:firstLineChars="200"/>
    </w:pPr>
    <w:rPr>
      <w:rFonts w:ascii="Times New Roman" w:hAnsi="Times New Roman" w:eastAsia="宋体" w:cs="Times New Roman"/>
      <w:szCs w:val="20"/>
    </w:rPr>
  </w:style>
  <w:style w:type="character" w:customStyle="1" w:styleId="1061">
    <w:name w:val="标题 #5 (4)_"/>
    <w:link w:val="1062"/>
    <w:qFormat/>
    <w:uiPriority w:val="0"/>
    <w:rPr>
      <w:rFonts w:ascii="MingLiU" w:eastAsia="MingLiU"/>
      <w:sz w:val="28"/>
      <w:szCs w:val="28"/>
      <w:shd w:val="clear" w:color="auto" w:fill="FFFFFF"/>
    </w:rPr>
  </w:style>
  <w:style w:type="paragraph" w:customStyle="1" w:styleId="1062">
    <w:name w:val="标题 #5 (4)1"/>
    <w:basedOn w:val="1"/>
    <w:link w:val="1061"/>
    <w:qFormat/>
    <w:uiPriority w:val="0"/>
    <w:pPr>
      <w:shd w:val="clear" w:color="auto" w:fill="FFFFFF"/>
      <w:spacing w:before="840" w:line="562" w:lineRule="exact"/>
      <w:jc w:val="left"/>
      <w:outlineLvl w:val="4"/>
    </w:pPr>
    <w:rPr>
      <w:rFonts w:ascii="MingLiU" w:eastAsia="MingLiU"/>
      <w:sz w:val="28"/>
      <w:szCs w:val="28"/>
    </w:rPr>
  </w:style>
  <w:style w:type="character" w:customStyle="1" w:styleId="1063">
    <w:name w:val="正文文本 (2) + 10 pt21"/>
    <w:qFormat/>
    <w:uiPriority w:val="0"/>
    <w:rPr>
      <w:rFonts w:ascii="MingLiU" w:eastAsia="MingLiU" w:cs="MingLiU"/>
      <w:kern w:val="2"/>
      <w:sz w:val="20"/>
      <w:szCs w:val="20"/>
      <w:u w:val="none"/>
      <w:lang w:val="en-US" w:eastAsia="zh-CN" w:bidi="ar-SA"/>
    </w:rPr>
  </w:style>
  <w:style w:type="character" w:customStyle="1" w:styleId="1064">
    <w:name w:val="正文文本 (2) + Constantia"/>
    <w:qFormat/>
    <w:uiPriority w:val="0"/>
    <w:rPr>
      <w:rFonts w:ascii="Constantia" w:hAnsi="Constantia" w:eastAsia="MingLiU" w:cs="Constantia"/>
      <w:kern w:val="2"/>
      <w:sz w:val="20"/>
      <w:szCs w:val="20"/>
      <w:u w:val="none"/>
      <w:lang w:val="en-US" w:eastAsia="en-US" w:bidi="ar-SA"/>
    </w:rPr>
  </w:style>
  <w:style w:type="character" w:customStyle="1" w:styleId="1065">
    <w:name w:val="正文文本 (2) + 10 pt19"/>
    <w:qFormat/>
    <w:uiPriority w:val="0"/>
    <w:rPr>
      <w:rFonts w:ascii="MingLiU" w:eastAsia="MingLiU" w:cs="MingLiU"/>
      <w:kern w:val="2"/>
      <w:sz w:val="20"/>
      <w:szCs w:val="20"/>
      <w:u w:val="none"/>
      <w:lang w:val="en-US" w:eastAsia="zh-CN" w:bidi="ar-SA"/>
    </w:rPr>
  </w:style>
  <w:style w:type="character" w:customStyle="1" w:styleId="1066">
    <w:name w:val="正文文本 (2) + 10 pt16"/>
    <w:qFormat/>
    <w:uiPriority w:val="0"/>
    <w:rPr>
      <w:rFonts w:ascii="MingLiU" w:eastAsia="MingLiU" w:cs="MingLiU"/>
      <w:kern w:val="2"/>
      <w:sz w:val="20"/>
      <w:szCs w:val="20"/>
      <w:u w:val="none"/>
      <w:lang w:val="en-US" w:eastAsia="zh-CN" w:bidi="ar-SA"/>
    </w:rPr>
  </w:style>
  <w:style w:type="character" w:customStyle="1" w:styleId="1067">
    <w:name w:val="正文文本 (2) + Constantia26"/>
    <w:qFormat/>
    <w:uiPriority w:val="0"/>
    <w:rPr>
      <w:rFonts w:ascii="Constantia" w:hAnsi="Constantia" w:eastAsia="MingLiU" w:cs="Constantia"/>
      <w:kern w:val="2"/>
      <w:sz w:val="20"/>
      <w:szCs w:val="20"/>
      <w:u w:val="none"/>
      <w:lang w:val="en-US" w:eastAsia="en-US" w:bidi="ar-SA"/>
    </w:rPr>
  </w:style>
  <w:style w:type="character" w:customStyle="1" w:styleId="1068">
    <w:name w:val="正文文本 (2) + 10 pt15"/>
    <w:qFormat/>
    <w:uiPriority w:val="0"/>
    <w:rPr>
      <w:rFonts w:ascii="MingLiU" w:eastAsia="MingLiU" w:cs="MingLiU"/>
      <w:spacing w:val="-10"/>
      <w:kern w:val="2"/>
      <w:sz w:val="20"/>
      <w:szCs w:val="20"/>
      <w:u w:val="none"/>
      <w:lang w:val="en-US" w:eastAsia="en-US" w:bidi="ar-SA"/>
    </w:rPr>
  </w:style>
  <w:style w:type="character" w:customStyle="1" w:styleId="1069">
    <w:name w:val="正文文本 (2) + 10 pt17"/>
    <w:qFormat/>
    <w:uiPriority w:val="0"/>
    <w:rPr>
      <w:rFonts w:ascii="MingLiU" w:eastAsia="MingLiU" w:cs="MingLiU"/>
      <w:kern w:val="2"/>
      <w:sz w:val="20"/>
      <w:szCs w:val="20"/>
      <w:u w:val="none"/>
      <w:lang w:val="en-US" w:eastAsia="zh-CN" w:bidi="ar-SA"/>
    </w:rPr>
  </w:style>
  <w:style w:type="character" w:customStyle="1" w:styleId="1070">
    <w:name w:val="正文文本 (2) + Constantia25"/>
    <w:qFormat/>
    <w:uiPriority w:val="0"/>
    <w:rPr>
      <w:rFonts w:ascii="Constantia" w:hAnsi="Constantia" w:eastAsia="MingLiU" w:cs="Constantia"/>
      <w:i/>
      <w:iCs/>
      <w:kern w:val="2"/>
      <w:sz w:val="21"/>
      <w:szCs w:val="21"/>
      <w:u w:val="none"/>
      <w:lang w:val="en-US" w:eastAsia="en-US" w:bidi="ar-SA"/>
    </w:rPr>
  </w:style>
  <w:style w:type="paragraph" w:customStyle="1" w:styleId="1071">
    <w:name w:val="xl93"/>
    <w:basedOn w:val="1"/>
    <w:qFormat/>
    <w:uiPriority w:val="0"/>
    <w:pPr>
      <w:widowControl/>
      <w:pBdr>
        <w:left w:val="single" w:color="auto" w:sz="4" w:space="0"/>
        <w:bottom w:val="single" w:color="auto" w:sz="4" w:space="0"/>
        <w:right w:val="single" w:color="auto" w:sz="4" w:space="0"/>
      </w:pBdr>
      <w:spacing w:before="100" w:beforeAutospacing="1" w:after="100" w:afterAutospacing="1"/>
      <w:ind w:left="6" w:firstLine="560" w:firstLineChars="200"/>
      <w:jc w:val="center"/>
      <w:textAlignment w:val="center"/>
    </w:pPr>
    <w:rPr>
      <w:rFonts w:ascii="宋体" w:hAnsi="宋体" w:eastAsia="仿宋_GB2312" w:cs="宋体"/>
      <w:color w:val="000000"/>
      <w:kern w:val="0"/>
      <w:sz w:val="24"/>
      <w:szCs w:val="24"/>
    </w:rPr>
  </w:style>
  <w:style w:type="character" w:customStyle="1" w:styleId="1072">
    <w:name w:val="Char Char Char Char Char Char11"/>
    <w:qFormat/>
    <w:uiPriority w:val="0"/>
    <w:rPr>
      <w:rFonts w:ascii="Times New Roman" w:hAnsi="Times New Roman" w:eastAsia="宋体" w:cs="Times New Roman"/>
      <w:b/>
      <w:bCs/>
      <w:sz w:val="32"/>
      <w:szCs w:val="32"/>
    </w:rPr>
  </w:style>
  <w:style w:type="character" w:customStyle="1" w:styleId="1073">
    <w:name w:val="款标题1.1.1.1 Char1"/>
    <w:qFormat/>
    <w:uiPriority w:val="0"/>
    <w:rPr>
      <w:rFonts w:eastAsia="宋体"/>
      <w:kern w:val="2"/>
      <w:sz w:val="24"/>
      <w:szCs w:val="24"/>
      <w:lang w:val="en-US" w:eastAsia="zh-CN" w:bidi="ar-SA"/>
    </w:rPr>
  </w:style>
  <w:style w:type="character" w:customStyle="1" w:styleId="1074">
    <w:name w:val="表格正文 Char Char Char"/>
    <w:qFormat/>
    <w:uiPriority w:val="0"/>
    <w:rPr>
      <w:rFonts w:ascii="宋体" w:eastAsia="宋体" w:cs="宋体"/>
      <w:kern w:val="2"/>
      <w:sz w:val="21"/>
      <w:lang w:val="en-US" w:eastAsia="zh-CN"/>
    </w:rPr>
  </w:style>
  <w:style w:type="character" w:customStyle="1" w:styleId="1075">
    <w:name w:val="正文首行缩进 Char Char"/>
    <w:qFormat/>
    <w:uiPriority w:val="0"/>
    <w:rPr>
      <w:rFonts w:eastAsia="黑体"/>
      <w:b/>
      <w:color w:val="008000"/>
      <w:kern w:val="2"/>
      <w:sz w:val="24"/>
      <w:szCs w:val="24"/>
      <w:lang w:val="en-US" w:eastAsia="zh-CN" w:bidi="ar-SA"/>
    </w:rPr>
  </w:style>
  <w:style w:type="character" w:customStyle="1" w:styleId="1076">
    <w:name w:val="纯文本 Char Char"/>
    <w:qFormat/>
    <w:uiPriority w:val="0"/>
    <w:rPr>
      <w:rFonts w:ascii="宋体" w:hAnsi="Courier New" w:eastAsia="宋体" w:cs="Courier New"/>
      <w:szCs w:val="21"/>
    </w:rPr>
  </w:style>
  <w:style w:type="character" w:customStyle="1" w:styleId="1077">
    <w:name w:val="表名 Char Char Char"/>
    <w:qFormat/>
    <w:uiPriority w:val="0"/>
    <w:rPr>
      <w:rFonts w:eastAsia="黑体"/>
      <w:kern w:val="2"/>
      <w:sz w:val="28"/>
      <w:lang w:val="en-US" w:eastAsia="zh-CN"/>
    </w:rPr>
  </w:style>
  <w:style w:type="character" w:customStyle="1" w:styleId="1078">
    <w:name w:val="正文缩进 Char Char"/>
    <w:link w:val="1079"/>
    <w:qFormat/>
    <w:uiPriority w:val="0"/>
    <w:rPr>
      <w:rFonts w:ascii="Calibri" w:hAnsi="Calibri"/>
    </w:rPr>
  </w:style>
  <w:style w:type="paragraph" w:customStyle="1" w:styleId="1079">
    <w:name w:val="正文缩进2"/>
    <w:basedOn w:val="1"/>
    <w:link w:val="1078"/>
    <w:qFormat/>
    <w:uiPriority w:val="0"/>
    <w:pPr>
      <w:ind w:firstLine="420"/>
      <w:jc w:val="left"/>
    </w:pPr>
    <w:rPr>
      <w:rFonts w:ascii="Calibri" w:hAnsi="Calibri"/>
    </w:rPr>
  </w:style>
  <w:style w:type="character" w:customStyle="1" w:styleId="1080">
    <w:name w:val="常用小四 Char Char"/>
    <w:link w:val="1081"/>
    <w:qFormat/>
    <w:uiPriority w:val="0"/>
    <w:rPr>
      <w:rFonts w:ascii="宋体" w:hAnsi="宋体"/>
      <w:sz w:val="24"/>
    </w:rPr>
  </w:style>
  <w:style w:type="paragraph" w:customStyle="1" w:styleId="1081">
    <w:name w:val="常用小四"/>
    <w:basedOn w:val="1"/>
    <w:link w:val="1080"/>
    <w:qFormat/>
    <w:uiPriority w:val="0"/>
    <w:pPr>
      <w:widowControl/>
      <w:spacing w:line="460" w:lineRule="exact"/>
      <w:ind w:firstLine="200" w:firstLineChars="200"/>
      <w:jc w:val="left"/>
    </w:pPr>
    <w:rPr>
      <w:rFonts w:ascii="宋体" w:hAnsi="宋体"/>
      <w:sz w:val="24"/>
    </w:rPr>
  </w:style>
  <w:style w:type="paragraph" w:customStyle="1" w:styleId="1082">
    <w:name w:val="Char1 Char Char Char Char Char Char Char Char Char Char Char Char"/>
    <w:basedOn w:val="1"/>
    <w:qFormat/>
    <w:uiPriority w:val="0"/>
    <w:pPr>
      <w:ind w:firstLine="200" w:firstLineChars="200"/>
      <w:jc w:val="left"/>
    </w:pPr>
    <w:rPr>
      <w:rFonts w:ascii="宋体" w:hAnsi="宋体" w:eastAsia="宋体" w:cs="宋体"/>
      <w:sz w:val="24"/>
      <w:szCs w:val="24"/>
    </w:rPr>
  </w:style>
  <w:style w:type="paragraph" w:customStyle="1" w:styleId="1083">
    <w:name w:val="纯文本3"/>
    <w:basedOn w:val="1"/>
    <w:qFormat/>
    <w:uiPriority w:val="0"/>
    <w:pPr>
      <w:jc w:val="left"/>
    </w:pPr>
    <w:rPr>
      <w:rFonts w:ascii="宋体" w:hAnsi="Plotter" w:eastAsia="宋体" w:cs="Times New Roman"/>
      <w:sz w:val="24"/>
      <w:szCs w:val="20"/>
    </w:rPr>
  </w:style>
  <w:style w:type="paragraph" w:customStyle="1" w:styleId="1084">
    <w:name w:val="文本正文 + 红色"/>
    <w:basedOn w:val="1"/>
    <w:qFormat/>
    <w:uiPriority w:val="0"/>
    <w:pPr>
      <w:ind w:firstLine="480" w:firstLineChars="200"/>
      <w:jc w:val="left"/>
    </w:pPr>
    <w:rPr>
      <w:rFonts w:ascii="Times New Roman" w:hAnsi="Times New Roman" w:eastAsia="宋体" w:cs="Times New Roman"/>
      <w:bCs/>
      <w:color w:val="FF0000"/>
      <w:sz w:val="24"/>
      <w:szCs w:val="24"/>
    </w:rPr>
  </w:style>
  <w:style w:type="paragraph" w:customStyle="1" w:styleId="1085">
    <w:name w:val="样式 四号"/>
    <w:basedOn w:val="1"/>
    <w:qFormat/>
    <w:uiPriority w:val="0"/>
    <w:pPr>
      <w:ind w:firstLine="560" w:firstLineChars="200"/>
      <w:jc w:val="left"/>
    </w:pPr>
    <w:rPr>
      <w:rFonts w:ascii="宋体" w:hAnsi="Times New Roman" w:eastAsia="宋体" w:cs="Times New Roman"/>
      <w:sz w:val="28"/>
      <w:szCs w:val="28"/>
    </w:rPr>
  </w:style>
  <w:style w:type="character" w:customStyle="1" w:styleId="1086">
    <w:name w:val="正文2 Char Char"/>
    <w:link w:val="1087"/>
    <w:qFormat/>
    <w:uiPriority w:val="0"/>
    <w:rPr>
      <w:rFonts w:eastAsia="宋体"/>
      <w:sz w:val="24"/>
      <w:szCs w:val="24"/>
    </w:rPr>
  </w:style>
  <w:style w:type="paragraph" w:customStyle="1" w:styleId="1087">
    <w:name w:val="正文2"/>
    <w:basedOn w:val="1"/>
    <w:link w:val="1086"/>
    <w:qFormat/>
    <w:uiPriority w:val="0"/>
    <w:pPr>
      <w:ind w:firstLine="200" w:firstLineChars="200"/>
      <w:jc w:val="left"/>
    </w:pPr>
    <w:rPr>
      <w:rFonts w:eastAsia="宋体"/>
      <w:sz w:val="24"/>
      <w:szCs w:val="24"/>
    </w:rPr>
  </w:style>
  <w:style w:type="paragraph" w:customStyle="1" w:styleId="1088">
    <w:name w:val="报告书的正文格式"/>
    <w:basedOn w:val="90"/>
    <w:qFormat/>
    <w:uiPriority w:val="0"/>
    <w:pPr>
      <w:spacing w:after="0" w:line="480" w:lineRule="exact"/>
      <w:ind w:firstLine="200" w:firstLineChars="200"/>
      <w:jc w:val="left"/>
    </w:pPr>
    <w:rPr>
      <w:kern w:val="0"/>
      <w:sz w:val="24"/>
    </w:rPr>
  </w:style>
  <w:style w:type="paragraph" w:customStyle="1" w:styleId="1089">
    <w:name w:val="表格后空行"/>
    <w:basedOn w:val="1"/>
    <w:qFormat/>
    <w:uiPriority w:val="0"/>
    <w:pPr>
      <w:jc w:val="left"/>
    </w:pPr>
    <w:rPr>
      <w:rFonts w:ascii="Times New Roman" w:hAnsi="Times New Roman" w:eastAsia="宋体" w:cs="Times New Roman"/>
      <w:sz w:val="24"/>
      <w:szCs w:val="24"/>
    </w:rPr>
  </w:style>
  <w:style w:type="character" w:customStyle="1" w:styleId="1090">
    <w:name w:val="常用小四 Char"/>
    <w:qFormat/>
    <w:uiPriority w:val="0"/>
    <w:rPr>
      <w:rFonts w:ascii="宋体" w:hAnsi="宋体" w:eastAsia="宋体"/>
      <w:sz w:val="24"/>
      <w:lang w:val="en-US" w:eastAsia="zh-CN" w:bidi="ar-SA"/>
    </w:rPr>
  </w:style>
  <w:style w:type="character" w:customStyle="1" w:styleId="1091">
    <w:name w:val="yxNone"/>
    <w:qFormat/>
    <w:uiPriority w:val="0"/>
    <w:rPr>
      <w:rFonts w:eastAsia="黑体"/>
      <w:b/>
      <w:color w:val="008000"/>
      <w:kern w:val="2"/>
      <w:sz w:val="24"/>
      <w:szCs w:val="24"/>
      <w:lang w:val="en-US" w:eastAsia="zh-CN" w:bidi="ar-SA"/>
    </w:rPr>
  </w:style>
  <w:style w:type="character" w:customStyle="1" w:styleId="1092">
    <w:name w:val="yxExternal"/>
    <w:qFormat/>
    <w:uiPriority w:val="0"/>
    <w:rPr>
      <w:rFonts w:ascii="Courier New" w:hAnsi="Courier New"/>
      <w:color w:val="808080"/>
    </w:rPr>
  </w:style>
  <w:style w:type="character" w:customStyle="1" w:styleId="1093">
    <w:name w:val="yxPopup"/>
    <w:qFormat/>
    <w:uiPriority w:val="0"/>
    <w:rPr>
      <w:rFonts w:ascii="Courier New" w:hAnsi="Courier New"/>
      <w:color w:val="008000"/>
    </w:rPr>
  </w:style>
  <w:style w:type="character" w:customStyle="1" w:styleId="1094">
    <w:name w:val="yxJump"/>
    <w:qFormat/>
    <w:uiPriority w:val="0"/>
    <w:rPr>
      <w:rFonts w:ascii="Courier New" w:hAnsi="Courier New"/>
      <w:color w:val="008080"/>
    </w:rPr>
  </w:style>
  <w:style w:type="character" w:customStyle="1" w:styleId="1095">
    <w:name w:val="yxInternal"/>
    <w:qFormat/>
    <w:uiPriority w:val="0"/>
    <w:rPr>
      <w:rFonts w:ascii="Courier New" w:hAnsi="Courier New"/>
      <w:color w:val="FF0000"/>
    </w:rPr>
  </w:style>
  <w:style w:type="character" w:customStyle="1" w:styleId="1096">
    <w:name w:val="yxMark"/>
    <w:qFormat/>
    <w:uiPriority w:val="0"/>
    <w:rPr>
      <w:rFonts w:ascii="Courier New" w:hAnsi="Courier New"/>
      <w:vanish/>
      <w:color w:val="800000"/>
      <w:vertAlign w:val="subscript"/>
    </w:rPr>
  </w:style>
  <w:style w:type="paragraph" w:customStyle="1" w:styleId="1097">
    <w:name w:val="样式 行距: 固定值 20 磅"/>
    <w:basedOn w:val="1"/>
    <w:qFormat/>
    <w:uiPriority w:val="0"/>
    <w:pPr>
      <w:spacing w:beforeLines="100" w:afterLines="100" w:line="400" w:lineRule="exact"/>
      <w:jc w:val="left"/>
    </w:pPr>
    <w:rPr>
      <w:rFonts w:ascii="Times New Roman" w:hAnsi="Times New Roman" w:eastAsia="宋体" w:cs="宋体"/>
      <w:sz w:val="24"/>
      <w:szCs w:val="20"/>
    </w:rPr>
  </w:style>
  <w:style w:type="paragraph" w:customStyle="1" w:styleId="1098">
    <w:name w:val="样式 样式2 + 段前: 1 行 段后: 1 行"/>
    <w:basedOn w:val="249"/>
    <w:qFormat/>
    <w:uiPriority w:val="0"/>
    <w:pPr>
      <w:tabs>
        <w:tab w:val="clear" w:pos="1134"/>
      </w:tabs>
      <w:spacing w:beforeLines="100" w:afterLines="100" w:line="400" w:lineRule="exact"/>
      <w:ind w:left="0" w:firstLine="0"/>
      <w:jc w:val="center"/>
      <w:outlineLvl w:val="1"/>
    </w:pPr>
    <w:rPr>
      <w:rFonts w:ascii="宋体" w:hAnsi="宋体" w:cs="宋体"/>
      <w:b/>
      <w:bCs/>
      <w:kern w:val="0"/>
      <w:sz w:val="28"/>
      <w:szCs w:val="20"/>
    </w:rPr>
  </w:style>
  <w:style w:type="character" w:customStyle="1" w:styleId="1099">
    <w:name w:val="表文 Char"/>
    <w:qFormat/>
    <w:uiPriority w:val="0"/>
    <w:rPr>
      <w:rFonts w:eastAsia="宋体"/>
      <w:kern w:val="2"/>
      <w:sz w:val="24"/>
      <w:lang w:val="en-US" w:eastAsia="zh-CN" w:bidi="ar-SA"/>
    </w:rPr>
  </w:style>
  <w:style w:type="character" w:customStyle="1" w:styleId="1100">
    <w:name w:val="正文2 Char"/>
    <w:qFormat/>
    <w:uiPriority w:val="0"/>
    <w:rPr>
      <w:rFonts w:eastAsia="宋体"/>
      <w:kern w:val="2"/>
      <w:sz w:val="24"/>
      <w:szCs w:val="24"/>
      <w:lang w:val="en-US" w:eastAsia="zh-CN" w:bidi="ar-SA"/>
    </w:rPr>
  </w:style>
  <w:style w:type="paragraph" w:customStyle="1" w:styleId="1101">
    <w:name w:val="宋标一"/>
    <w:basedOn w:val="1"/>
    <w:qFormat/>
    <w:uiPriority w:val="0"/>
    <w:pPr>
      <w:spacing w:beforeLines="50"/>
      <w:ind w:firstLine="200" w:firstLineChars="200"/>
      <w:jc w:val="left"/>
    </w:pPr>
    <w:rPr>
      <w:rFonts w:ascii="Times New Roman" w:hAnsi="Times New Roman" w:eastAsia="宋体" w:cs="Times New Roman"/>
      <w:sz w:val="24"/>
      <w:szCs w:val="24"/>
    </w:rPr>
  </w:style>
  <w:style w:type="paragraph" w:customStyle="1" w:styleId="1102">
    <w:name w:val="样式 标题 1 + 行距: 1.5 倍行距"/>
    <w:basedOn w:val="6"/>
    <w:qFormat/>
    <w:uiPriority w:val="0"/>
    <w:pPr>
      <w:numPr>
        <w:numId w:val="0"/>
      </w:numPr>
      <w:adjustRightInd w:val="0"/>
      <w:spacing w:before="0" w:after="0" w:line="360" w:lineRule="auto"/>
      <w:jc w:val="left"/>
      <w:textAlignment w:val="baseline"/>
    </w:pPr>
    <w:rPr>
      <w:rFonts w:eastAsia="黑体" w:cs="宋体"/>
      <w:sz w:val="24"/>
      <w:szCs w:val="20"/>
    </w:rPr>
  </w:style>
  <w:style w:type="character" w:customStyle="1" w:styleId="1103">
    <w:name w:val="表格正文 Char"/>
    <w:qFormat/>
    <w:uiPriority w:val="0"/>
    <w:rPr>
      <w:rFonts w:eastAsia="宋体"/>
      <w:sz w:val="24"/>
      <w:lang w:val="en-US" w:eastAsia="zh-CN" w:bidi="ar-SA"/>
    </w:rPr>
  </w:style>
  <w:style w:type="paragraph" w:customStyle="1" w:styleId="1104">
    <w:name w:val="表格题目"/>
    <w:basedOn w:val="1"/>
    <w:next w:val="1"/>
    <w:qFormat/>
    <w:uiPriority w:val="0"/>
    <w:pPr>
      <w:adjustRightInd w:val="0"/>
      <w:spacing w:beforeLines="50"/>
      <w:jc w:val="center"/>
      <w:textAlignment w:val="baseline"/>
    </w:pPr>
    <w:rPr>
      <w:rFonts w:ascii="Times New Roman" w:hAnsi="Times New Roman" w:eastAsia="宋体" w:cs="Times New Roman"/>
      <w:bCs/>
      <w:sz w:val="24"/>
      <w:szCs w:val="24"/>
    </w:rPr>
  </w:style>
  <w:style w:type="paragraph" w:customStyle="1" w:styleId="1105">
    <w:name w:val="新标题1"/>
    <w:qFormat/>
    <w:uiPriority w:val="0"/>
    <w:pPr>
      <w:pageBreakBefore/>
      <w:widowControl w:val="0"/>
      <w:spacing w:line="360" w:lineRule="auto"/>
      <w:jc w:val="both"/>
      <w:outlineLvl w:val="0"/>
    </w:pPr>
    <w:rPr>
      <w:rFonts w:ascii="Times New Roman" w:hAnsi="Times New Roman" w:eastAsia="宋体" w:cs="Times New Roman"/>
      <w:b/>
      <w:kern w:val="2"/>
      <w:sz w:val="28"/>
      <w:szCs w:val="28"/>
      <w:lang w:val="en-US" w:eastAsia="zh-CN" w:bidi="ar-SA"/>
    </w:rPr>
  </w:style>
  <w:style w:type="paragraph" w:customStyle="1" w:styleId="1106">
    <w:name w:val="新标题2"/>
    <w:link w:val="1107"/>
    <w:qFormat/>
    <w:uiPriority w:val="0"/>
    <w:pPr>
      <w:widowControl w:val="0"/>
      <w:spacing w:line="360" w:lineRule="auto"/>
      <w:ind w:firstLine="480" w:firstLineChars="200"/>
      <w:jc w:val="both"/>
      <w:outlineLvl w:val="1"/>
    </w:pPr>
    <w:rPr>
      <w:rFonts w:ascii="Times New Roman" w:hAnsi="宋体" w:eastAsia="宋体" w:cs="Times New Roman"/>
      <w:color w:val="000000"/>
      <w:kern w:val="2"/>
      <w:sz w:val="24"/>
      <w:szCs w:val="24"/>
      <w:lang w:val="en-US" w:eastAsia="zh-CN" w:bidi="ar-SA"/>
    </w:rPr>
  </w:style>
  <w:style w:type="character" w:customStyle="1" w:styleId="1107">
    <w:name w:val="新标题2 Char"/>
    <w:link w:val="1106"/>
    <w:qFormat/>
    <w:uiPriority w:val="0"/>
    <w:rPr>
      <w:rFonts w:ascii="Times New Roman" w:hAnsi="宋体" w:eastAsia="宋体" w:cs="Times New Roman"/>
      <w:color w:val="000000"/>
      <w:sz w:val="24"/>
      <w:szCs w:val="24"/>
    </w:rPr>
  </w:style>
  <w:style w:type="character" w:customStyle="1" w:styleId="1108">
    <w:name w:val="正文文字2 Char"/>
    <w:qFormat/>
    <w:uiPriority w:val="0"/>
    <w:rPr>
      <w:rFonts w:eastAsia="宋体"/>
      <w:color w:val="000000"/>
      <w:sz w:val="24"/>
      <w:lang w:val="en-US" w:eastAsia="zh-CN" w:bidi="ar-SA"/>
    </w:rPr>
  </w:style>
  <w:style w:type="paragraph" w:customStyle="1" w:styleId="1109">
    <w:name w:val="小黑标"/>
    <w:basedOn w:val="1"/>
    <w:qFormat/>
    <w:uiPriority w:val="0"/>
    <w:pPr>
      <w:spacing w:before="50"/>
      <w:jc w:val="left"/>
    </w:pPr>
    <w:rPr>
      <w:rFonts w:ascii="黑体" w:hAnsi="Times New Roman" w:eastAsia="黑体" w:cs="Times New Roman"/>
      <w:b/>
      <w:sz w:val="24"/>
      <w:szCs w:val="20"/>
    </w:rPr>
  </w:style>
  <w:style w:type="paragraph" w:customStyle="1" w:styleId="1110">
    <w:name w:val="样式 标题 2 + 黑体 小四"/>
    <w:link w:val="1111"/>
    <w:qFormat/>
    <w:uiPriority w:val="0"/>
    <w:rPr>
      <w:rFonts w:ascii="黑体" w:hAnsi="黑体" w:eastAsia="黑体" w:cs="Times New Roman"/>
      <w:b/>
      <w:bCs/>
      <w:kern w:val="2"/>
      <w:sz w:val="24"/>
      <w:szCs w:val="32"/>
      <w:lang w:val="en-US" w:eastAsia="zh-CN" w:bidi="ar-SA"/>
    </w:rPr>
  </w:style>
  <w:style w:type="character" w:customStyle="1" w:styleId="1111">
    <w:name w:val="样式 标题 2 + 黑体 小四 Char"/>
    <w:link w:val="1110"/>
    <w:qFormat/>
    <w:uiPriority w:val="0"/>
    <w:rPr>
      <w:rFonts w:ascii="黑体" w:hAnsi="黑体" w:eastAsia="黑体" w:cs="Times New Roman"/>
      <w:b/>
      <w:bCs/>
      <w:sz w:val="24"/>
      <w:szCs w:val="32"/>
    </w:rPr>
  </w:style>
  <w:style w:type="character" w:customStyle="1" w:styleId="1112">
    <w:name w:val="表头 Char Char"/>
    <w:qFormat/>
    <w:uiPriority w:val="0"/>
    <w:rPr>
      <w:rFonts w:ascii="宋体" w:hAnsi="宋体" w:eastAsia="宋体" w:cs="宋体"/>
      <w:kern w:val="2"/>
      <w:sz w:val="21"/>
      <w:szCs w:val="24"/>
      <w:lang w:val="en-US" w:eastAsia="zh-CN" w:bidi="ar-SA"/>
    </w:rPr>
  </w:style>
  <w:style w:type="paragraph" w:customStyle="1" w:styleId="1113">
    <w:name w:val="三号开篇"/>
    <w:basedOn w:val="1"/>
    <w:qFormat/>
    <w:uiPriority w:val="0"/>
    <w:pPr>
      <w:spacing w:line="480" w:lineRule="auto"/>
      <w:ind w:firstLine="200" w:firstLineChars="200"/>
      <w:jc w:val="left"/>
    </w:pPr>
    <w:rPr>
      <w:rFonts w:ascii="Times New Roman" w:hAnsi="Times New Roman" w:eastAsia="宋体" w:cs="Times New Roman"/>
      <w:sz w:val="32"/>
      <w:szCs w:val="24"/>
    </w:rPr>
  </w:style>
  <w:style w:type="character" w:customStyle="1" w:styleId="1114">
    <w:name w:val="style9"/>
    <w:qFormat/>
    <w:uiPriority w:val="0"/>
    <w:rPr>
      <w:rFonts w:eastAsia="黑体"/>
      <w:b/>
      <w:color w:val="008000"/>
      <w:kern w:val="2"/>
      <w:sz w:val="24"/>
      <w:szCs w:val="24"/>
      <w:lang w:val="en-US" w:eastAsia="zh-CN" w:bidi="ar-SA"/>
    </w:rPr>
  </w:style>
  <w:style w:type="character" w:customStyle="1" w:styleId="1115">
    <w:name w:val="访问过的超链接1"/>
    <w:qFormat/>
    <w:uiPriority w:val="0"/>
    <w:rPr>
      <w:color w:val="800080"/>
      <w:u w:val="single"/>
    </w:rPr>
  </w:style>
  <w:style w:type="paragraph" w:customStyle="1" w:styleId="1116">
    <w:name w:val="Char1 Char"/>
    <w:basedOn w:val="1"/>
    <w:qFormat/>
    <w:uiPriority w:val="0"/>
    <w:pPr>
      <w:ind w:firstLine="200" w:firstLineChars="200"/>
      <w:jc w:val="left"/>
    </w:pPr>
    <w:rPr>
      <w:rFonts w:ascii="宋体" w:hAnsi="宋体" w:eastAsia="宋体" w:cs="宋体"/>
      <w:sz w:val="24"/>
      <w:szCs w:val="24"/>
    </w:rPr>
  </w:style>
  <w:style w:type="character" w:customStyle="1" w:styleId="1117">
    <w:name w:val="ziti21"/>
    <w:qFormat/>
    <w:uiPriority w:val="0"/>
    <w:rPr>
      <w:color w:val="000000"/>
      <w:sz w:val="18"/>
      <w:szCs w:val="18"/>
    </w:rPr>
  </w:style>
  <w:style w:type="paragraph" w:customStyle="1" w:styleId="1118">
    <w:name w:val="Char1 Char Char Char Char Char Char Char Char Char"/>
    <w:basedOn w:val="1"/>
    <w:qFormat/>
    <w:uiPriority w:val="0"/>
    <w:pPr>
      <w:jc w:val="left"/>
    </w:pPr>
    <w:rPr>
      <w:rFonts w:ascii="宋体" w:hAnsi="宋体" w:eastAsia="华文仿宋" w:cs="宋体"/>
      <w:sz w:val="24"/>
      <w:szCs w:val="24"/>
    </w:rPr>
  </w:style>
  <w:style w:type="paragraph" w:customStyle="1" w:styleId="1119">
    <w:name w:val="样式 仿宋_GB2312 四号 左 行距: 1.5 倍行距"/>
    <w:basedOn w:val="1"/>
    <w:qFormat/>
    <w:uiPriority w:val="0"/>
    <w:pPr>
      <w:ind w:firstLine="200" w:firstLineChars="200"/>
      <w:jc w:val="left"/>
    </w:pPr>
    <w:rPr>
      <w:rFonts w:ascii="仿宋_GB2312" w:hAnsi="Times New Roman" w:eastAsia="宋体" w:cs="Times New Roman"/>
      <w:sz w:val="24"/>
      <w:szCs w:val="20"/>
    </w:rPr>
  </w:style>
  <w:style w:type="paragraph" w:customStyle="1" w:styleId="1120">
    <w:name w:val="默认段落字体 Para Char Char Char Char Char"/>
    <w:basedOn w:val="1"/>
    <w:qFormat/>
    <w:uiPriority w:val="0"/>
    <w:pPr>
      <w:jc w:val="left"/>
    </w:pPr>
    <w:rPr>
      <w:rFonts w:ascii="Times New Roman" w:hAnsi="Times New Roman" w:eastAsia="宋体" w:cs="Times New Roman"/>
      <w:sz w:val="28"/>
      <w:szCs w:val="20"/>
    </w:rPr>
  </w:style>
  <w:style w:type="paragraph" w:customStyle="1" w:styleId="1121">
    <w:name w:val="Char Char Char1 Char Char Char Char Char Char Char Char Char Char Char Char Char Char Char Char Char Char Char Char Char Char Char Char Char Char Char Char Char Char Char Char Char Char"/>
    <w:basedOn w:val="1"/>
    <w:qFormat/>
    <w:uiPriority w:val="0"/>
    <w:pPr>
      <w:ind w:firstLine="200" w:firstLineChars="200"/>
      <w:jc w:val="left"/>
    </w:pPr>
    <w:rPr>
      <w:rFonts w:ascii="宋体" w:hAnsi="宋体" w:eastAsia="宋体" w:cs="宋体"/>
      <w:sz w:val="24"/>
      <w:szCs w:val="24"/>
    </w:rPr>
  </w:style>
  <w:style w:type="paragraph" w:customStyle="1" w:styleId="1122">
    <w:name w:val="Char Char Char Char Char Char6"/>
    <w:basedOn w:val="1"/>
    <w:qFormat/>
    <w:uiPriority w:val="0"/>
    <w:pPr>
      <w:jc w:val="left"/>
    </w:pPr>
    <w:rPr>
      <w:rFonts w:ascii="Times New Roman" w:hAnsi="Times New Roman" w:eastAsia="宋体" w:cs="Times New Roman"/>
      <w:sz w:val="24"/>
      <w:szCs w:val="24"/>
    </w:rPr>
  </w:style>
  <w:style w:type="paragraph" w:customStyle="1" w:styleId="1123">
    <w:name w:val="样式1-1"/>
    <w:basedOn w:val="1"/>
    <w:qFormat/>
    <w:uiPriority w:val="0"/>
    <w:pPr>
      <w:tabs>
        <w:tab w:val="center" w:pos="4153"/>
        <w:tab w:val="right" w:pos="8306"/>
      </w:tabs>
      <w:adjustRightInd w:val="0"/>
      <w:spacing w:beforeLines="10" w:afterLines="10" w:line="460" w:lineRule="exact"/>
      <w:jc w:val="left"/>
      <w:textAlignment w:val="baseline"/>
      <w:outlineLvl w:val="1"/>
    </w:pPr>
    <w:rPr>
      <w:rFonts w:ascii="Times New Roman" w:hAnsi="Times New Roman" w:eastAsia="黑体" w:cs="Times New Roman"/>
      <w:b/>
      <w:sz w:val="24"/>
      <w:szCs w:val="20"/>
    </w:rPr>
  </w:style>
  <w:style w:type="character" w:customStyle="1" w:styleId="1124">
    <w:name w:val="新标题2 Char Char"/>
    <w:qFormat/>
    <w:uiPriority w:val="0"/>
    <w:rPr>
      <w:rFonts w:hAnsi="宋体" w:eastAsia="宋体"/>
      <w:color w:val="000000"/>
      <w:kern w:val="2"/>
      <w:sz w:val="24"/>
      <w:szCs w:val="24"/>
      <w:lang w:val="en-US" w:eastAsia="zh-CN" w:bidi="ar-SA"/>
    </w:rPr>
  </w:style>
  <w:style w:type="character" w:customStyle="1" w:styleId="1125">
    <w:name w:val="样式 标题 2 + 黑体 小四 Char Char"/>
    <w:qFormat/>
    <w:uiPriority w:val="0"/>
    <w:rPr>
      <w:rFonts w:ascii="黑体" w:hAnsi="黑体" w:eastAsia="黑体"/>
      <w:b/>
      <w:bCs/>
      <w:kern w:val="2"/>
      <w:sz w:val="24"/>
      <w:szCs w:val="32"/>
      <w:lang w:val="en-US" w:eastAsia="zh-CN" w:bidi="ar-SA"/>
    </w:rPr>
  </w:style>
  <w:style w:type="paragraph" w:customStyle="1" w:styleId="1126">
    <w:name w:val="Char Char Char Char Char Char Char Char Char Char Char Char Char"/>
    <w:basedOn w:val="1"/>
    <w:qFormat/>
    <w:uiPriority w:val="0"/>
    <w:pPr>
      <w:jc w:val="left"/>
    </w:pPr>
    <w:rPr>
      <w:rFonts w:ascii="Times New Roman" w:hAnsi="Times New Roman" w:eastAsia="宋体" w:cs="Times New Roman"/>
      <w:sz w:val="24"/>
      <w:szCs w:val="24"/>
    </w:rPr>
  </w:style>
  <w:style w:type="character" w:customStyle="1" w:styleId="1127">
    <w:name w:val="B表格文字 Char Char"/>
    <w:link w:val="1128"/>
    <w:qFormat/>
    <w:uiPriority w:val="0"/>
    <w:rPr>
      <w:rFonts w:eastAsia="Times New Roman"/>
      <w:szCs w:val="24"/>
    </w:rPr>
  </w:style>
  <w:style w:type="paragraph" w:customStyle="1" w:styleId="1128">
    <w:name w:val="B表格文字"/>
    <w:link w:val="1127"/>
    <w:qFormat/>
    <w:uiPriority w:val="0"/>
    <w:pPr>
      <w:adjustRightInd w:val="0"/>
      <w:snapToGrid w:val="0"/>
      <w:jc w:val="center"/>
    </w:pPr>
    <w:rPr>
      <w:rFonts w:eastAsia="Times New Roman" w:asciiTheme="minorHAnsi" w:hAnsiTheme="minorHAnsi" w:cstheme="minorBidi"/>
      <w:kern w:val="2"/>
      <w:sz w:val="21"/>
      <w:szCs w:val="24"/>
      <w:lang w:val="en-US" w:eastAsia="zh-CN" w:bidi="ar-SA"/>
    </w:rPr>
  </w:style>
  <w:style w:type="character" w:customStyle="1" w:styleId="1129">
    <w:name w:val="B表头 Char Char"/>
    <w:link w:val="1130"/>
    <w:qFormat/>
    <w:uiPriority w:val="0"/>
    <w:rPr>
      <w:rFonts w:eastAsia="Times New Roman"/>
      <w:b/>
      <w:sz w:val="24"/>
      <w:szCs w:val="24"/>
    </w:rPr>
  </w:style>
  <w:style w:type="paragraph" w:customStyle="1" w:styleId="1130">
    <w:name w:val="B表头"/>
    <w:link w:val="1129"/>
    <w:qFormat/>
    <w:uiPriority w:val="0"/>
    <w:pPr>
      <w:jc w:val="center"/>
    </w:pPr>
    <w:rPr>
      <w:rFonts w:eastAsia="Times New Roman" w:asciiTheme="minorHAnsi" w:hAnsiTheme="minorHAnsi" w:cstheme="minorBidi"/>
      <w:b/>
      <w:kern w:val="2"/>
      <w:sz w:val="24"/>
      <w:szCs w:val="24"/>
      <w:lang w:val="en-US" w:eastAsia="zh-CN" w:bidi="ar-SA"/>
    </w:rPr>
  </w:style>
  <w:style w:type="paragraph" w:customStyle="1" w:styleId="1131">
    <w:name w:val="我的表格文字"/>
    <w:basedOn w:val="1"/>
    <w:qFormat/>
    <w:uiPriority w:val="0"/>
    <w:pPr>
      <w:jc w:val="center"/>
    </w:pPr>
    <w:rPr>
      <w:rFonts w:ascii="Times New Roman" w:hAnsi="Times New Roman" w:eastAsia="宋体" w:cs="Times New Roman"/>
      <w:sz w:val="24"/>
    </w:rPr>
  </w:style>
  <w:style w:type="paragraph" w:customStyle="1" w:styleId="1132">
    <w:name w:val="表格 文字"/>
    <w:basedOn w:val="1"/>
    <w:qFormat/>
    <w:uiPriority w:val="0"/>
    <w:pPr>
      <w:jc w:val="center"/>
    </w:pPr>
    <w:rPr>
      <w:rFonts w:ascii="宋体" w:hAnsi="宋体" w:eastAsia="宋体" w:cs="Times New Roman"/>
      <w:iCs/>
      <w:sz w:val="24"/>
      <w:szCs w:val="24"/>
    </w:rPr>
  </w:style>
  <w:style w:type="character" w:customStyle="1" w:styleId="1133">
    <w:name w:val="text_edit editable-title"/>
    <w:qFormat/>
    <w:uiPriority w:val="0"/>
    <w:rPr>
      <w:rFonts w:eastAsia="黑体"/>
      <w:b/>
      <w:color w:val="008000"/>
      <w:kern w:val="2"/>
      <w:sz w:val="24"/>
      <w:szCs w:val="24"/>
      <w:lang w:val="en-US" w:eastAsia="zh-CN" w:bidi="ar-SA"/>
    </w:rPr>
  </w:style>
  <w:style w:type="character" w:customStyle="1" w:styleId="1134">
    <w:name w:val="headline-content3"/>
    <w:qFormat/>
    <w:uiPriority w:val="0"/>
    <w:rPr>
      <w:rFonts w:eastAsia="黑体"/>
      <w:b/>
      <w:color w:val="008000"/>
      <w:kern w:val="2"/>
      <w:sz w:val="24"/>
      <w:szCs w:val="24"/>
      <w:lang w:val="en-US" w:eastAsia="zh-CN" w:bidi="ar-SA"/>
    </w:rPr>
  </w:style>
  <w:style w:type="character" w:customStyle="1" w:styleId="1135">
    <w:name w:val="ourfont21"/>
    <w:qFormat/>
    <w:uiPriority w:val="0"/>
    <w:rPr>
      <w:spacing w:val="220"/>
      <w:sz w:val="18"/>
      <w:szCs w:val="18"/>
    </w:rPr>
  </w:style>
  <w:style w:type="paragraph" w:customStyle="1" w:styleId="1136">
    <w:name w:val="样式 表文居中 +"/>
    <w:basedOn w:val="1"/>
    <w:qFormat/>
    <w:uiPriority w:val="0"/>
    <w:pPr>
      <w:autoSpaceDE w:val="0"/>
      <w:autoSpaceDN w:val="0"/>
      <w:adjustRightInd w:val="0"/>
      <w:snapToGrid w:val="0"/>
      <w:spacing w:line="240" w:lineRule="atLeast"/>
      <w:jc w:val="center"/>
      <w:textAlignment w:val="baseline"/>
    </w:pPr>
    <w:rPr>
      <w:rFonts w:ascii="Times New Roman" w:hAnsi="Times New Roman" w:eastAsia="宋体" w:cs="宋体"/>
      <w:sz w:val="18"/>
      <w:szCs w:val="18"/>
    </w:rPr>
  </w:style>
  <w:style w:type="paragraph" w:customStyle="1" w:styleId="1137">
    <w:name w:val="样式 标题 4Heading 4aBODY TextBasic BulletChapter Body TextH4H..."/>
    <w:basedOn w:val="9"/>
    <w:qFormat/>
    <w:uiPriority w:val="0"/>
    <w:pPr>
      <w:numPr>
        <w:ilvl w:val="0"/>
        <w:numId w:val="0"/>
      </w:numPr>
      <w:spacing w:before="0" w:after="0" w:line="360" w:lineRule="auto"/>
    </w:pPr>
    <w:rPr>
      <w:rFonts w:ascii="Arial" w:hAnsi="Arial" w:eastAsia="宋体" w:cs="宋体"/>
      <w:b w:val="0"/>
      <w:szCs w:val="20"/>
    </w:rPr>
  </w:style>
  <w:style w:type="paragraph" w:customStyle="1" w:styleId="1138">
    <w:name w:val="a"/>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139">
    <w:name w:val="font01"/>
    <w:qFormat/>
    <w:uiPriority w:val="0"/>
    <w:rPr>
      <w:rFonts w:hint="eastAsia" w:ascii="宋体" w:hAnsi="宋体" w:eastAsia="宋体"/>
      <w:color w:val="000000"/>
      <w:sz w:val="24"/>
      <w:szCs w:val="24"/>
      <w:u w:val="none"/>
    </w:rPr>
  </w:style>
  <w:style w:type="character" w:customStyle="1" w:styleId="1140">
    <w:name w:val="font61"/>
    <w:qFormat/>
    <w:uiPriority w:val="0"/>
    <w:rPr>
      <w:rFonts w:hint="default" w:ascii="Times New Roman" w:hAnsi="Times New Roman" w:cs="Times New Roman"/>
      <w:i/>
      <w:iCs/>
      <w:color w:val="000000"/>
      <w:sz w:val="24"/>
      <w:szCs w:val="24"/>
      <w:u w:val="none"/>
    </w:rPr>
  </w:style>
  <w:style w:type="character" w:customStyle="1" w:styleId="1141">
    <w:name w:val="font41"/>
    <w:qFormat/>
    <w:uiPriority w:val="0"/>
    <w:rPr>
      <w:rFonts w:hint="eastAsia" w:ascii="宋体" w:hAnsi="宋体" w:eastAsia="宋体"/>
      <w:color w:val="000000"/>
      <w:sz w:val="21"/>
      <w:szCs w:val="21"/>
      <w:u w:val="none"/>
    </w:rPr>
  </w:style>
  <w:style w:type="character" w:customStyle="1" w:styleId="1142">
    <w:name w:val="font91"/>
    <w:qFormat/>
    <w:uiPriority w:val="0"/>
    <w:rPr>
      <w:rFonts w:hint="default" w:ascii="Times New Roman" w:hAnsi="Times New Roman" w:cs="Times New Roman"/>
      <w:color w:val="000000"/>
      <w:sz w:val="21"/>
      <w:szCs w:val="21"/>
      <w:u w:val="none"/>
    </w:rPr>
  </w:style>
  <w:style w:type="paragraph" w:customStyle="1" w:styleId="1143">
    <w:name w:val="xl77"/>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rFonts w:ascii="宋体" w:hAnsi="宋体" w:eastAsia="宋体" w:cs="宋体"/>
      <w:color w:val="000000"/>
      <w:kern w:val="0"/>
      <w:sz w:val="18"/>
      <w:szCs w:val="18"/>
    </w:rPr>
  </w:style>
  <w:style w:type="paragraph" w:customStyle="1" w:styleId="1144">
    <w:name w:val="xl78"/>
    <w:basedOn w:val="1"/>
    <w:qFormat/>
    <w:uiPriority w:val="0"/>
    <w:pPr>
      <w:widowControl/>
      <w:spacing w:before="100" w:beforeAutospacing="1" w:after="100" w:afterAutospacing="1"/>
      <w:jc w:val="left"/>
      <w:textAlignment w:val="center"/>
    </w:pPr>
    <w:rPr>
      <w:rFonts w:ascii="Times New Roman" w:hAnsi="Times New Roman" w:eastAsia="宋体" w:cs="Times New Roman"/>
      <w:kern w:val="0"/>
      <w:sz w:val="24"/>
    </w:rPr>
  </w:style>
  <w:style w:type="character" w:customStyle="1" w:styleId="1145">
    <w:name w:val="正文文本缩进 Char1"/>
    <w:semiHidden/>
    <w:qFormat/>
    <w:uiPriority w:val="0"/>
    <w:rPr>
      <w:kern w:val="2"/>
      <w:sz w:val="21"/>
      <w:szCs w:val="24"/>
    </w:rPr>
  </w:style>
  <w:style w:type="character" w:customStyle="1" w:styleId="1146">
    <w:name w:val="正文文字缩进 2 Char Char"/>
    <w:qFormat/>
    <w:uiPriority w:val="0"/>
    <w:rPr>
      <w:kern w:val="2"/>
      <w:sz w:val="21"/>
      <w:szCs w:val="24"/>
    </w:rPr>
  </w:style>
  <w:style w:type="character" w:customStyle="1" w:styleId="1147">
    <w:name w:val="正文文字缩进 3 Char Char"/>
    <w:qFormat/>
    <w:uiPriority w:val="0"/>
    <w:rPr>
      <w:kern w:val="2"/>
      <w:sz w:val="16"/>
      <w:szCs w:val="16"/>
    </w:rPr>
  </w:style>
  <w:style w:type="character" w:customStyle="1" w:styleId="1148">
    <w:name w:val="标题 Char1"/>
    <w:qFormat/>
    <w:uiPriority w:val="0"/>
    <w:rPr>
      <w:rFonts w:hint="default" w:ascii="Cambria" w:hAnsi="Cambria" w:cs="Times New Roman"/>
      <w:b/>
      <w:bCs/>
      <w:kern w:val="2"/>
      <w:sz w:val="32"/>
      <w:szCs w:val="32"/>
    </w:rPr>
  </w:style>
  <w:style w:type="paragraph" w:customStyle="1" w:styleId="1149">
    <w:name w:val="无间隔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150">
    <w:name w:val="占位符文本1"/>
    <w:qFormat/>
    <w:uiPriority w:val="0"/>
    <w:rPr>
      <w:rFonts w:eastAsia="黑体"/>
      <w:b/>
      <w:color w:val="808080"/>
      <w:kern w:val="2"/>
      <w:sz w:val="21"/>
      <w:szCs w:val="22"/>
      <w:lang w:val="en-US" w:eastAsia="zh-CN" w:bidi="ar-SA"/>
    </w:rPr>
  </w:style>
  <w:style w:type="table" w:customStyle="1" w:styleId="1151">
    <w:name w:val="浅色底纹1"/>
    <w:basedOn w:val="91"/>
    <w:qFormat/>
    <w:uiPriority w:val="0"/>
    <w:rPr>
      <w:rFonts w:ascii="Calibri" w:hAnsi="Calibri" w:eastAsia="宋体" w:cs="Times New Roman"/>
      <w:color w:val="000000"/>
    </w:rPr>
    <w:tblPr>
      <w:tblBorders>
        <w:top w:val="single" w:color="000000" w:sz="8" w:space="0"/>
        <w:bottom w:val="single" w:color="000000" w:sz="8" w:space="0"/>
      </w:tblBorders>
      <w:tblCellMar>
        <w:top w:w="0" w:type="dxa"/>
        <w:left w:w="108" w:type="dxa"/>
        <w:bottom w:w="0" w:type="dxa"/>
        <w:right w:w="108" w:type="dxa"/>
      </w:tblCellMar>
    </w:tblPr>
    <w:tblStylePr w:type="firstRow">
      <w:pPr>
        <w:spacing w:before="0" w:after="0"/>
      </w:pPr>
      <w:tcPr>
        <w:tcBorders>
          <w:top w:val="single" w:color="000000" w:sz="8" w:space="0"/>
          <w:left w:val="nil"/>
          <w:bottom w:val="single" w:color="000000" w:sz="8" w:space="0"/>
          <w:right w:val="nil"/>
          <w:insideH w:val="nil"/>
          <w:insideV w:val="nil"/>
        </w:tcBorders>
      </w:tcPr>
    </w:tblStylePr>
    <w:tblStylePr w:type="lastRow">
      <w:pPr>
        <w:spacing w:before="0" w:after="0"/>
      </w:pPr>
      <w:tcPr>
        <w:tcBorders>
          <w:top w:val="single" w:color="000000" w:sz="8" w:space="0"/>
          <w:left w:val="nil"/>
          <w:bottom w:val="single" w:color="000000" w:sz="8" w:space="0"/>
          <w:right w:val="nil"/>
          <w:insideH w:val="nil"/>
          <w:insideV w:val="nil"/>
        </w:tcBorders>
      </w:tc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character" w:customStyle="1" w:styleId="1152">
    <w:name w:val="Plain Text Char1"/>
    <w:qFormat/>
    <w:uiPriority w:val="0"/>
    <w:rPr>
      <w:rFonts w:ascii="宋体" w:hAnsi="Courier New" w:cs="Courier New"/>
      <w:kern w:val="2"/>
      <w:sz w:val="21"/>
      <w:szCs w:val="21"/>
      <w:lang w:val="en-US" w:eastAsia="zh-CN" w:bidi="ar-SA"/>
    </w:rPr>
  </w:style>
  <w:style w:type="character" w:customStyle="1" w:styleId="1153">
    <w:name w:val="Body Text First Indent Char1"/>
    <w:qFormat/>
    <w:uiPriority w:val="0"/>
    <w:rPr>
      <w:rFonts w:ascii="Calibri" w:hAnsi="Calibri" w:eastAsia="宋体" w:cs="Times New Roman"/>
      <w:kern w:val="2"/>
      <w:sz w:val="24"/>
      <w:szCs w:val="24"/>
      <w:lang w:val="en-US" w:eastAsia="zh-CN" w:bidi="ar-SA"/>
    </w:rPr>
  </w:style>
  <w:style w:type="character" w:customStyle="1" w:styleId="1154">
    <w:name w:val="Body Text Indent Char1"/>
    <w:qFormat/>
    <w:uiPriority w:val="0"/>
    <w:rPr>
      <w:kern w:val="2"/>
      <w:sz w:val="24"/>
      <w:szCs w:val="24"/>
      <w:lang w:val="en-US" w:eastAsia="zh-CN" w:bidi="ar-SA"/>
    </w:rPr>
  </w:style>
  <w:style w:type="character" w:customStyle="1" w:styleId="1155">
    <w:name w:val="Body Text Indent 3 Char1"/>
    <w:qFormat/>
    <w:uiPriority w:val="0"/>
    <w:rPr>
      <w:kern w:val="2"/>
      <w:sz w:val="16"/>
      <w:szCs w:val="16"/>
      <w:lang w:val="en-US" w:eastAsia="zh-CN" w:bidi="ar-SA"/>
    </w:rPr>
  </w:style>
  <w:style w:type="character" w:customStyle="1" w:styleId="1156">
    <w:name w:val="Body Text First Indent 2 Char1"/>
    <w:qFormat/>
    <w:uiPriority w:val="0"/>
    <w:rPr>
      <w:kern w:val="2"/>
      <w:sz w:val="24"/>
      <w:szCs w:val="24"/>
      <w:lang w:val="en-US" w:eastAsia="zh-CN" w:bidi="ar-SA"/>
    </w:rPr>
  </w:style>
  <w:style w:type="character" w:customStyle="1" w:styleId="1157">
    <w:name w:val="Date Char1"/>
    <w:qFormat/>
    <w:uiPriority w:val="0"/>
    <w:rPr>
      <w:kern w:val="2"/>
      <w:sz w:val="24"/>
      <w:szCs w:val="24"/>
      <w:lang w:val="en-US" w:eastAsia="zh-CN" w:bidi="ar-SA"/>
    </w:rPr>
  </w:style>
  <w:style w:type="character" w:customStyle="1" w:styleId="1158">
    <w:name w:val="Signature Char1"/>
    <w:qFormat/>
    <w:uiPriority w:val="0"/>
    <w:rPr>
      <w:kern w:val="2"/>
      <w:sz w:val="24"/>
      <w:szCs w:val="24"/>
      <w:lang w:val="en-US" w:eastAsia="zh-CN" w:bidi="ar-SA"/>
    </w:rPr>
  </w:style>
  <w:style w:type="character" w:customStyle="1" w:styleId="1159">
    <w:name w:val="Body Text Indent 2 Char1"/>
    <w:qFormat/>
    <w:uiPriority w:val="0"/>
    <w:rPr>
      <w:kern w:val="2"/>
      <w:sz w:val="24"/>
      <w:szCs w:val="24"/>
      <w:lang w:val="en-US" w:eastAsia="zh-CN" w:bidi="ar-SA"/>
    </w:rPr>
  </w:style>
  <w:style w:type="character" w:customStyle="1" w:styleId="1160">
    <w:name w:val="Endnote Text Char1"/>
    <w:qFormat/>
    <w:uiPriority w:val="0"/>
    <w:rPr>
      <w:kern w:val="2"/>
      <w:sz w:val="24"/>
      <w:szCs w:val="24"/>
      <w:lang w:val="en-US" w:eastAsia="zh-CN" w:bidi="ar-SA"/>
    </w:rPr>
  </w:style>
  <w:style w:type="character" w:customStyle="1" w:styleId="1161">
    <w:name w:val="Comment Subject Char1"/>
    <w:qFormat/>
    <w:uiPriority w:val="0"/>
    <w:rPr>
      <w:rFonts w:cs="Times New Roman"/>
      <w:b/>
      <w:bCs/>
      <w:kern w:val="2"/>
      <w:sz w:val="24"/>
      <w:szCs w:val="24"/>
      <w:lang w:val="en-US" w:eastAsia="zh-CN" w:bidi="ar-SA"/>
    </w:rPr>
  </w:style>
  <w:style w:type="character" w:customStyle="1" w:styleId="1162">
    <w:name w:val="Body Text 3 Char1"/>
    <w:qFormat/>
    <w:uiPriority w:val="0"/>
    <w:rPr>
      <w:kern w:val="2"/>
      <w:sz w:val="16"/>
      <w:szCs w:val="16"/>
      <w:lang w:val="en-US" w:eastAsia="zh-CN" w:bidi="ar-SA"/>
    </w:rPr>
  </w:style>
  <w:style w:type="paragraph" w:customStyle="1" w:styleId="1163">
    <w:name w:val="列出段落2"/>
    <w:basedOn w:val="1"/>
    <w:qFormat/>
    <w:uiPriority w:val="0"/>
    <w:pPr>
      <w:spacing w:line="240" w:lineRule="auto"/>
      <w:ind w:firstLine="420" w:firstLineChars="200"/>
    </w:pPr>
    <w:rPr>
      <w:rFonts w:ascii="Calibri" w:hAnsi="Calibri" w:eastAsia="宋体" w:cs="Times New Roman"/>
    </w:rPr>
  </w:style>
  <w:style w:type="paragraph" w:customStyle="1" w:styleId="1164">
    <w:name w:val="TOC 标题11"/>
    <w:basedOn w:val="6"/>
    <w:next w:val="1"/>
    <w:qFormat/>
    <w:uiPriority w:val="0"/>
    <w:pPr>
      <w:widowControl/>
      <w:numPr>
        <w:numId w:val="0"/>
      </w:numPr>
      <w:spacing w:before="480" w:after="0" w:line="276" w:lineRule="auto"/>
      <w:outlineLvl w:val="9"/>
    </w:pPr>
    <w:rPr>
      <w:rFonts w:ascii="Cambria" w:hAnsi="Cambria" w:eastAsia="宋体" w:cs="Times New Roman"/>
      <w:color w:val="365F91"/>
      <w:kern w:val="0"/>
      <w:sz w:val="28"/>
      <w:szCs w:val="28"/>
    </w:rPr>
  </w:style>
  <w:style w:type="paragraph" w:customStyle="1" w:styleId="1165">
    <w:name w:val="0"/>
    <w:basedOn w:val="1"/>
    <w:qFormat/>
    <w:uiPriority w:val="0"/>
    <w:pPr>
      <w:widowControl/>
      <w:snapToGrid w:val="0"/>
      <w:spacing w:line="240" w:lineRule="auto"/>
    </w:pPr>
    <w:rPr>
      <w:rFonts w:ascii="Times New Roman" w:hAnsi="Times New Roman" w:eastAsia="宋体" w:cs="Times New Roman"/>
      <w:kern w:val="0"/>
      <w:sz w:val="20"/>
      <w:szCs w:val="20"/>
    </w:rPr>
  </w:style>
  <w:style w:type="paragraph" w:customStyle="1" w:styleId="1166">
    <w:name w:val="Char Char3 Char Char"/>
    <w:basedOn w:val="1"/>
    <w:qFormat/>
    <w:uiPriority w:val="0"/>
    <w:pPr>
      <w:ind w:firstLine="480" w:firstLineChars="200"/>
    </w:pPr>
    <w:rPr>
      <w:rFonts w:ascii="Times New Roman" w:hAnsi="Times New Roman" w:eastAsia="宋体" w:cs="Times New Roman"/>
      <w:szCs w:val="24"/>
    </w:rPr>
  </w:style>
  <w:style w:type="character" w:customStyle="1" w:styleId="1167">
    <w:name w:val="不明显参考1"/>
    <w:qFormat/>
    <w:uiPriority w:val="0"/>
    <w:rPr>
      <w:smallCaps/>
      <w:color w:val="C0504D"/>
      <w:kern w:val="2"/>
      <w:sz w:val="21"/>
      <w:szCs w:val="22"/>
      <w:u w:val="single"/>
      <w:lang w:val="en-US" w:eastAsia="zh-CN" w:bidi="ar-SA"/>
    </w:rPr>
  </w:style>
  <w:style w:type="character" w:customStyle="1" w:styleId="1168">
    <w:name w:val="书籍标题1"/>
    <w:qFormat/>
    <w:uiPriority w:val="0"/>
    <w:rPr>
      <w:b/>
      <w:smallCaps/>
      <w:spacing w:val="5"/>
      <w:kern w:val="2"/>
      <w:sz w:val="21"/>
      <w:szCs w:val="22"/>
      <w:lang w:val="en-US" w:eastAsia="zh-CN" w:bidi="ar-SA"/>
    </w:rPr>
  </w:style>
  <w:style w:type="paragraph" w:customStyle="1" w:styleId="1169">
    <w:name w:val="默认段落字体 Para Char Char Char Char"/>
    <w:basedOn w:val="1"/>
    <w:qFormat/>
    <w:uiPriority w:val="0"/>
    <w:pPr>
      <w:spacing w:line="240" w:lineRule="auto"/>
    </w:pPr>
    <w:rPr>
      <w:rFonts w:ascii="Times New Roman" w:hAnsi="Times New Roman" w:eastAsia="宋体" w:cs="Times New Roman"/>
      <w:szCs w:val="24"/>
    </w:rPr>
  </w:style>
  <w:style w:type="paragraph" w:customStyle="1" w:styleId="1170">
    <w:name w:val="应填表格"/>
    <w:basedOn w:val="1"/>
    <w:qFormat/>
    <w:uiPriority w:val="0"/>
    <w:pPr>
      <w:adjustRightInd w:val="0"/>
      <w:spacing w:before="40" w:after="40" w:line="240" w:lineRule="auto"/>
      <w:jc w:val="left"/>
      <w:textAlignment w:val="baseline"/>
    </w:pPr>
    <w:rPr>
      <w:rFonts w:ascii="Times New Roman" w:hAnsi="Times New Roman" w:eastAsia="宋体" w:cs="Times New Roman"/>
      <w:kern w:val="0"/>
      <w:szCs w:val="20"/>
    </w:rPr>
  </w:style>
  <w:style w:type="character" w:customStyle="1" w:styleId="1171">
    <w:name w:val="书籍标题2"/>
    <w:qFormat/>
    <w:uiPriority w:val="0"/>
    <w:rPr>
      <w:b/>
      <w:bCs/>
      <w:smallCaps/>
      <w:spacing w:val="5"/>
      <w:kern w:val="2"/>
      <w:sz w:val="21"/>
      <w:szCs w:val="22"/>
      <w:lang w:val="en-US" w:eastAsia="zh-CN" w:bidi="ar-SA"/>
    </w:rPr>
  </w:style>
  <w:style w:type="paragraph" w:customStyle="1" w:styleId="1172">
    <w:name w:val="TOC 标题2"/>
    <w:basedOn w:val="6"/>
    <w:next w:val="1"/>
    <w:qFormat/>
    <w:uiPriority w:val="0"/>
    <w:pPr>
      <w:numPr>
        <w:numId w:val="0"/>
      </w:numPr>
      <w:jc w:val="both"/>
      <w:outlineLvl w:val="9"/>
    </w:pPr>
    <w:rPr>
      <w:rFonts w:eastAsia="宋体" w:cs="Wingdings"/>
      <w:kern w:val="2"/>
      <w:sz w:val="21"/>
      <w:szCs w:val="22"/>
    </w:rPr>
  </w:style>
  <w:style w:type="paragraph" w:customStyle="1" w:styleId="1173">
    <w:name w:val="Char2 Char Char Char Char Char Char1 Char Char Char Char Char Char11"/>
    <w:basedOn w:val="1"/>
    <w:qFormat/>
    <w:uiPriority w:val="0"/>
    <w:pPr>
      <w:ind w:firstLine="200" w:firstLineChars="200"/>
    </w:pPr>
    <w:rPr>
      <w:rFonts w:ascii="宋体" w:hAnsi="宋体" w:eastAsia="宋体" w:cs="宋体"/>
      <w:sz w:val="24"/>
      <w:szCs w:val="24"/>
    </w:rPr>
  </w:style>
  <w:style w:type="paragraph" w:customStyle="1" w:styleId="1174">
    <w:name w:val="Char Char Char11"/>
    <w:basedOn w:val="1"/>
    <w:qFormat/>
    <w:uiPriority w:val="0"/>
    <w:pPr>
      <w:ind w:firstLine="200" w:firstLineChars="200"/>
    </w:pPr>
    <w:rPr>
      <w:rFonts w:ascii="宋体" w:hAnsi="宋体" w:eastAsia="宋体" w:cs="Times New Roman"/>
      <w:sz w:val="24"/>
      <w:szCs w:val="20"/>
    </w:rPr>
  </w:style>
  <w:style w:type="character" w:customStyle="1" w:styleId="1175">
    <w:name w:val="cucd-3 Char"/>
    <w:link w:val="1176"/>
    <w:qFormat/>
    <w:uiPriority w:val="0"/>
    <w:rPr>
      <w:rFonts w:ascii="宋体" w:hAnsi="宋体"/>
      <w:b/>
      <w:color w:val="008000"/>
      <w:sz w:val="24"/>
      <w:szCs w:val="24"/>
    </w:rPr>
  </w:style>
  <w:style w:type="paragraph" w:customStyle="1" w:styleId="1176">
    <w:name w:val="cucd-3"/>
    <w:next w:val="1177"/>
    <w:link w:val="1175"/>
    <w:qFormat/>
    <w:uiPriority w:val="0"/>
    <w:pPr>
      <w:tabs>
        <w:tab w:val="left" w:pos="709"/>
      </w:tabs>
      <w:spacing w:line="360" w:lineRule="auto"/>
      <w:ind w:left="709" w:hanging="709"/>
      <w:outlineLvl w:val="2"/>
    </w:pPr>
    <w:rPr>
      <w:rFonts w:ascii="宋体" w:hAnsi="宋体" w:eastAsiaTheme="minorEastAsia" w:cstheme="minorBidi"/>
      <w:b/>
      <w:color w:val="008000"/>
      <w:kern w:val="2"/>
      <w:sz w:val="24"/>
      <w:szCs w:val="24"/>
      <w:lang w:val="en-US" w:eastAsia="zh-CN" w:bidi="ar-SA"/>
    </w:rPr>
  </w:style>
  <w:style w:type="paragraph" w:customStyle="1" w:styleId="1177">
    <w:name w:val="cucd-4"/>
    <w:next w:val="1178"/>
    <w:qFormat/>
    <w:uiPriority w:val="0"/>
    <w:pPr>
      <w:tabs>
        <w:tab w:val="left" w:pos="851"/>
      </w:tabs>
      <w:spacing w:line="360" w:lineRule="auto"/>
      <w:ind w:left="851" w:hanging="851"/>
      <w:outlineLvl w:val="3"/>
    </w:pPr>
    <w:rPr>
      <w:rFonts w:ascii="Times New Roman" w:hAnsi="Times New Roman" w:eastAsia="宋体" w:cs="Times New Roman"/>
      <w:b/>
      <w:kern w:val="2"/>
      <w:sz w:val="24"/>
      <w:lang w:val="en-US" w:eastAsia="zh-CN" w:bidi="ar-SA"/>
    </w:rPr>
  </w:style>
  <w:style w:type="paragraph" w:customStyle="1" w:styleId="1178">
    <w:name w:val="cucd-0"/>
    <w:link w:val="1179"/>
    <w:qFormat/>
    <w:uiPriority w:val="0"/>
    <w:pPr>
      <w:spacing w:line="360" w:lineRule="auto"/>
      <w:ind w:firstLine="480" w:firstLineChars="200"/>
    </w:pPr>
    <w:rPr>
      <w:rFonts w:ascii="Times New Roman" w:hAnsi="Times New Roman" w:eastAsia="宋体" w:cs="Times New Roman"/>
      <w:kern w:val="2"/>
      <w:sz w:val="24"/>
      <w:lang w:val="en-US" w:eastAsia="zh-CN" w:bidi="ar-SA"/>
    </w:rPr>
  </w:style>
  <w:style w:type="character" w:customStyle="1" w:styleId="1179">
    <w:name w:val="cucd-0 Char"/>
    <w:basedOn w:val="94"/>
    <w:link w:val="1178"/>
    <w:qFormat/>
    <w:uiPriority w:val="0"/>
    <w:rPr>
      <w:rFonts w:ascii="Times New Roman" w:hAnsi="Times New Roman" w:eastAsia="宋体" w:cs="Times New Roman"/>
      <w:sz w:val="24"/>
      <w:szCs w:val="20"/>
    </w:rPr>
  </w:style>
  <w:style w:type="character" w:customStyle="1" w:styleId="1180">
    <w:name w:val="章 Char2"/>
    <w:link w:val="1181"/>
    <w:qFormat/>
    <w:uiPriority w:val="0"/>
    <w:rPr>
      <w:rFonts w:ascii="黑体" w:hAnsi="黑体"/>
      <w:b/>
      <w:snapToGrid w:val="0"/>
      <w:color w:val="000000"/>
      <w:sz w:val="44"/>
      <w:szCs w:val="24"/>
    </w:rPr>
  </w:style>
  <w:style w:type="paragraph" w:customStyle="1" w:styleId="1181">
    <w:name w:val="标题 11"/>
    <w:next w:val="1"/>
    <w:link w:val="1180"/>
    <w:qFormat/>
    <w:uiPriority w:val="0"/>
    <w:pPr>
      <w:keepNext/>
      <w:keepLines/>
      <w:snapToGrid w:val="0"/>
      <w:spacing w:beforeLines="50" w:afterLines="50"/>
      <w:jc w:val="center"/>
      <w:outlineLvl w:val="0"/>
    </w:pPr>
    <w:rPr>
      <w:rFonts w:ascii="黑体" w:hAnsi="黑体" w:eastAsiaTheme="minorEastAsia" w:cstheme="minorBidi"/>
      <w:b/>
      <w:snapToGrid w:val="0"/>
      <w:color w:val="000000"/>
      <w:kern w:val="2"/>
      <w:sz w:val="44"/>
      <w:szCs w:val="24"/>
      <w:lang w:val="en-US" w:eastAsia="zh-CN" w:bidi="ar-SA"/>
    </w:rPr>
  </w:style>
  <w:style w:type="character" w:customStyle="1" w:styleId="1182">
    <w:name w:val="普通文字 Char3"/>
    <w:link w:val="1183"/>
    <w:qFormat/>
    <w:uiPriority w:val="0"/>
    <w:rPr>
      <w:rFonts w:ascii="宋体" w:hAnsi="宋体" w:eastAsia="宋体"/>
      <w:sz w:val="24"/>
      <w:szCs w:val="24"/>
    </w:rPr>
  </w:style>
  <w:style w:type="paragraph" w:customStyle="1" w:styleId="1183">
    <w:name w:val="纯文本4"/>
    <w:basedOn w:val="1"/>
    <w:link w:val="1182"/>
    <w:qFormat/>
    <w:uiPriority w:val="0"/>
    <w:pPr>
      <w:spacing w:line="240" w:lineRule="auto"/>
    </w:pPr>
    <w:rPr>
      <w:rFonts w:ascii="宋体" w:hAnsi="宋体" w:eastAsia="宋体"/>
      <w:sz w:val="24"/>
      <w:szCs w:val="24"/>
    </w:rPr>
  </w:style>
  <w:style w:type="character" w:customStyle="1" w:styleId="1184">
    <w:name w:val="样式 小四 蓝色 首行缩进:  0.85 厘米 行距: 多倍行距 1.4 字行 Char"/>
    <w:link w:val="1185"/>
    <w:qFormat/>
    <w:uiPriority w:val="0"/>
    <w:rPr>
      <w:rFonts w:ascii="宋体" w:hAnsi="宋体" w:eastAsia="宋体"/>
      <w:b/>
      <w:color w:val="0000FF"/>
      <w:sz w:val="24"/>
      <w:szCs w:val="24"/>
    </w:rPr>
  </w:style>
  <w:style w:type="paragraph" w:customStyle="1" w:styleId="1185">
    <w:name w:val="样式 小四 蓝色 首行缩进:  0.85 厘米 行距: 多倍行距 1.4 字行"/>
    <w:basedOn w:val="1"/>
    <w:link w:val="1184"/>
    <w:qFormat/>
    <w:uiPriority w:val="0"/>
    <w:pPr>
      <w:spacing w:line="336" w:lineRule="auto"/>
      <w:ind w:firstLine="482"/>
    </w:pPr>
    <w:rPr>
      <w:rFonts w:ascii="宋体" w:hAnsi="宋体" w:eastAsia="宋体"/>
      <w:b/>
      <w:color w:val="0000FF"/>
      <w:sz w:val="24"/>
      <w:szCs w:val="24"/>
    </w:rPr>
  </w:style>
  <w:style w:type="character" w:customStyle="1" w:styleId="1186">
    <w:name w:val="特点 Char11"/>
    <w:link w:val="1187"/>
    <w:qFormat/>
    <w:uiPriority w:val="0"/>
    <w:rPr>
      <w:rFonts w:ascii="宋体" w:hAnsi="宋体" w:eastAsia="宋体"/>
      <w:sz w:val="24"/>
      <w:szCs w:val="24"/>
    </w:rPr>
  </w:style>
  <w:style w:type="paragraph" w:customStyle="1" w:styleId="1187">
    <w:name w:val="正文缩进3"/>
    <w:basedOn w:val="1"/>
    <w:link w:val="1186"/>
    <w:qFormat/>
    <w:uiPriority w:val="0"/>
    <w:pPr>
      <w:spacing w:line="240" w:lineRule="auto"/>
      <w:ind w:firstLine="420"/>
    </w:pPr>
    <w:rPr>
      <w:rFonts w:ascii="宋体" w:hAnsi="宋体" w:eastAsia="宋体"/>
      <w:sz w:val="24"/>
      <w:szCs w:val="24"/>
    </w:rPr>
  </w:style>
  <w:style w:type="paragraph" w:customStyle="1" w:styleId="1188">
    <w:name w:val="标题 31"/>
    <w:basedOn w:val="1"/>
    <w:next w:val="1"/>
    <w:qFormat/>
    <w:uiPriority w:val="0"/>
    <w:pPr>
      <w:keepNext/>
      <w:keepLines/>
      <w:snapToGrid w:val="0"/>
      <w:outlineLvl w:val="2"/>
    </w:pPr>
    <w:rPr>
      <w:rFonts w:hint="eastAsia" w:ascii="黑体" w:hAnsi="黑体" w:eastAsia="黑体" w:cs="Times New Roman"/>
      <w:b/>
      <w:snapToGrid w:val="0"/>
      <w:color w:val="008000"/>
      <w:sz w:val="24"/>
      <w:szCs w:val="24"/>
    </w:rPr>
  </w:style>
  <w:style w:type="paragraph" w:customStyle="1" w:styleId="1189">
    <w:name w:val="列表 4Y"/>
    <w:basedOn w:val="38"/>
    <w:qFormat/>
    <w:uiPriority w:val="0"/>
    <w:pPr>
      <w:tabs>
        <w:tab w:val="left" w:pos="1021"/>
      </w:tabs>
      <w:adjustRightInd/>
      <w:spacing w:afterLines="30" w:line="288" w:lineRule="auto"/>
      <w:ind w:left="2042" w:hanging="454"/>
      <w:textAlignment w:val="auto"/>
    </w:pPr>
    <w:rPr>
      <w:rFonts w:ascii="Arial" w:hAnsi="Arial"/>
      <w:color w:val="CCFFFF"/>
      <w:kern w:val="2"/>
    </w:rPr>
  </w:style>
  <w:style w:type="paragraph" w:customStyle="1" w:styleId="1190">
    <w:name w:val="正文文本缩进 21"/>
    <w:basedOn w:val="1"/>
    <w:qFormat/>
    <w:uiPriority w:val="0"/>
    <w:pPr>
      <w:snapToGrid w:val="0"/>
      <w:ind w:firstLine="200" w:firstLineChars="200"/>
    </w:pPr>
    <w:rPr>
      <w:rFonts w:ascii="宋体" w:hAnsi="Times New Roman" w:eastAsia="宋体" w:cs="Times New Roman"/>
      <w:color w:val="339966"/>
      <w:sz w:val="24"/>
      <w:szCs w:val="20"/>
    </w:rPr>
  </w:style>
  <w:style w:type="paragraph" w:customStyle="1" w:styleId="1191">
    <w:name w:val="样式 样式24 +"/>
    <w:basedOn w:val="1"/>
    <w:qFormat/>
    <w:uiPriority w:val="0"/>
    <w:pPr>
      <w:spacing w:line="300" w:lineRule="exact"/>
      <w:ind w:left="-120" w:leftChars="-50" w:right="-120" w:rightChars="-50"/>
      <w:jc w:val="center"/>
    </w:pPr>
    <w:rPr>
      <w:rFonts w:ascii="Times New Roman" w:hAnsi="Times New Roman" w:eastAsia="华文中宋" w:cs="Times New Roman"/>
      <w:szCs w:val="20"/>
    </w:rPr>
  </w:style>
  <w:style w:type="paragraph" w:customStyle="1" w:styleId="1192">
    <w:name w:val="标题 51"/>
    <w:basedOn w:val="1"/>
    <w:next w:val="1"/>
    <w:qFormat/>
    <w:uiPriority w:val="0"/>
    <w:pPr>
      <w:keepNext/>
      <w:keepLines/>
      <w:tabs>
        <w:tab w:val="left" w:pos="1800"/>
      </w:tabs>
      <w:snapToGrid w:val="0"/>
      <w:ind w:left="1009" w:hanging="1009"/>
      <w:jc w:val="left"/>
      <w:outlineLvl w:val="4"/>
    </w:pPr>
    <w:rPr>
      <w:rFonts w:ascii="Times New Roman" w:hAnsi="Times New Roman" w:eastAsia="宋体" w:cs="Times New Roman"/>
      <w:b/>
      <w:sz w:val="28"/>
      <w:szCs w:val="20"/>
    </w:rPr>
  </w:style>
  <w:style w:type="paragraph" w:customStyle="1" w:styleId="1193">
    <w:name w:val="xl84"/>
    <w:basedOn w:val="1"/>
    <w:qFormat/>
    <w:uiPriority w:val="0"/>
    <w:pPr>
      <w:widowControl/>
      <w:spacing w:before="100" w:beforeAutospacing="1" w:after="100" w:afterAutospacing="1"/>
    </w:pPr>
    <w:rPr>
      <w:rFonts w:ascii="宋体" w:hAnsi="宋体" w:eastAsia="宋体" w:cs="Times New Roman"/>
      <w:color w:val="000000"/>
      <w:sz w:val="20"/>
      <w:szCs w:val="20"/>
    </w:rPr>
  </w:style>
  <w:style w:type="paragraph" w:customStyle="1" w:styleId="1194">
    <w:name w:val="标题 41"/>
    <w:basedOn w:val="1"/>
    <w:next w:val="1"/>
    <w:qFormat/>
    <w:uiPriority w:val="0"/>
    <w:pPr>
      <w:keepNext/>
      <w:keepLines/>
      <w:tabs>
        <w:tab w:val="left" w:pos="864"/>
      </w:tabs>
      <w:snapToGrid w:val="0"/>
      <w:spacing w:line="460" w:lineRule="atLeast"/>
      <w:ind w:left="864" w:hanging="864"/>
      <w:outlineLvl w:val="3"/>
    </w:pPr>
    <w:rPr>
      <w:rFonts w:ascii="Times New Roman" w:hAnsi="Times New Roman" w:eastAsia="宋体" w:cs="Times New Roman"/>
      <w:sz w:val="28"/>
      <w:szCs w:val="20"/>
    </w:rPr>
  </w:style>
  <w:style w:type="paragraph" w:customStyle="1" w:styleId="1195">
    <w:name w:val="样式 标题 5标题（五） + 左侧:  0 厘米 首行缩进:  0 厘米"/>
    <w:basedOn w:val="1192"/>
    <w:qFormat/>
    <w:uiPriority w:val="0"/>
    <w:pPr>
      <w:tabs>
        <w:tab w:val="left" w:pos="0"/>
        <w:tab w:val="clear" w:pos="1800"/>
      </w:tabs>
      <w:snapToGrid/>
      <w:spacing w:before="280" w:after="290" w:line="376" w:lineRule="atLeast"/>
      <w:ind w:left="0" w:firstLine="0"/>
    </w:pPr>
  </w:style>
  <w:style w:type="paragraph" w:customStyle="1" w:styleId="1196">
    <w:name w:val="xl8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000000"/>
      <w:sz w:val="20"/>
      <w:szCs w:val="20"/>
    </w:rPr>
  </w:style>
  <w:style w:type="paragraph" w:customStyle="1" w:styleId="1197">
    <w:name w:val="bgbt"/>
    <w:basedOn w:val="1"/>
    <w:qFormat/>
    <w:uiPriority w:val="0"/>
    <w:pPr>
      <w:spacing w:after="100" w:line="240" w:lineRule="auto"/>
      <w:ind w:firstLine="573"/>
      <w:jc w:val="right"/>
    </w:pPr>
    <w:rPr>
      <w:rFonts w:ascii="Times New Roman" w:hAnsi="Times New Roman" w:eastAsia="宋体" w:cs="Times New Roman"/>
      <w:b/>
      <w:sz w:val="24"/>
      <w:szCs w:val="20"/>
    </w:rPr>
  </w:style>
  <w:style w:type="paragraph" w:customStyle="1" w:styleId="1198">
    <w:name w:val="样式 表格 + 左侧:  0.98 厘米"/>
    <w:basedOn w:val="1"/>
    <w:qFormat/>
    <w:uiPriority w:val="0"/>
    <w:pPr>
      <w:snapToGrid w:val="0"/>
      <w:spacing w:before="100" w:beforeAutospacing="1" w:after="100" w:afterAutospacing="1" w:line="300" w:lineRule="auto"/>
    </w:pPr>
    <w:rPr>
      <w:rFonts w:ascii="Arial" w:hAnsi="Arial" w:eastAsia="宋体" w:cs="Times New Roman"/>
      <w:sz w:val="24"/>
      <w:szCs w:val="20"/>
    </w:rPr>
  </w:style>
  <w:style w:type="paragraph" w:customStyle="1" w:styleId="1199">
    <w:name w:val="Char Char Char Char Char Char1 Char Char Char1 Char"/>
    <w:basedOn w:val="1"/>
    <w:qFormat/>
    <w:uiPriority w:val="0"/>
    <w:pPr>
      <w:ind w:firstLine="200" w:firstLineChars="200"/>
    </w:pPr>
    <w:rPr>
      <w:rFonts w:ascii="宋体" w:hAnsi="宋体" w:eastAsia="宋体" w:cs="Times New Roman"/>
      <w:sz w:val="24"/>
      <w:szCs w:val="20"/>
    </w:rPr>
  </w:style>
  <w:style w:type="paragraph" w:customStyle="1" w:styleId="1200">
    <w:name w:val="水保2级"/>
    <w:basedOn w:val="7"/>
    <w:qFormat/>
    <w:uiPriority w:val="0"/>
    <w:pPr>
      <w:numPr>
        <w:ilvl w:val="0"/>
        <w:numId w:val="0"/>
      </w:numPr>
      <w:snapToGrid w:val="0"/>
      <w:spacing w:before="0" w:after="0" w:line="412" w:lineRule="auto"/>
      <w:jc w:val="both"/>
    </w:pPr>
    <w:rPr>
      <w:rFonts w:hint="eastAsia" w:ascii="Arial" w:hAnsi="Arial" w:eastAsia="华文中宋" w:cs="Times New Roman"/>
      <w:b w:val="0"/>
      <w:szCs w:val="20"/>
    </w:rPr>
  </w:style>
  <w:style w:type="paragraph" w:customStyle="1" w:styleId="1201">
    <w:name w:val="Char Char Char Char Char Char3"/>
    <w:basedOn w:val="1"/>
    <w:qFormat/>
    <w:uiPriority w:val="0"/>
    <w:pPr>
      <w:ind w:firstLine="200" w:firstLineChars="200"/>
    </w:pPr>
    <w:rPr>
      <w:rFonts w:ascii="宋体" w:hAnsi="宋体" w:eastAsia="宋体" w:cs="Times New Roman"/>
      <w:sz w:val="24"/>
      <w:szCs w:val="20"/>
    </w:rPr>
  </w:style>
  <w:style w:type="paragraph" w:customStyle="1" w:styleId="1202">
    <w:name w:val="说明书正文"/>
    <w:basedOn w:val="1"/>
    <w:qFormat/>
    <w:uiPriority w:val="0"/>
    <w:pPr>
      <w:spacing w:line="480" w:lineRule="exact"/>
      <w:ind w:firstLine="600" w:firstLineChars="200"/>
    </w:pPr>
    <w:rPr>
      <w:rFonts w:ascii="Times New Roman" w:hAnsi="Times New Roman" w:eastAsia="仿宋_GB2312" w:cs="Times New Roman"/>
      <w:color w:val="000000"/>
      <w:sz w:val="30"/>
      <w:szCs w:val="20"/>
    </w:rPr>
  </w:style>
  <w:style w:type="paragraph" w:customStyle="1" w:styleId="1203">
    <w:name w:val="xl87"/>
    <w:basedOn w:val="1"/>
    <w:qFormat/>
    <w:uiPriority w:val="0"/>
    <w:pPr>
      <w:widowControl/>
      <w:pBdr>
        <w:bottom w:val="single" w:color="auto" w:sz="4" w:space="0"/>
      </w:pBdr>
      <w:spacing w:before="100" w:beforeAutospacing="1" w:after="100" w:afterAutospacing="1"/>
    </w:pPr>
    <w:rPr>
      <w:rFonts w:ascii="宋体" w:hAnsi="宋体" w:eastAsia="宋体" w:cs="Times New Roman"/>
      <w:color w:val="000000"/>
      <w:sz w:val="20"/>
      <w:szCs w:val="20"/>
    </w:rPr>
  </w:style>
  <w:style w:type="paragraph" w:customStyle="1" w:styleId="1204">
    <w:name w:val="样式17 Char Char Char"/>
    <w:basedOn w:val="1"/>
    <w:qFormat/>
    <w:uiPriority w:val="0"/>
    <w:pPr>
      <w:spacing w:line="240" w:lineRule="auto"/>
      <w:ind w:firstLine="480" w:firstLineChars="200"/>
    </w:pPr>
    <w:rPr>
      <w:rFonts w:ascii="Times New Roman" w:hAnsi="Times New Roman" w:eastAsia="华文中宋" w:cs="Times New Roman"/>
      <w:sz w:val="24"/>
      <w:szCs w:val="20"/>
    </w:rPr>
  </w:style>
  <w:style w:type="paragraph" w:customStyle="1" w:styleId="1205">
    <w:name w:val="样式 标题 3 + 首行缩进:  0 厘米"/>
    <w:basedOn w:val="1188"/>
    <w:qFormat/>
    <w:uiPriority w:val="0"/>
    <w:pPr>
      <w:tabs>
        <w:tab w:val="left" w:leader="dot" w:pos="284"/>
      </w:tabs>
      <w:spacing w:line="240" w:lineRule="auto"/>
      <w:ind w:firstLine="100" w:firstLineChars="100"/>
    </w:pPr>
    <w:rPr>
      <w:rFonts w:ascii="Times New Roman" w:eastAsia="宋体"/>
      <w:sz w:val="28"/>
    </w:rPr>
  </w:style>
  <w:style w:type="paragraph" w:customStyle="1" w:styleId="1206">
    <w:name w:val="Char Char Char1 Char Char Char Char Char Char"/>
    <w:basedOn w:val="1"/>
    <w:qFormat/>
    <w:uiPriority w:val="0"/>
    <w:rPr>
      <w:rFonts w:ascii="Times New Roman" w:hAnsi="Times New Roman" w:eastAsia="宋体" w:cs="Times New Roman"/>
      <w:sz w:val="24"/>
      <w:szCs w:val="20"/>
    </w:rPr>
  </w:style>
  <w:style w:type="paragraph" w:customStyle="1" w:styleId="1207">
    <w:name w:val="xl90"/>
    <w:basedOn w:val="1"/>
    <w:qFormat/>
    <w:uiPriority w:val="0"/>
    <w:pPr>
      <w:widowControl/>
      <w:pBdr>
        <w:top w:val="single" w:color="auto" w:sz="4" w:space="0"/>
        <w:bottom w:val="single" w:color="auto" w:sz="4" w:space="0"/>
        <w:right w:val="single" w:color="auto" w:sz="4" w:space="0"/>
      </w:pBdr>
      <w:spacing w:before="100" w:beforeAutospacing="1" w:after="100" w:afterAutospacing="1"/>
    </w:pPr>
    <w:rPr>
      <w:rFonts w:ascii="宋体" w:hAnsi="宋体" w:eastAsia="宋体" w:cs="Times New Roman"/>
      <w:color w:val="000000"/>
      <w:sz w:val="20"/>
      <w:szCs w:val="20"/>
    </w:rPr>
  </w:style>
  <w:style w:type="paragraph" w:customStyle="1" w:styleId="1208">
    <w:name w:val="样式 样式1 + 段前: 0.5 行"/>
    <w:basedOn w:val="273"/>
    <w:qFormat/>
    <w:uiPriority w:val="0"/>
    <w:pPr>
      <w:keepNext w:val="0"/>
      <w:keepLines w:val="0"/>
      <w:spacing w:before="100" w:beforeAutospacing="1" w:after="100" w:afterAutospacing="1" w:line="360" w:lineRule="auto"/>
      <w:ind w:firstLine="560" w:firstLineChars="200"/>
      <w:jc w:val="left"/>
      <w:outlineLvl w:val="9"/>
    </w:pPr>
    <w:rPr>
      <w:rFonts w:hint="eastAsia" w:ascii="宋体" w:hAnsi="宋体" w:eastAsia="宋体"/>
      <w:color w:val="000000"/>
      <w:szCs w:val="20"/>
    </w:rPr>
  </w:style>
  <w:style w:type="paragraph" w:customStyle="1" w:styleId="1209">
    <w:name w:val="xl91"/>
    <w:basedOn w:val="1"/>
    <w:qFormat/>
    <w:uiPriority w:val="0"/>
    <w:pPr>
      <w:widowControl/>
      <w:pBdr>
        <w:bottom w:val="single" w:color="auto" w:sz="4" w:space="0"/>
      </w:pBdr>
      <w:spacing w:before="100" w:beforeAutospacing="1" w:after="100" w:afterAutospacing="1"/>
      <w:jc w:val="center"/>
    </w:pPr>
    <w:rPr>
      <w:rFonts w:ascii="宋体" w:hAnsi="宋体" w:eastAsia="宋体" w:cs="Times New Roman"/>
      <w:color w:val="000000"/>
      <w:sz w:val="20"/>
      <w:szCs w:val="20"/>
    </w:rPr>
  </w:style>
  <w:style w:type="paragraph" w:customStyle="1" w:styleId="1210">
    <w:name w:val="font15"/>
    <w:basedOn w:val="1"/>
    <w:qFormat/>
    <w:uiPriority w:val="0"/>
    <w:pPr>
      <w:widowControl/>
      <w:spacing w:before="100" w:beforeAutospacing="1" w:after="100" w:afterAutospacing="1"/>
      <w:jc w:val="left"/>
    </w:pPr>
    <w:rPr>
      <w:rFonts w:ascii="宋体" w:hAnsi="宋体" w:eastAsia="宋体" w:cs="Times New Roman"/>
      <w:color w:val="000000"/>
      <w:sz w:val="20"/>
      <w:szCs w:val="20"/>
    </w:rPr>
  </w:style>
  <w:style w:type="paragraph" w:customStyle="1" w:styleId="1211">
    <w:name w:val="正文（首行缩进2字符）"/>
    <w:basedOn w:val="1"/>
    <w:qFormat/>
    <w:uiPriority w:val="0"/>
    <w:pPr>
      <w:topLinePunct/>
      <w:ind w:firstLine="200" w:firstLineChars="200"/>
    </w:pPr>
    <w:rPr>
      <w:rFonts w:ascii="Times New Roman" w:hAnsi="Times New Roman" w:eastAsia="宋体" w:cs="Times New Roman"/>
      <w:sz w:val="28"/>
      <w:szCs w:val="20"/>
    </w:rPr>
  </w:style>
  <w:style w:type="paragraph" w:customStyle="1" w:styleId="1212">
    <w:name w:val="样式 右侧:  0 厘米 段前: 0.5 行"/>
    <w:basedOn w:val="1"/>
    <w:qFormat/>
    <w:uiPriority w:val="0"/>
    <w:pPr>
      <w:snapToGrid w:val="0"/>
      <w:spacing w:beforeLines="50"/>
      <w:ind w:firstLine="200" w:firstLineChars="200"/>
    </w:pPr>
    <w:rPr>
      <w:rFonts w:ascii="Times New Roman" w:hAnsi="Times New Roman" w:eastAsia="宋体" w:cs="Times New Roman"/>
      <w:sz w:val="24"/>
      <w:szCs w:val="20"/>
    </w:rPr>
  </w:style>
  <w:style w:type="paragraph" w:customStyle="1" w:styleId="1213">
    <w:name w:val="水保4级"/>
    <w:basedOn w:val="1194"/>
    <w:qFormat/>
    <w:uiPriority w:val="0"/>
    <w:pPr>
      <w:tabs>
        <w:tab w:val="clear" w:pos="864"/>
      </w:tabs>
      <w:snapToGrid/>
      <w:spacing w:before="280" w:after="290" w:line="360" w:lineRule="auto"/>
      <w:ind w:left="0" w:firstLine="0"/>
    </w:pPr>
    <w:rPr>
      <w:rFonts w:ascii="Arial" w:hAnsi="Arial"/>
      <w:sz w:val="24"/>
    </w:rPr>
  </w:style>
  <w:style w:type="paragraph" w:customStyle="1" w:styleId="1214">
    <w:name w:val="Char Char Char Char Char Char3 Char Char Char"/>
    <w:basedOn w:val="1"/>
    <w:qFormat/>
    <w:uiPriority w:val="0"/>
    <w:pPr>
      <w:ind w:firstLine="200" w:firstLineChars="200"/>
    </w:pPr>
    <w:rPr>
      <w:rFonts w:ascii="宋体" w:hAnsi="宋体" w:eastAsia="宋体" w:cs="Times New Roman"/>
      <w:sz w:val="24"/>
      <w:szCs w:val="20"/>
    </w:rPr>
  </w:style>
  <w:style w:type="paragraph" w:customStyle="1" w:styleId="1215">
    <w:name w:val="样式 标题 1 + 段前: 0 磅 段后: 0 磅 行距: 单倍行距"/>
    <w:basedOn w:val="1181"/>
    <w:qFormat/>
    <w:uiPriority w:val="0"/>
    <w:pPr>
      <w:widowControl w:val="0"/>
      <w:tabs>
        <w:tab w:val="left" w:pos="432"/>
      </w:tabs>
      <w:spacing w:beforeLines="0" w:afterLines="0"/>
      <w:ind w:left="432" w:hanging="432"/>
      <w:jc w:val="both"/>
    </w:pPr>
    <w:rPr>
      <w:rFonts w:ascii="Times New Roman"/>
      <w:kern w:val="44"/>
      <w:sz w:val="28"/>
    </w:rPr>
  </w:style>
  <w:style w:type="paragraph" w:customStyle="1" w:styleId="1216">
    <w:name w:val="样式 样式 正文缩进s4 + 首行缩进:  2 字符 + 首行缩进:  2 字符"/>
    <w:basedOn w:val="1"/>
    <w:qFormat/>
    <w:uiPriority w:val="0"/>
    <w:pPr>
      <w:snapToGrid w:val="0"/>
      <w:ind w:firstLine="480" w:firstLineChars="200"/>
    </w:pPr>
    <w:rPr>
      <w:rFonts w:ascii="Times New Roman" w:hAnsi="Times New Roman" w:eastAsia="仿宋_GB2312" w:cs="Times New Roman"/>
      <w:sz w:val="28"/>
      <w:szCs w:val="20"/>
    </w:rPr>
  </w:style>
  <w:style w:type="paragraph" w:customStyle="1" w:styleId="1217">
    <w:name w:val="正文文字标准"/>
    <w:basedOn w:val="90"/>
    <w:qFormat/>
    <w:uiPriority w:val="0"/>
    <w:pPr>
      <w:spacing w:after="0" w:line="480" w:lineRule="exact"/>
      <w:ind w:firstLine="200" w:firstLineChars="200"/>
    </w:pPr>
    <w:rPr>
      <w:rFonts w:eastAsia="Times New Roman"/>
      <w:sz w:val="28"/>
      <w:szCs w:val="20"/>
    </w:rPr>
  </w:style>
  <w:style w:type="paragraph" w:customStyle="1" w:styleId="1218">
    <w:name w:val="样式 标题 3 + 首行缩进:  2 字符"/>
    <w:basedOn w:val="1188"/>
    <w:qFormat/>
    <w:uiPriority w:val="0"/>
    <w:pPr>
      <w:spacing w:before="100" w:beforeAutospacing="1" w:after="100" w:afterAutospacing="1" w:line="440" w:lineRule="exact"/>
    </w:pPr>
    <w:rPr>
      <w:rFonts w:ascii="Times New Roman" w:eastAsia="宋体"/>
      <w:b w:val="0"/>
      <w:color w:val="000000"/>
      <w:sz w:val="28"/>
    </w:rPr>
  </w:style>
  <w:style w:type="paragraph" w:customStyle="1" w:styleId="1219">
    <w:name w:val="font14"/>
    <w:basedOn w:val="1"/>
    <w:qFormat/>
    <w:uiPriority w:val="0"/>
    <w:pPr>
      <w:widowControl/>
      <w:spacing w:before="100" w:beforeAutospacing="1" w:after="100" w:afterAutospacing="1"/>
      <w:jc w:val="left"/>
    </w:pPr>
    <w:rPr>
      <w:rFonts w:ascii="宋体" w:hAnsi="宋体" w:eastAsia="宋体" w:cs="Times New Roman"/>
      <w:color w:val="000000"/>
      <w:sz w:val="20"/>
      <w:szCs w:val="20"/>
    </w:rPr>
  </w:style>
  <w:style w:type="paragraph" w:customStyle="1" w:styleId="1220">
    <w:name w:val="样式 (符号) 宋体 五号 加粗 居中 段前: 0.5 行 行距: 单倍行距"/>
    <w:basedOn w:val="1"/>
    <w:qFormat/>
    <w:uiPriority w:val="0"/>
    <w:pPr>
      <w:snapToGrid w:val="0"/>
      <w:jc w:val="center"/>
    </w:pPr>
    <w:rPr>
      <w:rFonts w:ascii="Times New Roman" w:hAnsi="宋体" w:eastAsia="宋体" w:cs="Times New Roman"/>
      <w:b/>
      <w:sz w:val="24"/>
      <w:szCs w:val="20"/>
    </w:rPr>
  </w:style>
  <w:style w:type="paragraph" w:customStyle="1" w:styleId="1221">
    <w:name w:val="正文文本1"/>
    <w:basedOn w:val="1"/>
    <w:qFormat/>
    <w:uiPriority w:val="0"/>
    <w:pPr>
      <w:spacing w:after="120" w:line="240" w:lineRule="auto"/>
    </w:pPr>
    <w:rPr>
      <w:rFonts w:ascii="Times New Roman" w:hAnsi="Times New Roman" w:eastAsia="宋体" w:cs="Times New Roman"/>
      <w:sz w:val="24"/>
      <w:szCs w:val="20"/>
    </w:rPr>
  </w:style>
  <w:style w:type="paragraph" w:customStyle="1" w:styleId="1222">
    <w:name w:val="txt1"/>
    <w:basedOn w:val="1"/>
    <w:qFormat/>
    <w:uiPriority w:val="0"/>
    <w:pPr>
      <w:widowControl/>
      <w:spacing w:before="100" w:beforeAutospacing="1" w:after="100" w:afterAutospacing="1" w:line="270" w:lineRule="atLeast"/>
      <w:jc w:val="left"/>
    </w:pPr>
    <w:rPr>
      <w:rFonts w:ascii="宋体" w:hAnsi="宋体" w:eastAsia="宋体" w:cs="Times New Roman"/>
      <w:color w:val="000000"/>
      <w:sz w:val="18"/>
      <w:szCs w:val="20"/>
    </w:rPr>
  </w:style>
  <w:style w:type="paragraph" w:customStyle="1" w:styleId="1223">
    <w:name w:val="样式 左侧:  0.98 厘米"/>
    <w:basedOn w:val="1"/>
    <w:qFormat/>
    <w:uiPriority w:val="0"/>
    <w:pPr>
      <w:snapToGrid w:val="0"/>
      <w:spacing w:line="490" w:lineRule="exact"/>
      <w:ind w:firstLine="560" w:firstLineChars="200"/>
    </w:pPr>
    <w:rPr>
      <w:rFonts w:ascii="Times New Roman" w:hAnsi="Times New Roman" w:eastAsia="仿宋_GB2312" w:cs="Times New Roman"/>
      <w:sz w:val="28"/>
      <w:szCs w:val="20"/>
    </w:rPr>
  </w:style>
  <w:style w:type="paragraph" w:customStyle="1" w:styleId="1224">
    <w:name w:val="样式 标题 3 + 黑体 小四"/>
    <w:basedOn w:val="1188"/>
    <w:qFormat/>
    <w:uiPriority w:val="0"/>
    <w:pPr>
      <w:tabs>
        <w:tab w:val="left" w:pos="720"/>
        <w:tab w:val="left" w:pos="1609"/>
      </w:tabs>
      <w:spacing w:before="60"/>
      <w:ind w:left="607" w:hanging="607"/>
      <w:jc w:val="left"/>
    </w:pPr>
  </w:style>
  <w:style w:type="paragraph" w:customStyle="1" w:styleId="1225">
    <w:name w:val="Char Char Char Char Char Char1 Char Char Char"/>
    <w:basedOn w:val="1"/>
    <w:qFormat/>
    <w:uiPriority w:val="0"/>
    <w:pPr>
      <w:ind w:firstLine="200" w:firstLineChars="200"/>
    </w:pPr>
    <w:rPr>
      <w:rFonts w:ascii="宋体" w:hAnsi="宋体" w:eastAsia="宋体" w:cs="Times New Roman"/>
      <w:sz w:val="24"/>
      <w:szCs w:val="20"/>
    </w:rPr>
  </w:style>
  <w:style w:type="paragraph" w:customStyle="1" w:styleId="1226">
    <w:name w:val="Char Char Char Char Char Char1 Char Char Char1 Char Char Char"/>
    <w:basedOn w:val="1"/>
    <w:qFormat/>
    <w:uiPriority w:val="0"/>
    <w:pPr>
      <w:ind w:firstLine="200" w:firstLineChars="200"/>
    </w:pPr>
    <w:rPr>
      <w:rFonts w:ascii="宋体" w:hAnsi="宋体" w:eastAsia="宋体" w:cs="Times New Roman"/>
      <w:sz w:val="24"/>
      <w:szCs w:val="20"/>
    </w:rPr>
  </w:style>
  <w:style w:type="paragraph" w:customStyle="1" w:styleId="1227">
    <w:name w:val="样式 样式1 + (中文) 华文中宋 小二 居中 行距: 单倍行距"/>
    <w:basedOn w:val="273"/>
    <w:qFormat/>
    <w:uiPriority w:val="0"/>
    <w:pPr>
      <w:keepNext w:val="0"/>
      <w:keepLines w:val="0"/>
      <w:tabs>
        <w:tab w:val="left" w:pos="1125"/>
      </w:tabs>
      <w:spacing w:line="240" w:lineRule="auto"/>
      <w:jc w:val="center"/>
      <w:outlineLvl w:val="9"/>
    </w:pPr>
    <w:rPr>
      <w:rFonts w:hint="eastAsia" w:ascii="华文中宋" w:hAnsi="华文中宋"/>
      <w:b/>
      <w:sz w:val="36"/>
      <w:szCs w:val="20"/>
    </w:rPr>
  </w:style>
  <w:style w:type="paragraph" w:customStyle="1" w:styleId="1228">
    <w:name w:val="Char Char Char Char Char Char2"/>
    <w:basedOn w:val="1"/>
    <w:qFormat/>
    <w:uiPriority w:val="0"/>
    <w:pPr>
      <w:ind w:firstLine="200" w:firstLineChars="200"/>
    </w:pPr>
    <w:rPr>
      <w:rFonts w:ascii="宋体" w:hAnsi="宋体" w:eastAsia="宋体" w:cs="Times New Roman"/>
      <w:sz w:val="24"/>
      <w:szCs w:val="20"/>
    </w:rPr>
  </w:style>
  <w:style w:type="paragraph" w:customStyle="1" w:styleId="1229">
    <w:name w:val="Char Char Char Char Char Char3 Char Char Char Char Char Char"/>
    <w:basedOn w:val="1"/>
    <w:qFormat/>
    <w:uiPriority w:val="0"/>
    <w:pPr>
      <w:ind w:firstLine="200" w:firstLineChars="200"/>
    </w:pPr>
    <w:rPr>
      <w:rFonts w:ascii="宋体" w:hAnsi="宋体" w:eastAsia="宋体" w:cs="Times New Roman"/>
      <w:sz w:val="24"/>
      <w:szCs w:val="20"/>
    </w:rPr>
  </w:style>
  <w:style w:type="paragraph" w:customStyle="1" w:styleId="1230">
    <w:name w:val="Char4"/>
    <w:basedOn w:val="1"/>
    <w:qFormat/>
    <w:uiPriority w:val="0"/>
    <w:pPr>
      <w:ind w:firstLine="200" w:firstLineChars="200"/>
    </w:pPr>
    <w:rPr>
      <w:rFonts w:ascii="宋体" w:hAnsi="宋体" w:eastAsia="宋体" w:cs="Times New Roman"/>
      <w:sz w:val="24"/>
      <w:szCs w:val="20"/>
    </w:rPr>
  </w:style>
  <w:style w:type="paragraph" w:customStyle="1" w:styleId="1231">
    <w:name w:val="xl88"/>
    <w:basedOn w:val="1"/>
    <w:qFormat/>
    <w:uiPriority w:val="0"/>
    <w:pPr>
      <w:widowControl/>
      <w:pBdr>
        <w:top w:val="single" w:color="auto" w:sz="4" w:space="0"/>
        <w:left w:val="single" w:color="auto" w:sz="4" w:space="0"/>
        <w:bottom w:val="single" w:color="auto" w:sz="4" w:space="0"/>
      </w:pBdr>
      <w:spacing w:before="100" w:beforeAutospacing="1" w:after="100" w:afterAutospacing="1"/>
    </w:pPr>
    <w:rPr>
      <w:rFonts w:ascii="宋体" w:hAnsi="宋体" w:eastAsia="宋体" w:cs="Times New Roman"/>
      <w:color w:val="000000"/>
      <w:sz w:val="20"/>
      <w:szCs w:val="20"/>
    </w:rPr>
  </w:style>
  <w:style w:type="paragraph" w:customStyle="1" w:styleId="1232">
    <w:name w:val="Char Char Char1 Char Char Char Char Char Char Char"/>
    <w:basedOn w:val="1"/>
    <w:qFormat/>
    <w:uiPriority w:val="0"/>
    <w:rPr>
      <w:rFonts w:ascii="Times New Roman" w:hAnsi="Times New Roman" w:eastAsia="宋体" w:cs="Times New Roman"/>
      <w:sz w:val="24"/>
      <w:szCs w:val="20"/>
    </w:rPr>
  </w:style>
  <w:style w:type="paragraph" w:customStyle="1" w:styleId="1233">
    <w:name w:val="样式0表换行"/>
    <w:basedOn w:val="1"/>
    <w:qFormat/>
    <w:uiPriority w:val="0"/>
    <w:pPr>
      <w:spacing w:line="300" w:lineRule="auto"/>
      <w:jc w:val="center"/>
    </w:pPr>
    <w:rPr>
      <w:rFonts w:ascii="Times New Roman" w:hAnsi="Times New Roman" w:eastAsia="宋体" w:cs="Times New Roman"/>
      <w:sz w:val="24"/>
      <w:szCs w:val="20"/>
    </w:rPr>
  </w:style>
  <w:style w:type="paragraph" w:customStyle="1" w:styleId="1234">
    <w:name w:val="Char Char Char Char Char Char Char Char Char Char1 Char Char Char Char"/>
    <w:basedOn w:val="1"/>
    <w:qFormat/>
    <w:uiPriority w:val="0"/>
    <w:pPr>
      <w:spacing w:line="240" w:lineRule="auto"/>
    </w:pPr>
    <w:rPr>
      <w:rFonts w:ascii="Times New Roman" w:hAnsi="Times New Roman" w:eastAsia="宋体" w:cs="Times New Roman"/>
      <w:szCs w:val="20"/>
    </w:rPr>
  </w:style>
  <w:style w:type="paragraph" w:customStyle="1" w:styleId="1235">
    <w:name w:val="普通(网站)2"/>
    <w:basedOn w:val="1"/>
    <w:qFormat/>
    <w:uiPriority w:val="0"/>
    <w:pPr>
      <w:widowControl/>
      <w:spacing w:before="100" w:beforeAutospacing="1" w:after="100" w:afterAutospacing="1" w:line="240" w:lineRule="auto"/>
      <w:jc w:val="left"/>
    </w:pPr>
    <w:rPr>
      <w:rFonts w:ascii="宋体" w:hAnsi="宋体" w:eastAsia="宋体" w:cs="Times New Roman"/>
      <w:sz w:val="24"/>
      <w:szCs w:val="20"/>
    </w:rPr>
  </w:style>
  <w:style w:type="paragraph" w:customStyle="1" w:styleId="1236">
    <w:name w:val="样式 标题 2 + Times New Roman 首行缩进:  2 字符"/>
    <w:basedOn w:val="7"/>
    <w:qFormat/>
    <w:uiPriority w:val="0"/>
    <w:pPr>
      <w:numPr>
        <w:ilvl w:val="0"/>
        <w:numId w:val="0"/>
      </w:numPr>
      <w:snapToGrid w:val="0"/>
      <w:spacing w:before="120" w:after="0" w:line="360" w:lineRule="auto"/>
      <w:jc w:val="both"/>
    </w:pPr>
    <w:rPr>
      <w:rFonts w:hint="eastAsia" w:ascii="华文中宋" w:hAnsi="华文中宋" w:eastAsia="华文中宋" w:cs="Times New Roman"/>
      <w:szCs w:val="20"/>
    </w:rPr>
  </w:style>
  <w:style w:type="paragraph" w:customStyle="1" w:styleId="1237">
    <w:name w:val="bg"/>
    <w:basedOn w:val="1"/>
    <w:qFormat/>
    <w:uiPriority w:val="0"/>
    <w:pPr>
      <w:widowControl/>
      <w:snapToGrid w:val="0"/>
      <w:jc w:val="center"/>
    </w:pPr>
    <w:rPr>
      <w:rFonts w:ascii="Times New Roman" w:hAnsi="Times New Roman" w:eastAsia="宋体" w:cs="Times New Roman"/>
      <w:color w:val="000000"/>
      <w:sz w:val="18"/>
      <w:szCs w:val="20"/>
    </w:rPr>
  </w:style>
  <w:style w:type="paragraph" w:customStyle="1" w:styleId="1238">
    <w:name w:val="Char Char Char Char Char Char1 Char Char Char1 Char Char Char Char Char Char"/>
    <w:basedOn w:val="1"/>
    <w:qFormat/>
    <w:uiPriority w:val="0"/>
    <w:pPr>
      <w:ind w:firstLine="200" w:firstLineChars="200"/>
    </w:pPr>
    <w:rPr>
      <w:rFonts w:ascii="宋体" w:hAnsi="宋体" w:eastAsia="宋体" w:cs="Times New Roman"/>
      <w:sz w:val="24"/>
      <w:szCs w:val="20"/>
    </w:rPr>
  </w:style>
  <w:style w:type="paragraph" w:customStyle="1" w:styleId="1239">
    <w:name w:val="批注框文本1"/>
    <w:basedOn w:val="1"/>
    <w:qFormat/>
    <w:uiPriority w:val="0"/>
    <w:pPr>
      <w:spacing w:line="240" w:lineRule="auto"/>
    </w:pPr>
    <w:rPr>
      <w:rFonts w:ascii="Times New Roman" w:hAnsi="Times New Roman" w:eastAsia="宋体" w:cs="Times New Roman"/>
      <w:sz w:val="18"/>
      <w:szCs w:val="20"/>
    </w:rPr>
  </w:style>
  <w:style w:type="paragraph" w:customStyle="1" w:styleId="1240">
    <w:name w:val="论文样式1"/>
    <w:basedOn w:val="1"/>
    <w:qFormat/>
    <w:uiPriority w:val="0"/>
    <w:pPr>
      <w:jc w:val="center"/>
    </w:pPr>
    <w:rPr>
      <w:rFonts w:ascii="黑体" w:hAnsi="Times New Roman" w:eastAsia="宋体" w:cs="Times New Roman"/>
      <w:sz w:val="24"/>
      <w:szCs w:val="20"/>
    </w:rPr>
  </w:style>
  <w:style w:type="paragraph" w:customStyle="1" w:styleId="1241">
    <w:name w:val="样式 题注 + 左侧:  0.98 厘米 首行缩进:  2 字符"/>
    <w:basedOn w:val="25"/>
    <w:qFormat/>
    <w:uiPriority w:val="0"/>
    <w:pPr>
      <w:snapToGrid w:val="0"/>
      <w:spacing w:before="120" w:line="300" w:lineRule="exact"/>
      <w:ind w:firstLine="480" w:firstLineChars="200"/>
      <w:outlineLvl w:val="9"/>
    </w:pPr>
    <w:rPr>
      <w:rFonts w:ascii="Arial" w:hAnsi="Arial" w:cs="Arial"/>
      <w:b w:val="0"/>
      <w:color w:val="000000"/>
      <w:sz w:val="24"/>
      <w:szCs w:val="28"/>
      <w:u w:val="double"/>
    </w:rPr>
  </w:style>
  <w:style w:type="paragraph" w:customStyle="1" w:styleId="1242">
    <w:name w:val="样式 标题 2 + 首行缩进:  2 字符"/>
    <w:basedOn w:val="7"/>
    <w:qFormat/>
    <w:uiPriority w:val="0"/>
    <w:pPr>
      <w:numPr>
        <w:ilvl w:val="0"/>
        <w:numId w:val="0"/>
      </w:numPr>
      <w:snapToGrid w:val="0"/>
      <w:spacing w:before="0" w:after="0" w:line="360" w:lineRule="auto"/>
      <w:ind w:firstLine="592" w:firstLineChars="200"/>
      <w:jc w:val="both"/>
    </w:pPr>
    <w:rPr>
      <w:rFonts w:hint="eastAsia" w:ascii="黑体" w:hAnsi="宋体" w:eastAsia="黑体" w:cs="Times New Roman"/>
      <w:b w:val="0"/>
      <w:sz w:val="30"/>
      <w:szCs w:val="20"/>
    </w:rPr>
  </w:style>
  <w:style w:type="paragraph" w:customStyle="1" w:styleId="1243">
    <w:name w:val="样式 标题 1 + 红色 Char Char"/>
    <w:basedOn w:val="1181"/>
    <w:qFormat/>
    <w:uiPriority w:val="0"/>
    <w:pPr>
      <w:widowControl w:val="0"/>
      <w:spacing w:beforeLines="0" w:afterLines="0" w:line="576" w:lineRule="auto"/>
      <w:jc w:val="both"/>
    </w:pPr>
    <w:rPr>
      <w:rFonts w:ascii="宋体" w:hAnsi="宋体"/>
      <w:color w:val="FF0000"/>
      <w:kern w:val="44"/>
      <w:sz w:val="32"/>
    </w:rPr>
  </w:style>
  <w:style w:type="paragraph" w:customStyle="1" w:styleId="1244">
    <w:name w:val="样式 标题 2 + 首行缩进:  0 厘米"/>
    <w:basedOn w:val="7"/>
    <w:qFormat/>
    <w:uiPriority w:val="0"/>
    <w:pPr>
      <w:numPr>
        <w:ilvl w:val="0"/>
        <w:numId w:val="0"/>
      </w:numPr>
      <w:tabs>
        <w:tab w:val="left" w:pos="0"/>
      </w:tabs>
      <w:snapToGrid w:val="0"/>
      <w:spacing w:before="0" w:after="0" w:line="300" w:lineRule="auto"/>
      <w:ind w:left="113"/>
      <w:jc w:val="both"/>
    </w:pPr>
    <w:rPr>
      <w:rFonts w:hint="eastAsia" w:ascii="Arial" w:hAnsi="Arial" w:eastAsia="华文中宋" w:cs="Times New Roman"/>
      <w:b w:val="0"/>
      <w:szCs w:val="20"/>
    </w:rPr>
  </w:style>
  <w:style w:type="paragraph" w:customStyle="1" w:styleId="1245">
    <w:name w:val="啊啊啊啊啊啊啊啊啊啊"/>
    <w:basedOn w:val="1"/>
    <w:qFormat/>
    <w:uiPriority w:val="0"/>
    <w:pPr>
      <w:ind w:firstLine="200" w:firstLineChars="200"/>
    </w:pPr>
    <w:rPr>
      <w:rFonts w:ascii="Times New Roman" w:hAnsi="Times New Roman" w:eastAsia="宋体" w:cs="Times New Roman"/>
      <w:sz w:val="24"/>
      <w:szCs w:val="24"/>
    </w:rPr>
  </w:style>
  <w:style w:type="paragraph" w:customStyle="1" w:styleId="1246">
    <w:name w:val="样式 标题 2 + 四号"/>
    <w:basedOn w:val="7"/>
    <w:qFormat/>
    <w:uiPriority w:val="0"/>
    <w:pPr>
      <w:numPr>
        <w:ilvl w:val="0"/>
        <w:numId w:val="0"/>
      </w:numPr>
      <w:tabs>
        <w:tab w:val="left" w:pos="576"/>
      </w:tabs>
      <w:snapToGrid w:val="0"/>
      <w:spacing w:before="0" w:after="0" w:line="240" w:lineRule="auto"/>
      <w:ind w:left="576" w:hanging="576"/>
      <w:jc w:val="both"/>
    </w:pPr>
    <w:rPr>
      <w:rFonts w:hint="eastAsia" w:ascii="华文中宋" w:hAnsi="华文中宋" w:eastAsia="华文中宋" w:cs="Times New Roman"/>
      <w:b w:val="0"/>
      <w:szCs w:val="20"/>
    </w:rPr>
  </w:style>
  <w:style w:type="paragraph" w:customStyle="1" w:styleId="1247">
    <w:name w:val="标题 61"/>
    <w:basedOn w:val="1"/>
    <w:next w:val="1"/>
    <w:qFormat/>
    <w:uiPriority w:val="0"/>
    <w:pPr>
      <w:keepNext/>
      <w:keepLines/>
      <w:tabs>
        <w:tab w:val="left" w:pos="1152"/>
      </w:tabs>
      <w:snapToGrid w:val="0"/>
      <w:spacing w:before="240" w:after="64" w:line="316" w:lineRule="auto"/>
      <w:ind w:left="1152" w:hanging="1152"/>
      <w:outlineLvl w:val="5"/>
    </w:pPr>
    <w:rPr>
      <w:rFonts w:ascii="Arial" w:hAnsi="Arial" w:eastAsia="黑体" w:cs="Times New Roman"/>
      <w:b/>
      <w:sz w:val="24"/>
      <w:szCs w:val="20"/>
    </w:rPr>
  </w:style>
  <w:style w:type="paragraph" w:customStyle="1" w:styleId="1248">
    <w:name w:val="目录 11"/>
    <w:basedOn w:val="1"/>
    <w:next w:val="1"/>
    <w:qFormat/>
    <w:uiPriority w:val="0"/>
    <w:pPr>
      <w:spacing w:before="120" w:after="120" w:line="240" w:lineRule="auto"/>
      <w:jc w:val="left"/>
    </w:pPr>
    <w:rPr>
      <w:rFonts w:ascii="Times New Roman" w:hAnsi="Times New Roman" w:eastAsia="宋体" w:cs="Times New Roman"/>
      <w:b/>
      <w:caps/>
      <w:sz w:val="20"/>
      <w:szCs w:val="20"/>
    </w:rPr>
  </w:style>
  <w:style w:type="paragraph" w:customStyle="1" w:styleId="1249">
    <w:name w:val="样式 样式11 + 居中 行距: 固定值 15 磅"/>
    <w:basedOn w:val="1"/>
    <w:qFormat/>
    <w:uiPriority w:val="0"/>
    <w:pPr>
      <w:spacing w:line="300" w:lineRule="exact"/>
      <w:jc w:val="center"/>
    </w:pPr>
    <w:rPr>
      <w:rFonts w:ascii="Times New Roman" w:hAnsi="Times New Roman" w:eastAsia="宋体" w:cs="Times New Roman"/>
      <w:color w:val="000000"/>
      <w:szCs w:val="20"/>
    </w:rPr>
  </w:style>
  <w:style w:type="paragraph" w:customStyle="1" w:styleId="1250">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Times New Roman" w:hAnsi="Times New Roman" w:eastAsia="宋体" w:cs="Times New Roman"/>
      <w:b/>
      <w:sz w:val="20"/>
      <w:szCs w:val="20"/>
    </w:rPr>
  </w:style>
  <w:style w:type="paragraph" w:customStyle="1" w:styleId="1251">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Times New Roman"/>
      <w:color w:val="000000"/>
      <w:sz w:val="20"/>
      <w:szCs w:val="20"/>
    </w:rPr>
  </w:style>
  <w:style w:type="paragraph" w:customStyle="1" w:styleId="1252">
    <w:name w:val="Char1 Char Char Char Char Char Char"/>
    <w:basedOn w:val="1"/>
    <w:qFormat/>
    <w:uiPriority w:val="0"/>
    <w:pPr>
      <w:ind w:firstLine="200" w:firstLineChars="200"/>
    </w:pPr>
    <w:rPr>
      <w:rFonts w:ascii="宋体" w:hAnsi="宋体" w:eastAsia="宋体" w:cs="Times New Roman"/>
      <w:sz w:val="24"/>
      <w:szCs w:val="20"/>
    </w:rPr>
  </w:style>
  <w:style w:type="paragraph" w:customStyle="1" w:styleId="1253">
    <w:name w:val="标题 71"/>
    <w:basedOn w:val="1"/>
    <w:next w:val="1"/>
    <w:qFormat/>
    <w:uiPriority w:val="0"/>
    <w:pPr>
      <w:keepNext/>
      <w:keepLines/>
      <w:tabs>
        <w:tab w:val="left" w:pos="1296"/>
      </w:tabs>
      <w:snapToGrid w:val="0"/>
      <w:spacing w:before="240" w:after="64" w:line="316" w:lineRule="auto"/>
      <w:ind w:left="1296" w:hanging="1296"/>
      <w:outlineLvl w:val="6"/>
    </w:pPr>
    <w:rPr>
      <w:rFonts w:ascii="Times New Roman" w:hAnsi="Times New Roman" w:eastAsia="宋体" w:cs="Times New Roman"/>
      <w:b/>
      <w:sz w:val="24"/>
      <w:szCs w:val="20"/>
    </w:rPr>
  </w:style>
  <w:style w:type="paragraph" w:customStyle="1" w:styleId="1254">
    <w:name w:val="Char Char Char Char Char Char1 Char Char Char Char"/>
    <w:basedOn w:val="1"/>
    <w:qFormat/>
    <w:uiPriority w:val="0"/>
    <w:pPr>
      <w:ind w:firstLine="200" w:firstLineChars="200"/>
    </w:pPr>
    <w:rPr>
      <w:rFonts w:ascii="宋体" w:hAnsi="宋体" w:eastAsia="宋体" w:cs="Times New Roman"/>
      <w:sz w:val="24"/>
      <w:szCs w:val="20"/>
    </w:rPr>
  </w:style>
  <w:style w:type="paragraph" w:customStyle="1" w:styleId="1255">
    <w:name w:val="样式 标题 3 + 首行缩进:  0 厘米1"/>
    <w:basedOn w:val="1188"/>
    <w:qFormat/>
    <w:uiPriority w:val="0"/>
    <w:pPr>
      <w:spacing w:line="240" w:lineRule="auto"/>
    </w:pPr>
    <w:rPr>
      <w:rFonts w:ascii="Times New Roman" w:eastAsia="宋体"/>
      <w:sz w:val="28"/>
    </w:rPr>
  </w:style>
  <w:style w:type="paragraph" w:customStyle="1" w:styleId="1256">
    <w:name w:val="样式 样式 样式 样式 标题 3 + 首行缩进:  0 厘米1 + 首行缩进:  0 厘米 + 首行缩进:  0 字符 + 首行..."/>
    <w:basedOn w:val="1"/>
    <w:qFormat/>
    <w:uiPriority w:val="0"/>
    <w:pPr>
      <w:keepNext/>
      <w:keepLines/>
      <w:outlineLvl w:val="2"/>
    </w:pPr>
    <w:rPr>
      <w:rFonts w:ascii="Times New Roman" w:hAnsi="Times New Roman" w:eastAsia="宋体" w:cs="Times New Roman"/>
      <w:sz w:val="28"/>
      <w:szCs w:val="20"/>
    </w:rPr>
  </w:style>
  <w:style w:type="paragraph" w:customStyle="1" w:styleId="1257">
    <w:name w:val="样式 样式 (符号) 宋体 左侧:  0.74 厘米 首行缩进:  0 厘米 + 左侧:  0.74 厘米 首行缩进:  0 ..."/>
    <w:basedOn w:val="90"/>
    <w:qFormat/>
    <w:uiPriority w:val="0"/>
    <w:pPr>
      <w:snapToGrid w:val="0"/>
      <w:spacing w:before="100" w:beforeAutospacing="1" w:after="0" w:line="360" w:lineRule="auto"/>
      <w:ind w:firstLine="200" w:firstLineChars="200"/>
    </w:pPr>
    <w:rPr>
      <w:rFonts w:eastAsia="Times New Roman"/>
      <w:sz w:val="28"/>
      <w:szCs w:val="20"/>
    </w:rPr>
  </w:style>
  <w:style w:type="paragraph" w:customStyle="1" w:styleId="1258">
    <w:name w:val="bg正文首行缩进"/>
    <w:basedOn w:val="1"/>
    <w:qFormat/>
    <w:uiPriority w:val="0"/>
    <w:pPr>
      <w:spacing w:line="400" w:lineRule="exact"/>
      <w:ind w:firstLine="482"/>
    </w:pPr>
    <w:rPr>
      <w:rFonts w:ascii="Times New Roman" w:hAnsi="Times New Roman" w:eastAsia="宋体" w:cs="Times New Roman"/>
      <w:sz w:val="24"/>
      <w:szCs w:val="20"/>
    </w:rPr>
  </w:style>
  <w:style w:type="paragraph" w:customStyle="1" w:styleId="1259">
    <w:name w:val="页脚1"/>
    <w:basedOn w:val="1"/>
    <w:qFormat/>
    <w:uiPriority w:val="0"/>
    <w:pPr>
      <w:tabs>
        <w:tab w:val="center" w:pos="4153"/>
        <w:tab w:val="right" w:pos="8306"/>
      </w:tabs>
      <w:snapToGrid w:val="0"/>
      <w:spacing w:line="240" w:lineRule="auto"/>
      <w:jc w:val="left"/>
    </w:pPr>
    <w:rPr>
      <w:rFonts w:ascii="Times New Roman" w:hAnsi="Times New Roman" w:eastAsia="宋体" w:cs="Times New Roman"/>
      <w:sz w:val="18"/>
      <w:szCs w:val="20"/>
    </w:rPr>
  </w:style>
  <w:style w:type="paragraph" w:customStyle="1" w:styleId="1260">
    <w:name w:val="Char Char Char Char Char Char1 Char Char Char1 Char Char Char Char Char Char Char"/>
    <w:basedOn w:val="1"/>
    <w:qFormat/>
    <w:uiPriority w:val="0"/>
    <w:pPr>
      <w:ind w:firstLine="200" w:firstLineChars="200"/>
    </w:pPr>
    <w:rPr>
      <w:rFonts w:ascii="Times New Roman" w:hAnsi="Times New Roman" w:eastAsia="宋体" w:cs="Times New Roman"/>
      <w:sz w:val="24"/>
      <w:szCs w:val="20"/>
    </w:rPr>
  </w:style>
  <w:style w:type="paragraph" w:customStyle="1" w:styleId="1261">
    <w:name w:val="xl81"/>
    <w:basedOn w:val="1"/>
    <w:qFormat/>
    <w:uiPriority w:val="0"/>
    <w:pPr>
      <w:widowControl/>
      <w:spacing w:before="100" w:beforeAutospacing="1" w:after="100" w:afterAutospacing="1"/>
      <w:jc w:val="center"/>
    </w:pPr>
    <w:rPr>
      <w:rFonts w:ascii="宋体" w:hAnsi="宋体" w:eastAsia="宋体" w:cs="Times New Roman"/>
      <w:sz w:val="20"/>
      <w:szCs w:val="20"/>
    </w:rPr>
  </w:style>
  <w:style w:type="paragraph" w:customStyle="1" w:styleId="1262">
    <w:name w:val="水保1级"/>
    <w:basedOn w:val="1181"/>
    <w:qFormat/>
    <w:uiPriority w:val="0"/>
    <w:pPr>
      <w:widowControl w:val="0"/>
      <w:spacing w:beforeLines="0" w:afterLines="0" w:line="576" w:lineRule="auto"/>
    </w:pPr>
    <w:rPr>
      <w:rFonts w:ascii="Times New Roman"/>
      <w:kern w:val="44"/>
      <w:sz w:val="36"/>
    </w:rPr>
  </w:style>
  <w:style w:type="paragraph" w:customStyle="1" w:styleId="1263">
    <w:name w:val="批注主题1"/>
    <w:basedOn w:val="31"/>
    <w:next w:val="31"/>
    <w:qFormat/>
    <w:uiPriority w:val="0"/>
    <w:pPr>
      <w:spacing w:line="240" w:lineRule="auto"/>
      <w:ind w:firstLine="0" w:firstLineChars="0"/>
    </w:pPr>
    <w:rPr>
      <w:rFonts w:hint="eastAsia" w:ascii="宋体" w:hAnsi="宋体"/>
      <w:b/>
      <w:sz w:val="21"/>
      <w:szCs w:val="20"/>
    </w:rPr>
  </w:style>
  <w:style w:type="paragraph" w:customStyle="1" w:styleId="1264">
    <w:name w:val="xl79"/>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Times New Roman"/>
      <w:color w:val="000000"/>
      <w:sz w:val="20"/>
      <w:szCs w:val="20"/>
    </w:rPr>
  </w:style>
  <w:style w:type="paragraph" w:customStyle="1" w:styleId="1265">
    <w:name w:val="Char Char Char Char Char Char1 Char Char Char1"/>
    <w:basedOn w:val="1"/>
    <w:qFormat/>
    <w:uiPriority w:val="0"/>
    <w:pPr>
      <w:ind w:firstLine="200" w:firstLineChars="200"/>
    </w:pPr>
    <w:rPr>
      <w:rFonts w:ascii="宋体" w:hAnsi="宋体" w:eastAsia="宋体" w:cs="Times New Roman"/>
      <w:sz w:val="24"/>
      <w:szCs w:val="20"/>
    </w:rPr>
  </w:style>
  <w:style w:type="paragraph" w:customStyle="1" w:styleId="1266">
    <w:name w:val="Char Char Char Char Char Char Char Char Char Char Char Char Char Char Char Char Char Char Char Char Char Char Char Char Char Char Char Char Char Char Char Char Char Char"/>
    <w:basedOn w:val="1"/>
    <w:qFormat/>
    <w:uiPriority w:val="0"/>
    <w:pPr>
      <w:ind w:firstLine="200" w:firstLineChars="200"/>
    </w:pPr>
    <w:rPr>
      <w:rFonts w:ascii="宋体" w:hAnsi="宋体" w:eastAsia="宋体" w:cs="Times New Roman"/>
      <w:sz w:val="24"/>
      <w:szCs w:val="20"/>
    </w:rPr>
  </w:style>
  <w:style w:type="paragraph" w:customStyle="1" w:styleId="1267">
    <w:name w:val="小表文居中"/>
    <w:basedOn w:val="1"/>
    <w:qFormat/>
    <w:uiPriority w:val="0"/>
    <w:pPr>
      <w:autoSpaceDE w:val="0"/>
      <w:autoSpaceDN w:val="0"/>
      <w:spacing w:before="20" w:line="500" w:lineRule="exact"/>
      <w:ind w:firstLine="200" w:firstLineChars="200"/>
      <w:jc w:val="center"/>
    </w:pPr>
    <w:rPr>
      <w:rFonts w:ascii="Times" w:hAnsi="Times" w:eastAsia="宋体" w:cs="Times New Roman"/>
      <w:sz w:val="18"/>
      <w:szCs w:val="20"/>
    </w:rPr>
  </w:style>
  <w:style w:type="paragraph" w:customStyle="1" w:styleId="1268">
    <w:name w:val="标题4 Char Char"/>
    <w:basedOn w:val="1"/>
    <w:qFormat/>
    <w:uiPriority w:val="0"/>
    <w:pPr>
      <w:spacing w:before="100" w:beforeAutospacing="1"/>
      <w:outlineLvl w:val="3"/>
    </w:pPr>
    <w:rPr>
      <w:rFonts w:ascii="Times New Roman" w:hAnsi="Times New Roman" w:eastAsia="黑体" w:cs="Times New Roman"/>
      <w:sz w:val="24"/>
      <w:szCs w:val="20"/>
    </w:rPr>
  </w:style>
  <w:style w:type="paragraph" w:customStyle="1" w:styleId="1269">
    <w:name w:val="Char Char Char Char Char Char3 Char Char Char Char Char Char Char"/>
    <w:basedOn w:val="1"/>
    <w:qFormat/>
    <w:uiPriority w:val="0"/>
    <w:pPr>
      <w:ind w:firstLine="200" w:firstLineChars="200"/>
    </w:pPr>
    <w:rPr>
      <w:rFonts w:ascii="宋体" w:hAnsi="宋体" w:eastAsia="宋体" w:cs="Times New Roman"/>
      <w:sz w:val="24"/>
      <w:szCs w:val="20"/>
    </w:rPr>
  </w:style>
  <w:style w:type="paragraph" w:customStyle="1" w:styleId="1270">
    <w:name w:val="样式 标题 3 + 四号"/>
    <w:basedOn w:val="1188"/>
    <w:qFormat/>
    <w:uiPriority w:val="0"/>
    <w:pPr>
      <w:tabs>
        <w:tab w:val="left" w:pos="720"/>
      </w:tabs>
      <w:spacing w:line="240" w:lineRule="auto"/>
      <w:ind w:left="720" w:hanging="720"/>
    </w:pPr>
    <w:rPr>
      <w:rFonts w:ascii="Times New Roman" w:eastAsia="宋体"/>
      <w:sz w:val="28"/>
    </w:rPr>
  </w:style>
  <w:style w:type="paragraph" w:customStyle="1" w:styleId="1271">
    <w:name w:val="水保3级"/>
    <w:basedOn w:val="1188"/>
    <w:qFormat/>
    <w:uiPriority w:val="0"/>
    <w:pPr>
      <w:spacing w:line="500" w:lineRule="exact"/>
      <w:ind w:firstLine="480" w:firstLineChars="200"/>
    </w:pPr>
    <w:rPr>
      <w:rFonts w:ascii="Times New Roman" w:eastAsia="宋体"/>
      <w:sz w:val="28"/>
    </w:rPr>
  </w:style>
  <w:style w:type="paragraph" w:customStyle="1" w:styleId="1272">
    <w:name w:val="（一）"/>
    <w:basedOn w:val="1183"/>
    <w:qFormat/>
    <w:uiPriority w:val="0"/>
    <w:pPr>
      <w:snapToGrid w:val="0"/>
      <w:spacing w:beforeLines="50" w:line="400" w:lineRule="exact"/>
      <w:outlineLvl w:val="3"/>
    </w:pPr>
    <w:rPr>
      <w:rFonts w:ascii="仿宋_GB2312" w:eastAsia="仿宋_GB2312"/>
      <w:sz w:val="21"/>
    </w:rPr>
  </w:style>
  <w:style w:type="paragraph" w:customStyle="1" w:styleId="1273">
    <w:name w:val="样式 标题 2 + 段前: 8 磅 段后: 8 磅 行距: 1.5 倍行距"/>
    <w:basedOn w:val="7"/>
    <w:qFormat/>
    <w:uiPriority w:val="0"/>
    <w:pPr>
      <w:numPr>
        <w:ilvl w:val="0"/>
        <w:numId w:val="0"/>
      </w:numPr>
      <w:snapToGrid w:val="0"/>
      <w:spacing w:before="160" w:after="160" w:line="360" w:lineRule="auto"/>
      <w:jc w:val="both"/>
    </w:pPr>
    <w:rPr>
      <w:rFonts w:hint="eastAsia" w:ascii="Arial" w:hAnsi="Arial" w:eastAsia="仿宋_GB2312" w:cs="Times New Roman"/>
      <w:szCs w:val="20"/>
    </w:rPr>
  </w:style>
  <w:style w:type="paragraph" w:customStyle="1" w:styleId="1274">
    <w:name w:val="样式 水保3级 + 首行缩进:  2 字符"/>
    <w:basedOn w:val="1271"/>
    <w:qFormat/>
    <w:uiPriority w:val="0"/>
    <w:pPr>
      <w:ind w:firstLine="560"/>
    </w:pPr>
  </w:style>
  <w:style w:type="paragraph" w:customStyle="1" w:styleId="1275">
    <w:name w:val="正文文本缩进2"/>
    <w:basedOn w:val="1"/>
    <w:qFormat/>
    <w:uiPriority w:val="0"/>
    <w:pPr>
      <w:spacing w:after="120" w:line="240" w:lineRule="auto"/>
      <w:ind w:left="420" w:leftChars="200"/>
    </w:pPr>
    <w:rPr>
      <w:rFonts w:ascii="Times New Roman" w:hAnsi="Times New Roman" w:eastAsia="宋体" w:cs="Times New Roman"/>
      <w:sz w:val="24"/>
      <w:szCs w:val="20"/>
    </w:rPr>
  </w:style>
  <w:style w:type="paragraph" w:customStyle="1" w:styleId="1276">
    <w:name w:val="bgbt6插图标题"/>
    <w:basedOn w:val="1"/>
    <w:next w:val="1"/>
    <w:qFormat/>
    <w:uiPriority w:val="0"/>
    <w:pPr>
      <w:spacing w:after="60"/>
      <w:jc w:val="center"/>
      <w:outlineLvl w:val="5"/>
    </w:pPr>
    <w:rPr>
      <w:rFonts w:ascii="Times New Roman" w:hAnsi="Times New Roman" w:eastAsia="黑体" w:cs="Times New Roman"/>
      <w:sz w:val="24"/>
      <w:szCs w:val="20"/>
    </w:rPr>
  </w:style>
  <w:style w:type="paragraph" w:customStyle="1" w:styleId="1277">
    <w:name w:val="cucd-2"/>
    <w:next w:val="1176"/>
    <w:qFormat/>
    <w:uiPriority w:val="0"/>
    <w:pPr>
      <w:tabs>
        <w:tab w:val="left" w:pos="540"/>
      </w:tabs>
      <w:spacing w:line="360" w:lineRule="auto"/>
      <w:ind w:left="720" w:hanging="720"/>
      <w:outlineLvl w:val="1"/>
    </w:pPr>
    <w:rPr>
      <w:rFonts w:ascii="Times New Roman" w:hAnsi="Times New Roman" w:eastAsia="黑体" w:cs="Times New Roman"/>
      <w:b/>
      <w:kern w:val="2"/>
      <w:sz w:val="30"/>
      <w:lang w:val="en-US" w:eastAsia="zh-CN" w:bidi="ar-SA"/>
    </w:rPr>
  </w:style>
  <w:style w:type="paragraph" w:customStyle="1" w:styleId="1278">
    <w:name w:val="cucd-1"/>
    <w:next w:val="1277"/>
    <w:qFormat/>
    <w:uiPriority w:val="0"/>
    <w:pPr>
      <w:pageBreakBefore/>
      <w:tabs>
        <w:tab w:val="left" w:pos="425"/>
      </w:tabs>
      <w:spacing w:beforeLines="100" w:afterLines="50" w:line="360" w:lineRule="auto"/>
      <w:ind w:left="850" w:hanging="425"/>
      <w:jc w:val="center"/>
      <w:outlineLvl w:val="0"/>
    </w:pPr>
    <w:rPr>
      <w:rFonts w:ascii="Times New Roman" w:hAnsi="Times New Roman" w:eastAsia="黑体" w:cs="Times New Roman"/>
      <w:b/>
      <w:kern w:val="2"/>
      <w:sz w:val="36"/>
      <w:lang w:val="en-US" w:eastAsia="zh-CN" w:bidi="ar-SA"/>
    </w:rPr>
  </w:style>
  <w:style w:type="paragraph" w:customStyle="1" w:styleId="1279">
    <w:name w:val="正文标准格式"/>
    <w:basedOn w:val="1"/>
    <w:qFormat/>
    <w:uiPriority w:val="0"/>
    <w:pPr>
      <w:ind w:firstLine="560" w:firstLineChars="200"/>
    </w:pPr>
    <w:rPr>
      <w:rFonts w:ascii="宋体" w:hAnsi="宋体" w:eastAsia="宋体" w:cs="Times New Roman"/>
      <w:sz w:val="28"/>
      <w:szCs w:val="20"/>
    </w:rPr>
  </w:style>
  <w:style w:type="paragraph" w:customStyle="1" w:styleId="1280">
    <w:name w:val="xl89"/>
    <w:basedOn w:val="1"/>
    <w:qFormat/>
    <w:uiPriority w:val="0"/>
    <w:pPr>
      <w:widowControl/>
      <w:pBdr>
        <w:top w:val="single" w:color="auto" w:sz="4" w:space="0"/>
        <w:bottom w:val="single" w:color="auto" w:sz="4" w:space="0"/>
      </w:pBdr>
      <w:spacing w:before="100" w:beforeAutospacing="1" w:after="100" w:afterAutospacing="1"/>
    </w:pPr>
    <w:rPr>
      <w:rFonts w:ascii="宋体" w:hAnsi="宋体" w:eastAsia="宋体" w:cs="Times New Roman"/>
      <w:color w:val="000000"/>
      <w:sz w:val="20"/>
      <w:szCs w:val="20"/>
    </w:rPr>
  </w:style>
  <w:style w:type="paragraph" w:customStyle="1" w:styleId="1281">
    <w:name w:val="标题 91"/>
    <w:basedOn w:val="1"/>
    <w:next w:val="1"/>
    <w:qFormat/>
    <w:uiPriority w:val="0"/>
    <w:pPr>
      <w:keepNext/>
      <w:keepLines/>
      <w:tabs>
        <w:tab w:val="left" w:pos="1584"/>
      </w:tabs>
      <w:snapToGrid w:val="0"/>
      <w:spacing w:before="240" w:after="64" w:line="316" w:lineRule="auto"/>
      <w:ind w:left="1584" w:hanging="1584"/>
      <w:outlineLvl w:val="8"/>
    </w:pPr>
    <w:rPr>
      <w:rFonts w:ascii="Arial" w:hAnsi="Arial" w:eastAsia="黑体" w:cs="Times New Roman"/>
      <w:sz w:val="24"/>
      <w:szCs w:val="20"/>
    </w:rPr>
  </w:style>
  <w:style w:type="paragraph" w:customStyle="1" w:styleId="1282">
    <w:name w:val="表5"/>
    <w:basedOn w:val="468"/>
    <w:qFormat/>
    <w:uiPriority w:val="0"/>
    <w:pPr>
      <w:spacing w:beforeLines="0" w:afterLines="0"/>
    </w:pPr>
    <w:rPr>
      <w:rFonts w:hint="eastAsia" w:ascii="宋体" w:hAnsi="宋体" w:cs="Times New Roman"/>
      <w:szCs w:val="20"/>
    </w:rPr>
  </w:style>
  <w:style w:type="paragraph" w:customStyle="1" w:styleId="1283">
    <w:name w:val="表题 Char"/>
    <w:basedOn w:val="1"/>
    <w:qFormat/>
    <w:uiPriority w:val="0"/>
    <w:pPr>
      <w:keepNext/>
      <w:keepLines/>
      <w:tabs>
        <w:tab w:val="left" w:pos="6300"/>
      </w:tabs>
      <w:spacing w:beforeLines="50" w:line="240" w:lineRule="atLeast"/>
      <w:jc w:val="center"/>
    </w:pPr>
    <w:rPr>
      <w:rFonts w:ascii="Times New Roman" w:hAnsi="Times New Roman" w:eastAsia="黑体" w:cs="Times New Roman"/>
      <w:sz w:val="24"/>
      <w:szCs w:val="20"/>
    </w:rPr>
  </w:style>
  <w:style w:type="paragraph" w:customStyle="1" w:styleId="1284">
    <w:name w:val="样式 样式23 + 首行缩进:  2 字符"/>
    <w:basedOn w:val="1"/>
    <w:qFormat/>
    <w:uiPriority w:val="0"/>
    <w:pPr>
      <w:spacing w:line="480" w:lineRule="exact"/>
      <w:ind w:firstLine="420" w:firstLineChars="200"/>
    </w:pPr>
    <w:rPr>
      <w:rFonts w:ascii="Times New Roman" w:hAnsi="Times New Roman" w:eastAsia="华文中宋" w:cs="Times New Roman"/>
      <w:szCs w:val="20"/>
    </w:rPr>
  </w:style>
  <w:style w:type="paragraph" w:customStyle="1" w:styleId="1285">
    <w:name w:val="样式 样式7 + (中文) 黑体"/>
    <w:basedOn w:val="1"/>
    <w:qFormat/>
    <w:uiPriority w:val="0"/>
    <w:pPr>
      <w:spacing w:line="240" w:lineRule="auto"/>
      <w:ind w:firstLine="429" w:firstLineChars="200"/>
    </w:pPr>
    <w:rPr>
      <w:rFonts w:ascii="Times New Roman" w:hAnsi="Times New Roman" w:eastAsia="华文中宋" w:cs="Times New Roman"/>
      <w:szCs w:val="20"/>
    </w:rPr>
  </w:style>
  <w:style w:type="paragraph" w:customStyle="1" w:styleId="1286">
    <w:name w:val="Char Char Char Char Char Char Char Char Char Char Char Char Char Char Char Char Char Char Char Char Char1 Char"/>
    <w:basedOn w:val="1"/>
    <w:qFormat/>
    <w:uiPriority w:val="0"/>
    <w:pPr>
      <w:ind w:firstLine="200" w:firstLineChars="200"/>
    </w:pPr>
    <w:rPr>
      <w:rFonts w:ascii="宋体" w:hAnsi="宋体" w:eastAsia="宋体" w:cs="Times New Roman"/>
      <w:sz w:val="24"/>
      <w:szCs w:val="20"/>
    </w:rPr>
  </w:style>
  <w:style w:type="paragraph" w:customStyle="1" w:styleId="1287">
    <w:name w:val="样式 样式 标题 2 + 红色 + 自动设置 Char Char"/>
    <w:basedOn w:val="395"/>
    <w:qFormat/>
    <w:uiPriority w:val="0"/>
    <w:pPr>
      <w:tabs>
        <w:tab w:val="clear" w:pos="576"/>
      </w:tabs>
      <w:snapToGrid w:val="0"/>
      <w:spacing w:line="412" w:lineRule="auto"/>
    </w:pPr>
    <w:rPr>
      <w:rFonts w:eastAsia="新宋体" w:cs="Arial"/>
      <w:kern w:val="2"/>
    </w:rPr>
  </w:style>
  <w:style w:type="paragraph" w:customStyle="1" w:styleId="1288">
    <w:name w:val="样式 水保2级 + Times New Roman"/>
    <w:basedOn w:val="1200"/>
    <w:qFormat/>
    <w:uiPriority w:val="0"/>
    <w:rPr>
      <w:rFonts w:ascii="Times New Roman" w:hAnsi="Times New Roman"/>
    </w:rPr>
  </w:style>
  <w:style w:type="paragraph" w:customStyle="1" w:styleId="1289">
    <w:name w:val="xl82"/>
    <w:basedOn w:val="1"/>
    <w:qFormat/>
    <w:uiPriority w:val="0"/>
    <w:pPr>
      <w:widowControl/>
      <w:spacing w:before="100" w:beforeAutospacing="1" w:after="100" w:afterAutospacing="1"/>
      <w:jc w:val="center"/>
    </w:pPr>
    <w:rPr>
      <w:rFonts w:ascii="宋体" w:hAnsi="宋体" w:eastAsia="宋体" w:cs="Times New Roman"/>
      <w:color w:val="000000"/>
      <w:sz w:val="24"/>
      <w:szCs w:val="20"/>
      <w:u w:val="single"/>
    </w:rPr>
  </w:style>
  <w:style w:type="paragraph" w:customStyle="1" w:styleId="1290">
    <w:name w:val="标题 81"/>
    <w:basedOn w:val="1"/>
    <w:next w:val="1"/>
    <w:qFormat/>
    <w:uiPriority w:val="0"/>
    <w:pPr>
      <w:keepNext/>
      <w:keepLines/>
      <w:tabs>
        <w:tab w:val="left" w:pos="1440"/>
      </w:tabs>
      <w:snapToGrid w:val="0"/>
      <w:spacing w:before="240" w:after="64" w:line="316" w:lineRule="auto"/>
      <w:ind w:left="1440" w:hanging="1440"/>
      <w:outlineLvl w:val="7"/>
    </w:pPr>
    <w:rPr>
      <w:rFonts w:ascii="Arial" w:hAnsi="Arial" w:eastAsia="黑体" w:cs="Times New Roman"/>
      <w:sz w:val="24"/>
      <w:szCs w:val="20"/>
    </w:rPr>
  </w:style>
  <w:style w:type="paragraph" w:customStyle="1" w:styleId="1291">
    <w:name w:val="305"/>
    <w:basedOn w:val="1"/>
    <w:qFormat/>
    <w:uiPriority w:val="0"/>
    <w:pPr>
      <w:widowControl/>
      <w:spacing w:before="100" w:beforeAutospacing="1" w:after="100" w:afterAutospacing="1"/>
      <w:jc w:val="left"/>
    </w:pPr>
    <w:rPr>
      <w:rFonts w:ascii="宋体" w:hAnsi="宋体" w:eastAsia="宋体" w:cs="Times New Roman"/>
      <w:sz w:val="24"/>
      <w:szCs w:val="20"/>
    </w:rPr>
  </w:style>
  <w:style w:type="paragraph" w:customStyle="1" w:styleId="1292">
    <w:name w:val="Char Char Char Char Char Char1"/>
    <w:basedOn w:val="1"/>
    <w:qFormat/>
    <w:uiPriority w:val="0"/>
    <w:pPr>
      <w:ind w:firstLine="200" w:firstLineChars="200"/>
    </w:pPr>
    <w:rPr>
      <w:rFonts w:ascii="宋体" w:hAnsi="宋体" w:eastAsia="宋体" w:cs="Times New Roman"/>
      <w:sz w:val="24"/>
      <w:szCs w:val="20"/>
    </w:rPr>
  </w:style>
  <w:style w:type="paragraph" w:customStyle="1" w:styleId="1293">
    <w:name w:val="zz"/>
    <w:basedOn w:val="1"/>
    <w:qFormat/>
    <w:uiPriority w:val="0"/>
    <w:pPr>
      <w:ind w:firstLine="567"/>
    </w:pPr>
    <w:rPr>
      <w:rFonts w:ascii="宋体" w:hAnsi="Times New Roman" w:eastAsia="宋体" w:cs="Times New Roman"/>
      <w:kern w:val="28"/>
      <w:sz w:val="28"/>
      <w:szCs w:val="20"/>
    </w:rPr>
  </w:style>
  <w:style w:type="paragraph" w:customStyle="1" w:styleId="1294">
    <w:name w:val="xl144"/>
    <w:basedOn w:val="1"/>
    <w:qFormat/>
    <w:uiPriority w:val="0"/>
    <w:pPr>
      <w:widowControl/>
      <w:pBdr>
        <w:top w:val="single" w:color="auto" w:sz="4" w:space="0"/>
        <w:left w:val="single" w:color="auto" w:sz="4" w:space="0"/>
      </w:pBdr>
      <w:shd w:val="clear" w:color="auto" w:fill="C0C0C0"/>
      <w:spacing w:before="100" w:beforeAutospacing="1" w:after="100" w:afterAutospacing="1" w:line="240" w:lineRule="auto"/>
      <w:jc w:val="center"/>
    </w:pPr>
    <w:rPr>
      <w:rFonts w:ascii="宋体" w:hAnsi="宋体" w:eastAsia="宋体" w:cs="Times New Roman"/>
      <w:sz w:val="20"/>
      <w:szCs w:val="20"/>
    </w:rPr>
  </w:style>
  <w:style w:type="paragraph" w:customStyle="1" w:styleId="1295">
    <w:name w:val="样式 标题 1 + 首行缩进:  2 字符"/>
    <w:basedOn w:val="1181"/>
    <w:qFormat/>
    <w:uiPriority w:val="0"/>
    <w:pPr>
      <w:widowControl w:val="0"/>
      <w:spacing w:beforeLines="0" w:afterLines="0" w:line="440" w:lineRule="exact"/>
      <w:jc w:val="left"/>
    </w:pPr>
    <w:rPr>
      <w:rFonts w:ascii="Times New Roman"/>
      <w:kern w:val="44"/>
      <w:sz w:val="32"/>
    </w:rPr>
  </w:style>
  <w:style w:type="paragraph" w:customStyle="1" w:styleId="1296">
    <w:name w:val="哎哎哎"/>
    <w:basedOn w:val="1"/>
    <w:qFormat/>
    <w:uiPriority w:val="0"/>
    <w:pPr>
      <w:ind w:firstLine="200" w:firstLineChars="200"/>
    </w:pPr>
    <w:rPr>
      <w:rFonts w:ascii="Times New Roman" w:hAnsi="Times New Roman" w:eastAsia="宋体" w:cs="Times New Roman"/>
      <w:sz w:val="24"/>
      <w:szCs w:val="24"/>
    </w:rPr>
  </w:style>
  <w:style w:type="character" w:customStyle="1" w:styleId="1297">
    <w:name w:val="aaaaaaa Char"/>
    <w:link w:val="1298"/>
    <w:qFormat/>
    <w:uiPriority w:val="0"/>
    <w:rPr>
      <w:rFonts w:ascii="Arial" w:hAnsi="Arial" w:eastAsia="宋体"/>
      <w:b/>
      <w:snapToGrid w:val="0"/>
      <w:sz w:val="24"/>
      <w:szCs w:val="24"/>
    </w:rPr>
  </w:style>
  <w:style w:type="paragraph" w:customStyle="1" w:styleId="1298">
    <w:name w:val="aaaaaaa"/>
    <w:basedOn w:val="557"/>
    <w:link w:val="1297"/>
    <w:qFormat/>
    <w:uiPriority w:val="0"/>
    <w:pPr>
      <w:snapToGrid w:val="0"/>
      <w:ind w:firstLine="200" w:firstLineChars="200"/>
      <w:jc w:val="both"/>
      <w:outlineLvl w:val="9"/>
    </w:pPr>
    <w:rPr>
      <w:rFonts w:eastAsia="宋体" w:cstheme="minorBidi"/>
      <w:sz w:val="24"/>
      <w:szCs w:val="24"/>
    </w:rPr>
  </w:style>
  <w:style w:type="character" w:customStyle="1" w:styleId="1299">
    <w:name w:val="aaaaaaaaaaaaa Char"/>
    <w:link w:val="1300"/>
    <w:qFormat/>
    <w:uiPriority w:val="0"/>
    <w:rPr>
      <w:rFonts w:ascii="宋体" w:hAnsi="宋体" w:eastAsia="宋体"/>
      <w:sz w:val="24"/>
      <w:szCs w:val="24"/>
    </w:rPr>
  </w:style>
  <w:style w:type="paragraph" w:customStyle="1" w:styleId="1300">
    <w:name w:val="aaaaaaaaaaaaa"/>
    <w:basedOn w:val="1"/>
    <w:link w:val="1299"/>
    <w:qFormat/>
    <w:uiPriority w:val="0"/>
    <w:pPr>
      <w:ind w:firstLine="200" w:firstLineChars="200"/>
    </w:pPr>
    <w:rPr>
      <w:rFonts w:ascii="宋体" w:hAnsi="宋体" w:eastAsia="宋体"/>
      <w:sz w:val="24"/>
      <w:szCs w:val="24"/>
    </w:rPr>
  </w:style>
  <w:style w:type="character" w:customStyle="1" w:styleId="1301">
    <w:name w:val="表格内文字（居中小四）-wd Char"/>
    <w:link w:val="1302"/>
    <w:qFormat/>
    <w:uiPriority w:val="0"/>
    <w:rPr>
      <w:rFonts w:ascii="宋体" w:hAnsi="宋体" w:eastAsia="宋体"/>
      <w:color w:val="000080"/>
      <w:sz w:val="24"/>
      <w:szCs w:val="24"/>
    </w:rPr>
  </w:style>
  <w:style w:type="paragraph" w:customStyle="1" w:styleId="1302">
    <w:name w:val="表格内文字（居中小四）-wd"/>
    <w:basedOn w:val="1"/>
    <w:link w:val="1301"/>
    <w:qFormat/>
    <w:uiPriority w:val="0"/>
    <w:pPr>
      <w:spacing w:line="240" w:lineRule="auto"/>
      <w:jc w:val="center"/>
    </w:pPr>
    <w:rPr>
      <w:rFonts w:ascii="宋体" w:hAnsi="宋体" w:eastAsia="宋体"/>
      <w:color w:val="000080"/>
      <w:sz w:val="24"/>
      <w:szCs w:val="24"/>
    </w:rPr>
  </w:style>
  <w:style w:type="paragraph" w:customStyle="1" w:styleId="1303">
    <w:name w:val="pa-6"/>
    <w:basedOn w:val="1"/>
    <w:qFormat/>
    <w:uiPriority w:val="0"/>
    <w:pPr>
      <w:widowControl/>
      <w:spacing w:line="360" w:lineRule="atLeast"/>
      <w:ind w:firstLine="640"/>
    </w:pPr>
    <w:rPr>
      <w:rFonts w:ascii="宋体" w:hAnsi="宋体" w:eastAsia="宋体" w:cs="宋体"/>
      <w:kern w:val="0"/>
      <w:sz w:val="24"/>
      <w:szCs w:val="24"/>
    </w:rPr>
  </w:style>
  <w:style w:type="paragraph" w:customStyle="1" w:styleId="1304">
    <w:name w:val="pa-4"/>
    <w:basedOn w:val="1"/>
    <w:qFormat/>
    <w:uiPriority w:val="0"/>
    <w:pPr>
      <w:widowControl/>
      <w:spacing w:before="150" w:after="150" w:line="240" w:lineRule="auto"/>
      <w:jc w:val="left"/>
    </w:pPr>
    <w:rPr>
      <w:rFonts w:ascii="宋体" w:hAnsi="宋体" w:eastAsia="宋体" w:cs="宋体"/>
      <w:kern w:val="0"/>
      <w:sz w:val="24"/>
      <w:szCs w:val="24"/>
    </w:rPr>
  </w:style>
  <w:style w:type="paragraph" w:customStyle="1" w:styleId="1305">
    <w:name w:val="pa-10"/>
    <w:basedOn w:val="1"/>
    <w:qFormat/>
    <w:uiPriority w:val="0"/>
    <w:pPr>
      <w:widowControl/>
      <w:spacing w:before="150" w:after="150" w:line="240" w:lineRule="auto"/>
      <w:jc w:val="left"/>
    </w:pPr>
    <w:rPr>
      <w:rFonts w:ascii="宋体" w:hAnsi="宋体" w:eastAsia="宋体" w:cs="宋体"/>
      <w:kern w:val="0"/>
      <w:sz w:val="24"/>
      <w:szCs w:val="24"/>
    </w:rPr>
  </w:style>
  <w:style w:type="character" w:customStyle="1" w:styleId="1306">
    <w:name w:val="bbbbbbbbbbb Char"/>
    <w:link w:val="1307"/>
    <w:qFormat/>
    <w:uiPriority w:val="0"/>
    <w:rPr>
      <w:rFonts w:eastAsia="宋体"/>
      <w:b/>
      <w:color w:val="FF0000"/>
      <w:sz w:val="24"/>
      <w:szCs w:val="24"/>
    </w:rPr>
  </w:style>
  <w:style w:type="paragraph" w:customStyle="1" w:styleId="1307">
    <w:name w:val="bbbbbbbbbbb"/>
    <w:basedOn w:val="1"/>
    <w:link w:val="1306"/>
    <w:qFormat/>
    <w:uiPriority w:val="0"/>
    <w:pPr>
      <w:jc w:val="center"/>
    </w:pPr>
    <w:rPr>
      <w:rFonts w:eastAsia="宋体"/>
      <w:b/>
      <w:color w:val="FF0000"/>
      <w:sz w:val="24"/>
      <w:szCs w:val="24"/>
    </w:rPr>
  </w:style>
  <w:style w:type="paragraph" w:customStyle="1" w:styleId="1308">
    <w:name w:val="Char2 Char Char Char Char Char Char Char Char Char Char Char Char Char1 Char Char Char Char Char Char Char Char Char Char Char Char Char Char Char1 Char"/>
    <w:basedOn w:val="1"/>
    <w:qFormat/>
    <w:uiPriority w:val="0"/>
    <w:pPr>
      <w:spacing w:line="240" w:lineRule="auto"/>
    </w:pPr>
    <w:rPr>
      <w:rFonts w:ascii="Tahoma" w:hAnsi="Tahoma" w:eastAsia="宋体" w:cs="Tahoma"/>
      <w:b/>
      <w:bCs/>
      <w:sz w:val="24"/>
      <w:szCs w:val="44"/>
    </w:rPr>
  </w:style>
  <w:style w:type="paragraph" w:customStyle="1" w:styleId="1309">
    <w:name w:val="标题6"/>
    <w:basedOn w:val="1"/>
    <w:qFormat/>
    <w:uiPriority w:val="0"/>
    <w:pPr>
      <w:spacing w:line="520" w:lineRule="exact"/>
      <w:ind w:right="5800" w:rightChars="2762" w:firstLine="480" w:firstLineChars="200"/>
    </w:pPr>
    <w:rPr>
      <w:rFonts w:ascii="宋体" w:hAnsi="宋体" w:eastAsia="宋体" w:cs="Times New Roman"/>
      <w:color w:val="000000"/>
      <w:sz w:val="24"/>
      <w:szCs w:val="24"/>
    </w:rPr>
  </w:style>
  <w:style w:type="paragraph" w:customStyle="1" w:styleId="1310">
    <w:name w:val="方框"/>
    <w:basedOn w:val="1"/>
    <w:qFormat/>
    <w:uiPriority w:val="0"/>
    <w:pPr>
      <w:widowControl/>
      <w:spacing w:line="0" w:lineRule="atLeast"/>
    </w:pPr>
    <w:rPr>
      <w:rFonts w:ascii="宋体" w:hAnsi="Times New Roman" w:eastAsia="宋体" w:cs="Times New Roman"/>
      <w:kern w:val="0"/>
      <w:sz w:val="24"/>
      <w:szCs w:val="20"/>
    </w:rPr>
  </w:style>
  <w:style w:type="paragraph" w:customStyle="1" w:styleId="1311">
    <w:name w:val="报告正文 Char"/>
    <w:basedOn w:val="1"/>
    <w:qFormat/>
    <w:uiPriority w:val="0"/>
    <w:pPr>
      <w:adjustRightInd w:val="0"/>
      <w:snapToGrid w:val="0"/>
      <w:spacing w:line="300" w:lineRule="auto"/>
    </w:pPr>
    <w:rPr>
      <w:rFonts w:ascii="宋体" w:hAnsi="Times New Roman" w:eastAsia="宋体" w:cs="Times New Roman"/>
      <w:sz w:val="28"/>
      <w:szCs w:val="20"/>
    </w:rPr>
  </w:style>
  <w:style w:type="character" w:customStyle="1" w:styleId="1312">
    <w:name w:val="Char Char141"/>
    <w:qFormat/>
    <w:uiPriority w:val="0"/>
    <w:rPr>
      <w:kern w:val="2"/>
      <w:sz w:val="18"/>
      <w:szCs w:val="18"/>
    </w:rPr>
  </w:style>
  <w:style w:type="character" w:customStyle="1" w:styleId="1313">
    <w:name w:val="Char Char Char Char Char Char Char Char Char Char1"/>
    <w:qFormat/>
    <w:uiPriority w:val="0"/>
    <w:rPr>
      <w:rFonts w:hint="eastAsia" w:ascii="宋体" w:hAnsi="宋体" w:eastAsia="宋体" w:cs="宋体"/>
      <w:kern w:val="2"/>
      <w:sz w:val="24"/>
      <w:szCs w:val="28"/>
    </w:rPr>
  </w:style>
  <w:style w:type="character" w:customStyle="1" w:styleId="1314">
    <w:name w:val="Char Char142"/>
    <w:qFormat/>
    <w:uiPriority w:val="0"/>
    <w:rPr>
      <w:kern w:val="2"/>
      <w:sz w:val="18"/>
      <w:szCs w:val="18"/>
    </w:rPr>
  </w:style>
  <w:style w:type="character" w:customStyle="1" w:styleId="1315">
    <w:name w:val="标题1.1.1.1.1.1 Char1"/>
    <w:qFormat/>
    <w:uiPriority w:val="0"/>
    <w:rPr>
      <w:rFonts w:hint="default" w:ascii="Arial" w:hAnsi="Arial" w:eastAsia="黑体" w:cs="Arial"/>
      <w:b/>
      <w:snapToGrid w:val="0"/>
      <w:color w:val="008000"/>
      <w:kern w:val="2"/>
      <w:sz w:val="24"/>
      <w:szCs w:val="24"/>
      <w:lang w:val="en-US" w:eastAsia="zh-CN" w:bidi="ar-SA"/>
    </w:rPr>
  </w:style>
  <w:style w:type="character" w:customStyle="1" w:styleId="1316">
    <w:name w:val="Header Char"/>
    <w:qFormat/>
    <w:uiPriority w:val="0"/>
    <w:rPr>
      <w:rFonts w:hint="eastAsia" w:ascii="宋体" w:hAnsi="宋体" w:eastAsia="宋体"/>
      <w:b/>
      <w:color w:val="008000"/>
      <w:kern w:val="2"/>
      <w:sz w:val="18"/>
      <w:szCs w:val="24"/>
      <w:lang w:val="en-US" w:eastAsia="zh-CN" w:bidi="ar-SA"/>
    </w:rPr>
  </w:style>
  <w:style w:type="character" w:customStyle="1" w:styleId="1317">
    <w:name w:val="干标题(a) Char"/>
    <w:qFormat/>
    <w:uiPriority w:val="0"/>
    <w:rPr>
      <w:rFonts w:hint="default" w:ascii="Arial" w:hAnsi="Arial" w:eastAsia="黑体" w:cs="Arial"/>
      <w:b/>
      <w:snapToGrid w:val="0"/>
      <w:color w:val="008000"/>
      <w:kern w:val="2"/>
      <w:sz w:val="24"/>
      <w:szCs w:val="24"/>
      <w:lang w:val="en-US" w:eastAsia="zh-CN" w:bidi="ar-SA"/>
    </w:rPr>
  </w:style>
  <w:style w:type="character" w:customStyle="1" w:styleId="1318">
    <w:name w:val="表号 Char Char Char"/>
    <w:qFormat/>
    <w:uiPriority w:val="0"/>
    <w:rPr>
      <w:rFonts w:hint="eastAsia" w:ascii="宋体" w:hAnsi="宋体" w:eastAsia="宋体"/>
      <w:b/>
      <w:color w:val="008000"/>
      <w:kern w:val="2"/>
      <w:sz w:val="24"/>
      <w:szCs w:val="24"/>
      <w:lang w:val="en-US" w:eastAsia="zh-CN" w:bidi="ar-SA"/>
    </w:rPr>
  </w:style>
  <w:style w:type="character" w:customStyle="1" w:styleId="1319">
    <w:name w:val="grame"/>
    <w:qFormat/>
    <w:uiPriority w:val="0"/>
    <w:rPr>
      <w:rFonts w:hint="eastAsia" w:ascii="宋体" w:hAnsi="宋体" w:eastAsia="宋体"/>
      <w:b/>
      <w:color w:val="008000"/>
      <w:kern w:val="2"/>
      <w:sz w:val="24"/>
      <w:szCs w:val="24"/>
      <w:lang w:val="en-US" w:eastAsia="zh-CN" w:bidi="ar-SA"/>
    </w:rPr>
  </w:style>
  <w:style w:type="character" w:customStyle="1" w:styleId="1320">
    <w:name w:val="章 Char"/>
    <w:qFormat/>
    <w:uiPriority w:val="0"/>
    <w:rPr>
      <w:rFonts w:hint="eastAsia" w:ascii="黑体" w:hAnsi="黑体" w:eastAsia="宋体"/>
      <w:b/>
      <w:snapToGrid w:val="0"/>
      <w:color w:val="000000"/>
      <w:kern w:val="2"/>
      <w:sz w:val="44"/>
      <w:szCs w:val="24"/>
      <w:lang w:val="en-US" w:eastAsia="zh-CN" w:bidi="ar-SA"/>
    </w:rPr>
  </w:style>
  <w:style w:type="character" w:customStyle="1" w:styleId="1321">
    <w:name w:val="txt2"/>
    <w:qFormat/>
    <w:uiPriority w:val="0"/>
    <w:rPr>
      <w:rFonts w:hint="default" w:ascii="??" w:hAnsi="??" w:eastAsia="宋体"/>
      <w:b/>
      <w:color w:val="333333"/>
      <w:kern w:val="2"/>
      <w:sz w:val="24"/>
      <w:szCs w:val="24"/>
      <w:lang w:val="en-US" w:eastAsia="zh-CN" w:bidi="ar-SA"/>
    </w:rPr>
  </w:style>
  <w:style w:type="character" w:customStyle="1" w:styleId="1322">
    <w:name w:val="节 Char11"/>
    <w:qFormat/>
    <w:uiPriority w:val="0"/>
    <w:rPr>
      <w:rFonts w:hint="eastAsia" w:ascii="黑体" w:hAnsi="黑体" w:eastAsia="黑体"/>
      <w:b/>
      <w:snapToGrid w:val="0"/>
      <w:color w:val="008000"/>
      <w:kern w:val="2"/>
      <w:sz w:val="28"/>
      <w:szCs w:val="24"/>
      <w:lang w:val="en-US" w:eastAsia="zh-CN" w:bidi="ar-SA"/>
    </w:rPr>
  </w:style>
  <w:style w:type="character" w:customStyle="1" w:styleId="1323">
    <w:name w:val="标题 5 Char1"/>
    <w:qFormat/>
    <w:uiPriority w:val="0"/>
    <w:rPr>
      <w:rFonts w:hint="eastAsia" w:ascii="宋体" w:hAnsi="Times New Roman" w:eastAsia="宋体"/>
      <w:b/>
      <w:color w:val="008000"/>
      <w:kern w:val="2"/>
      <w:sz w:val="24"/>
      <w:szCs w:val="24"/>
      <w:lang w:val="en-US" w:eastAsia="zh-CN" w:bidi="ar-SA"/>
    </w:rPr>
  </w:style>
  <w:style w:type="character" w:customStyle="1" w:styleId="1324">
    <w:name w:val="样式 样式 样式4 + 黑色 + 自动设置 Char"/>
    <w:qFormat/>
    <w:uiPriority w:val="0"/>
    <w:rPr>
      <w:rFonts w:hint="eastAsia" w:ascii="华文中宋" w:hAnsi="华文中宋" w:eastAsia="华文中宋"/>
      <w:b/>
      <w:color w:val="000000"/>
      <w:kern w:val="2"/>
      <w:sz w:val="24"/>
      <w:szCs w:val="24"/>
      <w:lang w:val="en-US" w:eastAsia="zh-CN" w:bidi="ar-SA"/>
    </w:rPr>
  </w:style>
  <w:style w:type="character" w:customStyle="1" w:styleId="1325">
    <w:name w:val="标题 2 Char11"/>
    <w:qFormat/>
    <w:uiPriority w:val="0"/>
    <w:rPr>
      <w:rFonts w:hint="eastAsia" w:ascii="宋体" w:hAnsi="宋体" w:eastAsia="宋体"/>
      <w:b/>
      <w:color w:val="008000"/>
      <w:spacing w:val="-8"/>
      <w:w w:val="77"/>
      <w:kern w:val="2"/>
      <w:sz w:val="24"/>
      <w:szCs w:val="24"/>
      <w:lang w:val="en-US" w:eastAsia="zh-CN" w:bidi="ar-SA"/>
    </w:rPr>
  </w:style>
  <w:style w:type="character" w:customStyle="1" w:styleId="1326">
    <w:name w:val="标题 9 Char1"/>
    <w:qFormat/>
    <w:uiPriority w:val="0"/>
    <w:rPr>
      <w:rFonts w:hint="default" w:ascii="Arial" w:hAnsi="Arial" w:eastAsia="黑体" w:cs="Arial"/>
      <w:b/>
      <w:color w:val="008000"/>
      <w:kern w:val="2"/>
      <w:sz w:val="24"/>
      <w:szCs w:val="24"/>
      <w:lang w:val="en-US" w:eastAsia="zh-CN" w:bidi="ar-SA"/>
    </w:rPr>
  </w:style>
  <w:style w:type="character" w:customStyle="1" w:styleId="1327">
    <w:name w:val="项标题(1) Char"/>
    <w:qFormat/>
    <w:uiPriority w:val="0"/>
    <w:rPr>
      <w:rFonts w:hint="default" w:ascii="Times New Roman" w:hAnsi="Times New Roman" w:eastAsia="宋体" w:cs="Times New Roman"/>
      <w:b/>
      <w:snapToGrid w:val="0"/>
      <w:color w:val="008000"/>
      <w:kern w:val="2"/>
      <w:sz w:val="24"/>
      <w:szCs w:val="24"/>
      <w:lang w:val="en-US" w:eastAsia="zh-CN" w:bidi="ar-SA"/>
    </w:rPr>
  </w:style>
  <w:style w:type="character" w:customStyle="1" w:styleId="1328">
    <w:name w:val="标题（五） Char"/>
    <w:qFormat/>
    <w:uiPriority w:val="0"/>
    <w:rPr>
      <w:rFonts w:hint="default" w:ascii="Times New Roman" w:hAnsi="Times New Roman" w:eastAsia="宋体" w:cs="Times New Roman"/>
      <w:b/>
      <w:snapToGrid w:val="0"/>
      <w:color w:val="008000"/>
      <w:kern w:val="2"/>
      <w:sz w:val="28"/>
      <w:szCs w:val="24"/>
      <w:lang w:val="en-US" w:eastAsia="zh-CN" w:bidi="ar-SA"/>
    </w:rPr>
  </w:style>
  <w:style w:type="character" w:customStyle="1" w:styleId="1329">
    <w:name w:val="已访问的超链接1"/>
    <w:qFormat/>
    <w:uiPriority w:val="0"/>
    <w:rPr>
      <w:color w:val="800080"/>
      <w:u w:val="single"/>
    </w:rPr>
  </w:style>
  <w:style w:type="character" w:customStyle="1" w:styleId="1330">
    <w:name w:val="表号 Char"/>
    <w:qFormat/>
    <w:uiPriority w:val="0"/>
    <w:rPr>
      <w:rFonts w:hint="eastAsia" w:ascii="宋体" w:hAnsi="宋体" w:eastAsia="宋体"/>
      <w:b/>
      <w:color w:val="008000"/>
      <w:kern w:val="2"/>
      <w:sz w:val="18"/>
      <w:szCs w:val="24"/>
      <w:lang w:val="en-US" w:eastAsia="zh-CN" w:bidi="ar-SA"/>
    </w:rPr>
  </w:style>
  <w:style w:type="character" w:customStyle="1" w:styleId="1331">
    <w:name w:val="目标题 1) Char"/>
    <w:qFormat/>
    <w:uiPriority w:val="0"/>
    <w:rPr>
      <w:rFonts w:hint="default" w:ascii="Arial" w:hAnsi="Arial" w:eastAsia="黑体" w:cs="Arial"/>
      <w:b/>
      <w:snapToGrid w:val="0"/>
      <w:color w:val="008000"/>
      <w:kern w:val="2"/>
      <w:sz w:val="24"/>
      <w:szCs w:val="24"/>
      <w:lang w:val="en-US" w:eastAsia="zh-CN" w:bidi="ar-SA"/>
    </w:rPr>
  </w:style>
  <w:style w:type="character" w:customStyle="1" w:styleId="1332">
    <w:name w:val="样式 右侧:  0 厘米 段前: 0.5 行 Char"/>
    <w:qFormat/>
    <w:uiPriority w:val="0"/>
    <w:rPr>
      <w:rFonts w:hint="eastAsia" w:ascii="宋体" w:hAnsi="宋体" w:eastAsia="宋体"/>
      <w:b/>
      <w:color w:val="008000"/>
      <w:kern w:val="2"/>
      <w:sz w:val="24"/>
      <w:szCs w:val="24"/>
      <w:lang w:val="en-US" w:eastAsia="zh-CN" w:bidi="ar-SA"/>
    </w:rPr>
  </w:style>
  <w:style w:type="character" w:customStyle="1" w:styleId="1333">
    <w:name w:val="四级标题 Char"/>
    <w:qFormat/>
    <w:uiPriority w:val="0"/>
    <w:rPr>
      <w:rFonts w:hint="eastAsia" w:ascii="华文中宋" w:hAnsi="华文中宋" w:eastAsia="华文中宋"/>
      <w:b/>
      <w:color w:val="008000"/>
      <w:kern w:val="2"/>
      <w:sz w:val="24"/>
      <w:szCs w:val="24"/>
      <w:lang w:val="en-US" w:eastAsia="zh-CN" w:bidi="ar-SA"/>
    </w:rPr>
  </w:style>
  <w:style w:type="character" w:customStyle="1" w:styleId="1334">
    <w:name w:val="FollowedHyperlink1"/>
    <w:qFormat/>
    <w:uiPriority w:val="0"/>
    <w:rPr>
      <w:color w:val="800080"/>
      <w:u w:val="single"/>
    </w:rPr>
  </w:style>
  <w:style w:type="character" w:customStyle="1" w:styleId="1335">
    <w:name w:val="标题 3 Char2"/>
    <w:qFormat/>
    <w:uiPriority w:val="0"/>
    <w:rPr>
      <w:rFonts w:hint="eastAsia" w:ascii="黑体" w:hAnsi="黑体" w:eastAsia="黑体"/>
      <w:snapToGrid w:val="0"/>
    </w:rPr>
  </w:style>
  <w:style w:type="character" w:customStyle="1" w:styleId="1336">
    <w:name w:val="章 Char1"/>
    <w:qFormat/>
    <w:uiPriority w:val="0"/>
    <w:rPr>
      <w:rFonts w:hint="eastAsia" w:ascii="黑体" w:hAnsi="黑体" w:eastAsia="黑体"/>
      <w:b/>
      <w:snapToGrid w:val="0"/>
      <w:color w:val="000000"/>
      <w:kern w:val="2"/>
      <w:sz w:val="44"/>
      <w:szCs w:val="24"/>
      <w:lang w:val="en-US" w:eastAsia="zh-CN" w:bidi="ar-SA"/>
    </w:rPr>
  </w:style>
  <w:style w:type="character" w:customStyle="1" w:styleId="1337">
    <w:name w:val="text12px1"/>
    <w:qFormat/>
    <w:uiPriority w:val="0"/>
    <w:rPr>
      <w:rFonts w:hint="eastAsia" w:ascii="宋体" w:hAnsi="宋体" w:eastAsia="宋体"/>
      <w:b/>
      <w:color w:val="000000"/>
      <w:kern w:val="2"/>
      <w:sz w:val="18"/>
      <w:szCs w:val="24"/>
      <w:lang w:val="en-US" w:eastAsia="zh-CN" w:bidi="ar-SA"/>
    </w:rPr>
  </w:style>
  <w:style w:type="character" w:customStyle="1" w:styleId="1338">
    <w:name w:val="页码1"/>
    <w:qFormat/>
    <w:uiPriority w:val="0"/>
  </w:style>
  <w:style w:type="character" w:customStyle="1" w:styleId="1339">
    <w:name w:val="样式 样式 样式 行距: 固定值 22 磅 + 首行缩进:  2 字符 + 首行缩进:  2 字符 Char"/>
    <w:qFormat/>
    <w:uiPriority w:val="0"/>
    <w:rPr>
      <w:rFonts w:hint="eastAsia" w:ascii="华文中宋" w:hAnsi="华文中宋" w:eastAsia="华文中宋"/>
      <w:b/>
      <w:color w:val="008000"/>
      <w:kern w:val="2"/>
      <w:sz w:val="24"/>
      <w:szCs w:val="24"/>
      <w:lang w:val="en-US" w:eastAsia="zh-CN" w:bidi="ar-SA"/>
    </w:rPr>
  </w:style>
  <w:style w:type="character" w:customStyle="1" w:styleId="1340">
    <w:name w:val="样式3 Char"/>
    <w:qFormat/>
    <w:uiPriority w:val="0"/>
    <w:rPr>
      <w:rFonts w:hint="eastAsia" w:ascii="黑体" w:hAnsi="黑体" w:eastAsia="黑体"/>
      <w:b/>
      <w:color w:val="008000"/>
      <w:kern w:val="2"/>
      <w:sz w:val="24"/>
      <w:szCs w:val="24"/>
      <w:lang w:val="en-US" w:eastAsia="zh-CN" w:bidi="ar-SA"/>
    </w:rPr>
  </w:style>
  <w:style w:type="character" w:customStyle="1" w:styleId="1341">
    <w:name w:val="二章正文 Char1"/>
    <w:qFormat/>
    <w:uiPriority w:val="0"/>
    <w:rPr>
      <w:rFonts w:hint="eastAsia" w:ascii="宋体" w:hAnsi="宋体" w:eastAsia="宋体"/>
      <w:b/>
      <w:color w:val="000000"/>
      <w:kern w:val="2"/>
      <w:sz w:val="24"/>
      <w:szCs w:val="24"/>
      <w:lang w:val="en-US" w:eastAsia="zh-CN" w:bidi="ar-SA"/>
    </w:rPr>
  </w:style>
  <w:style w:type="character" w:customStyle="1" w:styleId="1342">
    <w:name w:val="文本条款 Char2"/>
    <w:qFormat/>
    <w:uiPriority w:val="0"/>
    <w:rPr>
      <w:rFonts w:hint="eastAsia" w:ascii="宋体" w:hAnsi="宋体" w:eastAsia="宋体"/>
      <w:b/>
      <w:color w:val="008000"/>
      <w:kern w:val="2"/>
      <w:sz w:val="24"/>
      <w:szCs w:val="24"/>
      <w:lang w:val="en-US" w:eastAsia="zh-CN" w:bidi="ar-SA"/>
    </w:rPr>
  </w:style>
  <w:style w:type="character" w:customStyle="1" w:styleId="1343">
    <w:name w:val="样式17 Char Char Char Char"/>
    <w:qFormat/>
    <w:uiPriority w:val="0"/>
    <w:rPr>
      <w:rFonts w:hint="eastAsia" w:ascii="华文中宋" w:hAnsi="华文中宋" w:eastAsia="华文中宋"/>
      <w:b/>
      <w:color w:val="008000"/>
      <w:kern w:val="2"/>
      <w:sz w:val="24"/>
      <w:szCs w:val="24"/>
      <w:lang w:val="en-US" w:eastAsia="zh-CN" w:bidi="ar-SA"/>
    </w:rPr>
  </w:style>
  <w:style w:type="character" w:customStyle="1" w:styleId="1344">
    <w:name w:val="标题（五） Char1"/>
    <w:qFormat/>
    <w:uiPriority w:val="0"/>
    <w:rPr>
      <w:rFonts w:hint="default" w:ascii="Times New Roman" w:hAnsi="Times New Roman" w:eastAsia="宋体" w:cs="Times New Roman"/>
      <w:b/>
      <w:snapToGrid w:val="0"/>
      <w:color w:val="008000"/>
      <w:kern w:val="2"/>
      <w:sz w:val="28"/>
      <w:szCs w:val="24"/>
      <w:lang w:val="en-US" w:eastAsia="zh-CN" w:bidi="ar-SA"/>
    </w:rPr>
  </w:style>
  <w:style w:type="character" w:customStyle="1" w:styleId="1345">
    <w:name w:val="MB2 Char Char"/>
    <w:qFormat/>
    <w:uiPriority w:val="0"/>
    <w:rPr>
      <w:rFonts w:hint="default" w:ascii="Arial" w:hAnsi="Arial" w:eastAsia="黑体" w:cs="Arial"/>
      <w:b/>
      <w:color w:val="008000"/>
      <w:kern w:val="2"/>
      <w:sz w:val="32"/>
      <w:szCs w:val="24"/>
      <w:lang w:val="en-US" w:eastAsia="zh-CN" w:bidi="ar-SA"/>
    </w:rPr>
  </w:style>
  <w:style w:type="character" w:customStyle="1" w:styleId="1346">
    <w:name w:val="王勇 Char"/>
    <w:qFormat/>
    <w:uiPriority w:val="0"/>
    <w:rPr>
      <w:rFonts w:hint="eastAsia" w:ascii="宋体" w:hAnsi="宋体" w:eastAsia="宋体"/>
      <w:b/>
      <w:color w:val="008000"/>
      <w:kern w:val="2"/>
      <w:sz w:val="24"/>
      <w:szCs w:val="24"/>
      <w:lang w:val="en-US" w:eastAsia="zh-CN" w:bidi="ar-SA"/>
    </w:rPr>
  </w:style>
  <w:style w:type="character" w:customStyle="1" w:styleId="1347">
    <w:name w:val="h Char"/>
    <w:qFormat/>
    <w:uiPriority w:val="0"/>
    <w:rPr>
      <w:rFonts w:hint="eastAsia" w:ascii="幼圆" w:hAnsi="幼圆" w:eastAsia="幼圆"/>
      <w:b/>
      <w:color w:val="008000"/>
      <w:kern w:val="2"/>
      <w:sz w:val="18"/>
      <w:szCs w:val="24"/>
      <w:lang w:val="en-US" w:eastAsia="zh-CN" w:bidi="ar-SA"/>
    </w:rPr>
  </w:style>
  <w:style w:type="character" w:customStyle="1" w:styleId="1348">
    <w:name w:val="Char Char43"/>
    <w:qFormat/>
    <w:uiPriority w:val="0"/>
    <w:rPr>
      <w:rFonts w:hint="eastAsia" w:ascii="黑体" w:hAnsi="黑体" w:eastAsia="宋体"/>
      <w:b/>
      <w:snapToGrid w:val="0"/>
      <w:color w:val="000000"/>
      <w:kern w:val="2"/>
      <w:sz w:val="44"/>
      <w:szCs w:val="24"/>
      <w:lang w:val="en-US" w:eastAsia="zh-CN" w:bidi="ar-SA"/>
    </w:rPr>
  </w:style>
  <w:style w:type="character" w:customStyle="1" w:styleId="1349">
    <w:name w:val="Char Char42"/>
    <w:qFormat/>
    <w:uiPriority w:val="0"/>
    <w:rPr>
      <w:rFonts w:hint="eastAsia" w:ascii="黑体" w:hAnsi="黑体" w:eastAsia="黑体"/>
      <w:b/>
      <w:snapToGrid w:val="0"/>
      <w:color w:val="008000"/>
      <w:kern w:val="2"/>
      <w:sz w:val="28"/>
      <w:szCs w:val="24"/>
      <w:lang w:val="en-US" w:eastAsia="zh-CN" w:bidi="ar-SA"/>
    </w:rPr>
  </w:style>
  <w:style w:type="character" w:customStyle="1" w:styleId="1350">
    <w:name w:val="Char Char41"/>
    <w:qFormat/>
    <w:uiPriority w:val="0"/>
    <w:rPr>
      <w:rFonts w:hint="eastAsia" w:ascii="黑体" w:hAnsi="黑体" w:eastAsia="黑体"/>
      <w:b/>
      <w:snapToGrid w:val="0"/>
      <w:color w:val="008000"/>
      <w:kern w:val="2"/>
      <w:sz w:val="24"/>
      <w:szCs w:val="24"/>
      <w:lang w:val="en-US" w:eastAsia="zh-CN" w:bidi="ar-SA"/>
    </w:rPr>
  </w:style>
  <w:style w:type="paragraph" w:customStyle="1" w:styleId="1351">
    <w:name w:val="样式 标题 6 + 自动设置 首行缩进:  2 字符1"/>
    <w:basedOn w:val="11"/>
    <w:link w:val="1352"/>
    <w:qFormat/>
    <w:uiPriority w:val="0"/>
    <w:pPr>
      <w:keepLines w:val="0"/>
      <w:adjustRightInd w:val="0"/>
      <w:snapToGrid w:val="0"/>
      <w:spacing w:before="0" w:after="0" w:line="360" w:lineRule="auto"/>
      <w:ind w:firstLine="600" w:firstLineChars="200"/>
    </w:pPr>
    <w:rPr>
      <w:rFonts w:eastAsia="宋体" w:cs="宋体"/>
      <w:b w:val="0"/>
      <w:bCs w:val="0"/>
      <w:snapToGrid w:val="0"/>
      <w:color w:val="000000"/>
      <w:spacing w:val="10"/>
      <w:kern w:val="0"/>
      <w:sz w:val="28"/>
      <w:szCs w:val="28"/>
    </w:rPr>
  </w:style>
  <w:style w:type="character" w:customStyle="1" w:styleId="1352">
    <w:name w:val="样式 标题 6 + 自动设置 首行缩进:  2 字符1 Char"/>
    <w:link w:val="1351"/>
    <w:qFormat/>
    <w:uiPriority w:val="0"/>
    <w:rPr>
      <w:rFonts w:ascii="Times New Roman" w:hAnsi="Times New Roman" w:eastAsia="宋体" w:cs="宋体"/>
      <w:snapToGrid w:val="0"/>
      <w:color w:val="000000"/>
      <w:spacing w:val="10"/>
      <w:kern w:val="0"/>
      <w:sz w:val="28"/>
      <w:szCs w:val="28"/>
    </w:rPr>
  </w:style>
  <w:style w:type="paragraph" w:customStyle="1" w:styleId="1353">
    <w:name w:val="样式 样式 表格 + 左侧:  0.98 厘米 + 居中"/>
    <w:basedOn w:val="1198"/>
    <w:qFormat/>
    <w:uiPriority w:val="0"/>
    <w:pPr>
      <w:jc w:val="center"/>
    </w:pPr>
  </w:style>
  <w:style w:type="paragraph" w:customStyle="1" w:styleId="1354">
    <w:name w:val="样式 样式 标题 3 + 首行缩进:  0 厘米1 + 首行缩进:  0 厘米"/>
    <w:basedOn w:val="1255"/>
    <w:qFormat/>
    <w:uiPriority w:val="0"/>
    <w:pPr>
      <w:ind w:firstLine="100"/>
    </w:pPr>
  </w:style>
  <w:style w:type="paragraph" w:customStyle="1" w:styleId="1355">
    <w:name w:val="样式 样式 样式 标题 3 + 首行缩进:  0 厘米1 + 首行缩进:  0 厘米 + 首行缩进:  0 字符"/>
    <w:basedOn w:val="1354"/>
    <w:qFormat/>
    <w:uiPriority w:val="0"/>
    <w:pPr>
      <w:ind w:firstLine="0"/>
    </w:pPr>
  </w:style>
  <w:style w:type="paragraph" w:customStyle="1" w:styleId="1356">
    <w:name w:val="基准标题"/>
    <w:basedOn w:val="1221"/>
    <w:next w:val="1221"/>
    <w:qFormat/>
    <w:uiPriority w:val="0"/>
    <w:pPr>
      <w:widowControl/>
      <w:spacing w:after="0"/>
      <w:jc w:val="left"/>
    </w:pPr>
    <w:rPr>
      <w:rFonts w:ascii="宋体"/>
      <w:color w:val="000000"/>
      <w:sz w:val="21"/>
    </w:rPr>
  </w:style>
  <w:style w:type="paragraph" w:customStyle="1" w:styleId="1357">
    <w:name w:val="样式 正文文本缩进 2 + 左侧:  0.98 厘米 首行缩进:  2 字符"/>
    <w:basedOn w:val="1190"/>
    <w:qFormat/>
    <w:uiPriority w:val="0"/>
    <w:pPr>
      <w:ind w:firstLine="560"/>
    </w:pPr>
    <w:rPr>
      <w:rFonts w:ascii="Times New Roman" w:eastAsia="仿宋_GB2312"/>
      <w:sz w:val="28"/>
    </w:rPr>
  </w:style>
  <w:style w:type="character" w:customStyle="1" w:styleId="1358">
    <w:name w:val="节 Char1"/>
    <w:qFormat/>
    <w:uiPriority w:val="0"/>
    <w:rPr>
      <w:rFonts w:hint="eastAsia" w:ascii="黑体" w:eastAsia="黑体"/>
      <w:b/>
      <w:snapToGrid w:val="0"/>
      <w:color w:val="008000"/>
      <w:kern w:val="2"/>
      <w:sz w:val="28"/>
      <w:szCs w:val="24"/>
      <w:lang w:val="en-US" w:eastAsia="zh-CN" w:bidi="ar-SA"/>
    </w:rPr>
  </w:style>
  <w:style w:type="character" w:customStyle="1" w:styleId="1359">
    <w:name w:val="特点 Char12"/>
    <w:qFormat/>
    <w:uiPriority w:val="0"/>
    <w:rPr>
      <w:rFonts w:hint="default" w:eastAsia="宋体"/>
      <w:b/>
      <w:color w:val="008000"/>
      <w:kern w:val="2"/>
      <w:sz w:val="24"/>
      <w:szCs w:val="24"/>
      <w:lang w:val="en-US" w:eastAsia="zh-CN" w:bidi="ar-SA"/>
    </w:rPr>
  </w:style>
  <w:style w:type="character" w:customStyle="1" w:styleId="1360">
    <w:name w:val="正文缩进 Char Char Char Char Char Char Char Char Char Char Char Char Char1"/>
    <w:qFormat/>
    <w:uiPriority w:val="0"/>
    <w:rPr>
      <w:rFonts w:hint="default" w:ascii="Times New Roman" w:eastAsia="宋体"/>
      <w:b/>
      <w:snapToGrid w:val="0"/>
      <w:color w:val="008000"/>
      <w:kern w:val="2"/>
      <w:sz w:val="24"/>
      <w:szCs w:val="24"/>
      <w:lang w:val="en-US" w:eastAsia="zh-CN" w:bidi="ar-SA"/>
    </w:rPr>
  </w:style>
  <w:style w:type="paragraph" w:customStyle="1" w:styleId="1361">
    <w:name w:val="Char Char Char Char Char Char1 Char Char Char1 Char1"/>
    <w:basedOn w:val="1"/>
    <w:qFormat/>
    <w:uiPriority w:val="0"/>
    <w:pPr>
      <w:ind w:firstLine="200" w:firstLineChars="200"/>
    </w:pPr>
    <w:rPr>
      <w:rFonts w:hint="eastAsia" w:ascii="宋体" w:hAnsi="宋体" w:eastAsia="宋体" w:cs="Times New Roman"/>
      <w:sz w:val="24"/>
      <w:szCs w:val="20"/>
    </w:rPr>
  </w:style>
  <w:style w:type="paragraph" w:customStyle="1" w:styleId="1362">
    <w:name w:val="Char Char Char Char Char Char31"/>
    <w:basedOn w:val="1"/>
    <w:qFormat/>
    <w:uiPriority w:val="0"/>
    <w:pPr>
      <w:ind w:firstLine="200" w:firstLineChars="200"/>
    </w:pPr>
    <w:rPr>
      <w:rFonts w:hint="eastAsia" w:ascii="宋体" w:hAnsi="宋体" w:eastAsia="宋体" w:cs="Times New Roman"/>
      <w:sz w:val="24"/>
      <w:szCs w:val="20"/>
    </w:rPr>
  </w:style>
  <w:style w:type="paragraph" w:customStyle="1" w:styleId="1363">
    <w:name w:val="Char Char Char1 Char Char Char Char Char Char1"/>
    <w:basedOn w:val="1"/>
    <w:qFormat/>
    <w:uiPriority w:val="0"/>
    <w:rPr>
      <w:rFonts w:hint="eastAsia" w:ascii="Times New Roman" w:hAnsi="Times New Roman" w:eastAsia="宋体" w:cs="Times New Roman"/>
      <w:sz w:val="24"/>
      <w:szCs w:val="20"/>
    </w:rPr>
  </w:style>
  <w:style w:type="paragraph" w:customStyle="1" w:styleId="1364">
    <w:name w:val="Char Char Char Char Char Char3 Char Char Char1"/>
    <w:basedOn w:val="1"/>
    <w:qFormat/>
    <w:uiPriority w:val="0"/>
    <w:pPr>
      <w:ind w:firstLine="200" w:firstLineChars="200"/>
    </w:pPr>
    <w:rPr>
      <w:rFonts w:hint="eastAsia" w:ascii="宋体" w:hAnsi="宋体" w:eastAsia="宋体" w:cs="Times New Roman"/>
      <w:sz w:val="24"/>
      <w:szCs w:val="20"/>
    </w:rPr>
  </w:style>
  <w:style w:type="paragraph" w:customStyle="1" w:styleId="1365">
    <w:name w:val="Char Char Char Char Char Char Char Char Char1 Char Char Char Char1"/>
    <w:basedOn w:val="1"/>
    <w:qFormat/>
    <w:uiPriority w:val="0"/>
    <w:pPr>
      <w:spacing w:line="240" w:lineRule="auto"/>
    </w:pPr>
    <w:rPr>
      <w:rFonts w:hint="eastAsia" w:ascii="Times New Roman" w:hAnsi="Times New Roman" w:eastAsia="宋体" w:cs="Times New Roman"/>
      <w:sz w:val="24"/>
      <w:szCs w:val="20"/>
    </w:rPr>
  </w:style>
  <w:style w:type="paragraph" w:customStyle="1" w:styleId="1366">
    <w:name w:val="Char Char Char Char Char Char1 Char Char Char2"/>
    <w:basedOn w:val="1"/>
    <w:qFormat/>
    <w:uiPriority w:val="0"/>
    <w:pPr>
      <w:ind w:firstLine="200" w:firstLineChars="200"/>
    </w:pPr>
    <w:rPr>
      <w:rFonts w:hint="eastAsia" w:ascii="宋体" w:hAnsi="宋体" w:eastAsia="宋体" w:cs="Times New Roman"/>
      <w:sz w:val="24"/>
      <w:szCs w:val="20"/>
    </w:rPr>
  </w:style>
  <w:style w:type="paragraph" w:customStyle="1" w:styleId="1367">
    <w:name w:val="Char Char Char Char Char Char1 Char Char Char1 Char Char Char1"/>
    <w:basedOn w:val="1"/>
    <w:qFormat/>
    <w:uiPriority w:val="0"/>
    <w:pPr>
      <w:ind w:firstLine="200" w:firstLineChars="200"/>
    </w:pPr>
    <w:rPr>
      <w:rFonts w:hint="eastAsia" w:ascii="宋体" w:hAnsi="宋体" w:eastAsia="宋体" w:cs="Times New Roman"/>
      <w:sz w:val="24"/>
      <w:szCs w:val="20"/>
    </w:rPr>
  </w:style>
  <w:style w:type="paragraph" w:customStyle="1" w:styleId="1368">
    <w:name w:val="Char Char Char Char Char Char21"/>
    <w:basedOn w:val="1"/>
    <w:qFormat/>
    <w:uiPriority w:val="0"/>
    <w:pPr>
      <w:ind w:firstLine="200" w:firstLineChars="200"/>
    </w:pPr>
    <w:rPr>
      <w:rFonts w:hint="eastAsia" w:ascii="宋体" w:hAnsi="宋体" w:eastAsia="宋体" w:cs="Times New Roman"/>
      <w:sz w:val="24"/>
      <w:szCs w:val="20"/>
    </w:rPr>
  </w:style>
  <w:style w:type="paragraph" w:customStyle="1" w:styleId="1369">
    <w:name w:val="Char Char Char Char Char Char3 Char Char Char Char Char Char1"/>
    <w:basedOn w:val="1"/>
    <w:qFormat/>
    <w:uiPriority w:val="0"/>
    <w:pPr>
      <w:ind w:firstLine="200" w:firstLineChars="200"/>
    </w:pPr>
    <w:rPr>
      <w:rFonts w:hint="eastAsia" w:ascii="宋体" w:hAnsi="宋体" w:eastAsia="宋体" w:cs="Times New Roman"/>
      <w:sz w:val="24"/>
      <w:szCs w:val="20"/>
    </w:rPr>
  </w:style>
  <w:style w:type="paragraph" w:customStyle="1" w:styleId="1370">
    <w:name w:val="Char41"/>
    <w:basedOn w:val="1"/>
    <w:qFormat/>
    <w:uiPriority w:val="0"/>
    <w:pPr>
      <w:ind w:firstLine="200" w:firstLineChars="200"/>
    </w:pPr>
    <w:rPr>
      <w:rFonts w:hint="eastAsia" w:ascii="宋体" w:hAnsi="宋体" w:eastAsia="宋体" w:cs="Times New Roman"/>
      <w:sz w:val="24"/>
      <w:szCs w:val="20"/>
    </w:rPr>
  </w:style>
  <w:style w:type="paragraph" w:customStyle="1" w:styleId="1371">
    <w:name w:val="Char Char Char Char Char Char Char Char Char Char1 Char Char Char Char1"/>
    <w:basedOn w:val="1"/>
    <w:qFormat/>
    <w:uiPriority w:val="0"/>
    <w:pPr>
      <w:spacing w:line="240" w:lineRule="auto"/>
    </w:pPr>
    <w:rPr>
      <w:rFonts w:hint="eastAsia" w:ascii="Times New Roman" w:hAnsi="Times New Roman" w:eastAsia="宋体" w:cs="Times New Roman"/>
      <w:szCs w:val="20"/>
    </w:rPr>
  </w:style>
  <w:style w:type="paragraph" w:customStyle="1" w:styleId="1372">
    <w:name w:val="Char Char Char1 Char Char Char Char Char Char Char1"/>
    <w:basedOn w:val="1"/>
    <w:qFormat/>
    <w:uiPriority w:val="0"/>
    <w:rPr>
      <w:rFonts w:hint="eastAsia" w:ascii="Times New Roman" w:hAnsi="Times New Roman" w:eastAsia="宋体" w:cs="Times New Roman"/>
      <w:sz w:val="24"/>
      <w:szCs w:val="20"/>
    </w:rPr>
  </w:style>
  <w:style w:type="paragraph" w:customStyle="1" w:styleId="1373">
    <w:name w:val="Char Char Char Char Char Char1 Char Char Char1 Char Char Char Char Char Char1"/>
    <w:basedOn w:val="1"/>
    <w:qFormat/>
    <w:uiPriority w:val="0"/>
    <w:pPr>
      <w:ind w:firstLine="200" w:firstLineChars="200"/>
    </w:pPr>
    <w:rPr>
      <w:rFonts w:hint="eastAsia" w:ascii="宋体" w:hAnsi="宋体" w:eastAsia="宋体" w:cs="Times New Roman"/>
      <w:sz w:val="24"/>
      <w:szCs w:val="20"/>
    </w:rPr>
  </w:style>
  <w:style w:type="paragraph" w:customStyle="1" w:styleId="1374">
    <w:name w:val="Char1 Char Char Char Char Char Char1"/>
    <w:basedOn w:val="1"/>
    <w:qFormat/>
    <w:uiPriority w:val="0"/>
    <w:pPr>
      <w:ind w:firstLine="200" w:firstLineChars="200"/>
    </w:pPr>
    <w:rPr>
      <w:rFonts w:hint="eastAsia" w:ascii="宋体" w:hAnsi="宋体" w:eastAsia="宋体" w:cs="Times New Roman"/>
      <w:sz w:val="24"/>
      <w:szCs w:val="20"/>
    </w:rPr>
  </w:style>
  <w:style w:type="paragraph" w:customStyle="1" w:styleId="1375">
    <w:name w:val="Char Char Char Char Char Char1 Char Char Char Char1"/>
    <w:basedOn w:val="1"/>
    <w:qFormat/>
    <w:uiPriority w:val="0"/>
    <w:pPr>
      <w:ind w:firstLine="200" w:firstLineChars="200"/>
    </w:pPr>
    <w:rPr>
      <w:rFonts w:hint="eastAsia" w:ascii="宋体" w:hAnsi="宋体" w:eastAsia="宋体" w:cs="Times New Roman"/>
      <w:sz w:val="24"/>
      <w:szCs w:val="20"/>
    </w:rPr>
  </w:style>
  <w:style w:type="paragraph" w:customStyle="1" w:styleId="1376">
    <w:name w:val="Char Char Char1 Char11"/>
    <w:basedOn w:val="1"/>
    <w:qFormat/>
    <w:uiPriority w:val="0"/>
    <w:pPr>
      <w:spacing w:line="240" w:lineRule="auto"/>
    </w:pPr>
    <w:rPr>
      <w:rFonts w:hint="eastAsia" w:ascii="Times New Roman" w:hAnsi="Times New Roman" w:eastAsia="宋体" w:cs="Times New Roman"/>
      <w:szCs w:val="20"/>
    </w:rPr>
  </w:style>
  <w:style w:type="paragraph" w:customStyle="1" w:styleId="1377">
    <w:name w:val="Char Char Char Char Char Char1 Char Char Char11"/>
    <w:basedOn w:val="1"/>
    <w:qFormat/>
    <w:uiPriority w:val="0"/>
    <w:pPr>
      <w:ind w:firstLine="200" w:firstLineChars="200"/>
    </w:pPr>
    <w:rPr>
      <w:rFonts w:hint="eastAsia" w:ascii="宋体" w:hAnsi="宋体" w:eastAsia="宋体" w:cs="Times New Roman"/>
      <w:sz w:val="24"/>
      <w:szCs w:val="20"/>
    </w:rPr>
  </w:style>
  <w:style w:type="paragraph" w:customStyle="1" w:styleId="1378">
    <w:name w:val="Char Char Char Char Char Char3 Char Char Char Char Char Char Char1"/>
    <w:basedOn w:val="1"/>
    <w:qFormat/>
    <w:uiPriority w:val="0"/>
    <w:pPr>
      <w:ind w:firstLine="200" w:firstLineChars="200"/>
    </w:pPr>
    <w:rPr>
      <w:rFonts w:hint="eastAsia" w:ascii="宋体" w:hAnsi="宋体" w:eastAsia="宋体" w:cs="Times New Roman"/>
      <w:sz w:val="24"/>
      <w:szCs w:val="20"/>
    </w:rPr>
  </w:style>
  <w:style w:type="paragraph" w:customStyle="1" w:styleId="1379">
    <w:name w:val="Char Char Char Char Char Char Char Char Char Char Char Char Char Char Char Char Char Char Char Char Char Char Char Char Char Char Char Char Char Char Char Char Char Char1"/>
    <w:basedOn w:val="1"/>
    <w:qFormat/>
    <w:uiPriority w:val="0"/>
    <w:pPr>
      <w:ind w:firstLine="200" w:firstLineChars="200"/>
    </w:pPr>
    <w:rPr>
      <w:rFonts w:hint="eastAsia" w:ascii="宋体" w:hAnsi="宋体" w:eastAsia="宋体" w:cs="Times New Roman"/>
      <w:sz w:val="24"/>
      <w:szCs w:val="20"/>
    </w:rPr>
  </w:style>
  <w:style w:type="paragraph" w:customStyle="1" w:styleId="1380">
    <w:name w:val="Char Char Char Char Char Char Char Char Char Char Char Char Char Char Char Char Char Char Char Char Char1 Char1"/>
    <w:basedOn w:val="1"/>
    <w:qFormat/>
    <w:uiPriority w:val="0"/>
    <w:pPr>
      <w:ind w:firstLine="200" w:firstLineChars="200"/>
    </w:pPr>
    <w:rPr>
      <w:rFonts w:hint="eastAsia" w:ascii="宋体" w:hAnsi="宋体" w:eastAsia="宋体" w:cs="Times New Roman"/>
      <w:sz w:val="24"/>
      <w:szCs w:val="20"/>
    </w:rPr>
  </w:style>
  <w:style w:type="paragraph" w:customStyle="1" w:styleId="1381">
    <w:name w:val="Char2 Char Char Char Char Char Char Char Char Char Char Char Char Char1 Char Char Char Char Char Char Char Char Char Char Char Char Char Char Char1 Char1"/>
    <w:basedOn w:val="1"/>
    <w:qFormat/>
    <w:uiPriority w:val="0"/>
    <w:pPr>
      <w:spacing w:line="240" w:lineRule="auto"/>
    </w:pPr>
    <w:rPr>
      <w:rFonts w:ascii="Tahoma" w:hAnsi="Tahoma" w:eastAsia="宋体" w:cs="Tahoma"/>
      <w:b/>
      <w:bCs/>
      <w:sz w:val="24"/>
      <w:szCs w:val="44"/>
    </w:rPr>
  </w:style>
  <w:style w:type="paragraph" w:customStyle="1" w:styleId="1382">
    <w:name w:val="Char Char Char Char Char Char1 Char Char Char1 Char Char Char Char Char Char Char1"/>
    <w:basedOn w:val="1"/>
    <w:qFormat/>
    <w:uiPriority w:val="0"/>
    <w:pPr>
      <w:ind w:firstLine="200" w:firstLineChars="200"/>
    </w:pPr>
    <w:rPr>
      <w:rFonts w:ascii="Times New Roman" w:hAnsi="Times New Roman" w:eastAsia="宋体" w:cs="Times New Roman"/>
      <w:sz w:val="24"/>
      <w:szCs w:val="20"/>
    </w:rPr>
  </w:style>
  <w:style w:type="character" w:customStyle="1" w:styleId="1383">
    <w:name w:val="Char Char431"/>
    <w:qFormat/>
    <w:uiPriority w:val="0"/>
    <w:rPr>
      <w:rFonts w:ascii="黑体" w:eastAsia="宋体"/>
      <w:b/>
      <w:snapToGrid w:val="0"/>
      <w:color w:val="000000"/>
      <w:kern w:val="2"/>
      <w:sz w:val="44"/>
      <w:szCs w:val="24"/>
      <w:lang w:val="en-US" w:eastAsia="zh-CN" w:bidi="ar-SA"/>
    </w:rPr>
  </w:style>
  <w:style w:type="character" w:customStyle="1" w:styleId="1384">
    <w:name w:val="Char Char421"/>
    <w:qFormat/>
    <w:uiPriority w:val="0"/>
    <w:rPr>
      <w:rFonts w:hint="eastAsia" w:ascii="黑体" w:eastAsia="黑体"/>
      <w:b/>
      <w:snapToGrid w:val="0"/>
      <w:color w:val="008000"/>
      <w:kern w:val="2"/>
      <w:sz w:val="28"/>
      <w:szCs w:val="24"/>
      <w:lang w:val="en-US" w:eastAsia="zh-CN" w:bidi="ar-SA"/>
    </w:rPr>
  </w:style>
  <w:style w:type="character" w:customStyle="1" w:styleId="1385">
    <w:name w:val="Char Char411"/>
    <w:qFormat/>
    <w:uiPriority w:val="0"/>
    <w:rPr>
      <w:rFonts w:hint="eastAsia" w:ascii="黑体" w:eastAsia="黑体"/>
      <w:b/>
      <w:snapToGrid w:val="0"/>
      <w:color w:val="008000"/>
      <w:kern w:val="2"/>
      <w:sz w:val="24"/>
      <w:szCs w:val="24"/>
      <w:lang w:val="en-US" w:eastAsia="zh-CN" w:bidi="ar-SA"/>
    </w:rPr>
  </w:style>
  <w:style w:type="paragraph" w:customStyle="1" w:styleId="1386">
    <w:name w:val="正文-欣欣"/>
    <w:basedOn w:val="1"/>
    <w:link w:val="1387"/>
    <w:qFormat/>
    <w:uiPriority w:val="0"/>
    <w:pPr>
      <w:adjustRightInd w:val="0"/>
      <w:snapToGrid w:val="0"/>
      <w:ind w:firstLine="200" w:firstLineChars="200"/>
    </w:pPr>
    <w:rPr>
      <w:rFonts w:ascii="Times New Roman" w:hAnsi="Times New Roman" w:eastAsia="宋体" w:cs="Times New Roman"/>
      <w:sz w:val="24"/>
      <w:szCs w:val="30"/>
    </w:rPr>
  </w:style>
  <w:style w:type="character" w:customStyle="1" w:styleId="1387">
    <w:name w:val="正文-欣欣 Char"/>
    <w:link w:val="1386"/>
    <w:qFormat/>
    <w:uiPriority w:val="0"/>
    <w:rPr>
      <w:rFonts w:ascii="Times New Roman" w:hAnsi="Times New Roman" w:eastAsia="宋体" w:cs="Times New Roman"/>
      <w:sz w:val="24"/>
      <w:szCs w:val="30"/>
    </w:rPr>
  </w:style>
  <w:style w:type="character" w:customStyle="1" w:styleId="1388">
    <w:name w:val="章 Char Char"/>
    <w:qFormat/>
    <w:uiPriority w:val="0"/>
    <w:rPr>
      <w:rFonts w:eastAsia="华文中宋" w:cs="宋体"/>
      <w:caps/>
      <w:kern w:val="44"/>
      <w:sz w:val="32"/>
      <w:szCs w:val="32"/>
      <w:lang w:val="en-US" w:eastAsia="zh-CN" w:bidi="ar-SA"/>
    </w:rPr>
  </w:style>
  <w:style w:type="character" w:customStyle="1" w:styleId="1389">
    <w:name w:val="小节 Char"/>
    <w:qFormat/>
    <w:uiPriority w:val="0"/>
    <w:rPr>
      <w:rFonts w:eastAsia="仿宋_GB2312"/>
      <w:b/>
      <w:bCs/>
      <w:kern w:val="2"/>
      <w:sz w:val="32"/>
      <w:szCs w:val="32"/>
      <w:lang w:val="en-US" w:eastAsia="zh-CN" w:bidi="ar-SA"/>
    </w:rPr>
  </w:style>
  <w:style w:type="character" w:customStyle="1" w:styleId="1390">
    <w:name w:val="二级标题 Char"/>
    <w:qFormat/>
    <w:uiPriority w:val="0"/>
    <w:rPr>
      <w:rFonts w:eastAsia="黑体"/>
      <w:kern w:val="2"/>
      <w:sz w:val="30"/>
      <w:szCs w:val="24"/>
      <w:lang w:val="en-US" w:eastAsia="zh-CN" w:bidi="ar-SA"/>
    </w:rPr>
  </w:style>
  <w:style w:type="character" w:customStyle="1" w:styleId="1391">
    <w:name w:val="表名 Char3"/>
    <w:qFormat/>
    <w:uiPriority w:val="0"/>
    <w:rPr>
      <w:rFonts w:eastAsia="楷体_GB2312"/>
      <w:b/>
      <w:bCs/>
      <w:sz w:val="28"/>
      <w:lang w:val="en-US" w:eastAsia="zh-CN" w:bidi="ar-SA"/>
    </w:rPr>
  </w:style>
  <w:style w:type="paragraph" w:customStyle="1" w:styleId="1392">
    <w:name w:val="样式 样式 正文文本 + 首行缩进:  2 字符 + 首行缩进:  2 字符"/>
    <w:basedOn w:val="1"/>
    <w:qFormat/>
    <w:uiPriority w:val="0"/>
    <w:pPr>
      <w:spacing w:line="240" w:lineRule="auto"/>
      <w:ind w:firstLine="200" w:firstLineChars="200"/>
    </w:pPr>
    <w:rPr>
      <w:rFonts w:ascii="Times New Roman" w:hAnsi="Times New Roman" w:eastAsia="仿宋_GB2312" w:cs="宋体"/>
      <w:sz w:val="28"/>
      <w:szCs w:val="20"/>
    </w:rPr>
  </w:style>
  <w:style w:type="paragraph" w:customStyle="1" w:styleId="1393">
    <w:name w:val="文章正文"/>
    <w:basedOn w:val="1"/>
    <w:qFormat/>
    <w:uiPriority w:val="0"/>
    <w:pPr>
      <w:ind w:firstLine="200" w:firstLineChars="200"/>
    </w:pPr>
    <w:rPr>
      <w:rFonts w:ascii="Times New Roman" w:hAnsi="Times New Roman" w:eastAsia="仿宋_GB2312" w:cs="Times New Roman"/>
      <w:sz w:val="28"/>
      <w:szCs w:val="28"/>
    </w:rPr>
  </w:style>
  <w:style w:type="paragraph" w:customStyle="1" w:styleId="1394">
    <w:name w:val="样式 正文文本 + 首行缩进:  2 字符"/>
    <w:basedOn w:val="4"/>
    <w:qFormat/>
    <w:uiPriority w:val="0"/>
    <w:pPr>
      <w:spacing w:after="0" w:line="240" w:lineRule="auto"/>
      <w:ind w:firstLine="420" w:firstLineChars="200"/>
    </w:pPr>
    <w:rPr>
      <w:rFonts w:ascii="Times New Roman" w:hAnsi="Times New Roman" w:eastAsia="仿宋_GB2312" w:cs="宋体"/>
      <w:sz w:val="28"/>
      <w:szCs w:val="20"/>
    </w:rPr>
  </w:style>
  <w:style w:type="paragraph" w:customStyle="1" w:styleId="1395">
    <w:name w:val="样式5 Char"/>
    <w:basedOn w:val="1"/>
    <w:qFormat/>
    <w:uiPriority w:val="0"/>
    <w:pPr>
      <w:spacing w:line="460" w:lineRule="exact"/>
      <w:ind w:firstLine="480" w:firstLineChars="200"/>
    </w:pPr>
    <w:rPr>
      <w:rFonts w:ascii="Times New Roman" w:hAnsi="Times New Roman" w:eastAsia="宋体" w:cs="Times New Roman"/>
      <w:sz w:val="24"/>
      <w:szCs w:val="24"/>
    </w:rPr>
  </w:style>
  <w:style w:type="paragraph" w:customStyle="1" w:styleId="1396">
    <w:name w:val="样式7 Char"/>
    <w:basedOn w:val="1395"/>
    <w:qFormat/>
    <w:uiPriority w:val="0"/>
    <w:pPr>
      <w:ind w:firstLine="0" w:firstLineChars="0"/>
    </w:pPr>
    <w:rPr>
      <w:sz w:val="21"/>
      <w:szCs w:val="21"/>
    </w:rPr>
  </w:style>
  <w:style w:type="paragraph" w:customStyle="1" w:styleId="1397">
    <w:name w:val="正文缩进（自定义） Char"/>
    <w:basedOn w:val="1"/>
    <w:qFormat/>
    <w:uiPriority w:val="0"/>
    <w:pPr>
      <w:spacing w:before="120" w:after="120"/>
      <w:ind w:firstLine="480" w:firstLineChars="200"/>
    </w:pPr>
    <w:rPr>
      <w:rFonts w:ascii="Century Gothic" w:hAnsi="Century Gothic" w:eastAsia="宋体" w:cs="宋体"/>
      <w:kern w:val="0"/>
      <w:sz w:val="24"/>
      <w:szCs w:val="24"/>
    </w:rPr>
  </w:style>
  <w:style w:type="paragraph" w:customStyle="1" w:styleId="1398">
    <w:name w:val="前言"/>
    <w:qFormat/>
    <w:uiPriority w:val="0"/>
    <w:pPr>
      <w:spacing w:afterLines="100" w:line="600" w:lineRule="exact"/>
      <w:jc w:val="center"/>
    </w:pPr>
    <w:rPr>
      <w:rFonts w:ascii="宋体" w:hAnsi="宋体" w:eastAsia="黑体" w:cs="Times New Roman"/>
      <w:b/>
      <w:sz w:val="36"/>
      <w:lang w:val="en-US" w:eastAsia="zh-CN" w:bidi="ar-SA"/>
    </w:rPr>
  </w:style>
  <w:style w:type="paragraph" w:customStyle="1" w:styleId="1399">
    <w:name w:val="样式 标题 4 + 小四"/>
    <w:basedOn w:val="9"/>
    <w:qFormat/>
    <w:uiPriority w:val="0"/>
    <w:pPr>
      <w:numPr>
        <w:ilvl w:val="0"/>
        <w:numId w:val="0"/>
      </w:numPr>
      <w:spacing w:before="0" w:after="0" w:line="500" w:lineRule="exact"/>
      <w:ind w:firstLine="562" w:firstLineChars="200"/>
      <w:jc w:val="both"/>
    </w:pPr>
    <w:rPr>
      <w:rFonts w:ascii="Arial" w:hAnsi="Arial" w:eastAsia="仿宋_GB2312" w:cs="Times New Roman"/>
    </w:rPr>
  </w:style>
  <w:style w:type="paragraph" w:customStyle="1" w:styleId="1400">
    <w:name w:val="4标题"/>
    <w:next w:val="1"/>
    <w:qFormat/>
    <w:uiPriority w:val="0"/>
    <w:pPr>
      <w:spacing w:beforeLines="20" w:afterLines="20"/>
      <w:outlineLvl w:val="3"/>
    </w:pPr>
    <w:rPr>
      <w:rFonts w:ascii="Times New Roman" w:hAnsi="Times New Roman" w:eastAsia="黑体" w:cs="Times New Roman"/>
      <w:kern w:val="2"/>
      <w:sz w:val="28"/>
      <w:szCs w:val="24"/>
      <w:lang w:val="en-US" w:eastAsia="zh-CN" w:bidi="ar-SA"/>
    </w:rPr>
  </w:style>
  <w:style w:type="paragraph" w:customStyle="1" w:styleId="1401">
    <w:name w:val="3标题"/>
    <w:next w:val="1400"/>
    <w:qFormat/>
    <w:uiPriority w:val="0"/>
    <w:pPr>
      <w:spacing w:beforeLines="20" w:afterLines="20"/>
      <w:outlineLvl w:val="2"/>
    </w:pPr>
    <w:rPr>
      <w:rFonts w:ascii="Times New Roman" w:hAnsi="Times New Roman" w:eastAsia="黑体" w:cs="Times New Roman"/>
      <w:kern w:val="2"/>
      <w:sz w:val="30"/>
      <w:szCs w:val="24"/>
      <w:lang w:val="en-US" w:eastAsia="zh-CN" w:bidi="ar-SA"/>
    </w:rPr>
  </w:style>
  <w:style w:type="paragraph" w:customStyle="1" w:styleId="1402">
    <w:name w:val="2标题"/>
    <w:next w:val="1401"/>
    <w:qFormat/>
    <w:uiPriority w:val="0"/>
    <w:pPr>
      <w:spacing w:beforeLines="30" w:afterLines="30"/>
      <w:outlineLvl w:val="1"/>
    </w:pPr>
    <w:rPr>
      <w:rFonts w:ascii="Times New Roman" w:hAnsi="Times New Roman" w:eastAsia="黑体" w:cs="Times New Roman"/>
      <w:kern w:val="2"/>
      <w:sz w:val="32"/>
      <w:szCs w:val="24"/>
      <w:lang w:val="en-US" w:eastAsia="zh-CN" w:bidi="ar-SA"/>
    </w:rPr>
  </w:style>
  <w:style w:type="paragraph" w:customStyle="1" w:styleId="1403">
    <w:name w:val="1标题"/>
    <w:next w:val="1402"/>
    <w:qFormat/>
    <w:uiPriority w:val="0"/>
    <w:pPr>
      <w:spacing w:beforeLines="50" w:afterLines="50"/>
      <w:jc w:val="center"/>
      <w:outlineLvl w:val="0"/>
    </w:pPr>
    <w:rPr>
      <w:rFonts w:ascii="Times New Roman" w:hAnsi="Times New Roman" w:eastAsia="黑体" w:cs="Times New Roman"/>
      <w:kern w:val="2"/>
      <w:sz w:val="36"/>
      <w:szCs w:val="24"/>
      <w:lang w:val="en-US" w:eastAsia="zh-CN" w:bidi="ar-SA"/>
    </w:rPr>
  </w:style>
  <w:style w:type="paragraph" w:customStyle="1" w:styleId="1404">
    <w:name w:val="图片"/>
    <w:basedOn w:val="1"/>
    <w:qFormat/>
    <w:uiPriority w:val="0"/>
    <w:pPr>
      <w:jc w:val="center"/>
    </w:pPr>
    <w:rPr>
      <w:rFonts w:ascii="Times New Roman" w:hAnsi="Times New Roman" w:eastAsia="宋体" w:cs="宋体"/>
      <w:sz w:val="24"/>
      <w:szCs w:val="20"/>
    </w:rPr>
  </w:style>
  <w:style w:type="character" w:customStyle="1" w:styleId="1405">
    <w:name w:val="样式 (西文) 仿宋_GB2312 小四"/>
    <w:qFormat/>
    <w:uiPriority w:val="0"/>
    <w:rPr>
      <w:rFonts w:ascii="仿宋_GB2312" w:hAnsi="仿宋_GB2312" w:eastAsia="宋体"/>
      <w:sz w:val="24"/>
    </w:rPr>
  </w:style>
  <w:style w:type="character" w:customStyle="1" w:styleId="1406">
    <w:name w:val="Char Char Char21"/>
    <w:qFormat/>
    <w:uiPriority w:val="0"/>
    <w:rPr>
      <w:rFonts w:eastAsia="宋体"/>
      <w:kern w:val="2"/>
      <w:sz w:val="21"/>
      <w:szCs w:val="24"/>
      <w:lang w:val="en-US" w:eastAsia="zh-CN" w:bidi="ar-SA"/>
    </w:rPr>
  </w:style>
  <w:style w:type="paragraph" w:customStyle="1" w:styleId="1407">
    <w:name w:val="样式23"/>
    <w:basedOn w:val="1"/>
    <w:qFormat/>
    <w:uiPriority w:val="0"/>
    <w:pPr>
      <w:spacing w:line="240" w:lineRule="auto"/>
      <w:ind w:firstLine="475" w:firstLineChars="200"/>
    </w:pPr>
    <w:rPr>
      <w:rFonts w:ascii="Times New Roman" w:hAnsi="Times New Roman" w:eastAsia="华文中宋" w:cs="Times New Roman"/>
      <w:color w:val="000000"/>
      <w:sz w:val="24"/>
      <w:szCs w:val="24"/>
    </w:rPr>
  </w:style>
  <w:style w:type="paragraph" w:customStyle="1" w:styleId="1408">
    <w:name w:val="样式 标题 1 + 宋体 小二"/>
    <w:basedOn w:val="6"/>
    <w:link w:val="1409"/>
    <w:qFormat/>
    <w:uiPriority w:val="0"/>
    <w:pPr>
      <w:numPr>
        <w:numId w:val="0"/>
      </w:numPr>
      <w:tabs>
        <w:tab w:val="right" w:leader="dot" w:pos="8905"/>
        <w:tab w:val="right" w:leader="dot" w:pos="8965"/>
      </w:tabs>
      <w:jc w:val="both"/>
    </w:pPr>
    <w:rPr>
      <w:rFonts w:ascii="宋体" w:hAnsi="宋体" w:eastAsia="宋体" w:cs="Times New Roman"/>
      <w:bCs w:val="0"/>
      <w:caps/>
    </w:rPr>
  </w:style>
  <w:style w:type="character" w:customStyle="1" w:styleId="1409">
    <w:name w:val="样式 标题 1 + 宋体 小二 Char"/>
    <w:link w:val="1408"/>
    <w:qFormat/>
    <w:uiPriority w:val="0"/>
    <w:rPr>
      <w:rFonts w:ascii="宋体" w:hAnsi="宋体" w:eastAsia="宋体" w:cs="Times New Roman"/>
      <w:b/>
      <w:caps/>
      <w:kern w:val="44"/>
      <w:sz w:val="32"/>
      <w:szCs w:val="44"/>
    </w:rPr>
  </w:style>
  <w:style w:type="paragraph" w:customStyle="1" w:styleId="1410">
    <w:name w:val="样式 标题 2 + 首行缩进:  2 字符 段前: 0.5 行 段后: 0.5 行"/>
    <w:basedOn w:val="7"/>
    <w:qFormat/>
    <w:uiPriority w:val="0"/>
    <w:pPr>
      <w:numPr>
        <w:ilvl w:val="0"/>
        <w:numId w:val="0"/>
      </w:numPr>
      <w:spacing w:beforeLines="50" w:afterLines="50" w:line="240" w:lineRule="auto"/>
      <w:jc w:val="both"/>
    </w:pPr>
    <w:rPr>
      <w:rFonts w:ascii="Arial" w:hAnsi="Arial" w:eastAsia="华文中宋" w:cs="宋体"/>
      <w:szCs w:val="20"/>
    </w:rPr>
  </w:style>
  <w:style w:type="paragraph" w:customStyle="1" w:styleId="1411">
    <w:name w:val="样式 标题 3 + 首行缩进:  2 字符 段前: 0.5 行 段后: 0.5 行"/>
    <w:basedOn w:val="8"/>
    <w:qFormat/>
    <w:uiPriority w:val="0"/>
    <w:pPr>
      <w:numPr>
        <w:ilvl w:val="0"/>
        <w:numId w:val="0"/>
      </w:numPr>
      <w:spacing w:beforeLines="50" w:afterLines="50" w:line="240" w:lineRule="auto"/>
      <w:jc w:val="both"/>
    </w:pPr>
    <w:rPr>
      <w:rFonts w:eastAsia="黑体" w:cs="宋体"/>
      <w:b w:val="0"/>
      <w:sz w:val="28"/>
      <w:szCs w:val="20"/>
    </w:rPr>
  </w:style>
  <w:style w:type="paragraph" w:customStyle="1" w:styleId="1412">
    <w:name w:val="样式 华文中宋 首行缩进:  2 字符"/>
    <w:basedOn w:val="1"/>
    <w:qFormat/>
    <w:uiPriority w:val="0"/>
    <w:pPr>
      <w:spacing w:line="240" w:lineRule="auto"/>
      <w:ind w:firstLine="200" w:firstLineChars="200"/>
    </w:pPr>
    <w:rPr>
      <w:rFonts w:ascii="华文中宋" w:hAnsi="华文中宋" w:eastAsia="华文中宋" w:cs="宋体"/>
      <w:sz w:val="24"/>
      <w:szCs w:val="20"/>
    </w:rPr>
  </w:style>
  <w:style w:type="paragraph" w:customStyle="1" w:styleId="1413">
    <w:name w:val="样式 表头 + Times New Roman 段前: 0.5 行"/>
    <w:basedOn w:val="210"/>
    <w:qFormat/>
    <w:uiPriority w:val="0"/>
    <w:pPr>
      <w:widowControl w:val="0"/>
      <w:spacing w:line="240" w:lineRule="auto"/>
      <w:ind w:firstLine="0"/>
    </w:pPr>
    <w:rPr>
      <w:rFonts w:eastAsia="黑体" w:cs="宋体"/>
      <w:b w:val="0"/>
      <w:bCs w:val="0"/>
      <w:sz w:val="24"/>
      <w:szCs w:val="20"/>
    </w:rPr>
  </w:style>
  <w:style w:type="paragraph" w:customStyle="1" w:styleId="1414">
    <w:name w:val="样式 表号 + Times New Roman"/>
    <w:basedOn w:val="212"/>
    <w:qFormat/>
    <w:uiPriority w:val="0"/>
    <w:rPr>
      <w:rFonts w:eastAsia="华文中宋"/>
      <w:sz w:val="21"/>
      <w:szCs w:val="24"/>
    </w:rPr>
  </w:style>
  <w:style w:type="paragraph" w:customStyle="1" w:styleId="1415">
    <w:name w:val="样式20"/>
    <w:basedOn w:val="1414"/>
    <w:qFormat/>
    <w:uiPriority w:val="0"/>
    <w:rPr>
      <w:color w:val="000000"/>
    </w:rPr>
  </w:style>
  <w:style w:type="paragraph" w:customStyle="1" w:styleId="1416">
    <w:name w:val="样式44"/>
    <w:basedOn w:val="1"/>
    <w:qFormat/>
    <w:uiPriority w:val="0"/>
    <w:pPr>
      <w:keepNext/>
      <w:spacing w:line="240" w:lineRule="auto"/>
      <w:jc w:val="center"/>
    </w:pPr>
    <w:rPr>
      <w:rFonts w:ascii="黑体" w:hAnsi="宋体" w:eastAsia="黑体" w:cs="Times New Roman"/>
      <w:sz w:val="24"/>
      <w:szCs w:val="24"/>
    </w:rPr>
  </w:style>
  <w:style w:type="paragraph" w:customStyle="1" w:styleId="1417">
    <w:name w:val="样式31"/>
    <w:basedOn w:val="1"/>
    <w:qFormat/>
    <w:uiPriority w:val="0"/>
    <w:pPr>
      <w:spacing w:line="240" w:lineRule="auto"/>
      <w:ind w:firstLine="475" w:firstLineChars="200"/>
    </w:pPr>
    <w:rPr>
      <w:rFonts w:ascii="Times New Roman" w:hAnsi="Times New Roman" w:eastAsia="华文中宋" w:cs="Times New Roman"/>
      <w:sz w:val="24"/>
      <w:szCs w:val="24"/>
    </w:rPr>
  </w:style>
  <w:style w:type="character" w:customStyle="1" w:styleId="1418">
    <w:name w:val="表文 Char Char Char1"/>
    <w:qFormat/>
    <w:uiPriority w:val="0"/>
    <w:rPr>
      <w:rFonts w:eastAsia="宋体"/>
      <w:kern w:val="2"/>
      <w:sz w:val="21"/>
      <w:lang w:val="en-US" w:eastAsia="zh-CN" w:bidi="ar-SA"/>
    </w:rPr>
  </w:style>
  <w:style w:type="paragraph" w:customStyle="1" w:styleId="1419">
    <w:name w:val="缩五"/>
    <w:basedOn w:val="1"/>
    <w:qFormat/>
    <w:uiPriority w:val="0"/>
    <w:pPr>
      <w:tabs>
        <w:tab w:val="right" w:pos="8925"/>
      </w:tabs>
      <w:spacing w:line="550" w:lineRule="exact"/>
      <w:ind w:firstLine="560" w:firstLineChars="200"/>
    </w:pPr>
    <w:rPr>
      <w:rFonts w:ascii="Times New Roman" w:hAnsi="Times New Roman" w:eastAsia="宋体" w:cs="Times New Roman"/>
      <w:color w:val="000000"/>
      <w:sz w:val="28"/>
      <w:szCs w:val="28"/>
    </w:rPr>
  </w:style>
  <w:style w:type="paragraph" w:customStyle="1" w:styleId="1420">
    <w:name w:val="样式 宋体 首行缩进:  2 字符"/>
    <w:basedOn w:val="1"/>
    <w:qFormat/>
    <w:uiPriority w:val="0"/>
    <w:pPr>
      <w:spacing w:line="240" w:lineRule="auto"/>
      <w:ind w:firstLine="200" w:firstLineChars="200"/>
    </w:pPr>
    <w:rPr>
      <w:rFonts w:ascii="宋体" w:hAnsi="宋体" w:eastAsia="宋体" w:cs="宋体"/>
      <w:sz w:val="28"/>
      <w:szCs w:val="20"/>
    </w:rPr>
  </w:style>
  <w:style w:type="paragraph" w:customStyle="1" w:styleId="1421">
    <w:name w:val="样式 标题 3标题 3 Char + 首行缩进:  2 字符"/>
    <w:basedOn w:val="8"/>
    <w:qFormat/>
    <w:uiPriority w:val="0"/>
    <w:pPr>
      <w:numPr>
        <w:ilvl w:val="0"/>
        <w:numId w:val="0"/>
      </w:numPr>
      <w:spacing w:before="0" w:after="0" w:line="360" w:lineRule="auto"/>
      <w:jc w:val="both"/>
    </w:pPr>
    <w:rPr>
      <w:rFonts w:eastAsia="黑体" w:cs="Times New Roman"/>
      <w:sz w:val="28"/>
      <w:szCs w:val="20"/>
    </w:rPr>
  </w:style>
  <w:style w:type="paragraph" w:customStyle="1" w:styleId="1422">
    <w:name w:val="样式 标题 4标题 4 Char + 首行缩进:  2 字符"/>
    <w:basedOn w:val="9"/>
    <w:qFormat/>
    <w:uiPriority w:val="0"/>
    <w:pPr>
      <w:numPr>
        <w:ilvl w:val="0"/>
        <w:numId w:val="0"/>
      </w:numPr>
      <w:spacing w:before="0" w:after="0" w:line="360" w:lineRule="auto"/>
      <w:jc w:val="both"/>
    </w:pPr>
    <w:rPr>
      <w:rFonts w:eastAsia="宋体" w:cs="宋体"/>
      <w:sz w:val="28"/>
      <w:szCs w:val="20"/>
    </w:rPr>
  </w:style>
  <w:style w:type="paragraph" w:customStyle="1" w:styleId="1423">
    <w:name w:val="样式 标题5 + 首行缩进:  0.74 厘米"/>
    <w:basedOn w:val="1"/>
    <w:qFormat/>
    <w:uiPriority w:val="0"/>
    <w:pPr>
      <w:keepNext/>
      <w:keepLines/>
      <w:outlineLvl w:val="4"/>
    </w:pPr>
    <w:rPr>
      <w:rFonts w:ascii="Times New Roman" w:hAnsi="Times New Roman" w:eastAsia="宋体" w:cs="宋体"/>
      <w:b/>
      <w:bCs/>
      <w:sz w:val="28"/>
      <w:szCs w:val="20"/>
    </w:rPr>
  </w:style>
  <w:style w:type="paragraph" w:customStyle="1" w:styleId="1424">
    <w:name w:val="样式 标题 2标题 2 Char1 + 首行缩进:  2 字符"/>
    <w:basedOn w:val="7"/>
    <w:qFormat/>
    <w:uiPriority w:val="0"/>
    <w:pPr>
      <w:numPr>
        <w:ilvl w:val="0"/>
        <w:numId w:val="0"/>
      </w:numPr>
      <w:spacing w:line="560" w:lineRule="exact"/>
      <w:jc w:val="center"/>
    </w:pPr>
    <w:rPr>
      <w:rFonts w:ascii="Arial" w:hAnsi="Arial" w:eastAsia="黑体" w:cs="宋体"/>
      <w:sz w:val="32"/>
      <w:szCs w:val="20"/>
    </w:rPr>
  </w:style>
  <w:style w:type="paragraph" w:customStyle="1" w:styleId="1425">
    <w:name w:val="66"/>
    <w:basedOn w:val="2"/>
    <w:qFormat/>
    <w:uiPriority w:val="0"/>
    <w:pPr>
      <w:spacing w:line="360" w:lineRule="auto"/>
      <w:ind w:left="0" w:leftChars="0"/>
    </w:pPr>
    <w:rPr>
      <w:szCs w:val="24"/>
    </w:rPr>
  </w:style>
  <w:style w:type="paragraph" w:customStyle="1" w:styleId="1426">
    <w:name w:val="样式 样式 标题 3标题 3 Char + 首行缩进:  2 字符 + 行距: 1.5 倍行距"/>
    <w:basedOn w:val="1421"/>
    <w:qFormat/>
    <w:uiPriority w:val="0"/>
    <w:rPr>
      <w:rFonts w:cs="宋体"/>
    </w:rPr>
  </w:style>
  <w:style w:type="paragraph" w:customStyle="1" w:styleId="1427">
    <w:name w:val="正文使用"/>
    <w:basedOn w:val="80"/>
    <w:qFormat/>
    <w:uiPriority w:val="0"/>
    <w:pPr>
      <w:jc w:val="both"/>
    </w:pPr>
    <w:rPr>
      <w:rFonts w:hint="eastAsia" w:cs="宋体"/>
    </w:rPr>
  </w:style>
  <w:style w:type="character" w:customStyle="1" w:styleId="1428">
    <w:name w:val="表文 Char Char1"/>
    <w:qFormat/>
    <w:uiPriority w:val="0"/>
    <w:rPr>
      <w:rFonts w:eastAsia="宋体"/>
      <w:snapToGrid w:val="0"/>
      <w:sz w:val="21"/>
      <w:szCs w:val="21"/>
      <w:lang w:val="en-US" w:eastAsia="zh-CN" w:bidi="ar-SA"/>
    </w:rPr>
  </w:style>
  <w:style w:type="paragraph" w:customStyle="1" w:styleId="1429">
    <w:name w:val="默认段落字体 Para Char Char Char Char Char Char Char Char Char Char Char Char Char"/>
    <w:basedOn w:val="1"/>
    <w:qFormat/>
    <w:uiPriority w:val="0"/>
    <w:pPr>
      <w:spacing w:line="240" w:lineRule="auto"/>
    </w:pPr>
    <w:rPr>
      <w:rFonts w:ascii="Times New Roman" w:hAnsi="Times New Roman" w:eastAsia="宋体" w:cs="Times New Roman"/>
      <w:szCs w:val="24"/>
    </w:rPr>
  </w:style>
  <w:style w:type="paragraph" w:customStyle="1" w:styleId="1430">
    <w:name w:val="Char Char1 Char Char Char Char"/>
    <w:basedOn w:val="1"/>
    <w:qFormat/>
    <w:uiPriority w:val="0"/>
    <w:pPr>
      <w:spacing w:line="240" w:lineRule="auto"/>
    </w:pPr>
    <w:rPr>
      <w:rFonts w:ascii="Times New Roman" w:hAnsi="Times New Roman" w:eastAsia="宋体" w:cs="Times New Roman"/>
      <w:szCs w:val="24"/>
    </w:rPr>
  </w:style>
  <w:style w:type="paragraph" w:customStyle="1" w:styleId="1431">
    <w:name w:val="xl131"/>
    <w:basedOn w:val="1"/>
    <w:qFormat/>
    <w:uiPriority w:val="0"/>
    <w:pPr>
      <w:widowControl/>
      <w:spacing w:before="100" w:beforeAutospacing="1" w:after="100" w:afterAutospacing="1" w:line="240" w:lineRule="auto"/>
      <w:jc w:val="center"/>
    </w:pPr>
    <w:rPr>
      <w:rFonts w:ascii="Times New Roman" w:hAnsi="Times New Roman" w:eastAsia="Arial Unicode MS" w:cs="Times New Roman"/>
      <w:kern w:val="0"/>
      <w:sz w:val="24"/>
      <w:szCs w:val="24"/>
    </w:rPr>
  </w:style>
  <w:style w:type="paragraph" w:customStyle="1" w:styleId="1432">
    <w:name w:val="报告正文小四"/>
    <w:basedOn w:val="1"/>
    <w:qFormat/>
    <w:uiPriority w:val="0"/>
    <w:pPr>
      <w:adjustRightInd w:val="0"/>
      <w:snapToGrid w:val="0"/>
      <w:spacing w:before="120" w:line="420" w:lineRule="atLeast"/>
      <w:ind w:firstLine="510"/>
    </w:pPr>
    <w:rPr>
      <w:rFonts w:ascii="Times New Roman" w:hAnsi="Times New Roman" w:eastAsia="宋体" w:cs="Times New Roman"/>
      <w:sz w:val="24"/>
      <w:szCs w:val="20"/>
    </w:rPr>
  </w:style>
  <w:style w:type="character" w:customStyle="1" w:styleId="1433">
    <w:name w:val="表格文字 Char4"/>
    <w:qFormat/>
    <w:uiPriority w:val="0"/>
    <w:rPr>
      <w:rFonts w:eastAsia="宋体"/>
      <w:kern w:val="2"/>
      <w:sz w:val="21"/>
      <w:lang w:val="en-US" w:eastAsia="zh-CN" w:bidi="ar-SA"/>
    </w:rPr>
  </w:style>
  <w:style w:type="paragraph" w:customStyle="1" w:styleId="1434">
    <w:name w:val="样式 宋体 四号 加粗 首行缩进:  0.99 厘米 行距: 1.5 倍行距"/>
    <w:basedOn w:val="1"/>
    <w:link w:val="1435"/>
    <w:qFormat/>
    <w:uiPriority w:val="0"/>
    <w:pPr>
      <w:ind w:firstLine="560"/>
    </w:pPr>
    <w:rPr>
      <w:rFonts w:ascii="Times New Roman" w:hAnsi="Times New Roman" w:eastAsia="宋体" w:cs="宋体"/>
      <w:bCs/>
      <w:sz w:val="28"/>
      <w:szCs w:val="28"/>
    </w:rPr>
  </w:style>
  <w:style w:type="character" w:customStyle="1" w:styleId="1435">
    <w:name w:val="样式 宋体 四号 加粗 首行缩进:  0.99 厘米 行距: 1.5 倍行距 Char"/>
    <w:link w:val="1434"/>
    <w:qFormat/>
    <w:uiPriority w:val="0"/>
    <w:rPr>
      <w:rFonts w:ascii="Times New Roman" w:hAnsi="Times New Roman" w:eastAsia="宋体" w:cs="宋体"/>
      <w:bCs/>
      <w:sz w:val="28"/>
      <w:szCs w:val="28"/>
    </w:rPr>
  </w:style>
  <w:style w:type="character" w:customStyle="1" w:styleId="1436">
    <w:name w:val="15"/>
    <w:qFormat/>
    <w:uiPriority w:val="0"/>
    <w:rPr>
      <w:rFonts w:hint="default" w:ascii="Calibri" w:hAnsi="Calibri" w:cs="Calibri"/>
      <w:sz w:val="20"/>
      <w:szCs w:val="20"/>
    </w:rPr>
  </w:style>
  <w:style w:type="paragraph" w:customStyle="1" w:styleId="1437">
    <w:name w:val="Char2 Char Char Char Char Char Char Char Char1 Char"/>
    <w:basedOn w:val="1"/>
    <w:qFormat/>
    <w:uiPriority w:val="0"/>
    <w:pPr>
      <w:spacing w:line="440" w:lineRule="exact"/>
      <w:ind w:firstLine="200" w:firstLineChars="200"/>
    </w:pPr>
    <w:rPr>
      <w:rFonts w:ascii="宋体" w:hAnsi="宋体" w:eastAsia="宋体" w:cs="Courier New"/>
      <w:sz w:val="32"/>
      <w:szCs w:val="32"/>
    </w:rPr>
  </w:style>
  <w:style w:type="paragraph" w:customStyle="1" w:styleId="1438">
    <w:name w:val="正文 文本"/>
    <w:basedOn w:val="1"/>
    <w:link w:val="1439"/>
    <w:qFormat/>
    <w:uiPriority w:val="0"/>
    <w:pPr>
      <w:ind w:firstLine="480" w:firstLineChars="200"/>
    </w:pPr>
    <w:rPr>
      <w:rFonts w:ascii="Times New Roman" w:hAnsi="Times New Roman" w:eastAsia="宋体" w:cs="宋体"/>
      <w:sz w:val="24"/>
      <w:szCs w:val="20"/>
    </w:rPr>
  </w:style>
  <w:style w:type="character" w:customStyle="1" w:styleId="1439">
    <w:name w:val="正文 文本 Char Char"/>
    <w:link w:val="1438"/>
    <w:qFormat/>
    <w:uiPriority w:val="0"/>
    <w:rPr>
      <w:rFonts w:ascii="Times New Roman" w:hAnsi="Times New Roman" w:eastAsia="宋体" w:cs="宋体"/>
      <w:sz w:val="24"/>
      <w:szCs w:val="20"/>
    </w:rPr>
  </w:style>
  <w:style w:type="paragraph" w:customStyle="1" w:styleId="1440">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41">
    <w:name w:val="无间隔31"/>
    <w:qFormat/>
    <w:uiPriority w:val="0"/>
    <w:pPr>
      <w:widowControl w:val="0"/>
      <w:adjustRightInd w:val="0"/>
    </w:pPr>
    <w:rPr>
      <w:rFonts w:ascii="Times New Roman" w:hAnsi="Times New Roman" w:eastAsia="宋体" w:cs="Times New Roman"/>
      <w:kern w:val="2"/>
      <w:sz w:val="21"/>
      <w:szCs w:val="24"/>
      <w:lang w:val="en-US" w:eastAsia="zh-CN" w:bidi="ar-SA"/>
    </w:rPr>
  </w:style>
  <w:style w:type="paragraph" w:customStyle="1" w:styleId="1442">
    <w:name w:val="正文 + 段前: 0.5 行 + 首行缩进:  2 字符"/>
    <w:basedOn w:val="1"/>
    <w:link w:val="1443"/>
    <w:qFormat/>
    <w:uiPriority w:val="0"/>
    <w:pPr>
      <w:spacing w:beforeLines="50" w:line="360" w:lineRule="exact"/>
      <w:ind w:firstLine="420" w:firstLineChars="200"/>
    </w:pPr>
    <w:rPr>
      <w:rFonts w:ascii="宋体" w:hAnsi="仿宋_GB2312" w:eastAsia="宋体" w:cs="宋体"/>
      <w:bCs/>
      <w:kern w:val="21"/>
    </w:rPr>
  </w:style>
  <w:style w:type="character" w:customStyle="1" w:styleId="1443">
    <w:name w:val="正文 + 段前: 0.5 行 + 首行缩进:  2 字符 Char"/>
    <w:link w:val="1442"/>
    <w:qFormat/>
    <w:uiPriority w:val="0"/>
    <w:rPr>
      <w:rFonts w:ascii="宋体" w:hAnsi="仿宋_GB2312" w:eastAsia="宋体" w:cs="宋体"/>
      <w:bCs/>
      <w:kern w:val="21"/>
      <w:szCs w:val="21"/>
    </w:rPr>
  </w:style>
  <w:style w:type="paragraph" w:customStyle="1" w:styleId="1444">
    <w:name w:val="缩进2字符文字"/>
    <w:basedOn w:val="1"/>
    <w:qFormat/>
    <w:uiPriority w:val="0"/>
    <w:pPr>
      <w:spacing w:line="300" w:lineRule="auto"/>
      <w:ind w:firstLine="420" w:firstLineChars="200"/>
    </w:pPr>
    <w:rPr>
      <w:rFonts w:ascii="Times New Roman" w:hAnsi="Times New Roman" w:eastAsia="宋体" w:cs="Times New Roman"/>
      <w:szCs w:val="24"/>
    </w:rPr>
  </w:style>
  <w:style w:type="paragraph" w:customStyle="1" w:styleId="1445">
    <w:name w:val="pic-info"/>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 w:type="paragraph" w:customStyle="1" w:styleId="1446">
    <w:name w:val="album-div"/>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 w:type="character" w:customStyle="1" w:styleId="1447">
    <w:name w:val="albumcount"/>
    <w:basedOn w:val="94"/>
    <w:qFormat/>
    <w:uiPriority w:val="0"/>
    <w:rPr>
      <w:rFonts w:eastAsia="宋体"/>
      <w:kern w:val="2"/>
      <w:sz w:val="24"/>
      <w:szCs w:val="24"/>
      <w:lang w:val="en-US" w:eastAsia="zh-CN" w:bidi="ar-SA"/>
    </w:rPr>
  </w:style>
  <w:style w:type="character" w:customStyle="1" w:styleId="1448">
    <w:name w:val="样式 小四 Char Char"/>
    <w:link w:val="1449"/>
    <w:qFormat/>
    <w:uiPriority w:val="0"/>
    <w:rPr>
      <w:sz w:val="24"/>
      <w:szCs w:val="24"/>
    </w:rPr>
  </w:style>
  <w:style w:type="paragraph" w:customStyle="1" w:styleId="1449">
    <w:name w:val="样式 小四"/>
    <w:basedOn w:val="1"/>
    <w:link w:val="1448"/>
    <w:qFormat/>
    <w:uiPriority w:val="0"/>
    <w:pPr>
      <w:ind w:firstLine="480"/>
    </w:pPr>
    <w:rPr>
      <w:sz w:val="24"/>
      <w:szCs w:val="24"/>
    </w:rPr>
  </w:style>
  <w:style w:type="character" w:customStyle="1" w:styleId="1450">
    <w:name w:val="样式 Arial"/>
    <w:qFormat/>
    <w:uiPriority w:val="0"/>
    <w:rPr>
      <w:rFonts w:ascii="Arial" w:hAnsi="Arial"/>
    </w:rPr>
  </w:style>
  <w:style w:type="paragraph" w:customStyle="1" w:styleId="1451">
    <w:name w:val="段"/>
    <w:link w:val="145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452">
    <w:name w:val="段 Char"/>
    <w:link w:val="1451"/>
    <w:qFormat/>
    <w:uiPriority w:val="0"/>
    <w:rPr>
      <w:rFonts w:ascii="宋体" w:hAnsi="Times New Roman" w:eastAsia="宋体" w:cs="Times New Roman"/>
      <w:kern w:val="0"/>
      <w:szCs w:val="20"/>
    </w:rPr>
  </w:style>
  <w:style w:type="character" w:customStyle="1" w:styleId="1453">
    <w:name w:val="文本框五号 Char Char Char Char"/>
    <w:qFormat/>
    <w:uiPriority w:val="0"/>
    <w:rPr>
      <w:rFonts w:ascii="Verdana" w:hAnsi="Verdana" w:eastAsia="Times New Roman"/>
      <w:kern w:val="2"/>
      <w:sz w:val="21"/>
      <w:lang w:val="en-US" w:eastAsia="zh-CN"/>
    </w:rPr>
  </w:style>
  <w:style w:type="character" w:customStyle="1" w:styleId="1454">
    <w:name w:val="style61"/>
    <w:qFormat/>
    <w:uiPriority w:val="0"/>
    <w:rPr>
      <w:rFonts w:eastAsia="宋体" w:cs="Times New Roman"/>
      <w:kern w:val="2"/>
      <w:sz w:val="24"/>
      <w:szCs w:val="24"/>
      <w:lang w:val="en-US" w:eastAsia="zh-CN" w:bidi="ar-SA"/>
    </w:rPr>
  </w:style>
  <w:style w:type="character" w:customStyle="1" w:styleId="1455">
    <w:name w:val="标题 1 Char1"/>
    <w:qFormat/>
    <w:uiPriority w:val="0"/>
    <w:rPr>
      <w:rFonts w:ascii="Times New Roman" w:hAnsi="Times New Roman" w:eastAsia="宋体"/>
      <w:b/>
      <w:kern w:val="44"/>
      <w:sz w:val="44"/>
    </w:rPr>
  </w:style>
  <w:style w:type="character" w:customStyle="1" w:styleId="1456">
    <w:name w:val="样式 黑体 小四"/>
    <w:qFormat/>
    <w:uiPriority w:val="0"/>
    <w:rPr>
      <w:rFonts w:ascii="楷体" w:hAnsi="楷体" w:eastAsia="楷体"/>
      <w:sz w:val="21"/>
      <w:lang w:val="en-US" w:eastAsia="en-US"/>
    </w:rPr>
  </w:style>
  <w:style w:type="character" w:customStyle="1" w:styleId="1457">
    <w:name w:val="目标题 1) Char Char"/>
    <w:qFormat/>
    <w:uiPriority w:val="0"/>
    <w:rPr>
      <w:rFonts w:ascii="Arial" w:hAnsi="Arial" w:eastAsia="黑体"/>
      <w:sz w:val="24"/>
      <w:lang w:val="en-US" w:eastAsia="zh-CN"/>
    </w:rPr>
  </w:style>
  <w:style w:type="character" w:customStyle="1" w:styleId="1458">
    <w:name w:val="样式 仿宋_GB2312 小四 黑色"/>
    <w:qFormat/>
    <w:uiPriority w:val="0"/>
    <w:rPr>
      <w:rFonts w:ascii="仿宋_GB2312" w:hAnsi="仿宋_GB2312" w:eastAsia="Times New Roman"/>
      <w:color w:val="000000"/>
      <w:kern w:val="2"/>
      <w:sz w:val="24"/>
      <w:lang w:val="en-US" w:eastAsia="zh-CN"/>
    </w:rPr>
  </w:style>
  <w:style w:type="character" w:customStyle="1" w:styleId="1459">
    <w:name w:val="正文文本缩进 3 Char Char Char"/>
    <w:qFormat/>
    <w:uiPriority w:val="0"/>
    <w:rPr>
      <w:rFonts w:ascii="Times New Roman" w:hAnsi="Times New Roman"/>
      <w:kern w:val="2"/>
      <w:sz w:val="16"/>
    </w:rPr>
  </w:style>
  <w:style w:type="character" w:customStyle="1" w:styleId="1460">
    <w:name w:val="样式 样式 方正宋三简体 14 磅 行距: 1.5 倍行距1 + 首行缩进:  2 字符 Char Char"/>
    <w:link w:val="1461"/>
    <w:qFormat/>
    <w:uiPriority w:val="0"/>
    <w:rPr>
      <w:rFonts w:ascii="Verdana"/>
      <w:sz w:val="27"/>
    </w:rPr>
  </w:style>
  <w:style w:type="paragraph" w:customStyle="1" w:styleId="1461">
    <w:name w:val="样式 样式 方正宋三简体 14 磅 行距: 1.5 倍行距1 + 首行缩进:  2 字符"/>
    <w:basedOn w:val="1"/>
    <w:link w:val="1460"/>
    <w:qFormat/>
    <w:uiPriority w:val="0"/>
    <w:pPr>
      <w:widowControl/>
      <w:spacing w:line="240" w:lineRule="auto"/>
      <w:ind w:firstLine="200" w:firstLineChars="200"/>
      <w:jc w:val="left"/>
    </w:pPr>
    <w:rPr>
      <w:rFonts w:ascii="Verdana"/>
      <w:sz w:val="27"/>
    </w:rPr>
  </w:style>
  <w:style w:type="character" w:customStyle="1" w:styleId="1462">
    <w:name w:val="正文 + 首行缩进:  2 字符 Char Char"/>
    <w:qFormat/>
    <w:uiPriority w:val="0"/>
    <w:rPr>
      <w:rFonts w:eastAsia="宋体"/>
      <w:spacing w:val="12"/>
      <w:kern w:val="2"/>
      <w:sz w:val="24"/>
      <w:lang w:val="en-US" w:eastAsia="zh-CN"/>
    </w:rPr>
  </w:style>
  <w:style w:type="character" w:customStyle="1" w:styleId="1463">
    <w:name w:val="表名 Char Char Char Char Char"/>
    <w:qFormat/>
    <w:uiPriority w:val="0"/>
    <w:rPr>
      <w:rFonts w:eastAsia="华文楷体"/>
      <w:b/>
      <w:kern w:val="10"/>
      <w:sz w:val="24"/>
      <w:lang w:val="en-US" w:eastAsia="zh-CN"/>
    </w:rPr>
  </w:style>
  <w:style w:type="character" w:customStyle="1" w:styleId="1464">
    <w:name w:val="蒲标题2 Char Char"/>
    <w:link w:val="1465"/>
    <w:qFormat/>
    <w:uiPriority w:val="0"/>
    <w:rPr>
      <w:b/>
      <w:snapToGrid w:val="0"/>
      <w:color w:val="0000FF"/>
      <w:sz w:val="24"/>
    </w:rPr>
  </w:style>
  <w:style w:type="paragraph" w:customStyle="1" w:styleId="1465">
    <w:name w:val="蒲标题2"/>
    <w:basedOn w:val="7"/>
    <w:link w:val="1464"/>
    <w:qFormat/>
    <w:uiPriority w:val="0"/>
    <w:pPr>
      <w:widowControl/>
      <w:numPr>
        <w:ilvl w:val="0"/>
        <w:numId w:val="0"/>
      </w:numPr>
      <w:autoSpaceDE w:val="0"/>
      <w:autoSpaceDN w:val="0"/>
      <w:adjustRightInd w:val="0"/>
      <w:snapToGrid w:val="0"/>
      <w:spacing w:beforeLines="50" w:after="0" w:line="360" w:lineRule="auto"/>
      <w:jc w:val="both"/>
      <w:outlineLvl w:val="2"/>
    </w:pPr>
    <w:rPr>
      <w:rFonts w:asciiTheme="minorHAnsi" w:hAnsiTheme="minorHAnsi" w:eastAsiaTheme="minorEastAsia" w:cstheme="minorBidi"/>
      <w:bCs w:val="0"/>
      <w:snapToGrid w:val="0"/>
      <w:color w:val="0000FF"/>
      <w:sz w:val="24"/>
      <w:szCs w:val="22"/>
    </w:rPr>
  </w:style>
  <w:style w:type="character" w:customStyle="1" w:styleId="1466">
    <w:name w:val="文本匡小五号 Char Char Char"/>
    <w:qFormat/>
    <w:uiPriority w:val="0"/>
    <w:rPr>
      <w:rFonts w:ascii="Verdana" w:hAnsi="Verdana" w:eastAsia="Times New Roman"/>
      <w:kern w:val="2"/>
      <w:sz w:val="24"/>
      <w:lang w:val="en-US" w:eastAsia="zh-CN"/>
    </w:rPr>
  </w:style>
  <w:style w:type="character" w:customStyle="1" w:styleId="1467">
    <w:name w:val="r1"/>
    <w:qFormat/>
    <w:uiPriority w:val="0"/>
    <w:rPr>
      <w:rFonts w:ascii="Arial Black" w:hAnsi="Arial Black" w:eastAsia="Times New Roman"/>
      <w:sz w:val="20"/>
      <w:lang w:val="en-US" w:eastAsia="en-US"/>
    </w:rPr>
  </w:style>
  <w:style w:type="character" w:customStyle="1" w:styleId="1468">
    <w:name w:val="样式 德胜表格内容 + 紧缩量  0.6 磅 Char Char"/>
    <w:basedOn w:val="1469"/>
    <w:link w:val="1471"/>
    <w:qFormat/>
    <w:uiPriority w:val="0"/>
    <w:rPr>
      <w:snapToGrid w:val="0"/>
      <w:color w:val="0000FF"/>
    </w:rPr>
  </w:style>
  <w:style w:type="character" w:customStyle="1" w:styleId="1469">
    <w:name w:val="德胜表格内容 Char Char"/>
    <w:link w:val="1470"/>
    <w:qFormat/>
    <w:uiPriority w:val="0"/>
    <w:rPr>
      <w:snapToGrid w:val="0"/>
      <w:color w:val="0000FF"/>
    </w:rPr>
  </w:style>
  <w:style w:type="paragraph" w:customStyle="1" w:styleId="1470">
    <w:name w:val="德胜表格内容"/>
    <w:basedOn w:val="1"/>
    <w:link w:val="1469"/>
    <w:qFormat/>
    <w:uiPriority w:val="0"/>
    <w:pPr>
      <w:widowControl/>
      <w:adjustRightInd w:val="0"/>
      <w:snapToGrid w:val="0"/>
      <w:spacing w:line="240" w:lineRule="auto"/>
      <w:jc w:val="center"/>
    </w:pPr>
    <w:rPr>
      <w:snapToGrid w:val="0"/>
      <w:color w:val="0000FF"/>
    </w:rPr>
  </w:style>
  <w:style w:type="paragraph" w:customStyle="1" w:styleId="1471">
    <w:name w:val="样式 德胜表格内容 + 紧缩量  0.6 磅"/>
    <w:basedOn w:val="1470"/>
    <w:link w:val="1468"/>
    <w:qFormat/>
    <w:uiPriority w:val="0"/>
    <w:rPr>
      <w:szCs w:val="22"/>
    </w:rPr>
  </w:style>
  <w:style w:type="character" w:customStyle="1" w:styleId="1472">
    <w:name w:val="燕山正文 Char Char"/>
    <w:qFormat/>
    <w:uiPriority w:val="0"/>
    <w:rPr>
      <w:rFonts w:hAnsi="Arial" w:eastAsia="宋体"/>
      <w:snapToGrid w:val="0"/>
      <w:spacing w:val="10"/>
      <w:sz w:val="24"/>
      <w:lang w:val="en-US" w:eastAsia="zh-CN"/>
    </w:rPr>
  </w:style>
  <w:style w:type="character" w:customStyle="1" w:styleId="1473">
    <w:name w:val="正文(首行缩进) Char2"/>
    <w:qFormat/>
    <w:uiPriority w:val="0"/>
    <w:rPr>
      <w:rFonts w:ascii="Arial Black" w:hAnsi="Arial Black" w:eastAsia="楷体"/>
      <w:snapToGrid w:val="0"/>
      <w:color w:val="000000"/>
      <w:kern w:val="2"/>
      <w:sz w:val="21"/>
      <w:lang w:val="en-US" w:eastAsia="zh-CN"/>
    </w:rPr>
  </w:style>
  <w:style w:type="character" w:customStyle="1" w:styleId="1474">
    <w:name w:val="a2"/>
    <w:qFormat/>
    <w:uiPriority w:val="0"/>
    <w:rPr>
      <w:rFonts w:ascii="Arial Black" w:hAnsi="Arial Black" w:eastAsia="Times New Roman"/>
      <w:sz w:val="21"/>
      <w:lang w:val="en-US" w:eastAsia="en-US"/>
    </w:rPr>
  </w:style>
  <w:style w:type="character" w:customStyle="1" w:styleId="1475">
    <w:name w:val="Body Text First Indent Char"/>
    <w:qFormat/>
    <w:uiPriority w:val="0"/>
    <w:rPr>
      <w:rFonts w:ascii="Times New Roman" w:hAnsi="Times New Roman" w:cs="Times New Roman"/>
      <w:kern w:val="2"/>
      <w:sz w:val="21"/>
    </w:rPr>
  </w:style>
  <w:style w:type="character" w:customStyle="1" w:styleId="1476">
    <w:name w:val="正文文本 2 Char Char Char"/>
    <w:qFormat/>
    <w:uiPriority w:val="0"/>
    <w:rPr>
      <w:rFonts w:ascii="Times New Roman" w:hAnsi="Times New Roman"/>
      <w:kern w:val="2"/>
      <w:sz w:val="21"/>
    </w:rPr>
  </w:style>
  <w:style w:type="character" w:customStyle="1" w:styleId="1477">
    <w:name w:val="批注文字 Char Char"/>
    <w:qFormat/>
    <w:uiPriority w:val="0"/>
    <w:rPr>
      <w:rFonts w:eastAsia="宋体"/>
      <w:kern w:val="2"/>
      <w:sz w:val="24"/>
      <w:lang w:val="en-US" w:eastAsia="zh-CN"/>
    </w:rPr>
  </w:style>
  <w:style w:type="character" w:customStyle="1" w:styleId="1478">
    <w:name w:val="样式 仿宋_GB2312 小四2"/>
    <w:qFormat/>
    <w:uiPriority w:val="0"/>
    <w:rPr>
      <w:rFonts w:ascii="仿宋_GB2312" w:hAnsi="仿宋_GB2312" w:eastAsia="Times New Roman"/>
      <w:kern w:val="2"/>
      <w:sz w:val="24"/>
      <w:lang w:val="en-US" w:eastAsia="zh-CN"/>
    </w:rPr>
  </w:style>
  <w:style w:type="character" w:customStyle="1" w:styleId="1479">
    <w:name w:val="A3"/>
    <w:qFormat/>
    <w:uiPriority w:val="0"/>
    <w:rPr>
      <w:rFonts w:ascii="华文行楷" w:eastAsia="华文行楷"/>
      <w:color w:val="000000"/>
      <w:sz w:val="36"/>
    </w:rPr>
  </w:style>
  <w:style w:type="character" w:customStyle="1" w:styleId="1480">
    <w:name w:val="A4"/>
    <w:qFormat/>
    <w:uiPriority w:val="0"/>
    <w:rPr>
      <w:rFonts w:ascii="Symusic" w:eastAsia="Times New Roman"/>
      <w:color w:val="000000"/>
      <w:sz w:val="28"/>
    </w:rPr>
  </w:style>
  <w:style w:type="character" w:customStyle="1" w:styleId="1481">
    <w:name w:val="style91"/>
    <w:qFormat/>
    <w:uiPriority w:val="0"/>
    <w:rPr>
      <w:rFonts w:ascii="Arial Black" w:hAnsi="Arial Black" w:eastAsia="Times New Roman"/>
      <w:b/>
      <w:color w:val="187CC8"/>
      <w:sz w:val="21"/>
      <w:lang w:val="en-US" w:eastAsia="en-US"/>
    </w:rPr>
  </w:style>
  <w:style w:type="character" w:customStyle="1" w:styleId="1482">
    <w:name w:val="ht1"/>
    <w:qFormat/>
    <w:uiPriority w:val="0"/>
    <w:rPr>
      <w:rFonts w:ascii="黑体" w:eastAsia="黑体"/>
      <w:b/>
    </w:rPr>
  </w:style>
  <w:style w:type="character" w:customStyle="1" w:styleId="1483">
    <w:name w:val="t3"/>
    <w:qFormat/>
    <w:uiPriority w:val="0"/>
    <w:rPr>
      <w:rFonts w:ascii="Arial Black" w:hAnsi="Arial Black" w:eastAsia="Times New Roman"/>
      <w:sz w:val="21"/>
      <w:lang w:val="en-US" w:eastAsia="en-US"/>
    </w:rPr>
  </w:style>
  <w:style w:type="character" w:customStyle="1" w:styleId="1484">
    <w:name w:val="1.1标题2 Char"/>
    <w:qFormat/>
    <w:uiPriority w:val="0"/>
    <w:rPr>
      <w:rFonts w:ascii="Courier New" w:hAnsi="Courier New" w:eastAsia="楷体"/>
      <w:kern w:val="2"/>
      <w:sz w:val="32"/>
      <w:lang w:val="en-US" w:eastAsia="zh-CN"/>
    </w:rPr>
  </w:style>
  <w:style w:type="character" w:customStyle="1" w:styleId="1485">
    <w:name w:val="stit16_g1"/>
    <w:qFormat/>
    <w:uiPriority w:val="0"/>
    <w:rPr>
      <w:rFonts w:ascii="PMingLiU" w:hAnsi="PMingLiU" w:eastAsia="PMingLiU"/>
      <w:color w:val="1425D0"/>
      <w:sz w:val="16"/>
      <w:lang w:val="en-US" w:eastAsia="en-US"/>
    </w:rPr>
  </w:style>
  <w:style w:type="character" w:customStyle="1" w:styleId="1486">
    <w:name w:val="纯文本 Char Char Char"/>
    <w:qFormat/>
    <w:uiPriority w:val="0"/>
    <w:rPr>
      <w:rFonts w:ascii="宋体" w:hAnsi="Courier New"/>
      <w:kern w:val="2"/>
      <w:sz w:val="21"/>
    </w:rPr>
  </w:style>
  <w:style w:type="character" w:customStyle="1" w:styleId="1487">
    <w:name w:val="Comment Subject Char"/>
    <w:qFormat/>
    <w:uiPriority w:val="0"/>
    <w:rPr>
      <w:rFonts w:ascii="Times New Roman" w:hAnsi="Times New Roman"/>
      <w:b/>
      <w:kern w:val="2"/>
      <w:sz w:val="21"/>
    </w:rPr>
  </w:style>
  <w:style w:type="character" w:customStyle="1" w:styleId="1488">
    <w:name w:val="正文文本缩进 2 Char Char"/>
    <w:link w:val="1489"/>
    <w:qFormat/>
    <w:uiPriority w:val="0"/>
  </w:style>
  <w:style w:type="paragraph" w:customStyle="1" w:styleId="1489">
    <w:name w:val="正文文本缩进 22"/>
    <w:basedOn w:val="1"/>
    <w:link w:val="1488"/>
    <w:qFormat/>
    <w:uiPriority w:val="0"/>
    <w:pPr>
      <w:widowControl/>
      <w:spacing w:line="400" w:lineRule="atLeast"/>
      <w:ind w:firstLine="480"/>
      <w:jc w:val="left"/>
    </w:pPr>
  </w:style>
  <w:style w:type="character" w:customStyle="1" w:styleId="1490">
    <w:name w:val="css-text3"/>
    <w:qFormat/>
    <w:uiPriority w:val="0"/>
    <w:rPr>
      <w:rFonts w:ascii="Arial Black" w:hAnsi="Arial Black" w:eastAsia="Times New Roman"/>
      <w:sz w:val="21"/>
      <w:lang w:val="en-US" w:eastAsia="en-US"/>
    </w:rPr>
  </w:style>
  <w:style w:type="character" w:customStyle="1" w:styleId="1491">
    <w:name w:val="页脚1 Char1"/>
    <w:qFormat/>
    <w:uiPriority w:val="0"/>
    <w:rPr>
      <w:rFonts w:eastAsia="宋体"/>
      <w:kern w:val="2"/>
      <w:sz w:val="18"/>
      <w:lang w:val="en-US" w:eastAsia="zh-CN"/>
    </w:rPr>
  </w:style>
  <w:style w:type="character" w:customStyle="1" w:styleId="1492">
    <w:name w:val="页眉 Char Char Char"/>
    <w:qFormat/>
    <w:uiPriority w:val="0"/>
    <w:rPr>
      <w:rFonts w:ascii="Times New Roman" w:hAnsi="Times New Roman"/>
      <w:kern w:val="2"/>
      <w:sz w:val="18"/>
    </w:rPr>
  </w:style>
  <w:style w:type="character" w:customStyle="1" w:styleId="1493">
    <w:name w:val="style621"/>
    <w:qFormat/>
    <w:uiPriority w:val="0"/>
    <w:rPr>
      <w:color w:val="335150"/>
    </w:rPr>
  </w:style>
  <w:style w:type="character" w:customStyle="1" w:styleId="1494">
    <w:name w:val="二级标题2 Char Char"/>
    <w:link w:val="1495"/>
    <w:qFormat/>
    <w:uiPriority w:val="0"/>
    <w:rPr>
      <w:b/>
      <w:color w:val="0000FF"/>
      <w:sz w:val="28"/>
    </w:rPr>
  </w:style>
  <w:style w:type="paragraph" w:customStyle="1" w:styleId="1495">
    <w:name w:val="二级标题2"/>
    <w:basedOn w:val="7"/>
    <w:next w:val="1496"/>
    <w:link w:val="1494"/>
    <w:qFormat/>
    <w:uiPriority w:val="0"/>
    <w:pPr>
      <w:widowControl/>
      <w:numPr>
        <w:ilvl w:val="0"/>
        <w:numId w:val="0"/>
      </w:numPr>
      <w:adjustRightInd w:val="0"/>
      <w:snapToGrid w:val="0"/>
      <w:spacing w:beforeLines="50" w:after="0" w:line="360" w:lineRule="auto"/>
    </w:pPr>
    <w:rPr>
      <w:rFonts w:asciiTheme="minorHAnsi" w:hAnsiTheme="minorHAnsi" w:eastAsiaTheme="minorEastAsia" w:cstheme="minorBidi"/>
      <w:bCs w:val="0"/>
      <w:color w:val="0000FF"/>
      <w:szCs w:val="22"/>
    </w:rPr>
  </w:style>
  <w:style w:type="paragraph" w:customStyle="1" w:styleId="1496">
    <w:name w:val="二级标题1"/>
    <w:basedOn w:val="7"/>
    <w:next w:val="8"/>
    <w:qFormat/>
    <w:uiPriority w:val="0"/>
    <w:pPr>
      <w:widowControl/>
      <w:numPr>
        <w:ilvl w:val="0"/>
        <w:numId w:val="0"/>
      </w:numPr>
      <w:adjustRightInd w:val="0"/>
      <w:snapToGrid w:val="0"/>
      <w:spacing w:beforeLines="50" w:line="240" w:lineRule="auto"/>
    </w:pPr>
    <w:rPr>
      <w:rFonts w:ascii="Arial" w:hAnsi="Arial" w:eastAsia="宋体" w:cs="Times New Roman"/>
      <w:color w:val="0000FF"/>
      <w:sz w:val="24"/>
      <w:szCs w:val="28"/>
    </w:rPr>
  </w:style>
  <w:style w:type="character" w:customStyle="1" w:styleId="1497">
    <w:name w:val="p11"/>
    <w:qFormat/>
    <w:uiPriority w:val="0"/>
    <w:rPr>
      <w:sz w:val="18"/>
    </w:rPr>
  </w:style>
  <w:style w:type="character" w:customStyle="1" w:styleId="1498">
    <w:name w:val="信息标题 Char"/>
    <w:qFormat/>
    <w:uiPriority w:val="0"/>
    <w:rPr>
      <w:rFonts w:ascii="Courier New" w:hAnsi="Courier New"/>
      <w:sz w:val="24"/>
      <w:shd w:val="pct20" w:color="auto" w:fill="auto"/>
    </w:rPr>
  </w:style>
  <w:style w:type="character" w:customStyle="1" w:styleId="1499">
    <w:name w:val="spelle"/>
    <w:qFormat/>
    <w:uiPriority w:val="0"/>
    <w:rPr>
      <w:rFonts w:ascii="Arial Black" w:hAnsi="Arial Black" w:eastAsia="Times New Roman"/>
      <w:sz w:val="21"/>
      <w:lang w:val="en-US" w:eastAsia="en-US"/>
    </w:rPr>
  </w:style>
  <w:style w:type="character" w:customStyle="1" w:styleId="1500">
    <w:name w:val="s c c"/>
    <w:qFormat/>
    <w:uiPriority w:val="0"/>
    <w:rPr>
      <w:rFonts w:ascii="Arial Black" w:hAnsi="Arial Black" w:eastAsia="Times New Roman"/>
      <w:sz w:val="21"/>
      <w:lang w:val="en-US" w:eastAsia="en-US"/>
    </w:rPr>
  </w:style>
  <w:style w:type="character" w:customStyle="1" w:styleId="1501">
    <w:name w:val="contentcolor"/>
    <w:qFormat/>
    <w:uiPriority w:val="0"/>
    <w:rPr>
      <w:rFonts w:eastAsia="宋体" w:cs="Times New Roman"/>
      <w:kern w:val="2"/>
      <w:sz w:val="24"/>
      <w:szCs w:val="24"/>
      <w:lang w:val="en-US" w:eastAsia="zh-CN" w:bidi="ar-SA"/>
    </w:rPr>
  </w:style>
  <w:style w:type="character" w:customStyle="1" w:styleId="1502">
    <w:name w:val="标题 1 Char Char"/>
    <w:qFormat/>
    <w:uiPriority w:val="0"/>
    <w:rPr>
      <w:rFonts w:eastAsia="宋体"/>
      <w:b/>
      <w:kern w:val="44"/>
      <w:sz w:val="24"/>
      <w:lang w:val="en-US" w:eastAsia="zh-CN"/>
    </w:rPr>
  </w:style>
  <w:style w:type="character" w:customStyle="1" w:styleId="1503">
    <w:name w:val="style6"/>
    <w:qFormat/>
    <w:uiPriority w:val="0"/>
    <w:rPr>
      <w:rFonts w:ascii="Arial" w:hAnsi="Arial"/>
      <w:sz w:val="18"/>
    </w:rPr>
  </w:style>
  <w:style w:type="character" w:customStyle="1" w:styleId="1504">
    <w:name w:val="标题 1 cg Char Char"/>
    <w:link w:val="1505"/>
    <w:qFormat/>
    <w:uiPriority w:val="0"/>
    <w:rPr>
      <w:b/>
      <w:color w:val="0000FF"/>
      <w:kern w:val="44"/>
      <w:sz w:val="30"/>
    </w:rPr>
  </w:style>
  <w:style w:type="paragraph" w:customStyle="1" w:styleId="1505">
    <w:name w:val="标题 1 cg"/>
    <w:basedOn w:val="6"/>
    <w:link w:val="1504"/>
    <w:qFormat/>
    <w:uiPriority w:val="0"/>
    <w:pPr>
      <w:keepLines w:val="0"/>
      <w:widowControl/>
      <w:numPr>
        <w:numId w:val="0"/>
      </w:numPr>
      <w:spacing w:before="0" w:after="0" w:line="360" w:lineRule="auto"/>
    </w:pPr>
    <w:rPr>
      <w:rFonts w:asciiTheme="minorHAnsi" w:hAnsiTheme="minorHAnsi"/>
      <w:bCs w:val="0"/>
      <w:color w:val="0000FF"/>
      <w:sz w:val="30"/>
      <w:szCs w:val="22"/>
    </w:rPr>
  </w:style>
  <w:style w:type="character" w:customStyle="1" w:styleId="1506">
    <w:name w:val="正文文本缩进 Char Char Char"/>
    <w:qFormat/>
    <w:uiPriority w:val="0"/>
    <w:rPr>
      <w:rFonts w:ascii="Times New Roman" w:hAnsi="Times New Roman"/>
      <w:kern w:val="2"/>
      <w:sz w:val="21"/>
    </w:rPr>
  </w:style>
  <w:style w:type="character" w:customStyle="1" w:styleId="1507">
    <w:name w:val="main1"/>
    <w:qFormat/>
    <w:uiPriority w:val="0"/>
    <w:rPr>
      <w:color w:val="0033CC"/>
      <w:sz w:val="18"/>
    </w:rPr>
  </w:style>
  <w:style w:type="character" w:customStyle="1" w:styleId="1508">
    <w:name w:val="style9 style60"/>
    <w:qFormat/>
    <w:uiPriority w:val="0"/>
    <w:rPr>
      <w:rFonts w:eastAsia="宋体" w:cs="Times New Roman"/>
      <w:kern w:val="2"/>
      <w:sz w:val="24"/>
      <w:szCs w:val="24"/>
      <w:lang w:val="en-US" w:eastAsia="zh-CN" w:bidi="ar-SA"/>
    </w:rPr>
  </w:style>
  <w:style w:type="character" w:customStyle="1" w:styleId="1509">
    <w:name w:val="p"/>
    <w:qFormat/>
    <w:uiPriority w:val="0"/>
    <w:rPr>
      <w:rFonts w:eastAsia="宋体" w:cs="Times New Roman"/>
      <w:kern w:val="2"/>
      <w:sz w:val="24"/>
      <w:szCs w:val="24"/>
      <w:lang w:val="en-US" w:eastAsia="zh-CN" w:bidi="ar-SA"/>
    </w:rPr>
  </w:style>
  <w:style w:type="character" w:customStyle="1" w:styleId="1510">
    <w:name w:val="t111"/>
    <w:qFormat/>
    <w:uiPriority w:val="0"/>
    <w:rPr>
      <w:rFonts w:ascii="Verdana" w:hAnsi="Verdana" w:eastAsia="Times New Roman"/>
      <w:kern w:val="0"/>
      <w:sz w:val="24"/>
      <w:lang w:val="en-US" w:eastAsia="en-US"/>
    </w:rPr>
  </w:style>
  <w:style w:type="character" w:customStyle="1" w:styleId="1511">
    <w:name w:val="样式1 Char1"/>
    <w:qFormat/>
    <w:uiPriority w:val="99"/>
    <w:rPr>
      <w:rFonts w:ascii="Times New Roman" w:hAnsi="宋体"/>
      <w:snapToGrid w:val="0"/>
      <w:color w:val="0000FF"/>
      <w:sz w:val="21"/>
    </w:rPr>
  </w:style>
  <w:style w:type="character" w:customStyle="1" w:styleId="1512">
    <w:name w:val="postbody1"/>
    <w:qFormat/>
    <w:uiPriority w:val="0"/>
    <w:rPr>
      <w:rFonts w:ascii="Arial Black" w:hAnsi="Arial Black" w:eastAsia="Times New Roman"/>
      <w:sz w:val="21"/>
      <w:lang w:val="en-US" w:eastAsia="en-US"/>
    </w:rPr>
  </w:style>
  <w:style w:type="character" w:customStyle="1" w:styleId="1513">
    <w:name w:val="Signature Char"/>
    <w:qFormat/>
    <w:uiPriority w:val="0"/>
    <w:rPr>
      <w:rFonts w:ascii="Verdana" w:hAnsi="Verdana"/>
      <w:sz w:val="32"/>
    </w:rPr>
  </w:style>
  <w:style w:type="character" w:customStyle="1" w:styleId="1514">
    <w:name w:val="文本框小四 Char Char"/>
    <w:qFormat/>
    <w:uiPriority w:val="0"/>
    <w:rPr>
      <w:rFonts w:ascii="Verdana" w:hAnsi="Verdana" w:eastAsia="Times New Roman"/>
      <w:kern w:val="2"/>
      <w:sz w:val="24"/>
      <w:lang w:val="en-US" w:eastAsia="zh-CN"/>
    </w:rPr>
  </w:style>
  <w:style w:type="character" w:customStyle="1" w:styleId="1515">
    <w:name w:val="3标题(治) Char Char"/>
    <w:link w:val="1516"/>
    <w:qFormat/>
    <w:uiPriority w:val="0"/>
    <w:rPr>
      <w:snapToGrid w:val="0"/>
      <w:color w:val="0000FF"/>
      <w:sz w:val="28"/>
    </w:rPr>
  </w:style>
  <w:style w:type="paragraph" w:customStyle="1" w:styleId="1516">
    <w:name w:val="3标题(治)"/>
    <w:basedOn w:val="8"/>
    <w:link w:val="1515"/>
    <w:qFormat/>
    <w:uiPriority w:val="0"/>
    <w:pPr>
      <w:keepLines w:val="0"/>
      <w:widowControl/>
      <w:numPr>
        <w:ilvl w:val="0"/>
        <w:numId w:val="0"/>
      </w:numPr>
      <w:adjustRightInd w:val="0"/>
      <w:snapToGrid w:val="0"/>
      <w:spacing w:beforeLines="50" w:afterLines="50" w:line="360" w:lineRule="auto"/>
      <w:textAlignment w:val="baseline"/>
    </w:pPr>
    <w:rPr>
      <w:rFonts w:asciiTheme="minorHAnsi" w:hAnsiTheme="minorHAnsi"/>
      <w:b w:val="0"/>
      <w:bCs w:val="0"/>
      <w:snapToGrid w:val="0"/>
      <w:color w:val="0000FF"/>
      <w:sz w:val="28"/>
      <w:szCs w:val="22"/>
    </w:rPr>
  </w:style>
  <w:style w:type="character" w:customStyle="1" w:styleId="1517">
    <w:name w:val="德胜表头 Char Char"/>
    <w:link w:val="1518"/>
    <w:qFormat/>
    <w:uiPriority w:val="0"/>
    <w:rPr>
      <w:b/>
      <w:snapToGrid w:val="0"/>
      <w:color w:val="0000FF"/>
      <w:sz w:val="24"/>
    </w:rPr>
  </w:style>
  <w:style w:type="paragraph" w:customStyle="1" w:styleId="1518">
    <w:name w:val="德胜表头"/>
    <w:basedOn w:val="1519"/>
    <w:link w:val="1517"/>
    <w:qFormat/>
    <w:uiPriority w:val="0"/>
    <w:pPr>
      <w:spacing w:line="240" w:lineRule="auto"/>
      <w:ind w:firstLine="0" w:firstLineChars="0"/>
      <w:jc w:val="center"/>
    </w:pPr>
    <w:rPr>
      <w:b/>
      <w:szCs w:val="22"/>
    </w:rPr>
  </w:style>
  <w:style w:type="paragraph" w:customStyle="1" w:styleId="1519">
    <w:name w:val="德胜正文"/>
    <w:basedOn w:val="1"/>
    <w:link w:val="1520"/>
    <w:qFormat/>
    <w:uiPriority w:val="0"/>
    <w:pPr>
      <w:widowControl/>
      <w:adjustRightInd w:val="0"/>
      <w:snapToGrid w:val="0"/>
      <w:ind w:firstLine="200" w:firstLineChars="200"/>
      <w:jc w:val="left"/>
    </w:pPr>
    <w:rPr>
      <w:snapToGrid w:val="0"/>
      <w:color w:val="0000FF"/>
      <w:sz w:val="24"/>
    </w:rPr>
  </w:style>
  <w:style w:type="character" w:customStyle="1" w:styleId="1520">
    <w:name w:val="德胜正文 Char Char"/>
    <w:link w:val="1519"/>
    <w:qFormat/>
    <w:uiPriority w:val="0"/>
    <w:rPr>
      <w:snapToGrid w:val="0"/>
      <w:color w:val="0000FF"/>
      <w:sz w:val="24"/>
    </w:rPr>
  </w:style>
  <w:style w:type="character" w:customStyle="1" w:styleId="1521">
    <w:name w:val="bt1"/>
    <w:qFormat/>
    <w:uiPriority w:val="0"/>
    <w:rPr>
      <w:color w:val="000000"/>
    </w:rPr>
  </w:style>
  <w:style w:type="character" w:customStyle="1" w:styleId="1522">
    <w:name w:val="泸县焦化三级标题 Char Char"/>
    <w:link w:val="1523"/>
    <w:qFormat/>
    <w:uiPriority w:val="0"/>
    <w:rPr>
      <w:b/>
      <w:sz w:val="24"/>
    </w:rPr>
  </w:style>
  <w:style w:type="paragraph" w:customStyle="1" w:styleId="1523">
    <w:name w:val="泸县焦化三级标题"/>
    <w:basedOn w:val="1"/>
    <w:link w:val="1522"/>
    <w:qFormat/>
    <w:uiPriority w:val="0"/>
    <w:pPr>
      <w:keepNext/>
      <w:keepLines/>
      <w:widowControl/>
      <w:autoSpaceDE w:val="0"/>
      <w:autoSpaceDN w:val="0"/>
      <w:adjustRightInd w:val="0"/>
      <w:snapToGrid w:val="0"/>
      <w:jc w:val="left"/>
      <w:outlineLvl w:val="2"/>
    </w:pPr>
    <w:rPr>
      <w:b/>
      <w:sz w:val="24"/>
    </w:rPr>
  </w:style>
  <w:style w:type="character" w:customStyle="1" w:styleId="1524">
    <w:name w:val="Body Text Indent Char"/>
    <w:qFormat/>
    <w:uiPriority w:val="0"/>
    <w:rPr>
      <w:rFonts w:ascii="Times New Roman" w:hAnsi="Times New Roman"/>
      <w:color w:val="0000FF"/>
      <w:kern w:val="2"/>
      <w:sz w:val="24"/>
    </w:rPr>
  </w:style>
  <w:style w:type="character" w:customStyle="1" w:styleId="1525">
    <w:name w:val="样式 标题 4 + 左侧:  0 厘米 悬挂缩进: 8.64 字符 段前: 6 磅 段后: 6 磅 行距: 单倍行距 Char Char"/>
    <w:link w:val="1526"/>
    <w:qFormat/>
    <w:uiPriority w:val="0"/>
    <w:rPr>
      <w:rFonts w:ascii="Arial" w:hAnsi="Arial" w:eastAsia="黑体"/>
      <w:b/>
      <w:sz w:val="24"/>
    </w:rPr>
  </w:style>
  <w:style w:type="paragraph" w:customStyle="1" w:styleId="1526">
    <w:name w:val="样式 标题 4 + 左侧:  0 厘米 悬挂缩进: 8.64 字符 段前: 6 磅 段后: 6 磅 行距: 单倍行距"/>
    <w:basedOn w:val="9"/>
    <w:link w:val="1525"/>
    <w:qFormat/>
    <w:uiPriority w:val="0"/>
    <w:pPr>
      <w:widowControl/>
      <w:numPr>
        <w:ilvl w:val="0"/>
        <w:numId w:val="0"/>
      </w:numPr>
      <w:spacing w:before="120" w:after="120" w:line="312" w:lineRule="auto"/>
    </w:pPr>
    <w:rPr>
      <w:rFonts w:ascii="Arial" w:hAnsi="Arial" w:eastAsia="黑体" w:cstheme="minorBidi"/>
      <w:bCs w:val="0"/>
      <w:szCs w:val="22"/>
    </w:rPr>
  </w:style>
  <w:style w:type="character" w:customStyle="1" w:styleId="1527">
    <w:name w:val="表文 Char Char Char Char Char Char"/>
    <w:qFormat/>
    <w:uiPriority w:val="0"/>
    <w:rPr>
      <w:rFonts w:ascii="Times New Roman" w:hAnsi="Times New Roman"/>
      <w:kern w:val="2"/>
      <w:sz w:val="18"/>
    </w:rPr>
  </w:style>
  <w:style w:type="character" w:customStyle="1" w:styleId="1528">
    <w:name w:val="样式 标题 3 + 黑色 Char Char Char Char Char"/>
    <w:qFormat/>
    <w:uiPriority w:val="0"/>
    <w:rPr>
      <w:rFonts w:ascii="Arial Black" w:hAnsi="Arial Black" w:eastAsia="Times New Roman"/>
      <w:color w:val="000000"/>
      <w:kern w:val="2"/>
      <w:sz w:val="21"/>
      <w:lang w:val="en-US" w:eastAsia="zh-CN"/>
    </w:rPr>
  </w:style>
  <w:style w:type="character" w:customStyle="1" w:styleId="1529">
    <w:name w:val="style41"/>
    <w:qFormat/>
    <w:uiPriority w:val="0"/>
    <w:rPr>
      <w:rFonts w:ascii="Arial Black" w:hAnsi="Arial Black" w:eastAsia="Times New Roman"/>
      <w:sz w:val="21"/>
      <w:lang w:val="en-US" w:eastAsia="en-US"/>
    </w:rPr>
  </w:style>
  <w:style w:type="character" w:customStyle="1" w:styleId="1530">
    <w:name w:val="标题 3 Char1 Char Char"/>
    <w:qFormat/>
    <w:uiPriority w:val="0"/>
    <w:rPr>
      <w:rFonts w:ascii="Arial Black" w:hAnsi="Arial Black" w:eastAsia="Times New Roman"/>
      <w:b/>
      <w:kern w:val="2"/>
      <w:sz w:val="32"/>
      <w:lang w:val="en-US" w:eastAsia="zh-CN"/>
    </w:rPr>
  </w:style>
  <w:style w:type="character" w:customStyle="1" w:styleId="1531">
    <w:name w:val="p_red_bold1"/>
    <w:qFormat/>
    <w:uiPriority w:val="0"/>
    <w:rPr>
      <w:b/>
      <w:color w:val="FF3333"/>
    </w:rPr>
  </w:style>
  <w:style w:type="character" w:customStyle="1" w:styleId="1532">
    <w:name w:val="样式 宋体 13 磅 首行缩进:  0.99 厘米 Char Char"/>
    <w:link w:val="1533"/>
    <w:qFormat/>
    <w:uiPriority w:val="0"/>
    <w:rPr>
      <w:rFonts w:ascii="Verdana" w:hAnsi="Verdana"/>
      <w:sz w:val="27"/>
    </w:rPr>
  </w:style>
  <w:style w:type="paragraph" w:customStyle="1" w:styleId="1533">
    <w:name w:val="样式 宋体 13 磅 首行缩进:  0.99 厘米"/>
    <w:basedOn w:val="1"/>
    <w:link w:val="1532"/>
    <w:qFormat/>
    <w:uiPriority w:val="0"/>
    <w:pPr>
      <w:widowControl/>
      <w:spacing w:line="240" w:lineRule="auto"/>
      <w:ind w:firstLine="560"/>
      <w:jc w:val="left"/>
    </w:pPr>
    <w:rPr>
      <w:rFonts w:ascii="Verdana" w:hAnsi="Verdana"/>
      <w:sz w:val="27"/>
    </w:rPr>
  </w:style>
  <w:style w:type="character" w:customStyle="1" w:styleId="1534">
    <w:name w:val="表正文 Char1 Char Char"/>
    <w:qFormat/>
    <w:uiPriority w:val="0"/>
    <w:rPr>
      <w:rFonts w:ascii="Arial Black" w:hAnsi="Arial Black" w:eastAsia="Times New Roman"/>
      <w:sz w:val="21"/>
      <w:lang w:val="en-US" w:eastAsia="zh-CN"/>
    </w:rPr>
  </w:style>
  <w:style w:type="character" w:customStyle="1" w:styleId="1535">
    <w:name w:val="正文段落（宋旭峰） Char Char"/>
    <w:link w:val="1536"/>
    <w:qFormat/>
    <w:uiPriority w:val="0"/>
    <w:rPr>
      <w:rFonts w:ascii="宋体" w:eastAsia="宋体"/>
      <w:snapToGrid w:val="0"/>
      <w:color w:val="0000FF"/>
      <w:sz w:val="24"/>
    </w:rPr>
  </w:style>
  <w:style w:type="paragraph" w:customStyle="1" w:styleId="1536">
    <w:name w:val="正文段落（宋旭峰）"/>
    <w:basedOn w:val="1"/>
    <w:link w:val="1535"/>
    <w:qFormat/>
    <w:uiPriority w:val="0"/>
    <w:pPr>
      <w:widowControl/>
      <w:ind w:firstLine="480" w:firstLineChars="200"/>
      <w:jc w:val="left"/>
    </w:pPr>
    <w:rPr>
      <w:rFonts w:ascii="宋体" w:eastAsia="宋体"/>
      <w:snapToGrid w:val="0"/>
      <w:color w:val="0000FF"/>
      <w:sz w:val="24"/>
    </w:rPr>
  </w:style>
  <w:style w:type="character" w:customStyle="1" w:styleId="1537">
    <w:name w:val="f241"/>
    <w:qFormat/>
    <w:uiPriority w:val="0"/>
    <w:rPr>
      <w:rFonts w:ascii="Arial Black" w:hAnsi="Arial Black" w:eastAsia="Times New Roman"/>
      <w:sz w:val="36"/>
      <w:lang w:val="en-US" w:eastAsia="en-US"/>
    </w:rPr>
  </w:style>
  <w:style w:type="character" w:customStyle="1" w:styleId="1538">
    <w:name w:val="Body Text 3 Char"/>
    <w:qFormat/>
    <w:uiPriority w:val="0"/>
    <w:rPr>
      <w:rFonts w:ascii="Times New Roman" w:hAnsi="Times New Roman"/>
      <w:kern w:val="2"/>
      <w:sz w:val="16"/>
    </w:rPr>
  </w:style>
  <w:style w:type="character" w:customStyle="1" w:styleId="1539">
    <w:name w:val="red"/>
    <w:qFormat/>
    <w:uiPriority w:val="0"/>
    <w:rPr>
      <w:rFonts w:eastAsia="宋体" w:cs="Times New Roman"/>
      <w:kern w:val="2"/>
      <w:sz w:val="24"/>
      <w:szCs w:val="24"/>
      <w:lang w:val="en-US" w:eastAsia="zh-CN" w:bidi="ar-SA"/>
    </w:rPr>
  </w:style>
  <w:style w:type="character" w:customStyle="1" w:styleId="1540">
    <w:name w:val="正文样式 Char Char"/>
    <w:link w:val="114"/>
    <w:qFormat/>
    <w:uiPriority w:val="0"/>
    <w:rPr>
      <w:rFonts w:ascii="宋体" w:eastAsia="宋体"/>
      <w:color w:val="000000"/>
      <w:sz w:val="24"/>
    </w:rPr>
  </w:style>
  <w:style w:type="character" w:customStyle="1" w:styleId="1541">
    <w:name w:val="样式 题注 + 首行缩进:  2 字符2 Char Char"/>
    <w:link w:val="1542"/>
    <w:qFormat/>
    <w:uiPriority w:val="0"/>
    <w:rPr>
      <w:rFonts w:ascii="黑体" w:hAnsi="宋体" w:eastAsia="黑体"/>
      <w:sz w:val="24"/>
    </w:rPr>
  </w:style>
  <w:style w:type="paragraph" w:customStyle="1" w:styleId="1542">
    <w:name w:val="样式 题注 + 首行缩进:  2 字符2"/>
    <w:basedOn w:val="25"/>
    <w:link w:val="1541"/>
    <w:qFormat/>
    <w:uiPriority w:val="0"/>
    <w:pPr>
      <w:keepNext/>
      <w:widowControl/>
      <w:adjustRightInd w:val="0"/>
      <w:snapToGrid w:val="0"/>
      <w:spacing w:line="240" w:lineRule="auto"/>
      <w:outlineLvl w:val="9"/>
    </w:pPr>
    <w:rPr>
      <w:rFonts w:ascii="黑体" w:hAnsi="宋体" w:eastAsia="黑体" w:cstheme="minorBidi"/>
      <w:b w:val="0"/>
      <w:sz w:val="24"/>
      <w:szCs w:val="22"/>
    </w:rPr>
  </w:style>
  <w:style w:type="character" w:customStyle="1" w:styleId="1543">
    <w:name w:val="Body Text First Indent 2 Char"/>
    <w:qFormat/>
    <w:uiPriority w:val="0"/>
    <w:rPr>
      <w:rFonts w:ascii="Verdana" w:hAnsi="仿宋_GB2312"/>
      <w:kern w:val="2"/>
      <w:sz w:val="28"/>
    </w:rPr>
  </w:style>
  <w:style w:type="character" w:customStyle="1" w:styleId="1544">
    <w:name w:val="项标题(1) Char Char"/>
    <w:qFormat/>
    <w:uiPriority w:val="0"/>
    <w:rPr>
      <w:rFonts w:eastAsia="宋体"/>
      <w:b/>
      <w:sz w:val="24"/>
      <w:lang w:val="en-US" w:eastAsia="zh-CN"/>
    </w:rPr>
  </w:style>
  <w:style w:type="character" w:customStyle="1" w:styleId="1545">
    <w:name w:val="Normal Indent Char"/>
    <w:qFormat/>
    <w:uiPriority w:val="0"/>
    <w:rPr>
      <w:kern w:val="2"/>
      <w:sz w:val="21"/>
    </w:rPr>
  </w:style>
  <w:style w:type="character" w:customStyle="1" w:styleId="1546">
    <w:name w:val="普通文字 Char Char Char2"/>
    <w:qFormat/>
    <w:uiPriority w:val="0"/>
    <w:rPr>
      <w:rFonts w:eastAsia="宋体"/>
      <w:spacing w:val="8"/>
      <w:kern w:val="2"/>
      <w:sz w:val="24"/>
      <w:lang w:val="en-US" w:eastAsia="zh-CN"/>
    </w:rPr>
  </w:style>
  <w:style w:type="character" w:customStyle="1" w:styleId="1547">
    <w:name w:val="large1"/>
    <w:qFormat/>
    <w:uiPriority w:val="0"/>
    <w:rPr>
      <w:rFonts w:ascii="宋体" w:hAnsi="宋体" w:eastAsia="宋体"/>
      <w:sz w:val="24"/>
    </w:rPr>
  </w:style>
  <w:style w:type="character" w:customStyle="1" w:styleId="1548">
    <w:name w:val="Body Text Char"/>
    <w:qFormat/>
    <w:uiPriority w:val="0"/>
    <w:rPr>
      <w:rFonts w:ascii="Times New Roman" w:hAnsi="Times New Roman"/>
      <w:kern w:val="2"/>
      <w:sz w:val="21"/>
    </w:rPr>
  </w:style>
  <w:style w:type="character" w:customStyle="1" w:styleId="1549">
    <w:name w:val="copy2"/>
    <w:qFormat/>
    <w:uiPriority w:val="0"/>
    <w:rPr>
      <w:rFonts w:ascii="Verdana" w:hAnsi="Verdana" w:eastAsia="Times New Roman"/>
      <w:spacing w:val="24"/>
      <w:sz w:val="15"/>
      <w:lang w:val="en-US" w:eastAsia="en-US"/>
    </w:rPr>
  </w:style>
  <w:style w:type="character" w:customStyle="1" w:styleId="1550">
    <w:name w:val="Normal Char Char"/>
    <w:qFormat/>
    <w:uiPriority w:val="0"/>
    <w:rPr>
      <w:rFonts w:ascii="宋体" w:hAnsi="Times New Roman"/>
      <w:sz w:val="24"/>
      <w:lang w:val="en-US" w:eastAsia="zh-CN"/>
    </w:rPr>
  </w:style>
  <w:style w:type="character" w:customStyle="1" w:styleId="1551">
    <w:name w:val="TOm"/>
    <w:qFormat/>
    <w:uiPriority w:val="0"/>
    <w:rPr>
      <w:rFonts w:ascii="Courier New" w:hAnsi="Courier New" w:eastAsia="Times New Roman"/>
      <w:spacing w:val="0"/>
      <w:position w:val="0"/>
      <w:sz w:val="21"/>
      <w:lang w:val="en-US" w:eastAsia="en-US"/>
    </w:rPr>
  </w:style>
  <w:style w:type="character" w:customStyle="1" w:styleId="1552">
    <w:name w:val="普通文字 Char Char Char Char Char C Char Char Char Char Char Char Char"/>
    <w:qFormat/>
    <w:uiPriority w:val="0"/>
    <w:rPr>
      <w:rFonts w:ascii="Verdana" w:hAnsi="MHei-Medium" w:eastAsia="Times New Roman"/>
      <w:kern w:val="2"/>
      <w:sz w:val="24"/>
      <w:lang w:val="en-US" w:eastAsia="zh-CN"/>
    </w:rPr>
  </w:style>
  <w:style w:type="character" w:customStyle="1" w:styleId="1553">
    <w:name w:val="热电厂正文 Char Char Char Char Char Char Char"/>
    <w:link w:val="1554"/>
    <w:qFormat/>
    <w:uiPriority w:val="0"/>
    <w:rPr>
      <w:sz w:val="24"/>
    </w:rPr>
  </w:style>
  <w:style w:type="paragraph" w:customStyle="1" w:styleId="1554">
    <w:name w:val="热电厂正文 Char Char Char Char"/>
    <w:basedOn w:val="1"/>
    <w:link w:val="1553"/>
    <w:qFormat/>
    <w:uiPriority w:val="0"/>
    <w:pPr>
      <w:widowControl/>
      <w:spacing w:line="440" w:lineRule="exact"/>
      <w:ind w:firstLine="480" w:firstLineChars="200"/>
      <w:jc w:val="left"/>
    </w:pPr>
    <w:rPr>
      <w:sz w:val="24"/>
    </w:rPr>
  </w:style>
  <w:style w:type="character" w:customStyle="1" w:styleId="1555">
    <w:name w:val="表题 Char Char Char Char"/>
    <w:qFormat/>
    <w:uiPriority w:val="0"/>
    <w:rPr>
      <w:rFonts w:eastAsia="宋体"/>
      <w:b/>
      <w:spacing w:val="12"/>
      <w:w w:val="90"/>
      <w:kern w:val="2"/>
      <w:sz w:val="24"/>
      <w:lang w:val="en-US" w:eastAsia="zh-CN"/>
    </w:rPr>
  </w:style>
  <w:style w:type="character" w:customStyle="1" w:styleId="1556">
    <w:name w:val="样式 标题 3小标题小节标题标题3H3h33rd level第二层条标题4 + Arial Char Char"/>
    <w:link w:val="1557"/>
    <w:qFormat/>
    <w:uiPriority w:val="0"/>
    <w:rPr>
      <w:rFonts w:ascii="Courier New" w:hAnsi="Courier New"/>
      <w:b/>
      <w:color w:val="000000"/>
      <w:sz w:val="30"/>
    </w:rPr>
  </w:style>
  <w:style w:type="paragraph" w:customStyle="1" w:styleId="1557">
    <w:name w:val="样式 标题 3小标题小节标题标题3H3h33rd level第二层条标题4 + Arial"/>
    <w:basedOn w:val="8"/>
    <w:link w:val="1556"/>
    <w:qFormat/>
    <w:uiPriority w:val="0"/>
    <w:pPr>
      <w:widowControl/>
      <w:numPr>
        <w:ilvl w:val="0"/>
        <w:numId w:val="0"/>
      </w:numPr>
      <w:tabs>
        <w:tab w:val="left" w:pos="1050"/>
      </w:tabs>
      <w:adjustRightInd w:val="0"/>
      <w:spacing w:before="120" w:after="120" w:line="360" w:lineRule="auto"/>
      <w:ind w:left="851" w:hanging="851"/>
      <w:textAlignment w:val="baseline"/>
    </w:pPr>
    <w:rPr>
      <w:rFonts w:ascii="Courier New" w:hAnsi="Courier New"/>
      <w:bCs w:val="0"/>
      <w:color w:val="000000"/>
      <w:sz w:val="30"/>
      <w:szCs w:val="22"/>
    </w:rPr>
  </w:style>
  <w:style w:type="character" w:customStyle="1" w:styleId="1558">
    <w:name w:val="HTML 地址 Char"/>
    <w:qFormat/>
    <w:uiPriority w:val="0"/>
    <w:rPr>
      <w:rFonts w:ascii="Verdana" w:hAnsi="Verdana"/>
      <w:i/>
      <w:sz w:val="32"/>
    </w:rPr>
  </w:style>
  <w:style w:type="character" w:customStyle="1" w:styleId="1559">
    <w:name w:val="1) Char1"/>
    <w:qFormat/>
    <w:uiPriority w:val="0"/>
    <w:rPr>
      <w:rFonts w:eastAsia="宋体"/>
      <w:b/>
      <w:sz w:val="24"/>
      <w:lang w:val="en-US" w:eastAsia="zh-CN"/>
    </w:rPr>
  </w:style>
  <w:style w:type="character" w:customStyle="1" w:styleId="1560">
    <w:name w:val="电子邮件签名 Char"/>
    <w:qFormat/>
    <w:uiPriority w:val="0"/>
    <w:rPr>
      <w:rFonts w:ascii="Verdana" w:hAnsi="Verdana"/>
      <w:sz w:val="32"/>
    </w:rPr>
  </w:style>
  <w:style w:type="character" w:customStyle="1" w:styleId="1561">
    <w:name w:val="css1"/>
    <w:qFormat/>
    <w:uiPriority w:val="0"/>
    <w:rPr>
      <w:rFonts w:ascii="Arial Black" w:hAnsi="Arial Black" w:eastAsia="Times New Roman"/>
      <w:sz w:val="20"/>
      <w:u w:val="none"/>
      <w:lang w:val="en-US" w:eastAsia="en-US"/>
    </w:rPr>
  </w:style>
  <w:style w:type="character" w:customStyle="1" w:styleId="1562">
    <w:name w:val="bb1"/>
    <w:qFormat/>
    <w:uiPriority w:val="0"/>
    <w:rPr>
      <w:sz w:val="18"/>
    </w:rPr>
  </w:style>
  <w:style w:type="character" w:customStyle="1" w:styleId="1563">
    <w:name w:val="ln1"/>
    <w:qFormat/>
    <w:uiPriority w:val="0"/>
    <w:rPr>
      <w:rFonts w:ascii="Tahoma" w:hAnsi="Tahoma" w:eastAsia="Times New Roman"/>
      <w:color w:val="000000"/>
      <w:sz w:val="28"/>
      <w:u w:val="none"/>
      <w:lang w:val="en-US" w:eastAsia="en-US"/>
    </w:rPr>
  </w:style>
  <w:style w:type="character" w:customStyle="1" w:styleId="1564">
    <w:name w:val="表文 Char Char Char Char Char Char Char"/>
    <w:qFormat/>
    <w:uiPriority w:val="0"/>
    <w:rPr>
      <w:rFonts w:ascii="宋体" w:hAnsi="宋体" w:eastAsia="宋体"/>
      <w:sz w:val="21"/>
      <w:lang w:val="en-US" w:eastAsia="zh-CN"/>
    </w:rPr>
  </w:style>
  <w:style w:type="character" w:customStyle="1" w:styleId="1565">
    <w:name w:val="Heading 3 Char"/>
    <w:qFormat/>
    <w:uiPriority w:val="0"/>
    <w:rPr>
      <w:rFonts w:ascii="Times New Roman" w:hAnsi="Times New Roman"/>
      <w:b/>
      <w:kern w:val="2"/>
      <w:sz w:val="32"/>
    </w:rPr>
  </w:style>
  <w:style w:type="character" w:customStyle="1" w:styleId="1566">
    <w:name w:val="样式 标题 1章标题1.1 Char Char"/>
    <w:link w:val="1567"/>
    <w:qFormat/>
    <w:uiPriority w:val="0"/>
    <w:rPr>
      <w:b/>
      <w:kern w:val="44"/>
      <w:sz w:val="24"/>
    </w:rPr>
  </w:style>
  <w:style w:type="paragraph" w:customStyle="1" w:styleId="1567">
    <w:name w:val="样式 标题 1章标题1.1"/>
    <w:basedOn w:val="6"/>
    <w:link w:val="1566"/>
    <w:qFormat/>
    <w:uiPriority w:val="0"/>
    <w:pPr>
      <w:keepLines w:val="0"/>
      <w:widowControl/>
      <w:numPr>
        <w:numId w:val="0"/>
      </w:numPr>
      <w:adjustRightInd w:val="0"/>
      <w:snapToGrid w:val="0"/>
      <w:spacing w:before="0" w:after="0" w:line="360" w:lineRule="auto"/>
    </w:pPr>
    <w:rPr>
      <w:rFonts w:asciiTheme="minorHAnsi" w:hAnsiTheme="minorHAnsi"/>
      <w:bCs w:val="0"/>
      <w:sz w:val="24"/>
      <w:szCs w:val="22"/>
    </w:rPr>
  </w:style>
  <w:style w:type="character" w:customStyle="1" w:styleId="1568">
    <w:name w:val="Heading 1 Char"/>
    <w:qFormat/>
    <w:uiPriority w:val="0"/>
    <w:rPr>
      <w:rFonts w:ascii="Times New Roman" w:hAnsi="Times New Roman"/>
      <w:b/>
      <w:kern w:val="44"/>
      <w:sz w:val="44"/>
    </w:rPr>
  </w:style>
  <w:style w:type="character" w:customStyle="1" w:styleId="1569">
    <w:name w:val="pt9"/>
    <w:qFormat/>
    <w:uiPriority w:val="0"/>
    <w:rPr>
      <w:rFonts w:ascii="Arial Black" w:hAnsi="Arial Black" w:eastAsia="Times New Roman"/>
      <w:sz w:val="21"/>
      <w:lang w:val="en-US" w:eastAsia="en-US"/>
    </w:rPr>
  </w:style>
  <w:style w:type="character" w:customStyle="1" w:styleId="1570">
    <w:name w:val="正文（首行缩进两字） Char4"/>
    <w:qFormat/>
    <w:uiPriority w:val="0"/>
    <w:rPr>
      <w:rFonts w:ascii="Arial Black" w:hAnsi="Arial Black" w:eastAsia="Times New Roman"/>
      <w:kern w:val="2"/>
      <w:sz w:val="21"/>
      <w:lang w:val="en-US" w:eastAsia="zh-CN"/>
    </w:rPr>
  </w:style>
  <w:style w:type="character" w:customStyle="1" w:styleId="1571">
    <w:name w:val="表文字居中 Char Char"/>
    <w:link w:val="1572"/>
    <w:qFormat/>
    <w:uiPriority w:val="0"/>
    <w:rPr>
      <w:rFonts w:ascii="Courier New" w:hAnsi="Courier New" w:eastAsia="Times New Roman"/>
      <w:sz w:val="24"/>
    </w:rPr>
  </w:style>
  <w:style w:type="paragraph" w:customStyle="1" w:styleId="1572">
    <w:name w:val="表文字居中"/>
    <w:link w:val="1571"/>
    <w:qFormat/>
    <w:uiPriority w:val="0"/>
    <w:pPr>
      <w:adjustRightInd w:val="0"/>
      <w:spacing w:line="360" w:lineRule="auto"/>
      <w:jc w:val="center"/>
    </w:pPr>
    <w:rPr>
      <w:rFonts w:ascii="Courier New" w:hAnsi="Courier New" w:eastAsia="Times New Roman" w:cstheme="minorBidi"/>
      <w:kern w:val="2"/>
      <w:sz w:val="24"/>
      <w:szCs w:val="21"/>
      <w:lang w:val="en-US" w:eastAsia="zh-CN" w:bidi="ar-SA"/>
    </w:rPr>
  </w:style>
  <w:style w:type="character" w:customStyle="1" w:styleId="1573">
    <w:name w:val="p21"/>
    <w:qFormat/>
    <w:uiPriority w:val="0"/>
    <w:rPr>
      <w:rFonts w:ascii="Tahoma" w:hAnsi="Tahoma" w:eastAsia="Times New Roman"/>
      <w:color w:val="0000A0"/>
      <w:sz w:val="21"/>
      <w:lang w:val="en-US" w:eastAsia="en-US"/>
    </w:rPr>
  </w:style>
  <w:style w:type="character" w:customStyle="1" w:styleId="1574">
    <w:name w:val="style16 style57"/>
    <w:qFormat/>
    <w:uiPriority w:val="0"/>
    <w:rPr>
      <w:rFonts w:eastAsia="宋体" w:cs="Times New Roman"/>
      <w:kern w:val="2"/>
      <w:sz w:val="24"/>
      <w:szCs w:val="24"/>
      <w:lang w:val="en-US" w:eastAsia="zh-CN" w:bidi="ar-SA"/>
    </w:rPr>
  </w:style>
  <w:style w:type="character" w:customStyle="1" w:styleId="1575">
    <w:name w:val="infodetail"/>
    <w:qFormat/>
    <w:uiPriority w:val="0"/>
    <w:rPr>
      <w:rFonts w:eastAsia="宋体" w:cs="Times New Roman"/>
      <w:kern w:val="2"/>
      <w:sz w:val="24"/>
      <w:szCs w:val="24"/>
      <w:lang w:val="en-US" w:eastAsia="zh-CN" w:bidi="ar-SA"/>
    </w:rPr>
  </w:style>
  <w:style w:type="character" w:customStyle="1" w:styleId="1576">
    <w:name w:val="ttitle1"/>
    <w:qFormat/>
    <w:uiPriority w:val="0"/>
    <w:rPr>
      <w:spacing w:val="120"/>
      <w:sz w:val="21"/>
    </w:rPr>
  </w:style>
  <w:style w:type="character" w:customStyle="1" w:styleId="1577">
    <w:name w:val="样式 正文文本 + 红色 Char Char Char Char Char"/>
    <w:link w:val="1578"/>
    <w:qFormat/>
    <w:uiPriority w:val="0"/>
    <w:rPr>
      <w:rFonts w:ascii="仿宋_GB2312" w:hAnsi="仿宋_GB2312"/>
      <w:snapToGrid w:val="0"/>
      <w:color w:val="FF0000"/>
      <w:sz w:val="24"/>
    </w:rPr>
  </w:style>
  <w:style w:type="paragraph" w:customStyle="1" w:styleId="1578">
    <w:name w:val="样式 正文文本 + 红色 Char Char Char"/>
    <w:basedOn w:val="1"/>
    <w:link w:val="1577"/>
    <w:qFormat/>
    <w:uiPriority w:val="0"/>
    <w:pPr>
      <w:widowControl/>
      <w:adjustRightInd w:val="0"/>
      <w:snapToGrid w:val="0"/>
      <w:spacing w:before="60" w:after="60" w:line="264" w:lineRule="auto"/>
      <w:ind w:firstLine="200" w:firstLineChars="200"/>
      <w:jc w:val="left"/>
      <w:textAlignment w:val="baseline"/>
    </w:pPr>
    <w:rPr>
      <w:rFonts w:ascii="仿宋_GB2312" w:hAnsi="仿宋_GB2312"/>
      <w:snapToGrid w:val="0"/>
      <w:color w:val="FF0000"/>
      <w:sz w:val="24"/>
    </w:rPr>
  </w:style>
  <w:style w:type="character" w:customStyle="1" w:styleId="1579">
    <w:name w:val="结束语 Char"/>
    <w:qFormat/>
    <w:uiPriority w:val="0"/>
    <w:rPr>
      <w:rFonts w:ascii="仿宋_GB2312" w:eastAsia="仿宋_GB2312"/>
      <w:sz w:val="24"/>
    </w:rPr>
  </w:style>
  <w:style w:type="character" w:customStyle="1" w:styleId="1580">
    <w:name w:val="正文(首行缩进)宋旭峰 Char Char"/>
    <w:link w:val="1581"/>
    <w:qFormat/>
    <w:uiPriority w:val="0"/>
    <w:rPr>
      <w:rFonts w:ascii="仿宋_GB2312" w:eastAsia="仿宋_GB2312"/>
      <w:snapToGrid w:val="0"/>
      <w:sz w:val="24"/>
    </w:rPr>
  </w:style>
  <w:style w:type="paragraph" w:customStyle="1" w:styleId="1581">
    <w:name w:val="正文(首行缩进)宋旭峰"/>
    <w:basedOn w:val="24"/>
    <w:link w:val="1580"/>
    <w:qFormat/>
    <w:uiPriority w:val="0"/>
    <w:pPr>
      <w:widowControl/>
      <w:spacing w:beforeLines="50" w:afterLines="50"/>
      <w:ind w:firstLine="440"/>
      <w:jc w:val="left"/>
    </w:pPr>
    <w:rPr>
      <w:rFonts w:ascii="仿宋_GB2312" w:eastAsia="仿宋_GB2312" w:hAnsiTheme="minorHAnsi" w:cstheme="minorBidi"/>
      <w:snapToGrid w:val="0"/>
      <w:szCs w:val="22"/>
    </w:rPr>
  </w:style>
  <w:style w:type="character" w:customStyle="1" w:styleId="1582">
    <w:name w:val="表号 Char1"/>
    <w:qFormat/>
    <w:uiPriority w:val="0"/>
    <w:rPr>
      <w:rFonts w:ascii="楷体" w:hAnsi="Arial Black" w:eastAsia="楷体"/>
      <w:sz w:val="21"/>
      <w:lang w:val="en-US" w:eastAsia="zh-CN"/>
    </w:rPr>
  </w:style>
  <w:style w:type="character" w:customStyle="1" w:styleId="1583">
    <w:name w:val="Plain Text Char"/>
    <w:qFormat/>
    <w:uiPriority w:val="0"/>
    <w:rPr>
      <w:rFonts w:ascii="宋体" w:hAnsi="Courier New"/>
      <w:kern w:val="2"/>
      <w:sz w:val="21"/>
    </w:rPr>
  </w:style>
  <w:style w:type="character" w:customStyle="1" w:styleId="1584">
    <w:name w:val="表内文字 Char Char Char Char"/>
    <w:qFormat/>
    <w:uiPriority w:val="0"/>
    <w:rPr>
      <w:rFonts w:ascii="Verdana" w:hAnsi="MHei-Medium" w:eastAsia="Times New Roman"/>
      <w:kern w:val="2"/>
      <w:sz w:val="21"/>
      <w:lang w:val="en-US" w:eastAsia="zh-CN"/>
    </w:rPr>
  </w:style>
  <w:style w:type="character" w:customStyle="1" w:styleId="1585">
    <w:name w:val="文本 Char Char Char"/>
    <w:qFormat/>
    <w:uiPriority w:val="0"/>
    <w:rPr>
      <w:rFonts w:ascii="Arial Black" w:hAnsi="Arial Black" w:eastAsia="Times New Roman"/>
      <w:kern w:val="2"/>
      <w:sz w:val="21"/>
      <w:lang w:val="en-US" w:eastAsia="zh-CN"/>
    </w:rPr>
  </w:style>
  <w:style w:type="character" w:customStyle="1" w:styleId="1586">
    <w:name w:val="word16b1"/>
    <w:qFormat/>
    <w:uiPriority w:val="0"/>
    <w:rPr>
      <w:rFonts w:ascii="Courier New" w:hAnsi="Courier New" w:eastAsia="Times New Roman"/>
      <w:b/>
      <w:spacing w:val="15"/>
      <w:sz w:val="24"/>
      <w:lang w:val="en-US" w:eastAsia="en-US"/>
    </w:rPr>
  </w:style>
  <w:style w:type="character" w:customStyle="1" w:styleId="1587">
    <w:name w:val="样式 标题 1章标题 11.1标题 1HTS 1H1Heading 11level 1Level 1 Head章... Char Char"/>
    <w:link w:val="1588"/>
    <w:qFormat/>
    <w:uiPriority w:val="0"/>
    <w:rPr>
      <w:b/>
      <w:snapToGrid w:val="0"/>
      <w:color w:val="0000FF"/>
      <w:sz w:val="32"/>
    </w:rPr>
  </w:style>
  <w:style w:type="paragraph" w:customStyle="1" w:styleId="1588">
    <w:name w:val="样式 标题 1章标题 11.1标题 1HTS 1H1Heading 11level 1Level 1 Head章..."/>
    <w:basedOn w:val="6"/>
    <w:link w:val="1587"/>
    <w:qFormat/>
    <w:uiPriority w:val="0"/>
    <w:pPr>
      <w:widowControl/>
      <w:numPr>
        <w:numId w:val="0"/>
      </w:numPr>
      <w:adjustRightInd w:val="0"/>
      <w:snapToGrid w:val="0"/>
      <w:spacing w:before="0" w:after="0" w:line="480" w:lineRule="auto"/>
      <w:jc w:val="left"/>
    </w:pPr>
    <w:rPr>
      <w:rFonts w:asciiTheme="minorHAnsi" w:hAnsiTheme="minorHAnsi"/>
      <w:bCs w:val="0"/>
      <w:snapToGrid w:val="0"/>
      <w:color w:val="0000FF"/>
      <w:kern w:val="2"/>
      <w:szCs w:val="22"/>
    </w:rPr>
  </w:style>
  <w:style w:type="character" w:customStyle="1" w:styleId="1589">
    <w:name w:val="样式 表标8.2 + 黑体 四号 Char Char"/>
    <w:link w:val="1590"/>
    <w:qFormat/>
    <w:uiPriority w:val="0"/>
    <w:rPr>
      <w:rFonts w:ascii="黑体" w:hAnsi="黑体" w:eastAsia="黑体"/>
      <w:b/>
      <w:color w:val="000000"/>
      <w:sz w:val="28"/>
    </w:rPr>
  </w:style>
  <w:style w:type="paragraph" w:customStyle="1" w:styleId="1590">
    <w:name w:val="样式 表标8.2 + 黑体 四号"/>
    <w:basedOn w:val="1"/>
    <w:link w:val="1589"/>
    <w:qFormat/>
    <w:uiPriority w:val="0"/>
    <w:pPr>
      <w:widowControl/>
      <w:tabs>
        <w:tab w:val="left" w:pos="360"/>
        <w:tab w:val="left" w:pos="930"/>
        <w:tab w:val="left" w:pos="8207"/>
      </w:tabs>
      <w:adjustRightInd w:val="0"/>
      <w:snapToGrid w:val="0"/>
      <w:spacing w:before="120" w:line="240" w:lineRule="atLeast"/>
      <w:ind w:left="930"/>
      <w:jc w:val="center"/>
      <w:textAlignment w:val="baseline"/>
    </w:pPr>
    <w:rPr>
      <w:rFonts w:ascii="黑体" w:hAnsi="黑体" w:eastAsia="黑体"/>
      <w:b/>
      <w:color w:val="000000"/>
      <w:sz w:val="28"/>
    </w:rPr>
  </w:style>
  <w:style w:type="character" w:customStyle="1" w:styleId="1591">
    <w:name w:val="p101"/>
    <w:qFormat/>
    <w:uiPriority w:val="0"/>
    <w:rPr>
      <w:rFonts w:ascii="Arial Black" w:hAnsi="Arial Black" w:eastAsia="Times New Roman"/>
      <w:sz w:val="21"/>
      <w:u w:val="none"/>
      <w:lang w:val="en-US" w:eastAsia="en-US"/>
    </w:rPr>
  </w:style>
  <w:style w:type="character" w:customStyle="1" w:styleId="1592">
    <w:name w:val="zw1"/>
    <w:qFormat/>
    <w:uiPriority w:val="0"/>
    <w:rPr>
      <w:rFonts w:ascii="宋体" w:hAnsi="宋体" w:eastAsia="宋体"/>
      <w:sz w:val="22"/>
    </w:rPr>
  </w:style>
  <w:style w:type="character" w:customStyle="1" w:styleId="1593">
    <w:name w:val="Heading 6 Char"/>
    <w:qFormat/>
    <w:uiPriority w:val="0"/>
    <w:rPr>
      <w:rFonts w:ascii="Arial" w:hAnsi="Arial" w:eastAsia="黑体"/>
      <w:b/>
      <w:sz w:val="24"/>
    </w:rPr>
  </w:style>
  <w:style w:type="character" w:customStyle="1" w:styleId="1594">
    <w:name w:val="lineheight1501"/>
    <w:qFormat/>
    <w:uiPriority w:val="0"/>
    <w:rPr>
      <w:rFonts w:eastAsia="宋体" w:cs="Times New Roman"/>
      <w:kern w:val="2"/>
      <w:sz w:val="24"/>
      <w:szCs w:val="24"/>
      <w:lang w:val="en-US" w:eastAsia="zh-CN" w:bidi="ar-SA"/>
    </w:rPr>
  </w:style>
  <w:style w:type="character" w:customStyle="1" w:styleId="1595">
    <w:name w:val="zy"/>
    <w:qFormat/>
    <w:uiPriority w:val="0"/>
    <w:rPr>
      <w:rFonts w:ascii="Arial Black" w:hAnsi="Arial Black" w:eastAsia="Times New Roman"/>
      <w:sz w:val="21"/>
      <w:lang w:val="en-US" w:eastAsia="en-US"/>
    </w:rPr>
  </w:style>
  <w:style w:type="character" w:customStyle="1" w:styleId="1596">
    <w:name w:val="样式 (符号) 宋体 13 磅"/>
    <w:qFormat/>
    <w:uiPriority w:val="0"/>
    <w:rPr>
      <w:rFonts w:ascii="宋体" w:eastAsia="宋体"/>
      <w:sz w:val="27"/>
    </w:rPr>
  </w:style>
  <w:style w:type="character" w:customStyle="1" w:styleId="1597">
    <w:name w:val="标准条文 Char Char"/>
    <w:link w:val="1598"/>
    <w:qFormat/>
    <w:uiPriority w:val="0"/>
    <w:rPr>
      <w:rFonts w:eastAsia="Times New Roman"/>
    </w:rPr>
  </w:style>
  <w:style w:type="paragraph" w:customStyle="1" w:styleId="1598">
    <w:name w:val="标准条文"/>
    <w:link w:val="1597"/>
    <w:qFormat/>
    <w:uiPriority w:val="0"/>
    <w:pPr>
      <w:spacing w:beforeLines="20" w:afterLines="20"/>
      <w:ind w:firstLine="200" w:firstLineChars="200"/>
    </w:pPr>
    <w:rPr>
      <w:rFonts w:eastAsia="Times New Roman" w:asciiTheme="minorHAnsi" w:hAnsiTheme="minorHAnsi" w:cstheme="minorBidi"/>
      <w:kern w:val="2"/>
      <w:sz w:val="21"/>
      <w:szCs w:val="21"/>
      <w:lang w:val="en-US" w:eastAsia="zh-CN" w:bidi="ar-SA"/>
    </w:rPr>
  </w:style>
  <w:style w:type="character" w:customStyle="1" w:styleId="1599">
    <w:name w:val="图1-1 Char Char"/>
    <w:qFormat/>
    <w:uiPriority w:val="0"/>
    <w:rPr>
      <w:rFonts w:eastAsia="宋体"/>
      <w:b/>
      <w:spacing w:val="12"/>
      <w:w w:val="90"/>
      <w:kern w:val="2"/>
      <w:sz w:val="24"/>
      <w:lang w:val="en-US" w:eastAsia="zh-CN"/>
    </w:rPr>
  </w:style>
  <w:style w:type="character" w:customStyle="1" w:styleId="1600">
    <w:name w:val="蒲标题3 Char Char"/>
    <w:link w:val="1601"/>
    <w:qFormat/>
    <w:uiPriority w:val="0"/>
    <w:rPr>
      <w:snapToGrid w:val="0"/>
      <w:color w:val="000000"/>
      <w:sz w:val="24"/>
    </w:rPr>
  </w:style>
  <w:style w:type="paragraph" w:customStyle="1" w:styleId="1601">
    <w:name w:val="蒲标题3"/>
    <w:basedOn w:val="8"/>
    <w:link w:val="1600"/>
    <w:qFormat/>
    <w:uiPriority w:val="0"/>
    <w:pPr>
      <w:keepLines w:val="0"/>
      <w:widowControl/>
      <w:numPr>
        <w:ilvl w:val="0"/>
        <w:numId w:val="0"/>
      </w:numPr>
      <w:autoSpaceDE w:val="0"/>
      <w:autoSpaceDN w:val="0"/>
      <w:adjustRightInd w:val="0"/>
      <w:snapToGrid w:val="0"/>
      <w:spacing w:before="0" w:after="0" w:line="360" w:lineRule="auto"/>
      <w:outlineLvl w:val="0"/>
    </w:pPr>
    <w:rPr>
      <w:rFonts w:asciiTheme="minorHAnsi" w:hAnsiTheme="minorHAnsi"/>
      <w:b w:val="0"/>
      <w:bCs w:val="0"/>
      <w:snapToGrid w:val="0"/>
      <w:color w:val="000000"/>
      <w:szCs w:val="22"/>
    </w:rPr>
  </w:style>
  <w:style w:type="character" w:customStyle="1" w:styleId="1602">
    <w:name w:val="上标"/>
    <w:qFormat/>
    <w:uiPriority w:val="0"/>
    <w:rPr>
      <w:vertAlign w:val="superscript"/>
    </w:rPr>
  </w:style>
  <w:style w:type="character" w:customStyle="1" w:styleId="1603">
    <w:name w:val="11p1"/>
    <w:qFormat/>
    <w:uiPriority w:val="0"/>
    <w:rPr>
      <w:rFonts w:ascii="Arial Black" w:hAnsi="Arial Black" w:eastAsia="Times New Roman"/>
      <w:sz w:val="23"/>
      <w:lang w:val="en-US" w:eastAsia="en-US"/>
    </w:rPr>
  </w:style>
  <w:style w:type="character" w:customStyle="1" w:styleId="1604">
    <w:name w:val="1正文段落 Char Char"/>
    <w:link w:val="1605"/>
    <w:qFormat/>
    <w:uiPriority w:val="0"/>
    <w:rPr>
      <w:rFonts w:ascii="仿宋_GB2312" w:eastAsia="仿宋_GB2312"/>
      <w:snapToGrid w:val="0"/>
      <w:sz w:val="24"/>
    </w:rPr>
  </w:style>
  <w:style w:type="paragraph" w:customStyle="1" w:styleId="1605">
    <w:name w:val="1正文段落"/>
    <w:basedOn w:val="1"/>
    <w:link w:val="1604"/>
    <w:qFormat/>
    <w:uiPriority w:val="0"/>
    <w:pPr>
      <w:widowControl/>
      <w:ind w:firstLine="200" w:firstLineChars="200"/>
      <w:jc w:val="left"/>
    </w:pPr>
    <w:rPr>
      <w:rFonts w:ascii="仿宋_GB2312" w:eastAsia="仿宋_GB2312"/>
      <w:snapToGrid w:val="0"/>
      <w:sz w:val="24"/>
    </w:rPr>
  </w:style>
  <w:style w:type="character" w:customStyle="1" w:styleId="1606">
    <w:name w:val="规划正文样式 Char Char"/>
    <w:qFormat/>
    <w:uiPriority w:val="0"/>
    <w:rPr>
      <w:rFonts w:ascii="Arial Black" w:hAnsi="Arial Black" w:eastAsia="Times New Roman"/>
      <w:kern w:val="2"/>
      <w:sz w:val="24"/>
      <w:lang w:val="en-US" w:eastAsia="zh-CN"/>
    </w:rPr>
  </w:style>
  <w:style w:type="character" w:customStyle="1" w:styleId="1607">
    <w:name w:val="泸县焦化正文 Char Char"/>
    <w:link w:val="1608"/>
    <w:qFormat/>
    <w:uiPriority w:val="0"/>
    <w:rPr>
      <w:color w:val="0000FF"/>
      <w:sz w:val="24"/>
    </w:rPr>
  </w:style>
  <w:style w:type="paragraph" w:customStyle="1" w:styleId="1608">
    <w:name w:val="泸县焦化正文"/>
    <w:basedOn w:val="1"/>
    <w:next w:val="1"/>
    <w:link w:val="1607"/>
    <w:qFormat/>
    <w:uiPriority w:val="0"/>
    <w:pPr>
      <w:widowControl/>
      <w:adjustRightInd w:val="0"/>
      <w:snapToGrid w:val="0"/>
      <w:ind w:firstLine="200" w:firstLineChars="200"/>
      <w:jc w:val="left"/>
    </w:pPr>
    <w:rPr>
      <w:color w:val="0000FF"/>
      <w:sz w:val="24"/>
    </w:rPr>
  </w:style>
  <w:style w:type="character" w:customStyle="1" w:styleId="1609">
    <w:name w:val="f141"/>
    <w:qFormat/>
    <w:uiPriority w:val="0"/>
    <w:rPr>
      <w:sz w:val="21"/>
    </w:rPr>
  </w:style>
  <w:style w:type="character" w:customStyle="1" w:styleId="1610">
    <w:name w:val="表体 Char Char"/>
    <w:qFormat/>
    <w:uiPriority w:val="0"/>
    <w:rPr>
      <w:rFonts w:ascii="Times New Roman" w:hAnsi="Times New Roman"/>
      <w:color w:val="000080"/>
      <w:kern w:val="2"/>
      <w:sz w:val="24"/>
    </w:rPr>
  </w:style>
  <w:style w:type="character" w:customStyle="1" w:styleId="1611">
    <w:name w:val="称呼 Char"/>
    <w:qFormat/>
    <w:uiPriority w:val="0"/>
    <w:rPr>
      <w:sz w:val="24"/>
    </w:rPr>
  </w:style>
  <w:style w:type="character" w:customStyle="1" w:styleId="1612">
    <w:name w:val="样式 德胜正文 + ?? Chaˎ̥ Cha"/>
    <w:link w:val="1613"/>
    <w:qFormat/>
    <w:uiPriority w:val="0"/>
    <w:rPr>
      <w:snapToGrid w:val="0"/>
      <w:color w:val="0000FF"/>
      <w:sz w:val="24"/>
    </w:rPr>
  </w:style>
  <w:style w:type="paragraph" w:customStyle="1" w:styleId="1613">
    <w:name w:val="样式 德胜正文 + ??"/>
    <w:basedOn w:val="1519"/>
    <w:link w:val="1612"/>
    <w:qFormat/>
    <w:uiPriority w:val="0"/>
  </w:style>
  <w:style w:type="character" w:customStyle="1" w:styleId="1614">
    <w:name w:val="蒲正文 Char Char"/>
    <w:link w:val="1615"/>
    <w:qFormat/>
    <w:uiPriority w:val="0"/>
    <w:rPr>
      <w:sz w:val="24"/>
    </w:rPr>
  </w:style>
  <w:style w:type="paragraph" w:customStyle="1" w:styleId="1615">
    <w:name w:val="蒲正文"/>
    <w:basedOn w:val="1"/>
    <w:link w:val="1614"/>
    <w:qFormat/>
    <w:uiPriority w:val="0"/>
    <w:pPr>
      <w:widowControl/>
      <w:adjustRightInd w:val="0"/>
      <w:snapToGrid w:val="0"/>
      <w:spacing w:line="240" w:lineRule="auto"/>
      <w:jc w:val="center"/>
    </w:pPr>
    <w:rPr>
      <w:sz w:val="24"/>
    </w:rPr>
  </w:style>
  <w:style w:type="character" w:customStyle="1" w:styleId="1616">
    <w:name w:val="表标 Char"/>
    <w:qFormat/>
    <w:uiPriority w:val="0"/>
    <w:rPr>
      <w:rFonts w:eastAsia="宋体"/>
      <w:kern w:val="2"/>
      <w:sz w:val="18"/>
      <w:lang w:val="en-US" w:eastAsia="zh-CN"/>
    </w:rPr>
  </w:style>
  <w:style w:type="character" w:customStyle="1" w:styleId="1617">
    <w:name w:val="info"/>
    <w:qFormat/>
    <w:uiPriority w:val="0"/>
    <w:rPr>
      <w:rFonts w:ascii="Arial Black" w:hAnsi="Arial Black" w:eastAsia="Times New Roman"/>
      <w:sz w:val="21"/>
      <w:lang w:val="en-US" w:eastAsia="en-US"/>
    </w:rPr>
  </w:style>
  <w:style w:type="character" w:customStyle="1" w:styleId="1618">
    <w:name w:val="Heading 5 Char"/>
    <w:qFormat/>
    <w:uiPriority w:val="0"/>
    <w:rPr>
      <w:rFonts w:ascii="Times New Roman" w:hAnsi="Times New Roman"/>
      <w:b/>
      <w:sz w:val="24"/>
    </w:rPr>
  </w:style>
  <w:style w:type="character" w:customStyle="1" w:styleId="1619">
    <w:name w:val="Footnote Text Char"/>
    <w:qFormat/>
    <w:uiPriority w:val="0"/>
    <w:rPr>
      <w:rFonts w:ascii="Times New Roman" w:hAnsi="Times New Roman"/>
      <w:sz w:val="16"/>
      <w:lang w:val="en-US" w:eastAsia="zh-CN"/>
    </w:rPr>
  </w:style>
  <w:style w:type="character" w:customStyle="1" w:styleId="1620">
    <w:name w:val="Heading 8 Char"/>
    <w:qFormat/>
    <w:uiPriority w:val="0"/>
    <w:rPr>
      <w:rFonts w:ascii="Arial" w:hAnsi="Arial" w:eastAsia="黑体"/>
      <w:sz w:val="24"/>
    </w:rPr>
  </w:style>
  <w:style w:type="character" w:customStyle="1" w:styleId="1621">
    <w:name w:val="menu1"/>
    <w:qFormat/>
    <w:uiPriority w:val="0"/>
    <w:rPr>
      <w:rFonts w:eastAsia="宋体" w:cs="Times New Roman"/>
      <w:kern w:val="2"/>
      <w:sz w:val="24"/>
      <w:szCs w:val="24"/>
      <w:lang w:val="en-US" w:eastAsia="zh-CN" w:bidi="ar-SA"/>
    </w:rPr>
  </w:style>
  <w:style w:type="character" w:customStyle="1" w:styleId="1622">
    <w:name w:val="bt21"/>
    <w:qFormat/>
    <w:uiPriority w:val="0"/>
    <w:rPr>
      <w:rFonts w:ascii="黑体" w:eastAsia="黑体"/>
      <w:sz w:val="24"/>
    </w:rPr>
  </w:style>
  <w:style w:type="character" w:customStyle="1" w:styleId="1623">
    <w:name w:val="正文（首行缩进两字） Char Char Char Char Char Char Char Char"/>
    <w:qFormat/>
    <w:uiPriority w:val="0"/>
    <w:rPr>
      <w:rFonts w:eastAsia="宋体"/>
      <w:kern w:val="2"/>
      <w:sz w:val="21"/>
      <w:lang w:val="en-US" w:eastAsia="zh-CN"/>
    </w:rPr>
  </w:style>
  <w:style w:type="character" w:customStyle="1" w:styleId="1624">
    <w:name w:val="正文文字1 Char Char"/>
    <w:qFormat/>
    <w:uiPriority w:val="0"/>
    <w:rPr>
      <w:rFonts w:eastAsia="华文中宋"/>
      <w:kern w:val="2"/>
      <w:sz w:val="24"/>
      <w:lang w:val="en-US" w:eastAsia="zh-CN"/>
    </w:rPr>
  </w:style>
  <w:style w:type="character" w:customStyle="1" w:styleId="1625">
    <w:name w:val="正文 Char Char"/>
    <w:qFormat/>
    <w:uiPriority w:val="0"/>
    <w:rPr>
      <w:rFonts w:eastAsia="宋体"/>
      <w:kern w:val="2"/>
      <w:sz w:val="24"/>
      <w:lang w:val="en-US" w:eastAsia="zh-CN"/>
    </w:rPr>
  </w:style>
  <w:style w:type="character" w:customStyle="1" w:styleId="1626">
    <w:name w:val="报告表正文 Char Char"/>
    <w:qFormat/>
    <w:uiPriority w:val="0"/>
    <w:rPr>
      <w:rFonts w:ascii="Times New Roman" w:hAnsi="Times New Roman"/>
      <w:sz w:val="24"/>
    </w:rPr>
  </w:style>
  <w:style w:type="character" w:customStyle="1" w:styleId="1627">
    <w:name w:val="默认段落字体1"/>
    <w:qFormat/>
    <w:uiPriority w:val="0"/>
    <w:rPr>
      <w:rFonts w:ascii="Times New Roman" w:eastAsia="宋体"/>
      <w:color w:val="000000"/>
      <w:spacing w:val="0"/>
      <w:w w:val="100"/>
      <w:sz w:val="21"/>
      <w:u w:val="none" w:color="000000"/>
      <w:vertAlign w:val="baseline"/>
      <w:lang w:val="en-US" w:eastAsia="zh-CN"/>
    </w:rPr>
  </w:style>
  <w:style w:type="character" w:customStyle="1" w:styleId="1628">
    <w:name w:val="highlight1"/>
    <w:qFormat/>
    <w:uiPriority w:val="0"/>
    <w:rPr>
      <w:sz w:val="21"/>
    </w:rPr>
  </w:style>
  <w:style w:type="character" w:customStyle="1" w:styleId="1629">
    <w:name w:val="white"/>
    <w:qFormat/>
    <w:uiPriority w:val="0"/>
    <w:rPr>
      <w:rFonts w:ascii="Arial Black" w:hAnsi="Arial Black" w:eastAsia="Times New Roman"/>
      <w:sz w:val="21"/>
      <w:lang w:val="en-US" w:eastAsia="en-US"/>
    </w:rPr>
  </w:style>
  <w:style w:type="character" w:customStyle="1" w:styleId="1630">
    <w:name w:val="edri-A title Char1 Char Char"/>
    <w:qFormat/>
    <w:uiPriority w:val="0"/>
    <w:rPr>
      <w:rFonts w:ascii="Arial Black" w:hAnsi="Arial Black" w:eastAsia="Times New Roman"/>
      <w:sz w:val="24"/>
      <w:lang w:val="en-US" w:eastAsia="zh-CN"/>
    </w:rPr>
  </w:style>
  <w:style w:type="character" w:customStyle="1" w:styleId="1631">
    <w:name w:val="Heading 4 Char"/>
    <w:qFormat/>
    <w:uiPriority w:val="0"/>
    <w:rPr>
      <w:rFonts w:ascii="Arial" w:hAnsi="Arial" w:eastAsia="黑体"/>
      <w:b/>
      <w:sz w:val="28"/>
    </w:rPr>
  </w:style>
  <w:style w:type="character" w:customStyle="1" w:styleId="1632">
    <w:name w:val="14p"/>
    <w:qFormat/>
    <w:uiPriority w:val="0"/>
    <w:rPr>
      <w:rFonts w:ascii="Arial Black" w:hAnsi="Arial Black" w:eastAsia="Times New Roman"/>
      <w:sz w:val="21"/>
      <w:lang w:val="en-US" w:eastAsia="en-US"/>
    </w:rPr>
  </w:style>
  <w:style w:type="character" w:customStyle="1" w:styleId="1633">
    <w:name w:val="Heading 9 Char"/>
    <w:qFormat/>
    <w:uiPriority w:val="0"/>
    <w:rPr>
      <w:rFonts w:ascii="Arial" w:hAnsi="Arial" w:eastAsia="黑体"/>
    </w:rPr>
  </w:style>
  <w:style w:type="character" w:customStyle="1" w:styleId="1634">
    <w:name w:val="Body Text 2 Char"/>
    <w:qFormat/>
    <w:uiPriority w:val="0"/>
    <w:rPr>
      <w:rFonts w:ascii="Times New Roman" w:hAnsi="Times New Roman"/>
      <w:kern w:val="2"/>
      <w:sz w:val="24"/>
    </w:rPr>
  </w:style>
  <w:style w:type="character" w:customStyle="1" w:styleId="1635">
    <w:name w:val="样式 标题 1 cg Char Char"/>
    <w:link w:val="1636"/>
    <w:qFormat/>
    <w:uiPriority w:val="0"/>
    <w:rPr>
      <w:b/>
      <w:color w:val="0000FF"/>
      <w:kern w:val="44"/>
      <w:sz w:val="30"/>
    </w:rPr>
  </w:style>
  <w:style w:type="paragraph" w:customStyle="1" w:styleId="1636">
    <w:name w:val="样式 标题 1 cg"/>
    <w:basedOn w:val="6"/>
    <w:link w:val="1635"/>
    <w:qFormat/>
    <w:uiPriority w:val="0"/>
    <w:pPr>
      <w:keepLines w:val="0"/>
      <w:widowControl/>
      <w:numPr>
        <w:numId w:val="0"/>
      </w:numPr>
      <w:spacing w:before="0" w:after="0" w:line="360" w:lineRule="auto"/>
      <w:jc w:val="left"/>
    </w:pPr>
    <w:rPr>
      <w:rFonts w:asciiTheme="minorHAnsi" w:hAnsiTheme="minorHAnsi"/>
      <w:bCs w:val="0"/>
      <w:color w:val="0000FF"/>
      <w:sz w:val="30"/>
      <w:szCs w:val="22"/>
    </w:rPr>
  </w:style>
  <w:style w:type="character" w:customStyle="1" w:styleId="1637">
    <w:name w:val="style3"/>
    <w:qFormat/>
    <w:uiPriority w:val="0"/>
    <w:rPr>
      <w:rFonts w:ascii="Arial Black" w:hAnsi="Arial Black" w:eastAsia="Times New Roman"/>
      <w:sz w:val="21"/>
      <w:lang w:val="en-US" w:eastAsia="en-US"/>
    </w:rPr>
  </w:style>
  <w:style w:type="character" w:customStyle="1" w:styleId="1638">
    <w:name w:val="content1"/>
    <w:qFormat/>
    <w:uiPriority w:val="0"/>
    <w:rPr>
      <w:rFonts w:ascii="宋体" w:hAnsi="宋体" w:eastAsia="宋体"/>
      <w:color w:val="333333"/>
      <w:sz w:val="21"/>
    </w:rPr>
  </w:style>
  <w:style w:type="character" w:customStyle="1" w:styleId="1639">
    <w:name w:val="9dpi1"/>
    <w:qFormat/>
    <w:uiPriority w:val="0"/>
    <w:rPr>
      <w:rFonts w:ascii="Arial Black" w:hAnsi="Arial Black" w:eastAsia="Times New Roman"/>
      <w:spacing w:val="30"/>
      <w:sz w:val="18"/>
      <w:lang w:val="en-US" w:eastAsia="en-US"/>
    </w:rPr>
  </w:style>
  <w:style w:type="character" w:customStyle="1" w:styleId="1640">
    <w:name w:val="model11"/>
    <w:qFormat/>
    <w:uiPriority w:val="0"/>
    <w:rPr>
      <w:rFonts w:ascii="Verdana" w:hAnsi="Verdana" w:eastAsia="Times New Roman"/>
      <w:sz w:val="18"/>
      <w:u w:val="none"/>
      <w:lang w:val="en-US" w:eastAsia="en-US"/>
    </w:rPr>
  </w:style>
  <w:style w:type="character" w:customStyle="1" w:styleId="1641">
    <w:name w:val="bt Char1"/>
    <w:qFormat/>
    <w:uiPriority w:val="0"/>
    <w:rPr>
      <w:rFonts w:ascii="宋体" w:hAnsi="宋体" w:eastAsia="宋体"/>
      <w:kern w:val="2"/>
      <w:sz w:val="24"/>
      <w:lang w:val="en-US" w:eastAsia="zh-CN"/>
    </w:rPr>
  </w:style>
  <w:style w:type="character" w:customStyle="1" w:styleId="1642">
    <w:name w:val="style201"/>
    <w:qFormat/>
    <w:uiPriority w:val="0"/>
    <w:rPr>
      <w:rFonts w:ascii="Arial Black" w:hAnsi="Arial Black" w:eastAsia="Times New Roman"/>
      <w:color w:val="000000"/>
      <w:sz w:val="24"/>
      <w:lang w:val="en-US" w:eastAsia="en-US"/>
    </w:rPr>
  </w:style>
  <w:style w:type="character" w:customStyle="1" w:styleId="1643">
    <w:name w:val="攀成钢正文 Char Char"/>
    <w:link w:val="1644"/>
    <w:qFormat/>
    <w:uiPriority w:val="0"/>
    <w:rPr>
      <w:snapToGrid w:val="0"/>
      <w:color w:val="008000"/>
      <w:sz w:val="24"/>
    </w:rPr>
  </w:style>
  <w:style w:type="paragraph" w:customStyle="1" w:styleId="1644">
    <w:name w:val="攀成钢正文"/>
    <w:basedOn w:val="1"/>
    <w:link w:val="1643"/>
    <w:qFormat/>
    <w:uiPriority w:val="0"/>
    <w:pPr>
      <w:widowControl/>
      <w:ind w:firstLine="200" w:firstLineChars="200"/>
      <w:jc w:val="left"/>
    </w:pPr>
    <w:rPr>
      <w:snapToGrid w:val="0"/>
      <w:color w:val="008000"/>
      <w:sz w:val="24"/>
    </w:rPr>
  </w:style>
  <w:style w:type="character" w:customStyle="1" w:styleId="1645">
    <w:name w:val="标准文本 首行缩进: 2 字符 行距: 单倍 Char Char"/>
    <w:link w:val="1646"/>
    <w:qFormat/>
    <w:uiPriority w:val="0"/>
    <w:rPr>
      <w:rFonts w:ascii="仿宋_GB2312" w:eastAsia="仿宋_GB2312"/>
      <w:sz w:val="24"/>
    </w:rPr>
  </w:style>
  <w:style w:type="paragraph" w:customStyle="1" w:styleId="1646">
    <w:name w:val="标准文本 首行缩进: 2 字符 行距: 单倍"/>
    <w:basedOn w:val="1"/>
    <w:link w:val="1645"/>
    <w:qFormat/>
    <w:uiPriority w:val="0"/>
    <w:pPr>
      <w:widowControl/>
      <w:adjustRightInd w:val="0"/>
      <w:snapToGrid w:val="0"/>
      <w:spacing w:line="240" w:lineRule="auto"/>
      <w:ind w:firstLine="480" w:firstLineChars="200"/>
      <w:jc w:val="left"/>
      <w:textAlignment w:val="baseline"/>
    </w:pPr>
    <w:rPr>
      <w:rFonts w:ascii="仿宋_GB2312" w:eastAsia="仿宋_GB2312"/>
      <w:sz w:val="24"/>
    </w:rPr>
  </w:style>
  <w:style w:type="character" w:customStyle="1" w:styleId="1647">
    <w:name w:val="title41"/>
    <w:qFormat/>
    <w:uiPriority w:val="0"/>
    <w:rPr>
      <w:rFonts w:ascii="Verdana" w:hAnsi="Verdana" w:eastAsia="Times New Roman"/>
      <w:color w:val="FF6600"/>
      <w:sz w:val="36"/>
      <w:lang w:val="en-US" w:eastAsia="en-US"/>
    </w:rPr>
  </w:style>
  <w:style w:type="character" w:customStyle="1" w:styleId="1648">
    <w:name w:val="可研-标题 9 Char"/>
    <w:qFormat/>
    <w:uiPriority w:val="0"/>
    <w:rPr>
      <w:rFonts w:ascii="Arial" w:hAnsi="Arial" w:eastAsia="黑体"/>
      <w:sz w:val="24"/>
      <w:lang w:val="en-US" w:eastAsia="zh-CN"/>
    </w:rPr>
  </w:style>
  <w:style w:type="character" w:customStyle="1" w:styleId="1649">
    <w:name w:val="样式 正文文本 + (中文) 黑体 红色 Char Char Char Char Char"/>
    <w:link w:val="1650"/>
    <w:qFormat/>
    <w:uiPriority w:val="0"/>
    <w:rPr>
      <w:rFonts w:ascii="仿宋_GB2312" w:hAnsi="仿宋_GB2312" w:eastAsia="楷体"/>
      <w:snapToGrid w:val="0"/>
      <w:color w:val="FF0000"/>
      <w:sz w:val="24"/>
    </w:rPr>
  </w:style>
  <w:style w:type="paragraph" w:customStyle="1" w:styleId="1650">
    <w:name w:val="样式 正文文本 + (中文) 黑体 红色 Char Char Char"/>
    <w:basedOn w:val="1"/>
    <w:link w:val="1649"/>
    <w:qFormat/>
    <w:uiPriority w:val="0"/>
    <w:pPr>
      <w:widowControl/>
      <w:adjustRightInd w:val="0"/>
      <w:snapToGrid w:val="0"/>
      <w:spacing w:before="60" w:after="60" w:line="264" w:lineRule="auto"/>
      <w:ind w:firstLine="200" w:firstLineChars="200"/>
      <w:jc w:val="left"/>
      <w:textAlignment w:val="baseline"/>
    </w:pPr>
    <w:rPr>
      <w:rFonts w:ascii="仿宋_GB2312" w:hAnsi="仿宋_GB2312" w:eastAsia="楷体"/>
      <w:snapToGrid w:val="0"/>
      <w:color w:val="FF0000"/>
      <w:sz w:val="24"/>
    </w:rPr>
  </w:style>
  <w:style w:type="character" w:customStyle="1" w:styleId="1651">
    <w:name w:val="redfont"/>
    <w:qFormat/>
    <w:uiPriority w:val="0"/>
    <w:rPr>
      <w:rFonts w:ascii="Verdana" w:hAnsi="Verdana" w:eastAsia="楷体"/>
      <w:kern w:val="2"/>
      <w:sz w:val="24"/>
      <w:lang w:val="en-US" w:eastAsia="zh-CN"/>
    </w:rPr>
  </w:style>
  <w:style w:type="character" w:customStyle="1" w:styleId="1652">
    <w:name w:val="德胜空行 Char Char"/>
    <w:link w:val="1653"/>
    <w:qFormat/>
    <w:uiPriority w:val="0"/>
    <w:rPr>
      <w:snapToGrid w:val="0"/>
      <w:color w:val="0000FF"/>
    </w:rPr>
  </w:style>
  <w:style w:type="paragraph" w:customStyle="1" w:styleId="1653">
    <w:name w:val="德胜空行"/>
    <w:basedOn w:val="1"/>
    <w:link w:val="1652"/>
    <w:qFormat/>
    <w:uiPriority w:val="0"/>
    <w:pPr>
      <w:widowControl/>
      <w:adjustRightInd w:val="0"/>
      <w:snapToGrid w:val="0"/>
      <w:spacing w:line="240" w:lineRule="auto"/>
      <w:jc w:val="left"/>
    </w:pPr>
    <w:rPr>
      <w:snapToGrid w:val="0"/>
      <w:color w:val="0000FF"/>
    </w:rPr>
  </w:style>
  <w:style w:type="character" w:customStyle="1" w:styleId="1654">
    <w:name w:val="首行缩进 Char"/>
    <w:qFormat/>
    <w:uiPriority w:val="0"/>
    <w:rPr>
      <w:rFonts w:eastAsia="宋体"/>
      <w:kern w:val="2"/>
      <w:sz w:val="28"/>
      <w:lang w:val="en-US" w:eastAsia="zh-CN"/>
    </w:rPr>
  </w:style>
  <w:style w:type="character" w:customStyle="1" w:styleId="1655">
    <w:name w:val="可研-正文首行缩进 Char Char Char"/>
    <w:qFormat/>
    <w:uiPriority w:val="0"/>
    <w:rPr>
      <w:rFonts w:eastAsia="宋体"/>
      <w:spacing w:val="8"/>
      <w:kern w:val="24"/>
      <w:sz w:val="24"/>
      <w:lang w:val="en-US" w:eastAsia="zh-CN"/>
    </w:rPr>
  </w:style>
  <w:style w:type="character" w:customStyle="1" w:styleId="1656">
    <w:name w:val="样式 标题 1章标题1.1标题 1HTS 1章标题 1副标题 11.标题 1h11headingHeader... Char Char"/>
    <w:link w:val="1657"/>
    <w:qFormat/>
    <w:uiPriority w:val="0"/>
    <w:rPr>
      <w:b/>
      <w:color w:val="0000FF"/>
      <w:kern w:val="44"/>
      <w:sz w:val="24"/>
    </w:rPr>
  </w:style>
  <w:style w:type="paragraph" w:customStyle="1" w:styleId="1657">
    <w:name w:val="样式 标题 1章标题1.1标题 1HTS 1章标题 1副标题 11.标题 1h11headingHeader..."/>
    <w:basedOn w:val="6"/>
    <w:link w:val="1656"/>
    <w:qFormat/>
    <w:uiPriority w:val="0"/>
    <w:pPr>
      <w:keepLines w:val="0"/>
      <w:widowControl/>
      <w:numPr>
        <w:numId w:val="0"/>
      </w:numPr>
      <w:spacing w:before="0" w:after="0" w:line="360" w:lineRule="auto"/>
      <w:jc w:val="left"/>
    </w:pPr>
    <w:rPr>
      <w:rFonts w:asciiTheme="minorHAnsi" w:hAnsiTheme="minorHAnsi"/>
      <w:bCs w:val="0"/>
      <w:color w:val="0000FF"/>
      <w:sz w:val="24"/>
      <w:szCs w:val="22"/>
    </w:rPr>
  </w:style>
  <w:style w:type="character" w:customStyle="1" w:styleId="1658">
    <w:name w:val="文本框五号 Char Char Char"/>
    <w:qFormat/>
    <w:uiPriority w:val="0"/>
    <w:rPr>
      <w:rFonts w:ascii="Verdana" w:hAnsi="Verdana" w:eastAsia="Times New Roman"/>
      <w:kern w:val="2"/>
      <w:sz w:val="21"/>
      <w:lang w:val="en-US" w:eastAsia="zh-CN"/>
    </w:rPr>
  </w:style>
  <w:style w:type="character" w:customStyle="1" w:styleId="1659">
    <w:name w:val="unnamed11"/>
    <w:qFormat/>
    <w:uiPriority w:val="0"/>
    <w:rPr>
      <w:rFonts w:ascii="??" w:hAnsi="??"/>
      <w:sz w:val="12"/>
    </w:rPr>
  </w:style>
  <w:style w:type="character" w:customStyle="1" w:styleId="1660">
    <w:name w:val="表、图名 Char Char"/>
    <w:link w:val="1661"/>
    <w:qFormat/>
    <w:uiPriority w:val="0"/>
    <w:rPr>
      <w:rFonts w:ascii="仿宋_GB2312" w:eastAsia="仿宋_GB2312"/>
      <w:b/>
      <w:sz w:val="24"/>
    </w:rPr>
  </w:style>
  <w:style w:type="paragraph" w:customStyle="1" w:styleId="1661">
    <w:name w:val="表、图名"/>
    <w:basedOn w:val="1"/>
    <w:link w:val="1660"/>
    <w:qFormat/>
    <w:uiPriority w:val="0"/>
    <w:pPr>
      <w:widowControl/>
      <w:adjustRightInd w:val="0"/>
      <w:snapToGrid w:val="0"/>
      <w:ind w:left="-6"/>
      <w:jc w:val="center"/>
    </w:pPr>
    <w:rPr>
      <w:rFonts w:ascii="仿宋_GB2312" w:eastAsia="仿宋_GB2312"/>
      <w:b/>
      <w:sz w:val="24"/>
    </w:rPr>
  </w:style>
  <w:style w:type="character" w:customStyle="1" w:styleId="1662">
    <w:name w:val="样式 首行缩进:  2 字符 Char Char"/>
    <w:qFormat/>
    <w:uiPriority w:val="0"/>
    <w:rPr>
      <w:rFonts w:ascii="宋体" w:eastAsia="宋体"/>
      <w:kern w:val="2"/>
      <w:sz w:val="28"/>
      <w:lang w:val="en-US" w:eastAsia="zh-CN"/>
    </w:rPr>
  </w:style>
  <w:style w:type="character" w:customStyle="1" w:styleId="1663">
    <w:name w:val="txt"/>
    <w:qFormat/>
    <w:uiPriority w:val="0"/>
    <w:rPr>
      <w:rFonts w:ascii="Arial Black" w:hAnsi="Arial Black" w:eastAsia="Times New Roman"/>
      <w:sz w:val="21"/>
      <w:lang w:val="en-US" w:eastAsia="en-US"/>
    </w:rPr>
  </w:style>
  <w:style w:type="character" w:customStyle="1" w:styleId="1664">
    <w:name w:val="日期 Char Char Char"/>
    <w:qFormat/>
    <w:uiPriority w:val="0"/>
    <w:rPr>
      <w:rFonts w:ascii="Times New Roman" w:hAnsi="Times New Roman"/>
      <w:kern w:val="2"/>
      <w:sz w:val="21"/>
    </w:rPr>
  </w:style>
  <w:style w:type="character" w:customStyle="1" w:styleId="1665">
    <w:name w:val="style1"/>
    <w:qFormat/>
    <w:uiPriority w:val="0"/>
    <w:rPr>
      <w:rFonts w:eastAsia="宋体" w:cs="Times New Roman"/>
      <w:kern w:val="2"/>
      <w:sz w:val="24"/>
      <w:szCs w:val="24"/>
      <w:lang w:val="en-US" w:eastAsia="zh-CN" w:bidi="ar-SA"/>
    </w:rPr>
  </w:style>
  <w:style w:type="character" w:customStyle="1" w:styleId="1666">
    <w:name w:val="12block1"/>
    <w:qFormat/>
    <w:uiPriority w:val="0"/>
    <w:rPr>
      <w:rFonts w:ascii="宋体" w:hAnsi="宋体" w:eastAsia="宋体"/>
      <w:color w:val="000000"/>
      <w:spacing w:val="0"/>
      <w:sz w:val="18"/>
    </w:rPr>
  </w:style>
  <w:style w:type="character" w:customStyle="1" w:styleId="1667">
    <w:name w:val="Date Char"/>
    <w:qFormat/>
    <w:uiPriority w:val="0"/>
    <w:rPr>
      <w:rFonts w:ascii="Times New Roman" w:hAnsi="Times New Roman"/>
      <w:kern w:val="2"/>
      <w:sz w:val="24"/>
    </w:rPr>
  </w:style>
  <w:style w:type="character" w:customStyle="1" w:styleId="1668">
    <w:name w:val="标题 2 cg"/>
    <w:qFormat/>
    <w:uiPriority w:val="0"/>
    <w:rPr>
      <w:rFonts w:ascii="Times New Roman" w:hAnsi="Times New Roman" w:eastAsia="楷体"/>
      <w:color w:val="000000"/>
      <w:kern w:val="2"/>
      <w:sz w:val="28"/>
      <w:lang w:val="en-US" w:eastAsia="zh-CN"/>
    </w:rPr>
  </w:style>
  <w:style w:type="character" w:customStyle="1" w:styleId="1669">
    <w:name w:val="1.1.1.1 Char2"/>
    <w:qFormat/>
    <w:uiPriority w:val="0"/>
    <w:rPr>
      <w:rFonts w:eastAsia="仿宋_GB2312"/>
      <w:b/>
      <w:sz w:val="28"/>
      <w:lang w:val="en-US" w:eastAsia="zh-CN"/>
    </w:rPr>
  </w:style>
  <w:style w:type="character" w:customStyle="1" w:styleId="1670">
    <w:name w:val="f91"/>
    <w:qFormat/>
    <w:uiPriority w:val="0"/>
    <w:rPr>
      <w:rFonts w:ascii="Arial Black" w:hAnsi="Arial Black" w:eastAsia="Times New Roman"/>
      <w:sz w:val="18"/>
      <w:u w:val="none"/>
      <w:lang w:val="en-US" w:eastAsia="en-US"/>
    </w:rPr>
  </w:style>
  <w:style w:type="character" w:customStyle="1" w:styleId="1671">
    <w:name w:val="表格四号 Char Char"/>
    <w:link w:val="1672"/>
    <w:qFormat/>
    <w:uiPriority w:val="0"/>
    <w:rPr>
      <w:rFonts w:ascii="Verdana" w:hAnsi="Verdana"/>
      <w:snapToGrid w:val="0"/>
      <w:sz w:val="28"/>
    </w:rPr>
  </w:style>
  <w:style w:type="paragraph" w:customStyle="1" w:styleId="1672">
    <w:name w:val="表格四号"/>
    <w:basedOn w:val="1"/>
    <w:link w:val="1671"/>
    <w:qFormat/>
    <w:uiPriority w:val="0"/>
    <w:pPr>
      <w:widowControl/>
      <w:adjustRightInd w:val="0"/>
      <w:snapToGrid w:val="0"/>
      <w:spacing w:line="240" w:lineRule="auto"/>
      <w:jc w:val="center"/>
    </w:pPr>
    <w:rPr>
      <w:rFonts w:ascii="Verdana" w:hAnsi="Verdana"/>
      <w:snapToGrid w:val="0"/>
      <w:sz w:val="28"/>
    </w:rPr>
  </w:style>
  <w:style w:type="character" w:customStyle="1" w:styleId="1673">
    <w:name w:val="Macro Text Char"/>
    <w:qFormat/>
    <w:uiPriority w:val="0"/>
    <w:rPr>
      <w:rFonts w:ascii="MHei-Medium" w:hAnsi="MHei-Medium"/>
      <w:kern w:val="2"/>
      <w:sz w:val="24"/>
      <w:lang w:val="en-US" w:eastAsia="zh-CN"/>
    </w:rPr>
  </w:style>
  <w:style w:type="character" w:customStyle="1" w:styleId="1674">
    <w:name w:val="Footer Char"/>
    <w:qFormat/>
    <w:uiPriority w:val="0"/>
    <w:rPr>
      <w:rFonts w:ascii="Times New Roman" w:hAnsi="Times New Roman"/>
      <w:kern w:val="2"/>
      <w:sz w:val="18"/>
    </w:rPr>
  </w:style>
  <w:style w:type="character" w:customStyle="1" w:styleId="1675">
    <w:name w:val="Date Char Char"/>
    <w:qFormat/>
    <w:uiPriority w:val="0"/>
    <w:rPr>
      <w:rFonts w:eastAsia="黑体"/>
      <w:kern w:val="2"/>
      <w:sz w:val="24"/>
      <w:lang w:val="en-US" w:eastAsia="zh-CN"/>
    </w:rPr>
  </w:style>
  <w:style w:type="character" w:customStyle="1" w:styleId="1676">
    <w:name w:val="正文文本最新 Char Char Char1 Char Char Char Char Char Char Char Char Char"/>
    <w:qFormat/>
    <w:uiPriority w:val="0"/>
    <w:rPr>
      <w:rFonts w:ascii="Arial Black" w:hAnsi="Arial Black" w:eastAsia="Times New Roman"/>
      <w:b/>
      <w:kern w:val="2"/>
      <w:sz w:val="24"/>
      <w:lang w:val="en-US" w:eastAsia="zh-CN"/>
    </w:rPr>
  </w:style>
  <w:style w:type="character" w:customStyle="1" w:styleId="1677">
    <w:name w:val="Heading 2 Char"/>
    <w:qFormat/>
    <w:uiPriority w:val="0"/>
    <w:rPr>
      <w:rFonts w:eastAsia="宋体"/>
      <w:b/>
      <w:snapToGrid w:val="0"/>
      <w:sz w:val="28"/>
      <w:lang w:val="en-US" w:eastAsia="zh-CN"/>
    </w:rPr>
  </w:style>
  <w:style w:type="character" w:customStyle="1" w:styleId="1678">
    <w:name w:val="泸县焦化二级标题 Char Char"/>
    <w:link w:val="1679"/>
    <w:qFormat/>
    <w:uiPriority w:val="0"/>
    <w:rPr>
      <w:b/>
      <w:color w:val="0000FF"/>
      <w:sz w:val="28"/>
    </w:rPr>
  </w:style>
  <w:style w:type="paragraph" w:customStyle="1" w:styleId="1679">
    <w:name w:val="泸县焦化二级标题"/>
    <w:basedOn w:val="1"/>
    <w:link w:val="1678"/>
    <w:qFormat/>
    <w:uiPriority w:val="0"/>
    <w:pPr>
      <w:keepNext/>
      <w:keepLines/>
      <w:widowControl/>
      <w:autoSpaceDE w:val="0"/>
      <w:autoSpaceDN w:val="0"/>
      <w:adjustRightInd w:val="0"/>
      <w:snapToGrid w:val="0"/>
      <w:jc w:val="left"/>
      <w:outlineLvl w:val="1"/>
    </w:pPr>
    <w:rPr>
      <w:b/>
      <w:color w:val="0000FF"/>
      <w:sz w:val="28"/>
    </w:rPr>
  </w:style>
  <w:style w:type="character" w:customStyle="1" w:styleId="1680">
    <w:name w:val="德胜正文顶格小标题 Char Char"/>
    <w:link w:val="1681"/>
    <w:qFormat/>
    <w:uiPriority w:val="0"/>
    <w:rPr>
      <w:snapToGrid w:val="0"/>
      <w:color w:val="0000FF"/>
      <w:sz w:val="24"/>
    </w:rPr>
  </w:style>
  <w:style w:type="paragraph" w:customStyle="1" w:styleId="1681">
    <w:name w:val="德胜正文顶格小标题"/>
    <w:basedOn w:val="1653"/>
    <w:link w:val="1680"/>
    <w:qFormat/>
    <w:uiPriority w:val="0"/>
    <w:pPr>
      <w:spacing w:line="360" w:lineRule="auto"/>
    </w:pPr>
    <w:rPr>
      <w:sz w:val="24"/>
    </w:rPr>
  </w:style>
  <w:style w:type="character" w:customStyle="1" w:styleId="1682">
    <w:name w:val="style101"/>
    <w:qFormat/>
    <w:uiPriority w:val="0"/>
    <w:rPr>
      <w:rFonts w:eastAsia="宋体" w:cs="Times New Roman"/>
      <w:kern w:val="2"/>
      <w:sz w:val="24"/>
      <w:szCs w:val="24"/>
      <w:lang w:val="en-US" w:eastAsia="zh-CN" w:bidi="ar-SA"/>
    </w:rPr>
  </w:style>
  <w:style w:type="character" w:customStyle="1" w:styleId="1683">
    <w:name w:val="Subtitle Char"/>
    <w:qFormat/>
    <w:uiPriority w:val="0"/>
    <w:rPr>
      <w:rFonts w:ascii="Times New Roman" w:hAnsi="Times New Roman" w:eastAsia="黑体"/>
      <w:kern w:val="28"/>
      <w:sz w:val="32"/>
    </w:rPr>
  </w:style>
  <w:style w:type="character" w:customStyle="1" w:styleId="1684">
    <w:name w:val="style921"/>
    <w:qFormat/>
    <w:uiPriority w:val="0"/>
    <w:rPr>
      <w:rFonts w:ascii="Arial Black" w:hAnsi="Arial Black" w:eastAsia="Times New Roman"/>
      <w:sz w:val="16"/>
      <w:lang w:val="en-US" w:eastAsia="en-US"/>
    </w:rPr>
  </w:style>
  <w:style w:type="character" w:customStyle="1" w:styleId="1685">
    <w:name w:val="干标题(a) Char Char"/>
    <w:qFormat/>
    <w:uiPriority w:val="0"/>
    <w:rPr>
      <w:rFonts w:ascii="Arial" w:hAnsi="Arial" w:eastAsia="黑体"/>
      <w:sz w:val="21"/>
      <w:lang w:val="en-US" w:eastAsia="zh-CN"/>
    </w:rPr>
  </w:style>
  <w:style w:type="character" w:customStyle="1" w:styleId="1686">
    <w:name w:val="mainfirst1"/>
    <w:qFormat/>
    <w:uiPriority w:val="0"/>
    <w:rPr>
      <w:rFonts w:ascii="Verdana" w:hAnsi="Verdana" w:eastAsia="楷体"/>
      <w:b/>
      <w:color w:val="FF0000"/>
      <w:kern w:val="2"/>
      <w:sz w:val="36"/>
      <w:lang w:val="en-US" w:eastAsia="zh-CN"/>
    </w:rPr>
  </w:style>
  <w:style w:type="character" w:customStyle="1" w:styleId="1687">
    <w:name w:val="样式 样式 样式 样式 (符号) 宋体 13 磅 首行缩进:  2 字符 行距: 1.5 倍行距 + 首行缩进:  2 字符 +... Char Char"/>
    <w:link w:val="1688"/>
    <w:qFormat/>
    <w:uiPriority w:val="0"/>
    <w:rPr>
      <w:rFonts w:ascii="Verdana" w:hAnsi="Verdana"/>
      <w:sz w:val="26"/>
    </w:rPr>
  </w:style>
  <w:style w:type="paragraph" w:customStyle="1" w:styleId="1688">
    <w:name w:val="样式 样式 样式 样式 (符号) 宋体 13 磅 首行缩进:  2 字符 行距: 1.5 倍行距 + 首行缩进:  2 字符 +..."/>
    <w:basedOn w:val="1"/>
    <w:link w:val="1687"/>
    <w:qFormat/>
    <w:uiPriority w:val="0"/>
    <w:pPr>
      <w:widowControl/>
      <w:spacing w:line="240" w:lineRule="auto"/>
      <w:ind w:firstLine="563" w:firstLineChars="200"/>
      <w:jc w:val="left"/>
    </w:pPr>
    <w:rPr>
      <w:rFonts w:ascii="Verdana" w:hAnsi="Verdana"/>
      <w:sz w:val="26"/>
    </w:rPr>
  </w:style>
  <w:style w:type="character" w:customStyle="1" w:styleId="1689">
    <w:name w:val="td10"/>
    <w:qFormat/>
    <w:uiPriority w:val="0"/>
    <w:rPr>
      <w:rFonts w:ascii="Arial Black" w:hAnsi="Arial Black" w:eastAsia="Times New Roman"/>
      <w:sz w:val="21"/>
      <w:lang w:val="en-US" w:eastAsia="en-US"/>
    </w:rPr>
  </w:style>
  <w:style w:type="character" w:customStyle="1" w:styleId="1690">
    <w:name w:val="文本框五号1.5倍行距 Char Char"/>
    <w:qFormat/>
    <w:uiPriority w:val="0"/>
    <w:rPr>
      <w:rFonts w:ascii="Verdana" w:hAnsi="Verdana" w:eastAsia="Times New Roman"/>
      <w:kern w:val="2"/>
      <w:sz w:val="21"/>
      <w:lang w:val="en-US" w:eastAsia="zh-CN"/>
    </w:rPr>
  </w:style>
  <w:style w:type="character" w:customStyle="1" w:styleId="1691">
    <w:name w:val="c1"/>
    <w:qFormat/>
    <w:uiPriority w:val="0"/>
    <w:rPr>
      <w:rFonts w:ascii="Tms Rmn" w:hAnsi="Tms Rmn" w:eastAsia="Times New Roman"/>
      <w:color w:val="000000"/>
      <w:sz w:val="21"/>
      <w:u w:val="none"/>
      <w:lang w:val="en-US" w:eastAsia="en-US"/>
    </w:rPr>
  </w:style>
  <w:style w:type="character" w:customStyle="1" w:styleId="1692">
    <w:name w:val="Body Text Indent 3 Char"/>
    <w:qFormat/>
    <w:uiPriority w:val="0"/>
    <w:rPr>
      <w:rFonts w:ascii="Times New Roman" w:hAnsi="Times New Roman"/>
      <w:kern w:val="2"/>
      <w:sz w:val="16"/>
    </w:rPr>
  </w:style>
  <w:style w:type="character" w:customStyle="1" w:styleId="1693">
    <w:name w:val="样式 小四 蓝色 首行缩进:  0.85 厘米 行距: 多倍行距 1.4 字行 Char Char"/>
    <w:qFormat/>
    <w:uiPriority w:val="0"/>
    <w:rPr>
      <w:rFonts w:ascii="仿宋_GB2312" w:eastAsia="仿宋_GB2312"/>
      <w:color w:val="0000FF"/>
      <w:kern w:val="2"/>
      <w:sz w:val="24"/>
    </w:rPr>
  </w:style>
  <w:style w:type="character" w:customStyle="1" w:styleId="1694">
    <w:name w:val="标题 1 cg2 Char Char"/>
    <w:link w:val="1695"/>
    <w:qFormat/>
    <w:uiPriority w:val="0"/>
    <w:rPr>
      <w:b/>
      <w:color w:val="0000FF"/>
      <w:kern w:val="44"/>
      <w:sz w:val="30"/>
    </w:rPr>
  </w:style>
  <w:style w:type="paragraph" w:customStyle="1" w:styleId="1695">
    <w:name w:val="标题 1 cg2"/>
    <w:basedOn w:val="6"/>
    <w:link w:val="1694"/>
    <w:qFormat/>
    <w:uiPriority w:val="0"/>
    <w:pPr>
      <w:keepLines w:val="0"/>
      <w:widowControl/>
      <w:numPr>
        <w:numId w:val="0"/>
      </w:numPr>
      <w:spacing w:before="0" w:after="0" w:line="360" w:lineRule="auto"/>
      <w:ind w:firstLine="573"/>
      <w:jc w:val="left"/>
    </w:pPr>
    <w:rPr>
      <w:rFonts w:asciiTheme="minorHAnsi" w:hAnsiTheme="minorHAnsi"/>
      <w:bCs w:val="0"/>
      <w:color w:val="0000FF"/>
      <w:sz w:val="30"/>
      <w:szCs w:val="22"/>
    </w:rPr>
  </w:style>
  <w:style w:type="character" w:customStyle="1" w:styleId="1696">
    <w:name w:val="px14"/>
    <w:qFormat/>
    <w:uiPriority w:val="0"/>
    <w:rPr>
      <w:rFonts w:eastAsia="宋体" w:cs="Times New Roman"/>
      <w:kern w:val="2"/>
      <w:sz w:val="24"/>
      <w:szCs w:val="24"/>
      <w:lang w:val="en-US" w:eastAsia="zh-CN" w:bidi="ar-SA"/>
    </w:rPr>
  </w:style>
  <w:style w:type="character" w:customStyle="1" w:styleId="1697">
    <w:name w:val="样式 宋体 四号 加粗"/>
    <w:qFormat/>
    <w:uiPriority w:val="0"/>
    <w:rPr>
      <w:rFonts w:ascii="Verdana" w:hAnsi="Verdana" w:eastAsia="Times New Roman"/>
      <w:b/>
      <w:sz w:val="21"/>
      <w:lang w:val="en-US" w:eastAsia="en-US"/>
    </w:rPr>
  </w:style>
  <w:style w:type="character" w:customStyle="1" w:styleId="1698">
    <w:name w:val="Heading 7 Char"/>
    <w:qFormat/>
    <w:uiPriority w:val="0"/>
    <w:rPr>
      <w:rFonts w:ascii="Times New Roman" w:hAnsi="Times New Roman"/>
      <w:b/>
      <w:sz w:val="24"/>
    </w:rPr>
  </w:style>
  <w:style w:type="character" w:customStyle="1" w:styleId="1699">
    <w:name w:val="样式 标题 3 + 四号 蓝色 Char Char"/>
    <w:link w:val="1700"/>
    <w:qFormat/>
    <w:uiPriority w:val="0"/>
    <w:rPr>
      <w:b/>
      <w:color w:val="0000FF"/>
      <w:sz w:val="32"/>
    </w:rPr>
  </w:style>
  <w:style w:type="paragraph" w:customStyle="1" w:styleId="1700">
    <w:name w:val="样式 标题 3 + 四号 蓝色"/>
    <w:basedOn w:val="8"/>
    <w:link w:val="1699"/>
    <w:qFormat/>
    <w:uiPriority w:val="0"/>
    <w:pPr>
      <w:widowControl/>
      <w:numPr>
        <w:ilvl w:val="0"/>
        <w:numId w:val="0"/>
      </w:numPr>
      <w:adjustRightInd w:val="0"/>
      <w:snapToGrid w:val="0"/>
      <w:spacing w:before="0" w:after="0" w:line="360" w:lineRule="auto"/>
      <w:outlineLvl w:val="1"/>
    </w:pPr>
    <w:rPr>
      <w:rFonts w:asciiTheme="minorHAnsi" w:hAnsiTheme="minorHAnsi"/>
      <w:bCs w:val="0"/>
      <w:color w:val="0000FF"/>
      <w:sz w:val="32"/>
      <w:szCs w:val="22"/>
    </w:rPr>
  </w:style>
  <w:style w:type="character" w:customStyle="1" w:styleId="1701">
    <w:name w:val="样式 (西文) 宋体 (中文) 仿宋_GB2312 黑色"/>
    <w:qFormat/>
    <w:uiPriority w:val="0"/>
    <w:rPr>
      <w:rFonts w:ascii="仿宋_GB2312" w:hAnsi="仿宋_GB2312" w:eastAsia="Times New Roman"/>
      <w:color w:val="000000"/>
      <w:kern w:val="2"/>
      <w:sz w:val="32"/>
      <w:lang w:val="en-US" w:eastAsia="zh-CN"/>
    </w:rPr>
  </w:style>
  <w:style w:type="character" w:customStyle="1" w:styleId="1702">
    <w:name w:val="样式 标题 2节标题标题21.1H2h2第一层条4.1二级标题标题 lxb2二级标题 Char表标题单位... Char Char"/>
    <w:qFormat/>
    <w:uiPriority w:val="0"/>
    <w:rPr>
      <w:rFonts w:ascii="Arial Black" w:hAnsi="Arial Black" w:eastAsia="Times New Roman"/>
      <w:b/>
      <w:kern w:val="32"/>
      <w:sz w:val="28"/>
      <w:lang w:val="en-US" w:eastAsia="zh-CN"/>
    </w:rPr>
  </w:style>
  <w:style w:type="character" w:customStyle="1" w:styleId="1703">
    <w:name w:val="样式41"/>
    <w:qFormat/>
    <w:uiPriority w:val="0"/>
    <w:rPr>
      <w:rFonts w:ascii="Arial Black" w:hAnsi="Arial Black" w:eastAsia="Times New Roman"/>
      <w:color w:val="313D42"/>
      <w:sz w:val="21"/>
      <w:lang w:val="en-US" w:eastAsia="en-US"/>
    </w:rPr>
  </w:style>
  <w:style w:type="character" w:customStyle="1" w:styleId="1704">
    <w:name w:val="style81"/>
    <w:qFormat/>
    <w:uiPriority w:val="0"/>
    <w:rPr>
      <w:rFonts w:ascii="Verdana" w:hAnsi="Verdana" w:eastAsia="楷体"/>
      <w:kern w:val="2"/>
      <w:sz w:val="24"/>
      <w:lang w:val="en-US" w:eastAsia="zh-CN"/>
    </w:rPr>
  </w:style>
  <w:style w:type="character" w:customStyle="1" w:styleId="1705">
    <w:name w:val="正文部分 Char Char"/>
    <w:link w:val="1706"/>
    <w:qFormat/>
    <w:uiPriority w:val="0"/>
    <w:rPr>
      <w:rFonts w:ascii="宋体" w:eastAsia="宋体"/>
      <w:sz w:val="32"/>
    </w:rPr>
  </w:style>
  <w:style w:type="paragraph" w:customStyle="1" w:styleId="1706">
    <w:name w:val="正文部分"/>
    <w:basedOn w:val="1"/>
    <w:link w:val="1705"/>
    <w:qFormat/>
    <w:uiPriority w:val="0"/>
    <w:pPr>
      <w:widowControl/>
      <w:spacing w:line="500" w:lineRule="exact"/>
      <w:ind w:firstLine="200" w:firstLineChars="200"/>
      <w:jc w:val="left"/>
    </w:pPr>
    <w:rPr>
      <w:rFonts w:ascii="宋体" w:eastAsia="宋体"/>
      <w:sz w:val="32"/>
    </w:rPr>
  </w:style>
  <w:style w:type="character" w:customStyle="1" w:styleId="1707">
    <w:name w:val="纯文本2 Char"/>
    <w:qFormat/>
    <w:uiPriority w:val="0"/>
    <w:rPr>
      <w:rFonts w:ascii="宋体" w:hAnsi="Courier New" w:eastAsia="宋体"/>
      <w:kern w:val="2"/>
      <w:sz w:val="21"/>
      <w:lang w:val="en-US" w:eastAsia="zh-CN"/>
    </w:rPr>
  </w:style>
  <w:style w:type="character" w:customStyle="1" w:styleId="1708">
    <w:name w:val="正文(首行缩进) Char1"/>
    <w:qFormat/>
    <w:uiPriority w:val="0"/>
    <w:rPr>
      <w:rFonts w:ascii="Arial Black" w:hAnsi="Arial Black" w:eastAsia="Times New Roman"/>
      <w:snapToGrid w:val="0"/>
      <w:color w:val="000000"/>
      <w:sz w:val="24"/>
      <w:lang w:val="en-US" w:eastAsia="zh-CN"/>
    </w:rPr>
  </w:style>
  <w:style w:type="character" w:customStyle="1" w:styleId="1709">
    <w:name w:val="Document Map Char"/>
    <w:qFormat/>
    <w:uiPriority w:val="0"/>
    <w:rPr>
      <w:rFonts w:ascii="Times New Roman" w:hAnsi="Times New Roman"/>
      <w:kern w:val="2"/>
      <w:sz w:val="21"/>
      <w:shd w:val="clear" w:color="auto" w:fill="000080"/>
    </w:rPr>
  </w:style>
  <w:style w:type="character" w:customStyle="1" w:styleId="1710">
    <w:name w:val="标题 21"/>
    <w:qFormat/>
    <w:uiPriority w:val="0"/>
    <w:rPr>
      <w:rFonts w:ascii="楷体" w:hAnsi="Courier New" w:eastAsia="楷体"/>
      <w:kern w:val="2"/>
      <w:sz w:val="30"/>
      <w:lang w:val="en-US" w:eastAsia="zh-CN"/>
    </w:rPr>
  </w:style>
  <w:style w:type="character" w:customStyle="1" w:styleId="1711">
    <w:name w:val="样式 表文 Char Char + Char Char"/>
    <w:link w:val="1712"/>
    <w:qFormat/>
    <w:uiPriority w:val="0"/>
    <w:rPr>
      <w:rFonts w:ascii="Times New Roman" w:hAnsi="Times New Roman"/>
      <w:sz w:val="18"/>
      <w:szCs w:val="18"/>
    </w:rPr>
  </w:style>
  <w:style w:type="paragraph" w:customStyle="1" w:styleId="1712">
    <w:name w:val="样式 表文 Char Char +"/>
    <w:link w:val="1711"/>
    <w:qFormat/>
    <w:uiPriority w:val="0"/>
    <w:pPr>
      <w:overflowPunct w:val="0"/>
      <w:adjustRightInd w:val="0"/>
      <w:snapToGrid w:val="0"/>
      <w:ind w:firstLine="360" w:firstLineChars="200"/>
      <w:textAlignment w:val="baseline"/>
    </w:pPr>
    <w:rPr>
      <w:rFonts w:ascii="Times New Roman" w:hAnsi="Times New Roman" w:eastAsiaTheme="minorEastAsia" w:cstheme="minorBidi"/>
      <w:kern w:val="2"/>
      <w:sz w:val="18"/>
      <w:szCs w:val="18"/>
      <w:lang w:val="en-US" w:eastAsia="zh-CN" w:bidi="ar-SA"/>
    </w:rPr>
  </w:style>
  <w:style w:type="character" w:customStyle="1" w:styleId="1713">
    <w:name w:val="Endnote Text Char"/>
    <w:qFormat/>
    <w:uiPriority w:val="0"/>
    <w:rPr>
      <w:rFonts w:ascii="仿宋_GB2312" w:eastAsia="仿宋_GB2312"/>
      <w:kern w:val="2"/>
      <w:sz w:val="24"/>
    </w:rPr>
  </w:style>
  <w:style w:type="character" w:customStyle="1" w:styleId="1714">
    <w:name w:val="Body Text Indent 2 Char"/>
    <w:qFormat/>
    <w:uiPriority w:val="0"/>
    <w:rPr>
      <w:rFonts w:ascii="Times New Roman" w:hAnsi="Times New Roman"/>
      <w:kern w:val="2"/>
      <w:sz w:val="21"/>
    </w:rPr>
  </w:style>
  <w:style w:type="character" w:customStyle="1" w:styleId="1715">
    <w:name w:val="style781"/>
    <w:qFormat/>
    <w:uiPriority w:val="0"/>
    <w:rPr>
      <w:rFonts w:ascii="Arial Black" w:hAnsi="Arial Black" w:eastAsia="Times New Roman"/>
      <w:sz w:val="24"/>
      <w:lang w:val="en-US" w:eastAsia="en-US"/>
    </w:rPr>
  </w:style>
  <w:style w:type="character" w:customStyle="1" w:styleId="1716">
    <w:name w:val="style12"/>
    <w:qFormat/>
    <w:uiPriority w:val="0"/>
    <w:rPr>
      <w:rFonts w:eastAsia="宋体" w:cs="Times New Roman"/>
      <w:kern w:val="2"/>
      <w:sz w:val="24"/>
      <w:szCs w:val="24"/>
      <w:lang w:val="en-US" w:eastAsia="zh-CN" w:bidi="ar-SA"/>
    </w:rPr>
  </w:style>
  <w:style w:type="character" w:customStyle="1" w:styleId="1717">
    <w:name w:val="Balloon Text Char"/>
    <w:qFormat/>
    <w:uiPriority w:val="0"/>
    <w:rPr>
      <w:rFonts w:ascii="Times New Roman" w:hAnsi="Times New Roman"/>
      <w:kern w:val="2"/>
      <w:sz w:val="18"/>
    </w:rPr>
  </w:style>
  <w:style w:type="paragraph" w:customStyle="1" w:styleId="1718">
    <w:name w:val="列表 5H"/>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1719">
    <w:name w:val="edri-title third Char1"/>
    <w:basedOn w:val="1"/>
    <w:qFormat/>
    <w:uiPriority w:val="0"/>
    <w:pPr>
      <w:widowControl/>
      <w:tabs>
        <w:tab w:val="left" w:pos="0"/>
        <w:tab w:val="left" w:pos="945"/>
      </w:tabs>
      <w:spacing w:beforeLines="50" w:line="300" w:lineRule="auto"/>
      <w:ind w:left="964" w:hanging="964"/>
      <w:jc w:val="left"/>
      <w:outlineLvl w:val="2"/>
    </w:pPr>
    <w:rPr>
      <w:rFonts w:ascii="仿宋_GB2312" w:hAnsi="仿宋_GB2312" w:eastAsia="宋体" w:cs="仿宋_GB2312"/>
      <w:bCs/>
      <w:kern w:val="0"/>
      <w:sz w:val="24"/>
      <w:szCs w:val="24"/>
    </w:rPr>
  </w:style>
  <w:style w:type="paragraph" w:customStyle="1" w:styleId="1720">
    <w:name w:val="列表 3I"/>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1721">
    <w:name w:val="edri-正文"/>
    <w:basedOn w:val="1"/>
    <w:qFormat/>
    <w:uiPriority w:val="0"/>
    <w:pPr>
      <w:widowControl/>
      <w:spacing w:beforeLines="50" w:line="300" w:lineRule="auto"/>
      <w:ind w:left="899" w:leftChars="428"/>
      <w:jc w:val="left"/>
    </w:pPr>
    <w:rPr>
      <w:rFonts w:ascii="仿宋_GB2312" w:hAnsi="仿宋_GB2312" w:eastAsia="宋体" w:cs="仿宋_GB2312"/>
      <w:sz w:val="24"/>
      <w:szCs w:val="24"/>
    </w:rPr>
  </w:style>
  <w:style w:type="paragraph" w:customStyle="1" w:styleId="1722">
    <w:name w:val="列表 2T"/>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1723">
    <w:name w:val="小四表文左齐"/>
    <w:basedOn w:val="1"/>
    <w:qFormat/>
    <w:uiPriority w:val="0"/>
    <w:pPr>
      <w:widowControl/>
      <w:spacing w:line="360" w:lineRule="exact"/>
      <w:jc w:val="center"/>
    </w:pPr>
    <w:rPr>
      <w:rFonts w:ascii="仿宋_GB2312" w:hAnsi="仿宋_GB2312" w:eastAsia="宋体" w:cs="仿宋_GB2312"/>
    </w:rPr>
  </w:style>
  <w:style w:type="paragraph" w:customStyle="1" w:styleId="1724">
    <w:name w:val="TY"/>
    <w:basedOn w:val="1"/>
    <w:qFormat/>
    <w:uiPriority w:val="0"/>
    <w:pPr>
      <w:widowControl/>
      <w:adjustRightInd w:val="0"/>
      <w:snapToGrid w:val="0"/>
      <w:spacing w:before="40" w:after="40" w:line="240" w:lineRule="auto"/>
      <w:jc w:val="left"/>
    </w:pPr>
    <w:rPr>
      <w:rFonts w:ascii="Verdana" w:hAnsi="Verdana" w:eastAsia="宋体" w:cs="仿宋_GB2312"/>
      <w:sz w:val="24"/>
      <w:szCs w:val="20"/>
    </w:rPr>
  </w:style>
  <w:style w:type="paragraph" w:customStyle="1" w:styleId="1725">
    <w:name w:val="封面标准号2"/>
    <w:qFormat/>
    <w:uiPriority w:val="0"/>
    <w:pPr>
      <w:spacing w:before="357" w:line="280" w:lineRule="exact"/>
      <w:jc w:val="right"/>
    </w:pPr>
    <w:rPr>
      <w:rFonts w:ascii="黑体" w:hAnsi="Times New Roman" w:eastAsia="黑体" w:cs="Times New Roman"/>
      <w:sz w:val="28"/>
      <w:szCs w:val="28"/>
      <w:lang w:val="en-US" w:eastAsia="zh-CN" w:bidi="ar-SA"/>
    </w:rPr>
  </w:style>
  <w:style w:type="paragraph" w:customStyle="1" w:styleId="1726">
    <w:name w:val="样式 标题 2 + 左侧:  0 厘米 悬挂缩进: 5.76 字符 段前: 6 磅 段后: 6 磅 行距: 固定值 20..."/>
    <w:basedOn w:val="7"/>
    <w:qFormat/>
    <w:uiPriority w:val="0"/>
    <w:pPr>
      <w:widowControl/>
      <w:numPr>
        <w:ilvl w:val="0"/>
        <w:numId w:val="0"/>
      </w:numPr>
      <w:spacing w:beforeLines="50" w:after="120" w:line="400" w:lineRule="exact"/>
      <w:ind w:left="576" w:hanging="576"/>
      <w:jc w:val="both"/>
    </w:pPr>
    <w:rPr>
      <w:rFonts w:ascii="Arial" w:hAnsi="Arial" w:eastAsia="黑体" w:cs="Times New Roman"/>
      <w:b w:val="0"/>
      <w:bCs w:val="0"/>
      <w:szCs w:val="20"/>
    </w:rPr>
  </w:style>
  <w:style w:type="paragraph" w:customStyle="1" w:styleId="1727">
    <w:name w:val="燕山正文"/>
    <w:basedOn w:val="1"/>
    <w:qFormat/>
    <w:uiPriority w:val="0"/>
    <w:pPr>
      <w:widowControl/>
      <w:tabs>
        <w:tab w:val="left" w:pos="4680"/>
      </w:tabs>
      <w:adjustRightInd w:val="0"/>
      <w:snapToGrid w:val="0"/>
      <w:ind w:firstLine="520" w:firstLineChars="200"/>
      <w:jc w:val="left"/>
    </w:pPr>
    <w:rPr>
      <w:rFonts w:ascii="Times New Roman" w:hAnsi="Arial" w:eastAsia="宋体" w:cs="Times New Roman"/>
      <w:spacing w:val="10"/>
      <w:kern w:val="0"/>
      <w:sz w:val="24"/>
      <w:szCs w:val="24"/>
    </w:rPr>
  </w:style>
  <w:style w:type="paragraph" w:customStyle="1" w:styleId="1728">
    <w:name w:val="泸县焦化一级标题"/>
    <w:basedOn w:val="1"/>
    <w:qFormat/>
    <w:uiPriority w:val="0"/>
    <w:pPr>
      <w:keepNext/>
      <w:keepLines/>
      <w:widowControl/>
      <w:adjustRightInd w:val="0"/>
      <w:snapToGrid w:val="0"/>
      <w:spacing w:line="720" w:lineRule="auto"/>
      <w:jc w:val="left"/>
      <w:outlineLvl w:val="0"/>
    </w:pPr>
    <w:rPr>
      <w:rFonts w:ascii="仿宋_GB2312" w:hAnsi="仿宋_GB2312" w:eastAsia="宋体" w:cs="仿宋_GB2312"/>
      <w:b/>
      <w:bCs/>
      <w:sz w:val="30"/>
      <w:szCs w:val="30"/>
    </w:rPr>
  </w:style>
  <w:style w:type="paragraph" w:customStyle="1" w:styleId="1729">
    <w:name w:val="13点"/>
    <w:basedOn w:val="1"/>
    <w:qFormat/>
    <w:uiPriority w:val="0"/>
    <w:pPr>
      <w:widowControl/>
      <w:adjustRightInd w:val="0"/>
      <w:snapToGrid w:val="0"/>
      <w:jc w:val="center"/>
    </w:pPr>
    <w:rPr>
      <w:rFonts w:ascii="宋体" w:hAnsi="宋体" w:eastAsia="宋体" w:cs="Times New Roman"/>
    </w:rPr>
  </w:style>
  <w:style w:type="paragraph" w:customStyle="1" w:styleId="1730">
    <w:name w:val="正文文字缩进 31"/>
    <w:basedOn w:val="1"/>
    <w:next w:val="52"/>
    <w:qFormat/>
    <w:uiPriority w:val="0"/>
    <w:pPr>
      <w:widowControl/>
      <w:ind w:firstLine="280" w:firstLineChars="100"/>
      <w:jc w:val="left"/>
    </w:pPr>
    <w:rPr>
      <w:rFonts w:ascii="Verdana" w:hAnsi="Verdana" w:eastAsia="宋体" w:cs="Verdana"/>
      <w:bCs/>
      <w:sz w:val="28"/>
      <w:szCs w:val="30"/>
    </w:rPr>
  </w:style>
  <w:style w:type="paragraph" w:customStyle="1" w:styleId="1731">
    <w:name w:val="列表 2B"/>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1732">
    <w:name w:val="标题样式1"/>
    <w:basedOn w:val="4"/>
    <w:qFormat/>
    <w:uiPriority w:val="0"/>
    <w:pPr>
      <w:widowControl/>
      <w:adjustRightInd w:val="0"/>
      <w:snapToGrid w:val="0"/>
      <w:spacing w:after="0" w:line="240" w:lineRule="atLeast"/>
      <w:jc w:val="center"/>
      <w:textAlignment w:val="baseline"/>
    </w:pPr>
    <w:rPr>
      <w:rFonts w:ascii="仿宋_GB2312" w:hAnsi="仿宋_GB2312" w:eastAsia="宋体" w:cs="仿宋_GB2312"/>
      <w:b/>
      <w:bCs/>
      <w:kern w:val="0"/>
      <w:sz w:val="24"/>
      <w:szCs w:val="20"/>
    </w:rPr>
  </w:style>
  <w:style w:type="paragraph" w:customStyle="1" w:styleId="1733">
    <w:name w:val="正文仿宋"/>
    <w:basedOn w:val="1"/>
    <w:qFormat/>
    <w:uiPriority w:val="0"/>
    <w:pPr>
      <w:widowControl/>
      <w:adjustRightInd w:val="0"/>
      <w:snapToGrid w:val="0"/>
      <w:ind w:firstLine="567"/>
      <w:jc w:val="left"/>
    </w:pPr>
    <w:rPr>
      <w:rFonts w:ascii="仿宋_GB2312" w:hAnsi="仿宋_GB2312" w:eastAsia="Times New Roman" w:cs="仿宋_GB2312"/>
      <w:kern w:val="0"/>
      <w:sz w:val="24"/>
      <w:szCs w:val="20"/>
    </w:rPr>
  </w:style>
  <w:style w:type="paragraph" w:customStyle="1" w:styleId="1734">
    <w:name w:val="攀成钢一级标题"/>
    <w:basedOn w:val="1"/>
    <w:qFormat/>
    <w:uiPriority w:val="0"/>
    <w:pPr>
      <w:widowControl/>
      <w:spacing w:line="720" w:lineRule="auto"/>
      <w:jc w:val="left"/>
      <w:outlineLvl w:val="0"/>
    </w:pPr>
    <w:rPr>
      <w:rFonts w:ascii="Times New Roman" w:hAnsi="Times New Roman" w:eastAsia="宋体" w:cs="Times New Roman"/>
      <w:b/>
      <w:color w:val="008000"/>
      <w:kern w:val="0"/>
      <w:sz w:val="30"/>
      <w:szCs w:val="20"/>
    </w:rPr>
  </w:style>
  <w:style w:type="paragraph" w:customStyle="1" w:styleId="1735">
    <w:name w:val="Char Char Char1 Char Char Char"/>
    <w:basedOn w:val="1"/>
    <w:qFormat/>
    <w:uiPriority w:val="0"/>
    <w:pPr>
      <w:widowControl/>
      <w:spacing w:line="240" w:lineRule="auto"/>
      <w:jc w:val="left"/>
    </w:pPr>
    <w:rPr>
      <w:rFonts w:ascii="仿宋_GB2312" w:hAnsi="仿宋_GB2312" w:eastAsia="宋体" w:cs="仿宋_GB2312"/>
      <w:szCs w:val="24"/>
    </w:rPr>
  </w:style>
  <w:style w:type="paragraph" w:customStyle="1" w:styleId="1736">
    <w:name w:val="样式 标题 2 + (中文) 宋体"/>
    <w:basedOn w:val="7"/>
    <w:qFormat/>
    <w:uiPriority w:val="0"/>
    <w:pPr>
      <w:keepNext w:val="0"/>
      <w:keepLines w:val="0"/>
      <w:widowControl/>
      <w:numPr>
        <w:ilvl w:val="0"/>
        <w:numId w:val="0"/>
      </w:numPr>
      <w:adjustRightInd w:val="0"/>
      <w:snapToGrid w:val="0"/>
      <w:spacing w:beforeLines="50" w:afterLines="50" w:line="240" w:lineRule="auto"/>
      <w:ind w:left="567" w:hanging="567"/>
      <w:jc w:val="both"/>
    </w:pPr>
    <w:rPr>
      <w:rFonts w:ascii="仿宋_GB2312" w:hAnsi="仿宋_GB2312" w:eastAsia="Times New Roman" w:cs="仿宋_GB2312"/>
      <w:b w:val="0"/>
      <w:color w:val="0000FF"/>
      <w:szCs w:val="28"/>
    </w:rPr>
  </w:style>
  <w:style w:type="paragraph" w:customStyle="1" w:styleId="1737">
    <w:name w:val="Char 正文"/>
    <w:basedOn w:val="6"/>
    <w:qFormat/>
    <w:uiPriority w:val="0"/>
    <w:pPr>
      <w:widowControl/>
      <w:numPr>
        <w:numId w:val="0"/>
      </w:numPr>
      <w:adjustRightInd w:val="0"/>
      <w:snapToGrid w:val="0"/>
      <w:spacing w:before="240" w:after="240" w:line="348" w:lineRule="auto"/>
      <w:jc w:val="left"/>
    </w:pPr>
    <w:rPr>
      <w:rFonts w:ascii="新宋体" w:hAnsi="新宋体" w:eastAsia="宋体" w:cs="仿宋_GB2312"/>
      <w:bCs w:val="0"/>
      <w:sz w:val="24"/>
      <w:szCs w:val="20"/>
    </w:rPr>
  </w:style>
  <w:style w:type="paragraph" w:customStyle="1" w:styleId="1738">
    <w:name w:val="列表 4K"/>
    <w:basedOn w:val="81"/>
    <w:qFormat/>
    <w:uiPriority w:val="0"/>
    <w:pPr>
      <w:widowControl/>
      <w:tabs>
        <w:tab w:val="left" w:pos="1000"/>
      </w:tabs>
      <w:adjustRightInd/>
      <w:spacing w:afterLines="30" w:line="288" w:lineRule="auto"/>
      <w:ind w:left="1000" w:hanging="720"/>
      <w:jc w:val="left"/>
      <w:textAlignment w:val="auto"/>
    </w:pPr>
    <w:rPr>
      <w:rFonts w:ascii="Courier New" w:hAnsi="Courier New" w:cs="仿宋_GB2312"/>
      <w:color w:val="CCFFFF"/>
      <w:kern w:val="2"/>
    </w:rPr>
  </w:style>
  <w:style w:type="paragraph" w:customStyle="1" w:styleId="1739">
    <w:name w:val="列表 F"/>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1740">
    <w:name w:val="正文仿宋小四"/>
    <w:basedOn w:val="1"/>
    <w:qFormat/>
    <w:uiPriority w:val="0"/>
    <w:pPr>
      <w:widowControl/>
      <w:adjustRightInd w:val="0"/>
      <w:snapToGrid w:val="0"/>
      <w:ind w:firstLine="480" w:firstLineChars="200"/>
      <w:jc w:val="left"/>
    </w:pPr>
    <w:rPr>
      <w:rFonts w:ascii="仿宋_GB2312" w:hAnsi="仿宋_GB2312" w:eastAsia="Times New Roman" w:cs="仿宋_GB2312"/>
      <w:sz w:val="24"/>
      <w:szCs w:val="24"/>
    </w:rPr>
  </w:style>
  <w:style w:type="paragraph" w:customStyle="1" w:styleId="1741">
    <w:name w:val="一级标题1"/>
    <w:basedOn w:val="773"/>
    <w:next w:val="7"/>
    <w:qFormat/>
    <w:uiPriority w:val="0"/>
    <w:pPr>
      <w:keepNext/>
      <w:keepLines/>
      <w:widowControl/>
      <w:tabs>
        <w:tab w:val="clear" w:pos="425"/>
      </w:tabs>
      <w:adjustRightInd w:val="0"/>
      <w:snapToGrid w:val="0"/>
      <w:spacing w:before="0" w:after="0" w:line="240" w:lineRule="auto"/>
      <w:ind w:left="210" w:leftChars="100" w:right="210" w:rightChars="100" w:firstLine="0"/>
      <w:jc w:val="left"/>
    </w:pPr>
    <w:rPr>
      <w:rFonts w:eastAsia="宋体"/>
      <w:b/>
      <w:color w:val="0000FF"/>
      <w:kern w:val="44"/>
      <w:sz w:val="28"/>
    </w:rPr>
  </w:style>
  <w:style w:type="paragraph" w:customStyle="1" w:styleId="1742">
    <w:name w:val="正文（行首缩进2字）"/>
    <w:basedOn w:val="1"/>
    <w:qFormat/>
    <w:uiPriority w:val="0"/>
    <w:pPr>
      <w:widowControl/>
      <w:ind w:firstLine="200" w:firstLineChars="200"/>
      <w:jc w:val="left"/>
    </w:pPr>
    <w:rPr>
      <w:rFonts w:ascii="仿宋_GB2312" w:hAnsi="仿宋_GB2312" w:eastAsia="宋体" w:cs="仿宋_GB2312"/>
      <w:sz w:val="24"/>
      <w:szCs w:val="24"/>
    </w:rPr>
  </w:style>
  <w:style w:type="paragraph" w:customStyle="1" w:styleId="1743">
    <w:name w:val="样式 样式 样式 首行缩进:  2 字符 + 首行缩进:  2 字符 + 首行缩进:  2 字符"/>
    <w:basedOn w:val="691"/>
    <w:qFormat/>
    <w:uiPriority w:val="0"/>
    <w:pPr>
      <w:widowControl/>
      <w:spacing w:line="240" w:lineRule="auto"/>
      <w:ind w:firstLine="567"/>
      <w:jc w:val="left"/>
    </w:pPr>
    <w:rPr>
      <w:rFonts w:ascii="宋体" w:hAnsi="Times New Roman"/>
      <w:sz w:val="27"/>
      <w:szCs w:val="20"/>
    </w:rPr>
  </w:style>
  <w:style w:type="paragraph" w:customStyle="1" w:styleId="1744">
    <w:name w:val="z-Top of Form1"/>
    <w:next w:val="1"/>
    <w:qFormat/>
    <w:uiPriority w:val="0"/>
    <w:pPr>
      <w:widowControl w:val="0"/>
      <w:pBdr>
        <w:bottom w:val="double" w:color="000000" w:sz="6" w:space="0"/>
      </w:pBdr>
      <w:autoSpaceDE w:val="0"/>
      <w:autoSpaceDN w:val="0"/>
      <w:adjustRightInd w:val="0"/>
      <w:jc w:val="center"/>
    </w:pPr>
    <w:rPr>
      <w:rFonts w:ascii="宋体" w:hAnsi="Tms Rmn" w:eastAsia="宋体" w:cs="Times New Roman"/>
      <w:vanish/>
      <w:sz w:val="16"/>
      <w:lang w:val="en-US" w:eastAsia="zh-CN" w:bidi="ar-SA"/>
    </w:rPr>
  </w:style>
  <w:style w:type="paragraph" w:customStyle="1" w:styleId="1745">
    <w:name w:val="基准页脚样式"/>
    <w:basedOn w:val="4"/>
    <w:qFormat/>
    <w:uiPriority w:val="0"/>
    <w:pPr>
      <w:widowControl/>
      <w:tabs>
        <w:tab w:val="left" w:pos="780"/>
      </w:tabs>
      <w:spacing w:after="0" w:line="320" w:lineRule="exact"/>
      <w:ind w:left="780" w:hanging="360"/>
      <w:jc w:val="center"/>
    </w:pPr>
    <w:rPr>
      <w:rFonts w:ascii="宋体" w:hAnsi="Arial" w:eastAsia="宋体" w:cs="Times New Roman"/>
      <w:spacing w:val="-20"/>
      <w:kern w:val="0"/>
      <w:szCs w:val="20"/>
    </w:rPr>
  </w:style>
  <w:style w:type="paragraph" w:customStyle="1" w:styleId="1746">
    <w:name w:val="xl107"/>
    <w:basedOn w:val="1"/>
    <w:qFormat/>
    <w:uiPriority w:val="0"/>
    <w:pPr>
      <w:widowControl/>
      <w:pBdr>
        <w:top w:val="single" w:color="auto" w:sz="4" w:space="0"/>
        <w:right w:val="single" w:color="auto" w:sz="8" w:space="0"/>
      </w:pBdr>
      <w:spacing w:before="100" w:beforeAutospacing="1" w:after="100" w:afterAutospacing="1" w:line="240" w:lineRule="auto"/>
      <w:jc w:val="center"/>
      <w:textAlignment w:val="center"/>
    </w:pPr>
    <w:rPr>
      <w:rFonts w:ascii="華康中楷體" w:hAnsi="華康中楷體" w:eastAsia="華康中楷體" w:cs="華康中楷體"/>
      <w:kern w:val="0"/>
      <w:sz w:val="16"/>
      <w:szCs w:val="16"/>
    </w:rPr>
  </w:style>
  <w:style w:type="paragraph" w:customStyle="1" w:styleId="1747">
    <w:name w:val="表 头"/>
    <w:basedOn w:val="1"/>
    <w:qFormat/>
    <w:uiPriority w:val="0"/>
    <w:pPr>
      <w:widowControl/>
      <w:adjustRightInd w:val="0"/>
      <w:spacing w:before="120" w:after="120" w:line="360" w:lineRule="atLeast"/>
      <w:jc w:val="center"/>
    </w:pPr>
    <w:rPr>
      <w:rFonts w:ascii="Times New Roman" w:hAnsi="Times New Roman" w:eastAsia="黑体" w:cs="Times New Roman"/>
      <w:spacing w:val="10"/>
      <w:kern w:val="0"/>
      <w:sz w:val="24"/>
      <w:szCs w:val="20"/>
    </w:rPr>
  </w:style>
  <w:style w:type="paragraph" w:customStyle="1" w:styleId="1748">
    <w:name w:val="样式 标题 3ReHead 3 WSAh3标题 3 Char标题 32标题 311Re11Head 3 WSA1..."/>
    <w:basedOn w:val="8"/>
    <w:qFormat/>
    <w:uiPriority w:val="0"/>
    <w:pPr>
      <w:keepNext w:val="0"/>
      <w:keepLines w:val="0"/>
      <w:widowControl/>
      <w:numPr>
        <w:ilvl w:val="0"/>
        <w:numId w:val="0"/>
      </w:numPr>
      <w:spacing w:beforeLines="50" w:after="0" w:line="480" w:lineRule="exact"/>
    </w:pPr>
    <w:rPr>
      <w:rFonts w:ascii="宋体" w:hAnsi="宋体" w:eastAsia="宋体" w:cs="宋体"/>
      <w:color w:val="000000"/>
      <w:kern w:val="0"/>
      <w:szCs w:val="20"/>
    </w:rPr>
  </w:style>
  <w:style w:type="paragraph" w:customStyle="1" w:styleId="1749">
    <w:name w:val="附录三级条标题"/>
    <w:basedOn w:val="1750"/>
    <w:next w:val="1"/>
    <w:qFormat/>
    <w:uiPriority w:val="0"/>
    <w:pPr>
      <w:tabs>
        <w:tab w:val="left" w:pos="828"/>
      </w:tabs>
      <w:ind w:left="1068"/>
      <w:outlineLvl w:val="4"/>
    </w:pPr>
  </w:style>
  <w:style w:type="paragraph" w:customStyle="1" w:styleId="1750">
    <w:name w:val="附录二级条标题"/>
    <w:basedOn w:val="1751"/>
    <w:next w:val="1"/>
    <w:qFormat/>
    <w:uiPriority w:val="0"/>
    <w:pPr>
      <w:tabs>
        <w:tab w:val="left" w:pos="828"/>
      </w:tabs>
      <w:ind w:left="360" w:hanging="360"/>
      <w:outlineLvl w:val="3"/>
    </w:pPr>
  </w:style>
  <w:style w:type="paragraph" w:customStyle="1" w:styleId="1751">
    <w:name w:val="附录一级条标题"/>
    <w:basedOn w:val="1752"/>
    <w:next w:val="1"/>
    <w:qFormat/>
    <w:uiPriority w:val="0"/>
    <w:pPr>
      <w:tabs>
        <w:tab w:val="left" w:pos="828"/>
      </w:tabs>
      <w:autoSpaceDN w:val="0"/>
      <w:ind w:left="828" w:hanging="240"/>
      <w:outlineLvl w:val="2"/>
    </w:pPr>
  </w:style>
  <w:style w:type="paragraph" w:customStyle="1" w:styleId="1752">
    <w:name w:val="附录章标题"/>
    <w:next w:val="1"/>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753">
    <w:name w:val="Texte"/>
    <w:basedOn w:val="1"/>
    <w:qFormat/>
    <w:uiPriority w:val="0"/>
    <w:pPr>
      <w:widowControl/>
      <w:spacing w:before="120" w:after="120" w:line="240" w:lineRule="auto"/>
      <w:ind w:left="851" w:firstLine="200" w:firstLineChars="200"/>
      <w:jc w:val="left"/>
    </w:pPr>
    <w:rPr>
      <w:rFonts w:ascii="Courier New" w:hAnsi="Courier New" w:eastAsia="宋体" w:cs="仿宋_GB2312"/>
      <w:kern w:val="0"/>
      <w:sz w:val="22"/>
      <w:szCs w:val="20"/>
      <w:lang w:val="en-GB"/>
    </w:rPr>
  </w:style>
  <w:style w:type="paragraph" w:customStyle="1" w:styleId="1754">
    <w:name w:val="连续正文文字"/>
    <w:basedOn w:val="4"/>
    <w:qFormat/>
    <w:uiPriority w:val="0"/>
    <w:pPr>
      <w:keepNext/>
      <w:widowControl/>
      <w:spacing w:after="220" w:line="280" w:lineRule="exact"/>
      <w:jc w:val="center"/>
    </w:pPr>
    <w:rPr>
      <w:rFonts w:ascii="仿宋_GB2312" w:hAnsi="仿宋_GB2312" w:eastAsia="宋体" w:cs="仿宋_GB2312"/>
      <w:kern w:val="0"/>
      <w:sz w:val="30"/>
      <w:szCs w:val="20"/>
    </w:rPr>
  </w:style>
  <w:style w:type="paragraph" w:customStyle="1" w:styleId="1755">
    <w:name w:val="(一)內文"/>
    <w:basedOn w:val="1"/>
    <w:qFormat/>
    <w:uiPriority w:val="0"/>
    <w:pPr>
      <w:widowControl/>
      <w:snapToGrid w:val="0"/>
      <w:spacing w:line="480" w:lineRule="atLeast"/>
      <w:ind w:left="1202" w:firstLine="601"/>
      <w:jc w:val="left"/>
    </w:pPr>
    <w:rPr>
      <w:rFonts w:ascii="仿宋_GB2312" w:hAnsi="仿宋_GB2312" w:eastAsia="MS Gothic" w:cs="仿宋_GB2312"/>
      <w:sz w:val="28"/>
      <w:szCs w:val="20"/>
      <w:lang w:eastAsia="zh-TW"/>
    </w:rPr>
  </w:style>
  <w:style w:type="paragraph" w:customStyle="1" w:styleId="1756">
    <w:name w:val="文章总标题"/>
    <w:basedOn w:val="1"/>
    <w:next w:val="1"/>
    <w:qFormat/>
    <w:uiPriority w:val="0"/>
    <w:pPr>
      <w:widowControl/>
      <w:spacing w:before="566" w:after="544" w:line="566" w:lineRule="atLeast"/>
      <w:jc w:val="center"/>
      <w:textAlignment w:val="baseline"/>
    </w:pPr>
    <w:rPr>
      <w:rFonts w:ascii="Courier New" w:hAnsi="仿宋_GB2312" w:eastAsia="楷体" w:cs="Courier New"/>
      <w:bCs/>
      <w:color w:val="000000"/>
      <w:kern w:val="0"/>
      <w:sz w:val="54"/>
      <w:szCs w:val="54"/>
      <w:u w:color="000000"/>
    </w:rPr>
  </w:style>
  <w:style w:type="paragraph" w:customStyle="1" w:styleId="1757">
    <w:name w:val="正文 + 首行缩进:  2 字符"/>
    <w:basedOn w:val="1"/>
    <w:qFormat/>
    <w:uiPriority w:val="0"/>
    <w:pPr>
      <w:widowControl/>
      <w:spacing w:line="460" w:lineRule="atLeast"/>
      <w:ind w:firstLine="528" w:firstLineChars="200"/>
      <w:jc w:val="left"/>
    </w:pPr>
    <w:rPr>
      <w:rFonts w:ascii="Times New Roman" w:hAnsi="Times New Roman" w:eastAsia="宋体" w:cs="Times New Roman"/>
      <w:spacing w:val="12"/>
      <w:sz w:val="24"/>
      <w:szCs w:val="20"/>
    </w:rPr>
  </w:style>
  <w:style w:type="paragraph" w:customStyle="1" w:styleId="1758">
    <w:name w:val="正文-叶"/>
    <w:basedOn w:val="1"/>
    <w:qFormat/>
    <w:uiPriority w:val="0"/>
    <w:pPr>
      <w:widowControl/>
      <w:topLinePunct/>
      <w:spacing w:line="312" w:lineRule="auto"/>
      <w:ind w:firstLine="465"/>
      <w:jc w:val="left"/>
    </w:pPr>
    <w:rPr>
      <w:rFonts w:ascii="仿宋_GB2312" w:hAnsi="仿宋_GB2312" w:eastAsia="宋体" w:cs="仿宋_GB2312"/>
      <w:sz w:val="24"/>
      <w:szCs w:val="20"/>
    </w:rPr>
  </w:style>
  <w:style w:type="paragraph" w:customStyle="1" w:styleId="1759">
    <w:name w:val="列表 2N"/>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1760">
    <w:name w:val="三级无标题条"/>
    <w:basedOn w:val="1"/>
    <w:qFormat/>
    <w:uiPriority w:val="0"/>
    <w:pPr>
      <w:widowControl/>
      <w:spacing w:line="240" w:lineRule="auto"/>
      <w:jc w:val="left"/>
    </w:pPr>
    <w:rPr>
      <w:rFonts w:ascii="Times New Roman" w:hAnsi="Times New Roman" w:eastAsia="宋体" w:cs="Times New Roman"/>
      <w:szCs w:val="20"/>
    </w:rPr>
  </w:style>
  <w:style w:type="paragraph" w:customStyle="1" w:styleId="1761">
    <w:name w:val="样式 标题 2 + 黑体 加粗"/>
    <w:basedOn w:val="7"/>
    <w:qFormat/>
    <w:uiPriority w:val="0"/>
    <w:pPr>
      <w:widowControl/>
      <w:numPr>
        <w:ilvl w:val="0"/>
        <w:numId w:val="0"/>
      </w:numPr>
      <w:spacing w:beforeLines="50" w:after="0" w:line="440" w:lineRule="exact"/>
    </w:pPr>
    <w:rPr>
      <w:rFonts w:ascii="黑体" w:hAnsi="黑体" w:eastAsia="黑体" w:cs="Times New Roman"/>
      <w:b w:val="0"/>
      <w:kern w:val="0"/>
      <w:sz w:val="30"/>
    </w:rPr>
  </w:style>
  <w:style w:type="paragraph" w:customStyle="1" w:styleId="1762">
    <w:name w:val="章标题(不加入目录内)"/>
    <w:basedOn w:val="88"/>
    <w:qFormat/>
    <w:uiPriority w:val="0"/>
    <w:pPr>
      <w:keepLines/>
      <w:pageBreakBefore/>
      <w:widowControl/>
      <w:spacing w:after="120"/>
      <w:outlineLvl w:val="9"/>
    </w:pPr>
    <w:rPr>
      <w:rFonts w:ascii="仿宋_GB2312" w:hAnsi="仿宋_GB2312" w:eastAsia="楷体" w:cs="仿宋_GB2312"/>
      <w:bCs w:val="0"/>
      <w:sz w:val="36"/>
      <w:szCs w:val="20"/>
    </w:rPr>
  </w:style>
  <w:style w:type="paragraph" w:customStyle="1" w:styleId="1763">
    <w:name w:val="正文文本缩进 3111"/>
    <w:basedOn w:val="1"/>
    <w:qFormat/>
    <w:uiPriority w:val="0"/>
    <w:pPr>
      <w:widowControl/>
      <w:adjustRightInd w:val="0"/>
      <w:spacing w:line="360" w:lineRule="atLeast"/>
      <w:ind w:firstLine="480"/>
      <w:jc w:val="left"/>
      <w:textAlignment w:val="baseline"/>
    </w:pPr>
    <w:rPr>
      <w:rFonts w:ascii="Verdana" w:hAnsi="仿宋_GB2312" w:eastAsia="宋体" w:cs="仿宋_GB2312"/>
      <w:kern w:val="0"/>
      <w:sz w:val="24"/>
      <w:szCs w:val="20"/>
    </w:rPr>
  </w:style>
  <w:style w:type="paragraph" w:customStyle="1" w:styleId="1764">
    <w:name w:val="项目点符号"/>
    <w:basedOn w:val="1"/>
    <w:qFormat/>
    <w:uiPriority w:val="0"/>
    <w:pPr>
      <w:widowControl/>
      <w:ind w:firstLine="539" w:firstLineChars="214"/>
      <w:jc w:val="left"/>
    </w:pPr>
    <w:rPr>
      <w:rFonts w:ascii="Times New Roman" w:hAnsi="Times New Roman" w:eastAsia="宋体" w:cs="Times New Roman"/>
      <w:color w:val="000000"/>
      <w:spacing w:val="6"/>
      <w:sz w:val="24"/>
      <w:szCs w:val="24"/>
    </w:rPr>
  </w:style>
  <w:style w:type="paragraph" w:customStyle="1" w:styleId="1765">
    <w:name w:val="列表 2C"/>
    <w:basedOn w:val="38"/>
    <w:qFormat/>
    <w:uiPriority w:val="0"/>
    <w:pPr>
      <w:widowControl/>
      <w:tabs>
        <w:tab w:val="left" w:pos="1275"/>
      </w:tabs>
      <w:adjustRightInd/>
      <w:spacing w:beforeLines="0" w:beforeAutospacing="1" w:after="100" w:afterAutospacing="1" w:line="288" w:lineRule="auto"/>
      <w:ind w:left="1275" w:hanging="705"/>
      <w:jc w:val="left"/>
      <w:textAlignment w:val="auto"/>
    </w:pPr>
    <w:rPr>
      <w:rFonts w:ascii="Courier New" w:hAnsi="Courier New" w:cs="仿宋_GB2312"/>
      <w:color w:val="FFFF99"/>
      <w:kern w:val="2"/>
    </w:rPr>
  </w:style>
  <w:style w:type="paragraph" w:customStyle="1" w:styleId="1766">
    <w:name w:val="正文m"/>
    <w:basedOn w:val="1"/>
    <w:qFormat/>
    <w:uiPriority w:val="0"/>
    <w:pPr>
      <w:widowControl/>
      <w:ind w:firstLine="480" w:firstLineChars="200"/>
      <w:jc w:val="left"/>
    </w:pPr>
    <w:rPr>
      <w:rFonts w:ascii="楷体" w:hAnsi="Symusic" w:eastAsia="Times New Roman" w:cs="仿宋_GB2312"/>
      <w:sz w:val="24"/>
      <w:szCs w:val="24"/>
    </w:rPr>
  </w:style>
  <w:style w:type="paragraph" w:customStyle="1" w:styleId="1767">
    <w:name w:val="二级条标题"/>
    <w:basedOn w:val="1768"/>
    <w:next w:val="1"/>
    <w:qFormat/>
    <w:uiPriority w:val="0"/>
    <w:pPr>
      <w:tabs>
        <w:tab w:val="left" w:pos="360"/>
      </w:tabs>
      <w:outlineLvl w:val="3"/>
    </w:pPr>
  </w:style>
  <w:style w:type="paragraph" w:customStyle="1" w:styleId="1768">
    <w:name w:val="一级条标题"/>
    <w:basedOn w:val="6"/>
    <w:next w:val="1"/>
    <w:qFormat/>
    <w:uiPriority w:val="0"/>
    <w:pPr>
      <w:keepNext w:val="0"/>
      <w:keepLines w:val="0"/>
      <w:widowControl/>
      <w:numPr>
        <w:numId w:val="0"/>
      </w:numPr>
      <w:tabs>
        <w:tab w:val="left" w:pos="360"/>
      </w:tabs>
      <w:spacing w:before="0" w:after="0" w:line="240" w:lineRule="auto"/>
      <w:jc w:val="left"/>
      <w:outlineLvl w:val="2"/>
    </w:pPr>
    <w:rPr>
      <w:rFonts w:ascii="黑体" w:eastAsia="黑体" w:cs="Times New Roman"/>
      <w:b w:val="0"/>
      <w:bCs w:val="0"/>
      <w:kern w:val="0"/>
      <w:sz w:val="21"/>
      <w:szCs w:val="20"/>
    </w:rPr>
  </w:style>
  <w:style w:type="paragraph" w:customStyle="1" w:styleId="1769">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770">
    <w:name w:val="正文文本最新 Char Char Char1 Char Char Char Char Char"/>
    <w:qFormat/>
    <w:uiPriority w:val="0"/>
    <w:pPr>
      <w:spacing w:line="360" w:lineRule="auto"/>
      <w:ind w:firstLine="200" w:firstLineChars="200"/>
      <w:jc w:val="both"/>
    </w:pPr>
    <w:rPr>
      <w:rFonts w:ascii="仿宋_GB2312" w:hAnsi="仿宋_GB2312" w:eastAsia="宋体" w:cs="仿宋_GB2312"/>
      <w:bCs/>
      <w:kern w:val="2"/>
      <w:sz w:val="28"/>
      <w:szCs w:val="24"/>
      <w:lang w:val="en-US" w:eastAsia="zh-CN" w:bidi="ar-SA"/>
    </w:rPr>
  </w:style>
  <w:style w:type="paragraph" w:customStyle="1" w:styleId="1771">
    <w:name w:val="列表 5D"/>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1772">
    <w:name w:val="正文缩进 2字符"/>
    <w:basedOn w:val="1"/>
    <w:qFormat/>
    <w:uiPriority w:val="0"/>
    <w:pPr>
      <w:widowControl/>
      <w:tabs>
        <w:tab w:val="left" w:pos="2160"/>
      </w:tabs>
      <w:snapToGrid w:val="0"/>
      <w:spacing w:before="120" w:after="120" w:line="240" w:lineRule="auto"/>
      <w:ind w:firstLine="480" w:firstLineChars="200"/>
      <w:jc w:val="left"/>
    </w:pPr>
    <w:rPr>
      <w:rFonts w:ascii="仿宋_GB2312" w:hAnsi="仿宋_GB2312" w:eastAsia="Times New Roman" w:cs="仿宋_GB2312"/>
      <w:color w:val="000000"/>
    </w:rPr>
  </w:style>
  <w:style w:type="paragraph" w:customStyle="1" w:styleId="1773">
    <w:name w:val="02"/>
    <w:basedOn w:val="7"/>
    <w:qFormat/>
    <w:uiPriority w:val="0"/>
    <w:pPr>
      <w:widowControl/>
      <w:numPr>
        <w:ilvl w:val="0"/>
        <w:numId w:val="0"/>
      </w:numPr>
      <w:spacing w:beforeLines="50" w:after="0" w:line="480" w:lineRule="auto"/>
      <w:jc w:val="both"/>
    </w:pPr>
    <w:rPr>
      <w:rFonts w:ascii="仿宋_GB2312" w:hAnsi="仿宋_GB2312" w:eastAsia="Times New Roman" w:cs="仿宋_GB2312"/>
      <w:color w:val="333333"/>
      <w:sz w:val="24"/>
      <w:szCs w:val="20"/>
    </w:rPr>
  </w:style>
  <w:style w:type="paragraph" w:customStyle="1" w:styleId="1774">
    <w:name w:val="body 1"/>
    <w:basedOn w:val="1"/>
    <w:qFormat/>
    <w:uiPriority w:val="0"/>
    <w:pPr>
      <w:widowControl/>
      <w:adjustRightInd w:val="0"/>
      <w:spacing w:line="360" w:lineRule="atLeast"/>
      <w:jc w:val="left"/>
      <w:textAlignment w:val="baseline"/>
    </w:pPr>
    <w:rPr>
      <w:rFonts w:ascii="MingLiU" w:hAnsi="仿宋_GB2312" w:eastAsia="MingLiU" w:cs="仿宋_GB2312"/>
      <w:spacing w:val="60"/>
      <w:kern w:val="0"/>
      <w:sz w:val="24"/>
      <w:szCs w:val="20"/>
      <w:lang w:eastAsia="zh-TW"/>
    </w:rPr>
  </w:style>
  <w:style w:type="paragraph" w:customStyle="1" w:styleId="1775">
    <w:name w:val="样式 标题 3小标题小节标题标题3H3h33rd level第二层条标题4 + 非加粗 左 段前: 6 磅..."/>
    <w:basedOn w:val="8"/>
    <w:qFormat/>
    <w:uiPriority w:val="0"/>
    <w:pPr>
      <w:widowControl/>
      <w:numPr>
        <w:ilvl w:val="0"/>
        <w:numId w:val="0"/>
      </w:numPr>
      <w:tabs>
        <w:tab w:val="left" w:pos="1080"/>
      </w:tabs>
      <w:spacing w:before="120" w:after="120" w:line="360" w:lineRule="auto"/>
      <w:ind w:left="851" w:hanging="851"/>
    </w:pPr>
    <w:rPr>
      <w:rFonts w:ascii="Courier New" w:hAnsi="Courier New" w:eastAsia="宋体" w:cs="Courier New"/>
      <w:b w:val="0"/>
      <w:color w:val="000000"/>
      <w:sz w:val="30"/>
      <w:szCs w:val="30"/>
    </w:rPr>
  </w:style>
  <w:style w:type="paragraph" w:customStyle="1" w:styleId="1776">
    <w:name w:val="项目1"/>
    <w:basedOn w:val="1"/>
    <w:qFormat/>
    <w:uiPriority w:val="0"/>
    <w:pPr>
      <w:widowControl/>
      <w:tabs>
        <w:tab w:val="left" w:pos="425"/>
      </w:tabs>
      <w:snapToGrid w:val="0"/>
      <w:spacing w:line="240" w:lineRule="atLeast"/>
      <w:ind w:left="425" w:hanging="425"/>
      <w:jc w:val="left"/>
    </w:pPr>
    <w:rPr>
      <w:rFonts w:ascii="仿宋_GB2312" w:hAnsi="仿宋_GB2312" w:eastAsia="宋体" w:cs="仿宋_GB2312"/>
      <w:sz w:val="28"/>
      <w:szCs w:val="20"/>
    </w:rPr>
  </w:style>
  <w:style w:type="paragraph" w:customStyle="1" w:styleId="1777">
    <w:name w:val="表格方案样式2"/>
    <w:basedOn w:val="1"/>
    <w:qFormat/>
    <w:uiPriority w:val="0"/>
    <w:pPr>
      <w:widowControl/>
      <w:tabs>
        <w:tab w:val="left" w:pos="567"/>
      </w:tabs>
      <w:spacing w:line="240" w:lineRule="auto"/>
      <w:jc w:val="center"/>
    </w:pPr>
    <w:rPr>
      <w:rFonts w:ascii="Times New Roman" w:hAnsi="Times New Roman" w:eastAsia="华文中宋" w:cs="Times New Roman"/>
      <w:sz w:val="24"/>
      <w:szCs w:val="20"/>
    </w:rPr>
  </w:style>
  <w:style w:type="paragraph" w:customStyle="1" w:styleId="1778">
    <w:name w:val="正文文字首航缩2字"/>
    <w:basedOn w:val="1"/>
    <w:qFormat/>
    <w:uiPriority w:val="0"/>
    <w:pPr>
      <w:widowControl/>
      <w:ind w:firstLine="200" w:firstLineChars="200"/>
      <w:jc w:val="left"/>
    </w:pPr>
    <w:rPr>
      <w:rFonts w:ascii="仿宋_GB2312" w:hAnsi="仿宋_GB2312" w:eastAsia="宋体" w:cs="仿宋_GB2312"/>
      <w:sz w:val="24"/>
      <w:szCs w:val="24"/>
    </w:rPr>
  </w:style>
  <w:style w:type="paragraph" w:customStyle="1" w:styleId="1779">
    <w:name w:val="xl94"/>
    <w:basedOn w:val="1"/>
    <w:qFormat/>
    <w:uiPriority w:val="0"/>
    <w:pPr>
      <w:widowControl/>
      <w:pBdr>
        <w:bottom w:val="single" w:color="auto" w:sz="4" w:space="0"/>
      </w:pBdr>
      <w:spacing w:before="100" w:beforeAutospacing="1" w:after="100" w:afterAutospacing="1" w:line="240" w:lineRule="auto"/>
      <w:jc w:val="center"/>
      <w:textAlignment w:val="center"/>
    </w:pPr>
    <w:rPr>
      <w:rFonts w:ascii="宋体" w:hAnsi="宋体" w:eastAsia="宋体" w:cs="Arial Unicode MS"/>
      <w:b/>
      <w:bCs/>
      <w:color w:val="FF0000"/>
      <w:kern w:val="0"/>
      <w:lang w:eastAsia="zh-TW"/>
    </w:rPr>
  </w:style>
  <w:style w:type="paragraph" w:customStyle="1" w:styleId="1780">
    <w:name w:val="排序（1）（2）"/>
    <w:basedOn w:val="1"/>
    <w:qFormat/>
    <w:uiPriority w:val="0"/>
    <w:pPr>
      <w:widowControl/>
      <w:spacing w:line="460" w:lineRule="atLeast"/>
      <w:jc w:val="left"/>
    </w:pPr>
    <w:rPr>
      <w:rFonts w:ascii="Times New Roman" w:hAnsi="Times New Roman" w:eastAsia="宋体" w:cs="Times New Roman"/>
      <w:spacing w:val="12"/>
      <w:sz w:val="24"/>
      <w:szCs w:val="24"/>
    </w:rPr>
  </w:style>
  <w:style w:type="paragraph" w:customStyle="1" w:styleId="1781">
    <w:name w:val="列表 K"/>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1782">
    <w:name w:val="列表 5C"/>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1783">
    <w:name w:val="列项及编号"/>
    <w:basedOn w:val="1598"/>
    <w:qFormat/>
    <w:uiPriority w:val="0"/>
    <w:pPr>
      <w:adjustRightInd w:val="0"/>
      <w:snapToGrid w:val="0"/>
      <w:spacing w:line="288" w:lineRule="auto"/>
      <w:ind w:firstLine="0" w:firstLineChars="0"/>
    </w:pPr>
  </w:style>
  <w:style w:type="paragraph" w:customStyle="1" w:styleId="1784">
    <w:name w:val="首行缩进"/>
    <w:basedOn w:val="1"/>
    <w:qFormat/>
    <w:uiPriority w:val="0"/>
    <w:pPr>
      <w:widowControl/>
      <w:spacing w:line="460" w:lineRule="exact"/>
      <w:jc w:val="center"/>
    </w:pPr>
    <w:rPr>
      <w:rFonts w:ascii="黑体" w:hAnsi="Times New Roman" w:eastAsia="黑体" w:cs="Times New Roman"/>
      <w:spacing w:val="16"/>
      <w:sz w:val="24"/>
      <w:szCs w:val="20"/>
    </w:rPr>
  </w:style>
  <w:style w:type="paragraph" w:customStyle="1" w:styleId="1785">
    <w:name w:val="2 Char Char Char Char Char Char Char Char Char Char"/>
    <w:basedOn w:val="1"/>
    <w:qFormat/>
    <w:uiPriority w:val="0"/>
    <w:pPr>
      <w:widowControl/>
      <w:spacing w:line="240" w:lineRule="auto"/>
      <w:jc w:val="left"/>
    </w:pPr>
    <w:rPr>
      <w:rFonts w:ascii="仿宋_GB2312" w:hAnsi="仿宋_GB2312" w:eastAsia="宋体" w:cs="仿宋_GB2312"/>
      <w:szCs w:val="24"/>
    </w:rPr>
  </w:style>
  <w:style w:type="paragraph" w:customStyle="1" w:styleId="1786">
    <w:name w:val="样式 标题 2 + 段后: 0.5 行"/>
    <w:basedOn w:val="7"/>
    <w:qFormat/>
    <w:uiPriority w:val="0"/>
    <w:pPr>
      <w:keepNext w:val="0"/>
      <w:keepLines w:val="0"/>
      <w:widowControl/>
      <w:numPr>
        <w:ilvl w:val="0"/>
        <w:numId w:val="0"/>
      </w:numPr>
      <w:adjustRightInd w:val="0"/>
      <w:snapToGrid w:val="0"/>
      <w:spacing w:beforeLines="50" w:after="0" w:line="240" w:lineRule="auto"/>
      <w:ind w:firstLine="567"/>
      <w:jc w:val="both"/>
    </w:pPr>
    <w:rPr>
      <w:rFonts w:ascii="仿宋_GB2312" w:hAnsi="仿宋_GB2312" w:eastAsia="Times New Roman" w:cs="仿宋_GB2312"/>
      <w:bCs w:val="0"/>
      <w:color w:val="000000"/>
      <w:sz w:val="30"/>
    </w:rPr>
  </w:style>
  <w:style w:type="paragraph" w:customStyle="1" w:styleId="1787">
    <w:name w:val="正文表格"/>
    <w:basedOn w:val="1"/>
    <w:qFormat/>
    <w:uiPriority w:val="0"/>
    <w:pPr>
      <w:keepNext/>
      <w:keepLines/>
      <w:widowControl/>
      <w:tabs>
        <w:tab w:val="center" w:pos="6804"/>
      </w:tabs>
      <w:overflowPunct w:val="0"/>
      <w:adjustRightInd w:val="0"/>
      <w:spacing w:before="80" w:line="240" w:lineRule="auto"/>
      <w:jc w:val="center"/>
      <w:textAlignment w:val="bottom"/>
    </w:pPr>
    <w:rPr>
      <w:rFonts w:ascii="Times New Roman" w:hAnsi="Times New Roman" w:eastAsia="宋体" w:cs="Times New Roman"/>
      <w:kern w:val="0"/>
      <w:sz w:val="28"/>
      <w:szCs w:val="20"/>
    </w:rPr>
  </w:style>
  <w:style w:type="paragraph" w:customStyle="1" w:styleId="1788">
    <w:name w:val="8--"/>
    <w:basedOn w:val="1"/>
    <w:qFormat/>
    <w:uiPriority w:val="0"/>
    <w:pPr>
      <w:widowControl/>
      <w:adjustRightInd w:val="0"/>
      <w:spacing w:line="360" w:lineRule="atLeast"/>
      <w:jc w:val="left"/>
      <w:textAlignment w:val="baseline"/>
    </w:pPr>
    <w:rPr>
      <w:rFonts w:ascii="Times New Roman" w:hAnsi="Times New Roman" w:eastAsia="宋体" w:cs="Times New Roman"/>
      <w:kern w:val="0"/>
      <w:sz w:val="24"/>
      <w:szCs w:val="20"/>
    </w:rPr>
  </w:style>
  <w:style w:type="paragraph" w:customStyle="1" w:styleId="1789">
    <w:name w:val="攀成钢表格内容"/>
    <w:basedOn w:val="1"/>
    <w:qFormat/>
    <w:uiPriority w:val="0"/>
    <w:pPr>
      <w:widowControl/>
      <w:adjustRightInd w:val="0"/>
      <w:snapToGrid w:val="0"/>
      <w:spacing w:line="240" w:lineRule="auto"/>
      <w:jc w:val="center"/>
    </w:pPr>
    <w:rPr>
      <w:rFonts w:ascii="Times New Roman" w:hAnsi="Times New Roman" w:eastAsia="宋体" w:cs="Times New Roman"/>
      <w:color w:val="008000"/>
      <w:kern w:val="0"/>
      <w:sz w:val="24"/>
      <w:szCs w:val="20"/>
    </w:rPr>
  </w:style>
  <w:style w:type="paragraph" w:customStyle="1" w:styleId="1790">
    <w:name w:val="报告2"/>
    <w:basedOn w:val="495"/>
    <w:qFormat/>
    <w:uiPriority w:val="0"/>
    <w:pPr>
      <w:widowControl/>
      <w:tabs>
        <w:tab w:val="left" w:pos="895"/>
      </w:tabs>
      <w:ind w:left="895" w:hanging="390"/>
    </w:pPr>
    <w:rPr>
      <w:rFonts w:ascii="Arial Unicode MS" w:hAnsi="Arial Unicode MS" w:cs="仿宋_GB2312"/>
    </w:rPr>
  </w:style>
  <w:style w:type="paragraph" w:customStyle="1" w:styleId="1791">
    <w:name w:val="Char2 Char Char Char Char Char Char"/>
    <w:basedOn w:val="1"/>
    <w:qFormat/>
    <w:uiPriority w:val="0"/>
    <w:pPr>
      <w:widowControl/>
      <w:spacing w:line="240" w:lineRule="auto"/>
      <w:jc w:val="left"/>
    </w:pPr>
    <w:rPr>
      <w:rFonts w:ascii="Times New Roman" w:hAnsi="Times New Roman" w:eastAsia="宋体" w:cs="Times New Roman"/>
      <w:sz w:val="24"/>
      <w:szCs w:val="20"/>
    </w:rPr>
  </w:style>
  <w:style w:type="paragraph" w:customStyle="1" w:styleId="1792">
    <w:name w:val="正文标题3"/>
    <w:basedOn w:val="8"/>
    <w:qFormat/>
    <w:uiPriority w:val="0"/>
    <w:pPr>
      <w:widowControl/>
      <w:numPr>
        <w:ilvl w:val="0"/>
        <w:numId w:val="0"/>
      </w:numPr>
      <w:spacing w:before="0" w:after="0" w:line="240" w:lineRule="auto"/>
    </w:pPr>
    <w:rPr>
      <w:rFonts w:ascii="仿宋_GB2312" w:hAnsi="仿宋_GB2312" w:eastAsia="楷体" w:cs="仿宋_GB2312"/>
      <w:b w:val="0"/>
      <w:sz w:val="28"/>
    </w:rPr>
  </w:style>
  <w:style w:type="paragraph" w:customStyle="1" w:styleId="1793">
    <w:name w:val="图目录"/>
    <w:basedOn w:val="1"/>
    <w:qFormat/>
    <w:uiPriority w:val="0"/>
    <w:pPr>
      <w:widowControl/>
      <w:adjustRightInd w:val="0"/>
      <w:snapToGrid w:val="0"/>
      <w:ind w:firstLine="480" w:firstLineChars="200"/>
      <w:jc w:val="left"/>
    </w:pPr>
    <w:rPr>
      <w:rFonts w:ascii="仿宋_GB2312" w:hAnsi="仿宋_GB2312" w:eastAsia="宋体" w:cs="仿宋_GB2312"/>
      <w:sz w:val="24"/>
      <w:szCs w:val="24"/>
    </w:rPr>
  </w:style>
  <w:style w:type="paragraph" w:customStyle="1" w:styleId="1794">
    <w:name w:val="xl103"/>
    <w:basedOn w:val="1"/>
    <w:qFormat/>
    <w:uiPriority w:val="0"/>
    <w:pPr>
      <w:widowControl/>
      <w:pBdr>
        <w:top w:val="single" w:color="auto" w:sz="4" w:space="0"/>
        <w:left w:val="single" w:color="auto" w:sz="8" w:space="0"/>
      </w:pBdr>
      <w:spacing w:before="100" w:beforeAutospacing="1" w:after="100" w:afterAutospacing="1" w:line="240" w:lineRule="auto"/>
      <w:jc w:val="left"/>
      <w:textAlignment w:val="center"/>
    </w:pPr>
    <w:rPr>
      <w:rFonts w:ascii="華康中楷體" w:hAnsi="華康中楷體" w:eastAsia="華康中楷體" w:cs="華康中楷體"/>
      <w:kern w:val="0"/>
      <w:sz w:val="16"/>
      <w:szCs w:val="16"/>
    </w:rPr>
  </w:style>
  <w:style w:type="paragraph" w:customStyle="1" w:styleId="1795">
    <w:name w:val="列表 2U"/>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1796">
    <w:name w:val="正文首行缩进 2 + Times New Roman"/>
    <w:basedOn w:val="1"/>
    <w:qFormat/>
    <w:uiPriority w:val="0"/>
    <w:pPr>
      <w:widowControl/>
      <w:tabs>
        <w:tab w:val="left" w:pos="0"/>
        <w:tab w:val="left" w:pos="870"/>
        <w:tab w:val="left" w:pos="3150"/>
      </w:tabs>
      <w:autoSpaceDE w:val="0"/>
      <w:autoSpaceDN w:val="0"/>
      <w:spacing w:line="312" w:lineRule="auto"/>
      <w:ind w:firstLine="480" w:firstLineChars="200"/>
      <w:jc w:val="left"/>
    </w:pPr>
    <w:rPr>
      <w:rFonts w:ascii="仿宋_GB2312" w:hAnsi="仿宋_GB2312" w:eastAsia="宋体" w:cs="仿宋_GB2312"/>
      <w:kern w:val="0"/>
      <w:sz w:val="24"/>
      <w:szCs w:val="24"/>
    </w:rPr>
  </w:style>
  <w:style w:type="paragraph" w:customStyle="1" w:styleId="1797">
    <w:name w:val="表格后正文"/>
    <w:basedOn w:val="880"/>
    <w:qFormat/>
    <w:uiPriority w:val="0"/>
    <w:pPr>
      <w:widowControl/>
      <w:spacing w:before="200"/>
      <w:jc w:val="left"/>
    </w:pPr>
    <w:rPr>
      <w:rFonts w:eastAsia="华文中宋"/>
    </w:rPr>
  </w:style>
  <w:style w:type="paragraph" w:customStyle="1" w:styleId="1798">
    <w:name w:val="我的标题3"/>
    <w:basedOn w:val="1"/>
    <w:qFormat/>
    <w:uiPriority w:val="0"/>
    <w:pPr>
      <w:widowControl/>
      <w:spacing w:line="240" w:lineRule="auto"/>
      <w:jc w:val="left"/>
    </w:pPr>
    <w:rPr>
      <w:rFonts w:ascii="仿宋_GB2312" w:hAnsi="仿宋_GB2312" w:eastAsia="宋体" w:cs="仿宋_GB2312"/>
      <w:b/>
      <w:sz w:val="28"/>
      <w:szCs w:val="24"/>
    </w:rPr>
  </w:style>
  <w:style w:type="paragraph" w:customStyle="1" w:styleId="1799">
    <w:name w:val="样式 标题 2 + 段前: 6 磅"/>
    <w:basedOn w:val="7"/>
    <w:qFormat/>
    <w:uiPriority w:val="0"/>
    <w:pPr>
      <w:keepNext w:val="0"/>
      <w:keepLines w:val="0"/>
      <w:widowControl/>
      <w:numPr>
        <w:ilvl w:val="0"/>
        <w:numId w:val="0"/>
      </w:numPr>
      <w:adjustRightInd w:val="0"/>
      <w:snapToGrid w:val="0"/>
      <w:spacing w:beforeLines="50" w:after="0" w:line="240" w:lineRule="auto"/>
      <w:ind w:left="567" w:hanging="567"/>
      <w:jc w:val="both"/>
    </w:pPr>
    <w:rPr>
      <w:rFonts w:ascii="仿宋_GB2312" w:hAnsi="仿宋_GB2312" w:eastAsia="楷体" w:cs="Verdana"/>
      <w:b w:val="0"/>
      <w:bCs w:val="0"/>
      <w:color w:val="0000FF"/>
      <w:sz w:val="24"/>
      <w:szCs w:val="20"/>
    </w:rPr>
  </w:style>
  <w:style w:type="paragraph" w:customStyle="1" w:styleId="1800">
    <w:name w:val="符号说明"/>
    <w:basedOn w:val="1"/>
    <w:qFormat/>
    <w:uiPriority w:val="0"/>
    <w:pPr>
      <w:widowControl/>
      <w:tabs>
        <w:tab w:val="left" w:pos="1260"/>
        <w:tab w:val="left" w:pos="3780"/>
        <w:tab w:val="left" w:pos="4680"/>
      </w:tabs>
      <w:ind w:firstLine="840" w:firstLineChars="400"/>
      <w:jc w:val="left"/>
    </w:pPr>
    <w:rPr>
      <w:rFonts w:ascii="仿宋_GB2312" w:hAnsi="仿宋_GB2312" w:eastAsia="宋体" w:cs="仿宋_GB2312"/>
    </w:rPr>
  </w:style>
  <w:style w:type="paragraph" w:customStyle="1" w:styleId="1801">
    <w:name w:val="蒲标题1"/>
    <w:basedOn w:val="6"/>
    <w:qFormat/>
    <w:uiPriority w:val="0"/>
    <w:pPr>
      <w:widowControl/>
      <w:numPr>
        <w:numId w:val="0"/>
      </w:numPr>
      <w:adjustRightInd w:val="0"/>
      <w:snapToGrid w:val="0"/>
      <w:spacing w:before="100" w:after="100" w:line="240" w:lineRule="auto"/>
      <w:jc w:val="left"/>
    </w:pPr>
    <w:rPr>
      <w:rFonts w:eastAsia="宋体" w:cs="Times New Roman"/>
      <w:color w:val="0000FF"/>
      <w:kern w:val="2"/>
      <w:szCs w:val="32"/>
    </w:rPr>
  </w:style>
  <w:style w:type="paragraph" w:customStyle="1" w:styleId="1802">
    <w:name w:val="样式3wf"/>
    <w:basedOn w:val="249"/>
    <w:qFormat/>
    <w:uiPriority w:val="0"/>
    <w:pPr>
      <w:keepNext w:val="0"/>
      <w:keepLines w:val="0"/>
      <w:widowControl/>
      <w:tabs>
        <w:tab w:val="clear" w:pos="1134"/>
      </w:tabs>
      <w:autoSpaceDE w:val="0"/>
      <w:autoSpaceDN w:val="0"/>
      <w:adjustRightInd w:val="0"/>
      <w:snapToGrid w:val="0"/>
      <w:spacing w:beforeLines="0" w:after="0" w:line="240" w:lineRule="auto"/>
      <w:ind w:left="0" w:firstLine="0"/>
      <w:jc w:val="center"/>
      <w:textAlignment w:val="baseline"/>
      <w:outlineLvl w:val="9"/>
    </w:pPr>
    <w:rPr>
      <w:kern w:val="2"/>
      <w:szCs w:val="21"/>
    </w:rPr>
  </w:style>
  <w:style w:type="paragraph" w:customStyle="1" w:styleId="1803">
    <w:name w:val="样式 标题 3小标题小节标题H3h33rd level第二层条标题4标题 3 Char标题 3 Char Ch..."/>
    <w:basedOn w:val="8"/>
    <w:qFormat/>
    <w:uiPriority w:val="0"/>
    <w:pPr>
      <w:widowControl/>
      <w:numPr>
        <w:ilvl w:val="0"/>
        <w:numId w:val="0"/>
      </w:numPr>
      <w:tabs>
        <w:tab w:val="left" w:pos="1080"/>
      </w:tabs>
      <w:adjustRightInd w:val="0"/>
      <w:spacing w:before="120" w:after="120" w:line="240" w:lineRule="auto"/>
      <w:ind w:left="851" w:hanging="851"/>
      <w:textAlignment w:val="baseline"/>
    </w:pPr>
    <w:rPr>
      <w:rFonts w:ascii="Courier New" w:hAnsi="Courier New" w:eastAsia="宋体" w:cs="仿宋_GB2312"/>
      <w:color w:val="0000FF"/>
      <w:kern w:val="32"/>
      <w:sz w:val="32"/>
    </w:rPr>
  </w:style>
  <w:style w:type="paragraph" w:customStyle="1" w:styleId="1804">
    <w:name w:val="图文"/>
    <w:basedOn w:val="1"/>
    <w:qFormat/>
    <w:uiPriority w:val="0"/>
    <w:pPr>
      <w:widowControl/>
      <w:autoSpaceDE w:val="0"/>
      <w:autoSpaceDN w:val="0"/>
      <w:spacing w:afterLines="50" w:line="280" w:lineRule="exact"/>
      <w:ind w:firstLine="200" w:firstLineChars="200"/>
      <w:jc w:val="center"/>
      <w:outlineLvl w:val="1"/>
    </w:pPr>
    <w:rPr>
      <w:rFonts w:ascii="仿宋_GB2312" w:hAnsi="仿宋_GB2312" w:eastAsia="Times New Roman" w:cs="仿宋_GB2312"/>
      <w:szCs w:val="20"/>
    </w:rPr>
  </w:style>
  <w:style w:type="paragraph" w:customStyle="1" w:styleId="1805">
    <w:name w:val="样式 标题 3 + 段前: 0 磅 段后: 8 磅 行距: 固定值 22 磅1"/>
    <w:basedOn w:val="8"/>
    <w:qFormat/>
    <w:uiPriority w:val="0"/>
    <w:pPr>
      <w:widowControl/>
      <w:numPr>
        <w:ilvl w:val="0"/>
        <w:numId w:val="0"/>
      </w:numPr>
      <w:tabs>
        <w:tab w:val="left" w:pos="720"/>
      </w:tabs>
      <w:adjustRightInd w:val="0"/>
      <w:spacing w:before="0" w:after="0" w:line="360" w:lineRule="auto"/>
      <w:ind w:left="720" w:hanging="720"/>
    </w:pPr>
    <w:rPr>
      <w:rFonts w:ascii="Courier New" w:hAnsi="Courier New" w:eastAsia="宋体" w:cs="Courier New"/>
      <w:bCs w:val="0"/>
      <w:color w:val="000000"/>
      <w:sz w:val="28"/>
      <w:szCs w:val="30"/>
    </w:rPr>
  </w:style>
  <w:style w:type="paragraph" w:customStyle="1" w:styleId="1806">
    <w:name w:val="正文居中"/>
    <w:basedOn w:val="90"/>
    <w:qFormat/>
    <w:uiPriority w:val="0"/>
    <w:pPr>
      <w:widowControl/>
      <w:adjustRightInd w:val="0"/>
      <w:spacing w:before="48" w:after="0" w:line="360" w:lineRule="auto"/>
      <w:ind w:firstLine="480" w:firstLineChars="200"/>
      <w:jc w:val="left"/>
      <w:textAlignment w:val="baseline"/>
    </w:pPr>
    <w:rPr>
      <w:rFonts w:ascii="仿宋_GB2312" w:hAnsi="仿宋_GB2312" w:cs="仿宋_GB2312"/>
      <w:kern w:val="0"/>
      <w:sz w:val="24"/>
      <w:lang w:val="zh-CN"/>
    </w:rPr>
  </w:style>
  <w:style w:type="paragraph" w:customStyle="1" w:styleId="1807">
    <w:name w:val="列表 3F"/>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1808">
    <w:name w:val="样式 表头样式 + 两端对齐 段前: 0.5 行 段后: 0.5 行 首行缩进:  1 字符"/>
    <w:basedOn w:val="1809"/>
    <w:qFormat/>
    <w:uiPriority w:val="0"/>
    <w:pPr>
      <w:keepLines/>
      <w:ind w:firstLine="560" w:firstLineChars="200"/>
    </w:pPr>
    <w:rPr>
      <w:bCs w:val="0"/>
      <w:sz w:val="24"/>
      <w:szCs w:val="20"/>
    </w:rPr>
  </w:style>
  <w:style w:type="paragraph" w:customStyle="1" w:styleId="1809">
    <w:name w:val="表头样式"/>
    <w:basedOn w:val="1"/>
    <w:qFormat/>
    <w:uiPriority w:val="0"/>
    <w:pPr>
      <w:keepNext/>
      <w:widowControl/>
      <w:spacing w:beforeLines="50" w:afterLines="50" w:line="520" w:lineRule="exact"/>
      <w:ind w:firstLine="280" w:firstLineChars="100"/>
      <w:jc w:val="left"/>
    </w:pPr>
    <w:rPr>
      <w:rFonts w:ascii="Verdana" w:hAnsi="Verdana" w:eastAsia="宋体" w:cs="Verdana"/>
      <w:bCs/>
      <w:sz w:val="28"/>
      <w:szCs w:val="28"/>
    </w:rPr>
  </w:style>
  <w:style w:type="paragraph" w:customStyle="1" w:styleId="1810">
    <w:name w:val="样式 标题 3标题3小标题1.1.1标题 3Char1 Char1Char1 Char CharChar1 Cha...3"/>
    <w:basedOn w:val="8"/>
    <w:qFormat/>
    <w:uiPriority w:val="0"/>
    <w:pPr>
      <w:widowControl/>
      <w:numPr>
        <w:ilvl w:val="0"/>
        <w:numId w:val="0"/>
      </w:numPr>
      <w:autoSpaceDE w:val="0"/>
      <w:autoSpaceDN w:val="0"/>
      <w:adjustRightInd w:val="0"/>
      <w:spacing w:before="0" w:after="0" w:line="360" w:lineRule="auto"/>
      <w:textAlignment w:val="baseline"/>
    </w:pPr>
    <w:rPr>
      <w:rFonts w:eastAsia="宋体" w:cs="宋体"/>
      <w:color w:val="0000FF"/>
      <w:kern w:val="0"/>
      <w:szCs w:val="20"/>
    </w:rPr>
  </w:style>
  <w:style w:type="paragraph" w:customStyle="1" w:styleId="1811">
    <w:name w:val="副题目"/>
    <w:basedOn w:val="68"/>
    <w:qFormat/>
    <w:uiPriority w:val="0"/>
    <w:pPr>
      <w:keepNext/>
      <w:keepLines/>
      <w:widowControl/>
      <w:spacing w:beforeLines="100" w:after="100" w:afterAutospacing="1" w:line="600" w:lineRule="atLeast"/>
      <w:outlineLvl w:val="9"/>
    </w:pPr>
    <w:rPr>
      <w:rFonts w:ascii="Courier New" w:hAnsi="Courier New" w:eastAsia="华文中宋" w:cs="仿宋_GB2312"/>
      <w:b w:val="0"/>
      <w:iCs/>
      <w:color w:val="CC99FF"/>
      <w:spacing w:val="36"/>
      <w:sz w:val="36"/>
      <w:lang w:bidi="he-IL"/>
    </w:rPr>
  </w:style>
  <w:style w:type="paragraph" w:customStyle="1" w:styleId="1812">
    <w:name w:val="列表 1A"/>
    <w:basedOn w:val="1813"/>
    <w:qFormat/>
    <w:uiPriority w:val="0"/>
    <w:pPr>
      <w:tabs>
        <w:tab w:val="left" w:pos="432"/>
      </w:tabs>
      <w:ind w:left="907" w:hanging="567"/>
    </w:pPr>
  </w:style>
  <w:style w:type="paragraph" w:customStyle="1" w:styleId="1813">
    <w:name w:val="列表 1"/>
    <w:basedOn w:val="1"/>
    <w:qFormat/>
    <w:uiPriority w:val="0"/>
    <w:pPr>
      <w:widowControl/>
      <w:tabs>
        <w:tab w:val="left" w:pos="432"/>
      </w:tabs>
      <w:spacing w:before="120" w:after="60" w:line="288" w:lineRule="auto"/>
      <w:ind w:left="432" w:hanging="432"/>
      <w:jc w:val="left"/>
    </w:pPr>
    <w:rPr>
      <w:rFonts w:ascii="Courier New" w:hAnsi="Courier New" w:eastAsia="宋体" w:cs="仿宋_GB2312"/>
      <w:color w:val="FFCC99"/>
      <w:sz w:val="24"/>
      <w:szCs w:val="20"/>
    </w:rPr>
  </w:style>
  <w:style w:type="paragraph" w:customStyle="1" w:styleId="1814">
    <w:name w:val="样式 样式 标题 2 + 段前: 0.5 行4 + 段前: 0.5 行"/>
    <w:basedOn w:val="1"/>
    <w:qFormat/>
    <w:uiPriority w:val="0"/>
    <w:pPr>
      <w:widowControl/>
      <w:tabs>
        <w:tab w:val="left" w:pos="540"/>
      </w:tabs>
      <w:adjustRightInd w:val="0"/>
      <w:spacing w:before="163"/>
      <w:ind w:left="567" w:hanging="540"/>
      <w:jc w:val="left"/>
      <w:outlineLvl w:val="1"/>
    </w:pPr>
    <w:rPr>
      <w:rFonts w:ascii="仿宋_GB2312" w:hAnsi="仿宋_GB2312" w:eastAsia="楷体" w:cs="Verdana"/>
      <w:sz w:val="24"/>
      <w:szCs w:val="20"/>
    </w:rPr>
  </w:style>
  <w:style w:type="paragraph" w:customStyle="1" w:styleId="1815">
    <w:name w:val="正文图竖五"/>
    <w:basedOn w:val="1"/>
    <w:qFormat/>
    <w:uiPriority w:val="0"/>
    <w:pPr>
      <w:widowControl/>
      <w:spacing w:line="240" w:lineRule="auto"/>
      <w:jc w:val="center"/>
    </w:pPr>
    <w:rPr>
      <w:rFonts w:ascii="仿宋_GB2312" w:hAnsi="仿宋_GB2312" w:eastAsia="Times New Roman" w:cs="仿宋_GB2312"/>
      <w:color w:val="000000"/>
      <w:kern w:val="0"/>
    </w:rPr>
  </w:style>
  <w:style w:type="paragraph" w:customStyle="1" w:styleId="1816">
    <w:name w:val="德胜三级标题"/>
    <w:basedOn w:val="1"/>
    <w:qFormat/>
    <w:uiPriority w:val="0"/>
    <w:pPr>
      <w:keepNext/>
      <w:keepLines/>
      <w:widowControl/>
      <w:adjustRightInd w:val="0"/>
      <w:snapToGrid w:val="0"/>
      <w:jc w:val="left"/>
      <w:outlineLvl w:val="2"/>
    </w:pPr>
    <w:rPr>
      <w:rFonts w:ascii="Times New Roman" w:hAnsi="Times New Roman" w:eastAsia="宋体" w:cs="Times New Roman"/>
      <w:b/>
      <w:color w:val="0000FF"/>
      <w:kern w:val="0"/>
      <w:sz w:val="24"/>
      <w:szCs w:val="20"/>
    </w:rPr>
  </w:style>
  <w:style w:type="paragraph" w:customStyle="1" w:styleId="1817">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widowControl/>
      <w:pBdr>
        <w:right w:val="single" w:color="auto" w:sz="12" w:space="4"/>
      </w:pBdr>
      <w:ind w:firstLine="200" w:firstLineChars="200"/>
      <w:jc w:val="left"/>
    </w:pPr>
    <w:rPr>
      <w:rFonts w:ascii="Verdana" w:hAnsi="Verdana" w:eastAsia="宋体" w:cs="Verdana"/>
      <w:sz w:val="24"/>
      <w:szCs w:val="24"/>
    </w:rPr>
  </w:style>
  <w:style w:type="paragraph" w:customStyle="1" w:styleId="1818">
    <w:name w:val="样式 四号 行距: 1.5 倍行距"/>
    <w:basedOn w:val="1"/>
    <w:qFormat/>
    <w:uiPriority w:val="0"/>
    <w:pPr>
      <w:widowControl/>
      <w:jc w:val="left"/>
    </w:pPr>
    <w:rPr>
      <w:rFonts w:ascii="仿宋_GB2312" w:hAnsi="仿宋_GB2312" w:eastAsia="宋体" w:cs="Verdana"/>
      <w:sz w:val="28"/>
      <w:szCs w:val="20"/>
    </w:rPr>
  </w:style>
  <w:style w:type="paragraph" w:customStyle="1" w:styleId="1819">
    <w:name w:val="三级目录1"/>
    <w:basedOn w:val="1"/>
    <w:next w:val="1"/>
    <w:qFormat/>
    <w:uiPriority w:val="0"/>
    <w:pPr>
      <w:keepNext/>
      <w:keepLines/>
      <w:widowControl/>
      <w:autoSpaceDE w:val="0"/>
      <w:autoSpaceDN w:val="0"/>
      <w:adjustRightInd w:val="0"/>
      <w:snapToGrid w:val="0"/>
      <w:spacing w:beforeLines="50"/>
      <w:ind w:left="-2" w:right="-137" w:firstLine="1"/>
      <w:jc w:val="left"/>
      <w:outlineLvl w:val="0"/>
    </w:pPr>
    <w:rPr>
      <w:rFonts w:ascii="Times New Roman" w:hAnsi="Times New Roman" w:eastAsia="宋体" w:cs="Times New Roman"/>
      <w:b/>
      <w:color w:val="0000FF"/>
      <w:sz w:val="24"/>
      <w:szCs w:val="20"/>
    </w:rPr>
  </w:style>
  <w:style w:type="paragraph" w:customStyle="1" w:styleId="1820">
    <w:name w:val="样式 黑色 首行缩进:  2 字符"/>
    <w:basedOn w:val="1"/>
    <w:qFormat/>
    <w:uiPriority w:val="0"/>
    <w:pPr>
      <w:widowControl/>
      <w:ind w:firstLine="560" w:firstLineChars="200"/>
      <w:jc w:val="left"/>
    </w:pPr>
    <w:rPr>
      <w:rFonts w:ascii="Verdana" w:hAnsi="仿宋_GB2312" w:eastAsia="宋体" w:cs="Verdana"/>
      <w:color w:val="000000"/>
      <w:sz w:val="28"/>
      <w:szCs w:val="28"/>
    </w:rPr>
  </w:style>
  <w:style w:type="paragraph" w:customStyle="1" w:styleId="1821">
    <w:name w:val="wg"/>
    <w:basedOn w:val="1"/>
    <w:qFormat/>
    <w:uiPriority w:val="0"/>
    <w:pPr>
      <w:widowControl/>
      <w:spacing w:line="240" w:lineRule="auto"/>
      <w:jc w:val="left"/>
    </w:pPr>
    <w:rPr>
      <w:rFonts w:ascii="Times New Roman" w:hAnsi="Times New Roman" w:eastAsia="宋体" w:cs="Times New Roman"/>
      <w:sz w:val="28"/>
      <w:szCs w:val="20"/>
    </w:rPr>
  </w:style>
  <w:style w:type="paragraph" w:customStyle="1" w:styleId="1822">
    <w:name w:val="列表 3B"/>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1823">
    <w:name w:val="德胜一级标题"/>
    <w:basedOn w:val="6"/>
    <w:qFormat/>
    <w:uiPriority w:val="0"/>
    <w:pPr>
      <w:widowControl/>
      <w:numPr>
        <w:numId w:val="0"/>
      </w:numPr>
      <w:adjustRightInd w:val="0"/>
      <w:snapToGrid w:val="0"/>
      <w:spacing w:before="0" w:after="0" w:line="360" w:lineRule="auto"/>
      <w:jc w:val="left"/>
    </w:pPr>
    <w:rPr>
      <w:rFonts w:eastAsia="宋体" w:cs="Times New Roman"/>
      <w:color w:val="0000FF"/>
      <w:kern w:val="0"/>
      <w:szCs w:val="32"/>
    </w:rPr>
  </w:style>
  <w:style w:type="paragraph" w:customStyle="1" w:styleId="1824">
    <w:name w:val="样式（三级目录）"/>
    <w:basedOn w:val="1"/>
    <w:qFormat/>
    <w:uiPriority w:val="0"/>
    <w:pPr>
      <w:keepNext/>
      <w:keepLines/>
      <w:widowControl/>
      <w:autoSpaceDE w:val="0"/>
      <w:autoSpaceDN w:val="0"/>
      <w:adjustRightInd w:val="0"/>
      <w:snapToGrid w:val="0"/>
      <w:spacing w:beforeLines="50"/>
      <w:jc w:val="left"/>
      <w:outlineLvl w:val="0"/>
    </w:pPr>
    <w:rPr>
      <w:rFonts w:ascii="Times New Roman" w:hAnsi="Times New Roman" w:eastAsia="宋体" w:cs="Times New Roman"/>
      <w:b/>
      <w:bCs/>
      <w:color w:val="0000FF"/>
      <w:sz w:val="24"/>
      <w:szCs w:val="24"/>
    </w:rPr>
  </w:style>
  <w:style w:type="paragraph" w:customStyle="1" w:styleId="1825">
    <w:name w:val="样式 样式 标题 4第三层条PIM 4h4标题 4 Char + 右侧:  1 字符 + 左侧:  1.87 厘米"/>
    <w:basedOn w:val="1"/>
    <w:qFormat/>
    <w:uiPriority w:val="0"/>
    <w:pPr>
      <w:widowControl/>
      <w:tabs>
        <w:tab w:val="left" w:pos="851"/>
      </w:tabs>
      <w:spacing w:line="240" w:lineRule="auto"/>
      <w:ind w:left="851" w:hanging="851"/>
      <w:jc w:val="left"/>
    </w:pPr>
    <w:rPr>
      <w:rFonts w:ascii="仿宋_GB2312" w:hAnsi="仿宋_GB2312" w:eastAsia="宋体" w:cs="仿宋_GB2312"/>
      <w:szCs w:val="24"/>
    </w:rPr>
  </w:style>
  <w:style w:type="paragraph" w:customStyle="1" w:styleId="1826">
    <w:name w:val="样式 表格 + 居中"/>
    <w:basedOn w:val="1"/>
    <w:qFormat/>
    <w:uiPriority w:val="0"/>
    <w:pPr>
      <w:widowControl/>
      <w:kinsoku w:val="0"/>
      <w:overflowPunct w:val="0"/>
      <w:adjustRightInd w:val="0"/>
      <w:snapToGrid w:val="0"/>
      <w:spacing w:line="240" w:lineRule="auto"/>
      <w:jc w:val="center"/>
    </w:pPr>
    <w:rPr>
      <w:rFonts w:ascii="仿宋_GB2312" w:hAnsi="仿宋_GB2312" w:eastAsia="宋体" w:cs="仿宋_GB2312"/>
      <w:color w:val="000000"/>
      <w:kern w:val="0"/>
      <w:sz w:val="24"/>
      <w:szCs w:val="24"/>
    </w:rPr>
  </w:style>
  <w:style w:type="paragraph" w:customStyle="1" w:styleId="1827">
    <w:name w:val="列表 5G"/>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1828">
    <w:name w:val="MG"/>
    <w:basedOn w:val="6"/>
    <w:qFormat/>
    <w:uiPriority w:val="0"/>
    <w:pPr>
      <w:keepLines w:val="0"/>
      <w:widowControl/>
      <w:numPr>
        <w:numId w:val="0"/>
      </w:numPr>
      <w:tabs>
        <w:tab w:val="left" w:pos="2260"/>
        <w:tab w:val="left" w:pos="2820"/>
        <w:tab w:val="left" w:pos="3420"/>
      </w:tabs>
      <w:adjustRightInd w:val="0"/>
      <w:snapToGrid w:val="0"/>
      <w:spacing w:before="440" w:after="0" w:line="240" w:lineRule="auto"/>
      <w:ind w:left="851" w:right="-28" w:hanging="851"/>
      <w:jc w:val="left"/>
    </w:pPr>
    <w:rPr>
      <w:rFonts w:ascii="Courier New" w:hAnsi="Courier New" w:eastAsia="宋体" w:cs="仿宋_GB2312"/>
      <w:bCs w:val="0"/>
      <w:kern w:val="0"/>
      <w:sz w:val="22"/>
      <w:szCs w:val="20"/>
      <w:lang w:val="en-GB"/>
    </w:rPr>
  </w:style>
  <w:style w:type="paragraph" w:customStyle="1" w:styleId="1829">
    <w:name w:val="列表 5T"/>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1830">
    <w:name w:val="edri-正文3"/>
    <w:basedOn w:val="1"/>
    <w:qFormat/>
    <w:uiPriority w:val="0"/>
    <w:pPr>
      <w:widowControl/>
      <w:spacing w:beforeLines="50" w:line="300" w:lineRule="auto"/>
      <w:ind w:left="2205" w:leftChars="1050"/>
      <w:jc w:val="left"/>
    </w:pPr>
    <w:rPr>
      <w:rFonts w:ascii="仿宋_GB2312" w:hAnsi="仿宋_GB2312" w:eastAsia="宋体" w:cs="仿宋_GB2312"/>
      <w:sz w:val="24"/>
      <w:szCs w:val="24"/>
    </w:rPr>
  </w:style>
  <w:style w:type="paragraph" w:customStyle="1" w:styleId="1831">
    <w:name w:val="1.1.1-"/>
    <w:basedOn w:val="1"/>
    <w:qFormat/>
    <w:uiPriority w:val="0"/>
    <w:pPr>
      <w:widowControl/>
      <w:tabs>
        <w:tab w:val="left" w:pos="397"/>
      </w:tabs>
      <w:wordWrap w:val="0"/>
      <w:adjustRightInd w:val="0"/>
      <w:snapToGrid w:val="0"/>
      <w:spacing w:line="360" w:lineRule="atLeast"/>
      <w:ind w:left="397" w:firstLine="1021"/>
      <w:jc w:val="left"/>
      <w:textAlignment w:val="baseline"/>
    </w:pPr>
    <w:rPr>
      <w:rFonts w:ascii="Courier New" w:hAnsi="Courier New" w:eastAsia="PMingLiU" w:cs="仿宋_GB2312"/>
      <w:kern w:val="0"/>
      <w:sz w:val="20"/>
      <w:szCs w:val="20"/>
    </w:rPr>
  </w:style>
  <w:style w:type="paragraph" w:customStyle="1" w:styleId="1832">
    <w:name w:val="样式 样式 表格 + (符号) 宋体 五号 居中 + 小五"/>
    <w:basedOn w:val="1"/>
    <w:qFormat/>
    <w:uiPriority w:val="0"/>
    <w:pPr>
      <w:widowControl/>
      <w:kinsoku w:val="0"/>
      <w:overflowPunct w:val="0"/>
      <w:adjustRightInd w:val="0"/>
      <w:snapToGrid w:val="0"/>
      <w:spacing w:line="240" w:lineRule="auto"/>
      <w:jc w:val="center"/>
    </w:pPr>
    <w:rPr>
      <w:rFonts w:ascii="仿宋_GB2312" w:hAnsi="仿宋_GB2312" w:eastAsia="宋体" w:cs="仿宋_GB2312"/>
      <w:kern w:val="0"/>
      <w:sz w:val="18"/>
    </w:rPr>
  </w:style>
  <w:style w:type="paragraph" w:customStyle="1" w:styleId="1833">
    <w:name w:val="列表 5F"/>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1834">
    <w:name w:val="Body Text First Indent3"/>
    <w:basedOn w:val="4"/>
    <w:qFormat/>
    <w:uiPriority w:val="0"/>
    <w:pPr>
      <w:widowControl/>
      <w:adjustRightInd w:val="0"/>
      <w:spacing w:after="0" w:line="312" w:lineRule="auto"/>
      <w:ind w:firstLine="567"/>
      <w:jc w:val="left"/>
      <w:textAlignment w:val="baseline"/>
    </w:pPr>
    <w:rPr>
      <w:rFonts w:ascii="仿宋_GB2312" w:hAnsi="仿宋_GB2312" w:eastAsia="宋体" w:cs="仿宋_GB2312"/>
      <w:kern w:val="0"/>
      <w:sz w:val="28"/>
      <w:szCs w:val="20"/>
    </w:rPr>
  </w:style>
  <w:style w:type="paragraph" w:customStyle="1" w:styleId="1835">
    <w:name w:val="列表 5K"/>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1836">
    <w:name w:val="图表目录1"/>
    <w:basedOn w:val="1"/>
    <w:next w:val="1"/>
    <w:qFormat/>
    <w:uiPriority w:val="0"/>
    <w:pPr>
      <w:widowControl/>
      <w:tabs>
        <w:tab w:val="right" w:leader="dot" w:pos="8051"/>
      </w:tabs>
      <w:adjustRightInd w:val="0"/>
      <w:spacing w:line="360" w:lineRule="atLeast"/>
      <w:ind w:left="840" w:hanging="840"/>
      <w:jc w:val="left"/>
      <w:textAlignment w:val="baseline"/>
    </w:pPr>
    <w:rPr>
      <w:rFonts w:ascii="Verdana" w:hAnsi="仿宋_GB2312" w:eastAsia="宋体" w:cs="仿宋_GB2312"/>
      <w:kern w:val="0"/>
      <w:sz w:val="24"/>
      <w:szCs w:val="20"/>
    </w:rPr>
  </w:style>
  <w:style w:type="paragraph" w:customStyle="1" w:styleId="1837">
    <w:name w:val="正文样式1"/>
    <w:basedOn w:val="1"/>
    <w:qFormat/>
    <w:uiPriority w:val="0"/>
    <w:pPr>
      <w:widowControl/>
      <w:spacing w:line="520" w:lineRule="exact"/>
      <w:jc w:val="center"/>
    </w:pPr>
    <w:rPr>
      <w:rFonts w:ascii="宋体" w:hAnsi="宋体" w:eastAsia="宋体" w:cs="Times New Roman"/>
      <w:sz w:val="24"/>
      <w:szCs w:val="24"/>
    </w:rPr>
  </w:style>
  <w:style w:type="paragraph" w:customStyle="1" w:styleId="1838">
    <w:name w:val="左五"/>
    <w:basedOn w:val="1"/>
    <w:qFormat/>
    <w:uiPriority w:val="0"/>
    <w:pPr>
      <w:widowControl/>
      <w:adjustRightInd w:val="0"/>
      <w:snapToGrid w:val="0"/>
      <w:spacing w:line="280" w:lineRule="exact"/>
      <w:jc w:val="left"/>
    </w:pPr>
    <w:rPr>
      <w:rFonts w:ascii="Verdana" w:hAnsi="Symbol" w:eastAsia="宋体" w:cs="仿宋_GB2312"/>
      <w:color w:val="000000"/>
      <w:sz w:val="18"/>
      <w:szCs w:val="24"/>
    </w:rPr>
  </w:style>
  <w:style w:type="paragraph" w:customStyle="1" w:styleId="1839">
    <w:name w:val="表内文字 Char"/>
    <w:basedOn w:val="1"/>
    <w:qFormat/>
    <w:uiPriority w:val="0"/>
    <w:pPr>
      <w:widowControl/>
      <w:adjustRightInd w:val="0"/>
      <w:snapToGrid w:val="0"/>
      <w:spacing w:line="240" w:lineRule="auto"/>
      <w:jc w:val="center"/>
    </w:pPr>
    <w:rPr>
      <w:rFonts w:ascii="Times New Roman" w:hAnsi="Times New Roman" w:eastAsia="宋体" w:cs="Times New Roman"/>
      <w:color w:val="FF0000"/>
    </w:rPr>
  </w:style>
  <w:style w:type="paragraph" w:customStyle="1" w:styleId="1840">
    <w:name w:val="四级目录1"/>
    <w:basedOn w:val="1"/>
    <w:qFormat/>
    <w:uiPriority w:val="0"/>
    <w:pPr>
      <w:widowControl/>
      <w:jc w:val="left"/>
    </w:pPr>
    <w:rPr>
      <w:rFonts w:ascii="Times New Roman" w:hAnsi="Times New Roman" w:eastAsia="宋体" w:cs="Times New Roman"/>
      <w:b/>
      <w:color w:val="0000FF"/>
      <w:sz w:val="24"/>
      <w:szCs w:val="20"/>
    </w:rPr>
  </w:style>
  <w:style w:type="paragraph" w:customStyle="1" w:styleId="1841">
    <w:name w:val="文件册号"/>
    <w:basedOn w:val="1"/>
    <w:next w:val="1"/>
    <w:qFormat/>
    <w:uiPriority w:val="0"/>
    <w:pPr>
      <w:widowControl/>
      <w:spacing w:line="800" w:lineRule="atLeast"/>
      <w:jc w:val="center"/>
    </w:pPr>
    <w:rPr>
      <w:rFonts w:ascii="仿宋_GB2312" w:hAnsi="仿宋_GB2312" w:eastAsia="宋体" w:cs="仿宋_GB2312"/>
      <w:sz w:val="52"/>
      <w:szCs w:val="52"/>
    </w:rPr>
  </w:style>
  <w:style w:type="paragraph" w:customStyle="1" w:styleId="1842">
    <w:name w:val="蒲表头"/>
    <w:basedOn w:val="1"/>
    <w:qFormat/>
    <w:uiPriority w:val="0"/>
    <w:pPr>
      <w:widowControl/>
      <w:adjustRightInd w:val="0"/>
      <w:snapToGrid w:val="0"/>
      <w:spacing w:line="240" w:lineRule="auto"/>
      <w:jc w:val="center"/>
    </w:pPr>
    <w:rPr>
      <w:rFonts w:ascii="Times New Roman" w:hAnsi="Times New Roman" w:eastAsia="宋体" w:cs="Times New Roman"/>
      <w:b/>
    </w:rPr>
  </w:style>
  <w:style w:type="paragraph" w:customStyle="1" w:styleId="1843">
    <w:name w:val="小标题(1)"/>
    <w:basedOn w:val="4"/>
    <w:qFormat/>
    <w:uiPriority w:val="0"/>
    <w:pPr>
      <w:widowControl/>
      <w:adjustRightInd w:val="0"/>
      <w:snapToGrid w:val="0"/>
      <w:spacing w:before="60" w:after="60" w:line="264" w:lineRule="auto"/>
      <w:ind w:firstLine="240" w:firstLineChars="100"/>
      <w:jc w:val="left"/>
      <w:textAlignment w:val="baseline"/>
    </w:pPr>
    <w:rPr>
      <w:rFonts w:ascii="仿宋_GB2312" w:hAnsi="仿宋_GB2312" w:eastAsia="Times New Roman" w:cs="仿宋_GB2312"/>
      <w:kern w:val="0"/>
      <w:sz w:val="24"/>
      <w:szCs w:val="24"/>
    </w:rPr>
  </w:style>
  <w:style w:type="paragraph" w:customStyle="1" w:styleId="1844">
    <w:name w:val="文本框文字"/>
    <w:basedOn w:val="1"/>
    <w:qFormat/>
    <w:uiPriority w:val="0"/>
    <w:pPr>
      <w:widowControl/>
      <w:adjustRightInd w:val="0"/>
      <w:spacing w:line="240" w:lineRule="auto"/>
      <w:jc w:val="center"/>
      <w:textAlignment w:val="baseline"/>
    </w:pPr>
    <w:rPr>
      <w:rFonts w:ascii="仿宋_GB2312" w:hAnsi="仿宋_GB2312" w:eastAsia="宋体" w:cs="仿宋_GB2312"/>
      <w:kern w:val="0"/>
      <w:szCs w:val="20"/>
    </w:rPr>
  </w:style>
  <w:style w:type="paragraph" w:customStyle="1" w:styleId="1845">
    <w:name w:val="样式 报告表正文 + 首行缩进:  2 字符 行距: 1.5 倍行距"/>
    <w:basedOn w:val="256"/>
    <w:qFormat/>
    <w:uiPriority w:val="0"/>
    <w:pPr>
      <w:widowControl/>
      <w:spacing w:line="360" w:lineRule="auto"/>
      <w:ind w:firstLine="480" w:firstLineChars="200"/>
      <w:jc w:val="both"/>
      <w:textAlignment w:val="auto"/>
    </w:pPr>
    <w:rPr>
      <w:rFonts w:cs="宋体"/>
    </w:rPr>
  </w:style>
  <w:style w:type="paragraph" w:customStyle="1" w:styleId="1846">
    <w:name w:val="Char Char Char Char Char Char1 Char Char Char Char Char Char Char Char Char Char Char Char Char Char Char Char Char Char"/>
    <w:basedOn w:val="1"/>
    <w:qFormat/>
    <w:uiPriority w:val="0"/>
    <w:pPr>
      <w:widowControl/>
      <w:ind w:firstLine="200" w:firstLineChars="200"/>
      <w:jc w:val="left"/>
    </w:pPr>
    <w:rPr>
      <w:rFonts w:ascii="宋体" w:hAnsi="宋体" w:eastAsia="宋体" w:cs="宋体"/>
      <w:sz w:val="24"/>
      <w:szCs w:val="24"/>
    </w:rPr>
  </w:style>
  <w:style w:type="paragraph" w:customStyle="1" w:styleId="1847">
    <w:name w:val="In Table"/>
    <w:basedOn w:val="1"/>
    <w:qFormat/>
    <w:uiPriority w:val="0"/>
    <w:pPr>
      <w:widowControl/>
      <w:tabs>
        <w:tab w:val="left" w:pos="2200"/>
        <w:tab w:val="left" w:pos="3960"/>
        <w:tab w:val="left" w:pos="5280"/>
      </w:tabs>
      <w:spacing w:before="96" w:after="96" w:line="240" w:lineRule="atLeast"/>
      <w:jc w:val="center"/>
    </w:pPr>
    <w:rPr>
      <w:rFonts w:ascii="Tahoma" w:hAnsi="Tahoma" w:eastAsia="华文中宋" w:cs="Times New Roman"/>
      <w:szCs w:val="20"/>
    </w:rPr>
  </w:style>
  <w:style w:type="paragraph" w:customStyle="1" w:styleId="1848">
    <w:name w:val="5号字表"/>
    <w:basedOn w:val="1"/>
    <w:qFormat/>
    <w:uiPriority w:val="0"/>
    <w:pPr>
      <w:widowControl/>
      <w:tabs>
        <w:tab w:val="left" w:pos="210"/>
      </w:tabs>
      <w:spacing w:line="500" w:lineRule="exact"/>
      <w:ind w:firstLine="200" w:firstLineChars="200"/>
      <w:jc w:val="left"/>
    </w:pPr>
    <w:rPr>
      <w:rFonts w:ascii="宋体" w:hAnsi="宋体" w:eastAsia="宋体" w:cs="宋体"/>
      <w:bCs/>
      <w:sz w:val="28"/>
      <w:szCs w:val="20"/>
    </w:rPr>
  </w:style>
  <w:style w:type="paragraph" w:customStyle="1" w:styleId="1849">
    <w:name w:val="16.7.3.1"/>
    <w:basedOn w:val="9"/>
    <w:qFormat/>
    <w:uiPriority w:val="0"/>
    <w:pPr>
      <w:widowControl/>
      <w:numPr>
        <w:ilvl w:val="0"/>
        <w:numId w:val="0"/>
      </w:numPr>
      <w:tabs>
        <w:tab w:val="left" w:pos="390"/>
        <w:tab w:val="left" w:pos="1800"/>
      </w:tabs>
      <w:spacing w:before="120" w:after="120" w:line="312" w:lineRule="auto"/>
      <w:ind w:left="851" w:hanging="851"/>
    </w:pPr>
    <w:rPr>
      <w:rFonts w:ascii="Arial" w:hAnsi="Arial" w:eastAsia="黑体" w:cs="Times New Roman"/>
      <w:szCs w:val="24"/>
    </w:rPr>
  </w:style>
  <w:style w:type="paragraph" w:customStyle="1" w:styleId="1850">
    <w:name w:val="表格文字1"/>
    <w:basedOn w:val="1"/>
    <w:qFormat/>
    <w:uiPriority w:val="0"/>
    <w:pPr>
      <w:widowControl/>
      <w:tabs>
        <w:tab w:val="left" w:pos="0"/>
      </w:tabs>
      <w:autoSpaceDE w:val="0"/>
      <w:autoSpaceDN w:val="0"/>
      <w:adjustRightInd w:val="0"/>
      <w:spacing w:before="60" w:line="240" w:lineRule="auto"/>
      <w:ind w:left="57" w:right="57"/>
      <w:jc w:val="center"/>
      <w:textAlignment w:val="baseline"/>
    </w:pPr>
    <w:rPr>
      <w:rFonts w:ascii="仿宋_GB2312" w:hAnsi="仿宋_GB2312" w:eastAsia="宋体" w:cs="仿宋_GB2312"/>
      <w:szCs w:val="24"/>
    </w:rPr>
  </w:style>
  <w:style w:type="paragraph" w:customStyle="1" w:styleId="1851">
    <w:name w:val="新正文"/>
    <w:basedOn w:val="1"/>
    <w:qFormat/>
    <w:uiPriority w:val="0"/>
    <w:pPr>
      <w:widowControl/>
      <w:spacing w:line="480" w:lineRule="exact"/>
      <w:ind w:firstLine="482"/>
      <w:jc w:val="left"/>
    </w:pPr>
    <w:rPr>
      <w:rFonts w:ascii="仿宋_GB2312" w:hAnsi="Times New Roman" w:eastAsia="仿宋_GB2312" w:cs="Times New Roman"/>
      <w:kern w:val="0"/>
      <w:sz w:val="28"/>
      <w:szCs w:val="20"/>
    </w:rPr>
  </w:style>
  <w:style w:type="paragraph" w:customStyle="1" w:styleId="1852">
    <w:name w:val="样式 标题 2二级标题标题 lxb2标题21.1H2h2第一层条二级标题 Char单位名4.1SeHea..."/>
    <w:basedOn w:val="437"/>
    <w:next w:val="437"/>
    <w:qFormat/>
    <w:uiPriority w:val="0"/>
    <w:pPr>
      <w:widowControl/>
      <w:spacing w:line="360" w:lineRule="auto"/>
    </w:pPr>
    <w:rPr>
      <w:rFonts w:ascii="仿宋_GB2312" w:hAnsi="仿宋_GB2312" w:eastAsia="楷体" w:cs="Verdana"/>
      <w:b/>
      <w:color w:val="auto"/>
      <w:szCs w:val="24"/>
    </w:rPr>
  </w:style>
  <w:style w:type="paragraph" w:customStyle="1" w:styleId="1853">
    <w:name w:val="Char1 Char Char Char Char Char1 Char"/>
    <w:basedOn w:val="1"/>
    <w:qFormat/>
    <w:uiPriority w:val="0"/>
    <w:pPr>
      <w:widowControl/>
      <w:spacing w:line="240" w:lineRule="auto"/>
      <w:jc w:val="left"/>
    </w:pPr>
    <w:rPr>
      <w:rFonts w:ascii="新宋体" w:hAnsi="新宋体" w:eastAsia="宋体" w:cs="仿宋_GB2312"/>
      <w:sz w:val="24"/>
      <w:szCs w:val="20"/>
    </w:rPr>
  </w:style>
  <w:style w:type="paragraph" w:customStyle="1" w:styleId="1854">
    <w:name w:val="+列表1"/>
    <w:basedOn w:val="1"/>
    <w:qFormat/>
    <w:uiPriority w:val="0"/>
    <w:pPr>
      <w:widowControl/>
      <w:spacing w:line="240" w:lineRule="auto"/>
      <w:jc w:val="center"/>
    </w:pPr>
    <w:rPr>
      <w:rFonts w:ascii="仿宋_GB2312" w:hAnsi="仿宋_GB2312" w:eastAsia="宋体" w:cs="仿宋_GB2312"/>
    </w:rPr>
  </w:style>
  <w:style w:type="paragraph" w:customStyle="1" w:styleId="1855">
    <w:name w:val="xl97"/>
    <w:basedOn w:val="1"/>
    <w:qFormat/>
    <w:uiPriority w:val="0"/>
    <w:pPr>
      <w:widowControl/>
      <w:pBdr>
        <w:left w:val="single" w:color="auto" w:sz="8" w:space="0"/>
        <w:right w:val="single" w:color="auto" w:sz="4" w:space="0"/>
      </w:pBdr>
      <w:spacing w:before="100" w:beforeAutospacing="1" w:after="100" w:afterAutospacing="1" w:line="240" w:lineRule="auto"/>
      <w:jc w:val="center"/>
      <w:textAlignment w:val="center"/>
    </w:pPr>
    <w:rPr>
      <w:rFonts w:ascii="仿宋_GB2312" w:hAnsi="仿宋_GB2312" w:eastAsia="華康中楷體" w:cs="仿宋_GB2312"/>
      <w:kern w:val="0"/>
      <w:sz w:val="16"/>
      <w:szCs w:val="16"/>
    </w:rPr>
  </w:style>
  <w:style w:type="paragraph" w:customStyle="1" w:styleId="1856">
    <w:name w:val="已有表格"/>
    <w:basedOn w:val="1"/>
    <w:qFormat/>
    <w:uiPriority w:val="0"/>
    <w:pPr>
      <w:widowControl/>
      <w:adjustRightInd w:val="0"/>
      <w:spacing w:before="40" w:after="40" w:line="240" w:lineRule="auto"/>
      <w:jc w:val="center"/>
      <w:textAlignment w:val="baseline"/>
    </w:pPr>
    <w:rPr>
      <w:rFonts w:ascii="仿宋_GB2312" w:hAnsi="仿宋_GB2312" w:eastAsia="宋体" w:cs="仿宋_GB2312"/>
      <w:b/>
      <w:kern w:val="0"/>
      <w:sz w:val="24"/>
      <w:szCs w:val="20"/>
    </w:rPr>
  </w:style>
  <w:style w:type="paragraph" w:customStyle="1" w:styleId="1857">
    <w:name w:val="列表 4S"/>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1858">
    <w:name w:val="样式 标题 2 + Times New Roman 小三 居中 行距: 单倍行距"/>
    <w:basedOn w:val="7"/>
    <w:qFormat/>
    <w:uiPriority w:val="0"/>
    <w:pPr>
      <w:widowControl/>
      <w:numPr>
        <w:ilvl w:val="0"/>
        <w:numId w:val="0"/>
      </w:numPr>
      <w:spacing w:beforeLines="50" w:line="240" w:lineRule="auto"/>
      <w:ind w:firstLine="538" w:firstLineChars="192"/>
    </w:pPr>
    <w:rPr>
      <w:rFonts w:ascii="仿宋_GB2312" w:hAnsi="仿宋_GB2312" w:eastAsia="楷体" w:cs="Verdana"/>
      <w:bCs w:val="0"/>
      <w:kern w:val="0"/>
      <w:sz w:val="30"/>
      <w:szCs w:val="20"/>
    </w:rPr>
  </w:style>
  <w:style w:type="paragraph" w:customStyle="1" w:styleId="1859">
    <w:name w:val="xl98"/>
    <w:basedOn w:val="1"/>
    <w:qFormat/>
    <w:uiPriority w:val="0"/>
    <w:pPr>
      <w:widowControl/>
      <w:pBdr>
        <w:left w:val="single" w:color="auto" w:sz="8" w:space="0"/>
        <w:bottom w:val="single" w:color="auto" w:sz="8" w:space="0"/>
        <w:right w:val="single" w:color="auto" w:sz="4" w:space="0"/>
      </w:pBdr>
      <w:spacing w:before="100" w:beforeAutospacing="1" w:after="100" w:afterAutospacing="1" w:line="240" w:lineRule="auto"/>
      <w:jc w:val="center"/>
      <w:textAlignment w:val="center"/>
    </w:pPr>
    <w:rPr>
      <w:rFonts w:ascii="仿宋_GB2312" w:hAnsi="仿宋_GB2312" w:eastAsia="華康中楷體" w:cs="仿宋_GB2312"/>
      <w:kern w:val="0"/>
      <w:sz w:val="16"/>
      <w:szCs w:val="16"/>
    </w:rPr>
  </w:style>
  <w:style w:type="paragraph" w:customStyle="1" w:styleId="1860">
    <w:name w:val="正文 1"/>
    <w:basedOn w:val="52"/>
    <w:qFormat/>
    <w:uiPriority w:val="0"/>
    <w:pPr>
      <w:widowControl/>
      <w:adjustRightInd w:val="0"/>
      <w:snapToGrid w:val="0"/>
      <w:spacing w:line="240" w:lineRule="atLeast"/>
      <w:ind w:firstLine="0" w:firstLineChars="0"/>
      <w:jc w:val="center"/>
    </w:pPr>
    <w:rPr>
      <w:rFonts w:hAnsi="仿宋_GB2312" w:eastAsia="黑体" w:cs="仿宋_GB2312"/>
      <w:sz w:val="21"/>
    </w:rPr>
  </w:style>
  <w:style w:type="paragraph" w:customStyle="1" w:styleId="1861">
    <w:name w:val="样式 标题 3小标题小节标题标题3H3h33rd level第二层条标题4 + Arial 两端对齐"/>
    <w:basedOn w:val="8"/>
    <w:qFormat/>
    <w:uiPriority w:val="0"/>
    <w:pPr>
      <w:widowControl/>
      <w:numPr>
        <w:ilvl w:val="0"/>
        <w:numId w:val="0"/>
      </w:numPr>
      <w:tabs>
        <w:tab w:val="left" w:pos="1050"/>
        <w:tab w:val="left" w:pos="1111"/>
      </w:tabs>
      <w:adjustRightInd w:val="0"/>
      <w:spacing w:before="120" w:after="120" w:line="360" w:lineRule="auto"/>
      <w:ind w:left="851" w:hanging="851"/>
      <w:textAlignment w:val="baseline"/>
    </w:pPr>
    <w:rPr>
      <w:rFonts w:ascii="Courier New" w:hAnsi="Courier New" w:eastAsia="宋体" w:cs="Verdana"/>
      <w:color w:val="000000"/>
      <w:kern w:val="0"/>
      <w:sz w:val="30"/>
      <w:szCs w:val="30"/>
    </w:rPr>
  </w:style>
  <w:style w:type="paragraph" w:customStyle="1" w:styleId="1862">
    <w:name w:val="Pa0"/>
    <w:basedOn w:val="1"/>
    <w:next w:val="1"/>
    <w:qFormat/>
    <w:uiPriority w:val="0"/>
    <w:pPr>
      <w:widowControl/>
      <w:autoSpaceDE w:val="0"/>
      <w:autoSpaceDN w:val="0"/>
      <w:adjustRightInd w:val="0"/>
      <w:spacing w:line="241" w:lineRule="atLeast"/>
      <w:jc w:val="left"/>
    </w:pPr>
    <w:rPr>
      <w:rFonts w:ascii="楷体" w:hAnsi="仿宋_GB2312" w:eastAsia="楷体" w:cs="仿宋_GB2312"/>
      <w:kern w:val="0"/>
      <w:sz w:val="24"/>
      <w:szCs w:val="24"/>
    </w:rPr>
  </w:style>
  <w:style w:type="paragraph" w:customStyle="1" w:styleId="1863">
    <w:name w:val="101"/>
    <w:basedOn w:val="1"/>
    <w:qFormat/>
    <w:uiPriority w:val="0"/>
    <w:pPr>
      <w:widowControl/>
      <w:spacing w:before="100" w:beforeAutospacing="1" w:after="100" w:afterAutospacing="1" w:line="240" w:lineRule="auto"/>
      <w:jc w:val="left"/>
    </w:pPr>
    <w:rPr>
      <w:rFonts w:ascii="華康中楷體" w:hAnsi="華康中楷體" w:eastAsia="華康中楷體" w:cs="華康中楷體"/>
      <w:kern w:val="0"/>
      <w:sz w:val="24"/>
      <w:szCs w:val="24"/>
    </w:rPr>
  </w:style>
  <w:style w:type="paragraph" w:customStyle="1" w:styleId="1864">
    <w:name w:val="8.2.2.1"/>
    <w:basedOn w:val="1"/>
    <w:qFormat/>
    <w:uiPriority w:val="0"/>
    <w:pPr>
      <w:widowControl/>
      <w:tabs>
        <w:tab w:val="left" w:pos="0"/>
      </w:tabs>
      <w:spacing w:line="312" w:lineRule="auto"/>
      <w:jc w:val="left"/>
    </w:pPr>
    <w:rPr>
      <w:rFonts w:ascii="Times New Roman" w:hAnsi="Times New Roman" w:eastAsia="宋体" w:cs="Times New Roman"/>
      <w:sz w:val="24"/>
      <w:szCs w:val="20"/>
    </w:rPr>
  </w:style>
  <w:style w:type="paragraph" w:customStyle="1" w:styleId="1865">
    <w:name w:val="內文縮排 2"/>
    <w:basedOn w:val="24"/>
    <w:qFormat/>
    <w:uiPriority w:val="0"/>
    <w:pPr>
      <w:widowControl/>
      <w:spacing w:before="120" w:line="300" w:lineRule="auto"/>
      <w:ind w:left="794" w:firstLine="0" w:firstLineChars="0"/>
      <w:jc w:val="left"/>
    </w:pPr>
    <w:rPr>
      <w:rFonts w:ascii="Courier New" w:hAnsi="Courier New" w:cs="仿宋_GB2312"/>
      <w:bCs/>
      <w:spacing w:val="20"/>
      <w:szCs w:val="20"/>
      <w:lang w:eastAsia="zh-TW"/>
    </w:rPr>
  </w:style>
  <w:style w:type="paragraph" w:customStyle="1" w:styleId="1866">
    <w:name w:val="三级条标题"/>
    <w:basedOn w:val="1767"/>
    <w:next w:val="1"/>
    <w:qFormat/>
    <w:uiPriority w:val="0"/>
    <w:pPr>
      <w:tabs>
        <w:tab w:val="left" w:pos="2100"/>
      </w:tabs>
      <w:ind w:left="2100" w:hanging="420"/>
      <w:outlineLvl w:val="4"/>
    </w:pPr>
  </w:style>
  <w:style w:type="paragraph" w:customStyle="1" w:styleId="1867">
    <w:name w:val="小于节标题"/>
    <w:basedOn w:val="880"/>
    <w:qFormat/>
    <w:uiPriority w:val="0"/>
    <w:pPr>
      <w:widowControl/>
      <w:ind w:firstLine="0"/>
      <w:jc w:val="left"/>
    </w:pPr>
    <w:rPr>
      <w:rFonts w:eastAsia="华文中宋"/>
    </w:rPr>
  </w:style>
  <w:style w:type="paragraph" w:customStyle="1" w:styleId="1868">
    <w:name w:val="s0"/>
    <w:qFormat/>
    <w:uiPriority w:val="0"/>
    <w:pPr>
      <w:widowControl w:val="0"/>
      <w:autoSpaceDE w:val="0"/>
      <w:autoSpaceDN w:val="0"/>
      <w:adjustRightInd w:val="0"/>
    </w:pPr>
    <w:rPr>
      <w:rFonts w:ascii="汉鼎简书宋" w:hAnsi="仿宋_GB2312" w:eastAsia="汉鼎简书宋" w:cs="仿宋_GB2312"/>
      <w:lang w:val="en-US" w:eastAsia="zh-CN" w:bidi="ar-SA"/>
    </w:rPr>
  </w:style>
  <w:style w:type="paragraph" w:customStyle="1" w:styleId="1869">
    <w:name w:val="t12"/>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 w:type="paragraph" w:customStyle="1" w:styleId="1870">
    <w:name w:val="zxz5"/>
    <w:next w:val="1605"/>
    <w:qFormat/>
    <w:uiPriority w:val="0"/>
    <w:pPr>
      <w:tabs>
        <w:tab w:val="left" w:pos="0"/>
      </w:tabs>
      <w:jc w:val="center"/>
    </w:pPr>
    <w:rPr>
      <w:rFonts w:ascii="Verdana" w:hAnsi="Verdana" w:eastAsia="仿宋_GB2312" w:cs="Verdana"/>
      <w:bCs/>
      <w:kern w:val="2"/>
      <w:sz w:val="18"/>
      <w:szCs w:val="18"/>
      <w:lang w:val="en-US" w:eastAsia="zh-CN" w:bidi="ar-SA"/>
    </w:rPr>
  </w:style>
  <w:style w:type="paragraph" w:customStyle="1" w:styleId="1871">
    <w:name w:val="图题"/>
    <w:basedOn w:val="1"/>
    <w:qFormat/>
    <w:uiPriority w:val="0"/>
    <w:pPr>
      <w:widowControl/>
      <w:autoSpaceDE w:val="0"/>
      <w:autoSpaceDN w:val="0"/>
      <w:adjustRightInd w:val="0"/>
      <w:snapToGrid w:val="0"/>
      <w:spacing w:beforeLines="25" w:after="50" w:line="360" w:lineRule="atLeast"/>
      <w:ind w:left="175" w:leftChars="175"/>
      <w:jc w:val="center"/>
    </w:pPr>
    <w:rPr>
      <w:rFonts w:ascii="仿宋_GB2312" w:hAnsi="Times New Roman" w:eastAsia="宋体" w:cs="Times New Roman"/>
      <w:b/>
      <w:szCs w:val="24"/>
    </w:rPr>
  </w:style>
  <w:style w:type="paragraph" w:customStyle="1" w:styleId="1872">
    <w:name w:val="列表 4C"/>
    <w:basedOn w:val="81"/>
    <w:next w:val="81"/>
    <w:qFormat/>
    <w:uiPriority w:val="0"/>
    <w:pPr>
      <w:widowControl/>
      <w:tabs>
        <w:tab w:val="left" w:pos="562"/>
      </w:tabs>
      <w:adjustRightInd/>
      <w:spacing w:beforeLines="20" w:afterLines="20" w:line="288" w:lineRule="auto"/>
      <w:ind w:left="562"/>
      <w:jc w:val="left"/>
      <w:textAlignment w:val="auto"/>
    </w:pPr>
    <w:rPr>
      <w:rFonts w:ascii="Courier New" w:hAnsi="Courier New" w:cs="仿宋_GB2312"/>
      <w:color w:val="CCFFFF"/>
      <w:kern w:val="2"/>
    </w:rPr>
  </w:style>
  <w:style w:type="paragraph" w:customStyle="1" w:styleId="1873">
    <w:name w:val="样式 标题 3小标题小节标题H3h33rd level第二层条标题4标题 3 Char标题 3 Char Ch...2"/>
    <w:basedOn w:val="8"/>
    <w:qFormat/>
    <w:uiPriority w:val="0"/>
    <w:pPr>
      <w:widowControl/>
      <w:numPr>
        <w:ilvl w:val="0"/>
        <w:numId w:val="0"/>
      </w:numPr>
      <w:tabs>
        <w:tab w:val="left" w:pos="709"/>
        <w:tab w:val="left" w:pos="851"/>
        <w:tab w:val="left" w:pos="1364"/>
      </w:tabs>
      <w:adjustRightInd w:val="0"/>
      <w:spacing w:before="120" w:after="120" w:line="240" w:lineRule="auto"/>
      <w:ind w:left="709" w:hanging="709"/>
      <w:textAlignment w:val="baseline"/>
    </w:pPr>
    <w:rPr>
      <w:rFonts w:ascii="Courier New" w:hAnsi="Courier New" w:eastAsia="宋体" w:cs="Courier New"/>
      <w:bCs w:val="0"/>
      <w:color w:val="0000FF"/>
      <w:kern w:val="0"/>
      <w:sz w:val="30"/>
      <w:szCs w:val="30"/>
    </w:rPr>
  </w:style>
  <w:style w:type="paragraph" w:customStyle="1" w:styleId="1874">
    <w:name w:val="列表 4L"/>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1875">
    <w:name w:val="样式 标题 2 + Times New Roman 小三 居中 行距: 固定值 20 磅"/>
    <w:basedOn w:val="7"/>
    <w:qFormat/>
    <w:uiPriority w:val="0"/>
    <w:pPr>
      <w:widowControl/>
      <w:numPr>
        <w:ilvl w:val="0"/>
        <w:numId w:val="0"/>
      </w:numPr>
      <w:spacing w:beforeLines="50" w:line="400" w:lineRule="exact"/>
      <w:ind w:firstLine="538" w:firstLineChars="192"/>
    </w:pPr>
    <w:rPr>
      <w:rFonts w:ascii="仿宋_GB2312" w:hAnsi="仿宋_GB2312" w:eastAsia="楷体" w:cs="Verdana"/>
      <w:bCs w:val="0"/>
      <w:kern w:val="0"/>
      <w:sz w:val="30"/>
      <w:szCs w:val="20"/>
    </w:rPr>
  </w:style>
  <w:style w:type="paragraph" w:customStyle="1" w:styleId="1876">
    <w:name w:val="正文图五"/>
    <w:basedOn w:val="1"/>
    <w:qFormat/>
    <w:uiPriority w:val="0"/>
    <w:pPr>
      <w:widowControl/>
      <w:adjustRightInd w:val="0"/>
      <w:snapToGrid w:val="0"/>
      <w:spacing w:line="240" w:lineRule="auto"/>
      <w:jc w:val="center"/>
    </w:pPr>
    <w:rPr>
      <w:rFonts w:ascii="仿宋_GB2312" w:hAnsi="仿宋_GB2312" w:eastAsia="Times New Roman" w:cs="仿宋_GB2312"/>
      <w:spacing w:val="6"/>
      <w:szCs w:val="20"/>
    </w:rPr>
  </w:style>
  <w:style w:type="paragraph" w:customStyle="1" w:styleId="1877">
    <w:name w:val="样式 标题 1 + (中文) 黑体 三号 居中 行距: 单倍行距"/>
    <w:basedOn w:val="6"/>
    <w:qFormat/>
    <w:uiPriority w:val="0"/>
    <w:pPr>
      <w:widowControl/>
      <w:numPr>
        <w:numId w:val="0"/>
      </w:numPr>
      <w:topLinePunct/>
      <w:autoSpaceDE w:val="0"/>
      <w:autoSpaceDN w:val="0"/>
      <w:adjustRightInd w:val="0"/>
      <w:snapToGrid w:val="0"/>
      <w:spacing w:line="240" w:lineRule="auto"/>
      <w:ind w:firstLine="538" w:firstLineChars="224"/>
      <w:jc w:val="left"/>
    </w:pPr>
    <w:rPr>
      <w:rFonts w:ascii="Verdana" w:hAnsi="仿宋_GB2312" w:eastAsia="楷体" w:cs="Verdana"/>
      <w:b w:val="0"/>
      <w:bCs w:val="0"/>
      <w:sz w:val="24"/>
      <w:szCs w:val="20"/>
    </w:rPr>
  </w:style>
  <w:style w:type="paragraph" w:customStyle="1" w:styleId="1878">
    <w:name w:val="样式 标题 2节标题标题21.1H2h2第一层条4.1二级标题标题 lxb2二级标题 Char表标题单位..."/>
    <w:basedOn w:val="1"/>
    <w:qFormat/>
    <w:uiPriority w:val="0"/>
    <w:pPr>
      <w:widowControl/>
      <w:tabs>
        <w:tab w:val="left" w:pos="567"/>
      </w:tabs>
      <w:spacing w:line="240" w:lineRule="auto"/>
      <w:ind w:left="567" w:hanging="567"/>
      <w:jc w:val="left"/>
    </w:pPr>
    <w:rPr>
      <w:rFonts w:ascii="仿宋_GB2312" w:hAnsi="仿宋_GB2312" w:eastAsia="宋体" w:cs="仿宋_GB2312"/>
      <w:szCs w:val="24"/>
    </w:rPr>
  </w:style>
  <w:style w:type="paragraph" w:customStyle="1" w:styleId="1879">
    <w:name w:val="BG1"/>
    <w:basedOn w:val="1"/>
    <w:qFormat/>
    <w:uiPriority w:val="0"/>
    <w:pPr>
      <w:widowControl/>
      <w:autoSpaceDE w:val="0"/>
      <w:autoSpaceDN w:val="0"/>
      <w:spacing w:line="240" w:lineRule="auto"/>
      <w:jc w:val="center"/>
    </w:pPr>
    <w:rPr>
      <w:rFonts w:ascii="仿宋_GB2312" w:hAnsi="仿宋_GB2312" w:eastAsia="宋体" w:cs="仿宋_GB2312"/>
      <w:color w:val="000000"/>
      <w:kern w:val="0"/>
      <w:szCs w:val="24"/>
    </w:rPr>
  </w:style>
  <w:style w:type="paragraph" w:customStyle="1" w:styleId="1880">
    <w:name w:val="标-4"/>
    <w:basedOn w:val="1"/>
    <w:qFormat/>
    <w:uiPriority w:val="0"/>
    <w:pPr>
      <w:widowControl/>
      <w:spacing w:before="120" w:line="240" w:lineRule="auto"/>
      <w:ind w:left="851" w:hanging="851"/>
      <w:jc w:val="left"/>
    </w:pPr>
    <w:rPr>
      <w:rFonts w:ascii="仿宋_GB2312" w:hAnsi="仿宋_GB2312" w:eastAsia="宋体" w:cs="仿宋_GB2312"/>
      <w:sz w:val="24"/>
      <w:szCs w:val="20"/>
    </w:rPr>
  </w:style>
  <w:style w:type="paragraph" w:customStyle="1" w:styleId="1881">
    <w:name w:val="样式 正文缩进正文（首行缩进两字）正文（首行缩进两字） Char Char Char Char Char Char Char..."/>
    <w:basedOn w:val="24"/>
    <w:qFormat/>
    <w:uiPriority w:val="0"/>
    <w:pPr>
      <w:widowControl/>
      <w:tabs>
        <w:tab w:val="left" w:pos="3360"/>
      </w:tabs>
      <w:adjustRightInd w:val="0"/>
      <w:snapToGrid w:val="0"/>
      <w:ind w:firstLine="480"/>
      <w:jc w:val="left"/>
      <w:textAlignment w:val="baseline"/>
    </w:pPr>
    <w:rPr>
      <w:rFonts w:ascii="经典叠圆体简" w:hAnsi="仿宋_GB2312" w:eastAsia="经典叠圆体简" w:cs="仿宋_GB2312"/>
      <w:kern w:val="0"/>
    </w:rPr>
  </w:style>
  <w:style w:type="paragraph" w:customStyle="1" w:styleId="1882">
    <w:name w:val="一级目录1"/>
    <w:basedOn w:val="1"/>
    <w:qFormat/>
    <w:uiPriority w:val="0"/>
    <w:pPr>
      <w:keepNext/>
      <w:keepLines/>
      <w:widowControl/>
      <w:adjustRightInd w:val="0"/>
      <w:snapToGrid w:val="0"/>
      <w:jc w:val="left"/>
      <w:outlineLvl w:val="2"/>
    </w:pPr>
    <w:rPr>
      <w:rFonts w:ascii="Times New Roman" w:hAnsi="宋体" w:eastAsia="宋体" w:cs="Times New Roman"/>
      <w:b/>
      <w:color w:val="0000FF"/>
      <w:sz w:val="30"/>
      <w:szCs w:val="30"/>
    </w:rPr>
  </w:style>
  <w:style w:type="paragraph" w:customStyle="1" w:styleId="1883">
    <w:name w:val="标题 4(1).H41.1.1.1标题 4.1.1.1.1标题 4 Char款四级标题，黑粗，小四，序号h..."/>
    <w:basedOn w:val="9"/>
    <w:qFormat/>
    <w:uiPriority w:val="0"/>
    <w:pPr>
      <w:keepNext w:val="0"/>
      <w:keepLines w:val="0"/>
      <w:widowControl/>
      <w:numPr>
        <w:ilvl w:val="0"/>
        <w:numId w:val="0"/>
      </w:numPr>
      <w:spacing w:before="120" w:after="120" w:line="360" w:lineRule="auto"/>
    </w:pPr>
    <w:rPr>
      <w:rFonts w:eastAsia="华文楷体" w:cs="Times New Roman"/>
      <w:bCs w:val="0"/>
      <w:szCs w:val="20"/>
    </w:rPr>
  </w:style>
  <w:style w:type="paragraph" w:customStyle="1" w:styleId="1884">
    <w:name w:val="图文框"/>
    <w:basedOn w:val="1"/>
    <w:qFormat/>
    <w:uiPriority w:val="0"/>
    <w:pPr>
      <w:widowControl/>
      <w:autoSpaceDE w:val="0"/>
      <w:autoSpaceDN w:val="0"/>
      <w:adjustRightInd w:val="0"/>
      <w:snapToGrid w:val="0"/>
      <w:spacing w:line="400" w:lineRule="atLeast"/>
      <w:jc w:val="center"/>
      <w:textAlignment w:val="baseline"/>
    </w:pPr>
    <w:rPr>
      <w:rFonts w:ascii="宋体" w:hAnsi="Times New Roman" w:eastAsia="宋体" w:cs="Times New Roman"/>
      <w:kern w:val="0"/>
      <w:szCs w:val="20"/>
    </w:rPr>
  </w:style>
  <w:style w:type="paragraph" w:customStyle="1" w:styleId="1885">
    <w:name w:val="样式 正文缩进正文缩进 Char + 首行缩进:  2 字符"/>
    <w:basedOn w:val="24"/>
    <w:qFormat/>
    <w:uiPriority w:val="0"/>
    <w:pPr>
      <w:widowControl/>
      <w:adjustRightInd w:val="0"/>
      <w:snapToGrid w:val="0"/>
      <w:ind w:firstLine="480"/>
      <w:jc w:val="left"/>
    </w:pPr>
    <w:rPr>
      <w:rFonts w:ascii="仿宋_GB2312" w:hAnsi="仿宋_GB2312" w:cs="仿宋_GB2312"/>
      <w:kern w:val="0"/>
    </w:rPr>
  </w:style>
  <w:style w:type="paragraph" w:customStyle="1" w:styleId="1886">
    <w:name w:val="列表 2R"/>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1887">
    <w:name w:val="附录五级条标题"/>
    <w:basedOn w:val="1888"/>
    <w:next w:val="1"/>
    <w:qFormat/>
    <w:uiPriority w:val="0"/>
    <w:pPr>
      <w:tabs>
        <w:tab w:val="left" w:pos="828"/>
      </w:tabs>
      <w:ind w:left="435" w:hanging="165"/>
      <w:outlineLvl w:val="6"/>
    </w:pPr>
  </w:style>
  <w:style w:type="paragraph" w:customStyle="1" w:styleId="1888">
    <w:name w:val="附录四级条标题"/>
    <w:basedOn w:val="1749"/>
    <w:next w:val="1"/>
    <w:qFormat/>
    <w:uiPriority w:val="0"/>
    <w:pPr>
      <w:ind w:left="960"/>
      <w:outlineLvl w:val="5"/>
    </w:pPr>
  </w:style>
  <w:style w:type="paragraph" w:customStyle="1" w:styleId="1889">
    <w:name w:val="德胜二级标题"/>
    <w:basedOn w:val="1823"/>
    <w:qFormat/>
    <w:uiPriority w:val="0"/>
    <w:pPr>
      <w:outlineLvl w:val="1"/>
    </w:pPr>
    <w:rPr>
      <w:sz w:val="28"/>
      <w:szCs w:val="28"/>
    </w:rPr>
  </w:style>
  <w:style w:type="paragraph" w:customStyle="1" w:styleId="1890">
    <w:name w:val="6表格"/>
    <w:basedOn w:val="1"/>
    <w:qFormat/>
    <w:uiPriority w:val="0"/>
    <w:pPr>
      <w:widowControl/>
      <w:adjustRightInd w:val="0"/>
      <w:snapToGrid w:val="0"/>
      <w:spacing w:before="60" w:line="312" w:lineRule="auto"/>
      <w:jc w:val="center"/>
    </w:pPr>
    <w:rPr>
      <w:rFonts w:ascii="仿宋_GB2312" w:hAnsi="仿宋_GB2312" w:eastAsia="宋体" w:cs="仿宋_GB2312"/>
      <w:kern w:val="0"/>
      <w:szCs w:val="20"/>
    </w:rPr>
  </w:style>
  <w:style w:type="paragraph" w:customStyle="1" w:styleId="1891">
    <w:name w:val="正文3"/>
    <w:basedOn w:val="1"/>
    <w:qFormat/>
    <w:uiPriority w:val="0"/>
    <w:pPr>
      <w:widowControl/>
      <w:autoSpaceDE w:val="0"/>
      <w:autoSpaceDN w:val="0"/>
      <w:spacing w:after="160" w:line="440" w:lineRule="exact"/>
      <w:ind w:left="567" w:hanging="340"/>
      <w:jc w:val="left"/>
      <w:textAlignment w:val="bottom"/>
    </w:pPr>
    <w:rPr>
      <w:rFonts w:ascii="仿宋_GB2312" w:hAnsi="仿宋_GB2312" w:eastAsia="宋体" w:cs="仿宋_GB2312"/>
      <w:color w:val="000000"/>
      <w:sz w:val="28"/>
      <w:szCs w:val="20"/>
    </w:rPr>
  </w:style>
  <w:style w:type="paragraph" w:customStyle="1" w:styleId="1892">
    <w:name w:val="xl109"/>
    <w:basedOn w:val="1"/>
    <w:qFormat/>
    <w:uiPriority w:val="0"/>
    <w:pPr>
      <w:widowControl/>
      <w:pBdr>
        <w:top w:val="single" w:color="auto" w:sz="4" w:space="0"/>
        <w:right w:val="single" w:color="auto" w:sz="8" w:space="0"/>
      </w:pBdr>
      <w:spacing w:before="100" w:beforeAutospacing="1" w:after="100" w:afterAutospacing="1" w:line="240" w:lineRule="auto"/>
      <w:jc w:val="center"/>
      <w:textAlignment w:val="center"/>
    </w:pPr>
    <w:rPr>
      <w:rFonts w:ascii="華康中楷體" w:hAnsi="華康中楷體" w:eastAsia="華康中楷體" w:cs="華康中楷體"/>
      <w:kern w:val="0"/>
      <w:sz w:val="16"/>
      <w:szCs w:val="16"/>
    </w:rPr>
  </w:style>
  <w:style w:type="paragraph" w:customStyle="1" w:styleId="1893">
    <w:name w:val="Indent1"/>
    <w:basedOn w:val="1"/>
    <w:qFormat/>
    <w:uiPriority w:val="0"/>
    <w:pPr>
      <w:widowControl/>
      <w:overflowPunct w:val="0"/>
      <w:autoSpaceDE w:val="0"/>
      <w:autoSpaceDN w:val="0"/>
      <w:adjustRightInd w:val="0"/>
      <w:spacing w:line="240" w:lineRule="auto"/>
      <w:ind w:left="1440" w:hanging="720"/>
      <w:jc w:val="left"/>
      <w:textAlignment w:val="baseline"/>
    </w:pPr>
    <w:rPr>
      <w:rFonts w:ascii="Courier New" w:hAnsi="Courier New" w:eastAsia="宋体" w:cs="仿宋_GB2312"/>
      <w:kern w:val="0"/>
      <w:sz w:val="22"/>
      <w:szCs w:val="20"/>
    </w:rPr>
  </w:style>
  <w:style w:type="paragraph" w:customStyle="1" w:styleId="1894">
    <w:name w:val="文件名称"/>
    <w:basedOn w:val="1"/>
    <w:next w:val="1"/>
    <w:qFormat/>
    <w:uiPriority w:val="0"/>
    <w:pPr>
      <w:widowControl/>
      <w:spacing w:beforeLines="100" w:line="500" w:lineRule="atLeast"/>
      <w:jc w:val="center"/>
    </w:pPr>
    <w:rPr>
      <w:rFonts w:ascii="楷体" w:hAnsi="仿宋_GB2312" w:eastAsia="楷体" w:cs="仿宋_GB2312"/>
      <w:sz w:val="84"/>
      <w:szCs w:val="84"/>
    </w:rPr>
  </w:style>
  <w:style w:type="paragraph" w:customStyle="1" w:styleId="1895">
    <w:name w:val="hb3"/>
    <w:basedOn w:val="8"/>
    <w:qFormat/>
    <w:uiPriority w:val="0"/>
    <w:pPr>
      <w:widowControl/>
      <w:numPr>
        <w:ilvl w:val="0"/>
        <w:numId w:val="0"/>
      </w:numPr>
      <w:adjustRightInd w:val="0"/>
      <w:spacing w:line="500" w:lineRule="exact"/>
      <w:textAlignment w:val="baseline"/>
    </w:pPr>
    <w:rPr>
      <w:rFonts w:ascii="仿宋_GB2312" w:hAnsi="仿宋_GB2312" w:eastAsia="宋体" w:cs="仿宋_GB2312"/>
      <w:bCs w:val="0"/>
      <w:sz w:val="28"/>
      <w:szCs w:val="28"/>
    </w:rPr>
  </w:style>
  <w:style w:type="paragraph" w:customStyle="1" w:styleId="1896">
    <w:name w:val="样式 样式2 + 段前: 6 磅 行距: 单倍行距2"/>
    <w:basedOn w:val="249"/>
    <w:qFormat/>
    <w:uiPriority w:val="0"/>
    <w:pPr>
      <w:keepNext w:val="0"/>
      <w:keepLines w:val="0"/>
      <w:widowControl/>
      <w:tabs>
        <w:tab w:val="clear" w:pos="1134"/>
      </w:tabs>
      <w:autoSpaceDE w:val="0"/>
      <w:autoSpaceDN w:val="0"/>
      <w:adjustRightInd w:val="0"/>
      <w:snapToGrid w:val="0"/>
      <w:spacing w:beforeLines="0" w:after="0" w:line="240" w:lineRule="auto"/>
      <w:ind w:left="0" w:firstLine="0"/>
      <w:jc w:val="center"/>
      <w:textAlignment w:val="baseline"/>
      <w:outlineLvl w:val="9"/>
    </w:pPr>
    <w:rPr>
      <w:spacing w:val="-16"/>
      <w:kern w:val="2"/>
      <w:szCs w:val="21"/>
    </w:rPr>
  </w:style>
  <w:style w:type="paragraph" w:customStyle="1" w:styleId="1897">
    <w:name w:val="列表 4M"/>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1898">
    <w:name w:val="样式 标题 2第一层条Head2A2H2h2Heading 2 HiddenHeading 2 CCBS第一章 ..."/>
    <w:basedOn w:val="7"/>
    <w:qFormat/>
    <w:uiPriority w:val="0"/>
    <w:pPr>
      <w:widowControl/>
      <w:numPr>
        <w:ilvl w:val="0"/>
        <w:numId w:val="0"/>
      </w:numPr>
      <w:adjustRightInd w:val="0"/>
      <w:spacing w:beforeLines="50" w:after="0" w:line="360" w:lineRule="auto"/>
      <w:jc w:val="both"/>
      <w:textAlignment w:val="baseline"/>
    </w:pPr>
    <w:rPr>
      <w:rFonts w:ascii="仿宋_GB2312" w:hAnsi="仿宋_GB2312" w:eastAsia="楷体" w:cs="仿宋_GB2312"/>
      <w:color w:val="0000FF"/>
      <w:kern w:val="0"/>
      <w:szCs w:val="20"/>
    </w:rPr>
  </w:style>
  <w:style w:type="paragraph" w:customStyle="1" w:styleId="1899">
    <w:name w:val="Char Char Char1 Char Char Char Char Char Char Char Char Char Char Char Char Char Char Char Char"/>
    <w:basedOn w:val="1"/>
    <w:qFormat/>
    <w:uiPriority w:val="0"/>
    <w:pPr>
      <w:widowControl/>
      <w:spacing w:line="240" w:lineRule="auto"/>
      <w:jc w:val="left"/>
    </w:pPr>
    <w:rPr>
      <w:rFonts w:ascii="Times New Roman" w:hAnsi="Times New Roman" w:eastAsia="宋体" w:cs="Times New Roman"/>
      <w:sz w:val="24"/>
      <w:szCs w:val="24"/>
    </w:rPr>
  </w:style>
  <w:style w:type="paragraph" w:customStyle="1" w:styleId="1900">
    <w:name w:val="样式 标题 2标题21.1H2h2第一层条2Header 2nd PageA.B.C.h2 main head..."/>
    <w:basedOn w:val="7"/>
    <w:qFormat/>
    <w:uiPriority w:val="0"/>
    <w:pPr>
      <w:widowControl/>
      <w:numPr>
        <w:ilvl w:val="0"/>
        <w:numId w:val="0"/>
      </w:numPr>
      <w:snapToGrid w:val="0"/>
      <w:spacing w:beforeLines="50" w:after="0" w:line="360" w:lineRule="auto"/>
      <w:jc w:val="both"/>
    </w:pPr>
    <w:rPr>
      <w:rFonts w:ascii="仿宋_GB2312" w:hAnsi="仿宋_GB2312" w:eastAsia="楷体" w:cs="仿宋_GB2312"/>
      <w:bCs w:val="0"/>
      <w:sz w:val="30"/>
      <w:szCs w:val="30"/>
    </w:rPr>
  </w:style>
  <w:style w:type="paragraph" w:customStyle="1" w:styleId="1901">
    <w:name w:val="样式 正文文本 + 红色"/>
    <w:basedOn w:val="4"/>
    <w:qFormat/>
    <w:uiPriority w:val="0"/>
    <w:pPr>
      <w:widowControl/>
      <w:adjustRightInd w:val="0"/>
      <w:snapToGrid w:val="0"/>
      <w:spacing w:before="60" w:after="60" w:line="264" w:lineRule="auto"/>
      <w:ind w:firstLine="200" w:firstLineChars="200"/>
      <w:jc w:val="left"/>
      <w:textAlignment w:val="baseline"/>
    </w:pPr>
    <w:rPr>
      <w:rFonts w:ascii="仿宋_GB2312" w:hAnsi="仿宋_GB2312" w:eastAsia="Times New Roman" w:cs="仿宋_GB2312"/>
      <w:color w:val="FF0000"/>
      <w:kern w:val="0"/>
      <w:sz w:val="24"/>
      <w:szCs w:val="24"/>
    </w:rPr>
  </w:style>
  <w:style w:type="paragraph" w:customStyle="1" w:styleId="1902">
    <w:name w:val="文本框五号1.5倍行距"/>
    <w:qFormat/>
    <w:uiPriority w:val="0"/>
    <w:pPr>
      <w:spacing w:line="360" w:lineRule="auto"/>
    </w:pPr>
    <w:rPr>
      <w:rFonts w:ascii="Calibri" w:hAnsi="Calibri" w:eastAsia="宋体" w:cs="Times New Roman"/>
      <w:lang w:val="en-US" w:eastAsia="zh-CN" w:bidi="ar-SA"/>
    </w:rPr>
  </w:style>
  <w:style w:type="paragraph" w:customStyle="1" w:styleId="1903">
    <w:name w:val="样式 正文(首行缩进) + 8 磅 加粗 首行缩进:  2 字符1"/>
    <w:basedOn w:val="1"/>
    <w:qFormat/>
    <w:uiPriority w:val="0"/>
    <w:pPr>
      <w:widowControl/>
      <w:adjustRightInd w:val="0"/>
      <w:snapToGrid w:val="0"/>
      <w:spacing w:line="240" w:lineRule="auto"/>
      <w:ind w:firstLine="200" w:firstLineChars="200"/>
      <w:jc w:val="left"/>
    </w:pPr>
    <w:rPr>
      <w:rFonts w:ascii="仿宋_GB2312" w:hAnsi="仿宋_GB2312" w:eastAsia="宋体" w:cs="Verdana"/>
      <w:b/>
      <w:bCs/>
      <w:kern w:val="0"/>
      <w:sz w:val="16"/>
      <w:szCs w:val="20"/>
    </w:rPr>
  </w:style>
  <w:style w:type="paragraph" w:customStyle="1" w:styleId="1904">
    <w:name w:val="標準インデント　2"/>
    <w:basedOn w:val="24"/>
    <w:qFormat/>
    <w:uiPriority w:val="0"/>
    <w:pPr>
      <w:widowControl/>
      <w:overflowPunct w:val="0"/>
      <w:autoSpaceDE w:val="0"/>
      <w:autoSpaceDN w:val="0"/>
      <w:adjustRightInd w:val="0"/>
      <w:spacing w:line="240" w:lineRule="auto"/>
      <w:ind w:left="2900" w:hanging="2038" w:firstLineChars="0"/>
      <w:jc w:val="left"/>
      <w:textAlignment w:val="baseline"/>
    </w:pPr>
    <w:rPr>
      <w:rFonts w:ascii="仿宋_GB2312" w:hAnsi="仿宋_GB2312" w:eastAsia="Times New Roman" w:cs="仿宋_GB2312"/>
      <w:kern w:val="0"/>
      <w:sz w:val="20"/>
      <w:szCs w:val="20"/>
      <w:lang w:eastAsia="ja-JP"/>
    </w:rPr>
  </w:style>
  <w:style w:type="paragraph" w:customStyle="1" w:styleId="1905">
    <w:name w:val="样式 样式 样式 方正宋三简体 14 磅 行距: 1.5 倍行距1 + 首行缩进:  2 字符 + 首行缩进:  2 字符"/>
    <w:basedOn w:val="1"/>
    <w:qFormat/>
    <w:uiPriority w:val="0"/>
    <w:pPr>
      <w:widowControl/>
      <w:spacing w:line="240" w:lineRule="auto"/>
      <w:ind w:firstLine="574" w:firstLineChars="200"/>
      <w:jc w:val="left"/>
    </w:pPr>
    <w:rPr>
      <w:rFonts w:ascii="Verdana" w:hAnsi="Calibri" w:eastAsia="宋体" w:cs="仿宋_GB2312"/>
      <w:sz w:val="27"/>
      <w:szCs w:val="20"/>
    </w:rPr>
  </w:style>
  <w:style w:type="paragraph" w:customStyle="1" w:styleId="1906">
    <w:name w:val="五级无标题条"/>
    <w:basedOn w:val="1"/>
    <w:qFormat/>
    <w:uiPriority w:val="0"/>
    <w:pPr>
      <w:widowControl/>
      <w:spacing w:line="240" w:lineRule="auto"/>
      <w:jc w:val="left"/>
    </w:pPr>
    <w:rPr>
      <w:rFonts w:ascii="Times New Roman" w:hAnsi="Times New Roman" w:eastAsia="宋体" w:cs="Times New Roman"/>
      <w:szCs w:val="20"/>
    </w:rPr>
  </w:style>
  <w:style w:type="paragraph" w:customStyle="1" w:styleId="1907">
    <w:name w:val="0007小四 居中"/>
    <w:basedOn w:val="1"/>
    <w:qFormat/>
    <w:uiPriority w:val="0"/>
    <w:pPr>
      <w:widowControl/>
      <w:autoSpaceDE w:val="0"/>
      <w:autoSpaceDN w:val="0"/>
      <w:adjustRightInd w:val="0"/>
      <w:spacing w:line="500" w:lineRule="exact"/>
      <w:jc w:val="center"/>
    </w:pPr>
    <w:rPr>
      <w:rFonts w:ascii="宋体" w:hAnsi="宋体" w:eastAsia="宋体" w:cs="Times New Roman"/>
      <w:sz w:val="24"/>
      <w:szCs w:val="24"/>
    </w:rPr>
  </w:style>
  <w:style w:type="paragraph" w:customStyle="1" w:styleId="1908">
    <w:name w:val="a9"/>
    <w:basedOn w:val="1"/>
    <w:qFormat/>
    <w:uiPriority w:val="0"/>
    <w:pPr>
      <w:widowControl/>
      <w:spacing w:before="100" w:beforeAutospacing="1" w:after="100" w:afterAutospacing="1" w:line="240" w:lineRule="auto"/>
      <w:jc w:val="left"/>
    </w:pPr>
    <w:rPr>
      <w:rFonts w:ascii="宋体" w:hAnsi="宋体" w:eastAsia="宋体" w:cs="Times New Roman"/>
      <w:color w:val="000000"/>
      <w:kern w:val="0"/>
      <w:sz w:val="24"/>
      <w:szCs w:val="24"/>
    </w:rPr>
  </w:style>
  <w:style w:type="paragraph" w:customStyle="1" w:styleId="1909">
    <w:name w:val="表内-文字"/>
    <w:basedOn w:val="1"/>
    <w:qFormat/>
    <w:uiPriority w:val="0"/>
    <w:pPr>
      <w:widowControl/>
      <w:spacing w:line="320" w:lineRule="exact"/>
      <w:jc w:val="center"/>
    </w:pPr>
    <w:rPr>
      <w:rFonts w:ascii="仿宋_GB2312" w:hAnsi="仿宋_GB2312" w:eastAsia="经典叠圆体简" w:cs="Verdana"/>
      <w:bCs/>
      <w:color w:val="000000"/>
    </w:rPr>
  </w:style>
  <w:style w:type="paragraph" w:customStyle="1" w:styleId="1910">
    <w:name w:val="表格2"/>
    <w:basedOn w:val="1"/>
    <w:qFormat/>
    <w:uiPriority w:val="0"/>
    <w:pPr>
      <w:widowControl/>
      <w:autoSpaceDE w:val="0"/>
      <w:autoSpaceDN w:val="0"/>
      <w:adjustRightInd w:val="0"/>
      <w:snapToGrid w:val="0"/>
      <w:spacing w:line="240" w:lineRule="auto"/>
      <w:jc w:val="center"/>
    </w:pPr>
    <w:rPr>
      <w:rFonts w:ascii="Verdana" w:hAnsi="Verdana" w:eastAsia="宋体" w:cs="仿宋_GB2312"/>
      <w:spacing w:val="-8"/>
      <w:szCs w:val="24"/>
    </w:rPr>
  </w:style>
  <w:style w:type="paragraph" w:customStyle="1" w:styleId="1911">
    <w:name w:val="表左"/>
    <w:basedOn w:val="1"/>
    <w:qFormat/>
    <w:uiPriority w:val="0"/>
    <w:pPr>
      <w:widowControl/>
      <w:spacing w:line="280" w:lineRule="exact"/>
      <w:jc w:val="left"/>
    </w:pPr>
    <w:rPr>
      <w:rFonts w:ascii="Verdana" w:hAnsi="仿宋_GB2312" w:eastAsia="宋体" w:cs="仿宋_GB2312"/>
      <w:color w:val="000000"/>
      <w:sz w:val="18"/>
      <w:szCs w:val="24"/>
    </w:rPr>
  </w:style>
  <w:style w:type="paragraph" w:customStyle="1" w:styleId="1912">
    <w:name w:val="样式 标题 2节标题1.1标题 2节Char节标题 1.1节标题 1.1 Char Char节标题 1.1 Cha..."/>
    <w:basedOn w:val="7"/>
    <w:qFormat/>
    <w:uiPriority w:val="0"/>
    <w:pPr>
      <w:keepLines w:val="0"/>
      <w:widowControl/>
      <w:numPr>
        <w:ilvl w:val="0"/>
        <w:numId w:val="0"/>
      </w:numPr>
      <w:adjustRightInd w:val="0"/>
      <w:snapToGrid w:val="0"/>
      <w:spacing w:beforeLines="50" w:after="0" w:line="360" w:lineRule="auto"/>
      <w:jc w:val="both"/>
      <w:outlineLvl w:val="9"/>
    </w:pPr>
    <w:rPr>
      <w:rFonts w:ascii="Calibri" w:hAnsi="Calibri" w:eastAsia="宋体" w:cs="Times New Roman"/>
      <w:szCs w:val="28"/>
    </w:rPr>
  </w:style>
  <w:style w:type="paragraph" w:customStyle="1" w:styleId="1913">
    <w:name w:val="样式 正文首行缩进 + 首行缩进:  2 字符1"/>
    <w:basedOn w:val="1"/>
    <w:next w:val="665"/>
    <w:qFormat/>
    <w:uiPriority w:val="0"/>
    <w:pPr>
      <w:widowControl/>
      <w:ind w:firstLine="480" w:firstLineChars="200"/>
      <w:jc w:val="left"/>
    </w:pPr>
    <w:rPr>
      <w:rFonts w:ascii="仿宋_GB2312" w:hAnsi="仿宋_GB2312" w:eastAsia="宋体" w:cs="仿宋_GB2312"/>
      <w:sz w:val="24"/>
      <w:szCs w:val="24"/>
    </w:rPr>
  </w:style>
  <w:style w:type="paragraph" w:customStyle="1" w:styleId="1914">
    <w:name w:val="样式 标题 31.1.1条标题 3 Char Char标题 3 Char标3可研-标题 3§1.1.1.. (1..."/>
    <w:basedOn w:val="8"/>
    <w:qFormat/>
    <w:uiPriority w:val="0"/>
    <w:pPr>
      <w:keepNext w:val="0"/>
      <w:keepLines w:val="0"/>
      <w:widowControl/>
      <w:numPr>
        <w:ilvl w:val="0"/>
        <w:numId w:val="0"/>
      </w:numPr>
      <w:tabs>
        <w:tab w:val="left" w:pos="180"/>
        <w:tab w:val="left" w:pos="390"/>
        <w:tab w:val="left" w:pos="628"/>
      </w:tabs>
      <w:autoSpaceDE w:val="0"/>
      <w:autoSpaceDN w:val="0"/>
      <w:adjustRightInd w:val="0"/>
      <w:snapToGrid w:val="0"/>
      <w:spacing w:before="0" w:after="0" w:line="360" w:lineRule="auto"/>
    </w:pPr>
    <w:rPr>
      <w:rFonts w:ascii="宋体" w:hAnsi="宋体" w:eastAsia="宋体" w:cs="Times New Roman"/>
      <w:b w:val="0"/>
      <w:bCs w:val="0"/>
      <w:color w:val="000000"/>
      <w:spacing w:val="3"/>
      <w:sz w:val="28"/>
      <w:szCs w:val="28"/>
      <w:lang w:val="zh-CN"/>
    </w:rPr>
  </w:style>
  <w:style w:type="paragraph" w:customStyle="1" w:styleId="1915">
    <w:name w:val="列表 5L"/>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1916">
    <w:name w:val="Char Char Char1 Char Char Char1 Char Char Char Char Char Char1 Char Char Char1 Char"/>
    <w:basedOn w:val="1"/>
    <w:qFormat/>
    <w:uiPriority w:val="0"/>
    <w:pPr>
      <w:widowControl/>
      <w:spacing w:line="240" w:lineRule="auto"/>
      <w:jc w:val="left"/>
    </w:pPr>
    <w:rPr>
      <w:rFonts w:ascii="仿宋_GB2312" w:hAnsi="仿宋_GB2312" w:eastAsia="宋体" w:cs="仿宋_GB2312"/>
      <w:szCs w:val="24"/>
    </w:rPr>
  </w:style>
  <w:style w:type="paragraph" w:customStyle="1" w:styleId="1917">
    <w:name w:val="样式 四号 行距: 1.5 倍行距1"/>
    <w:basedOn w:val="1"/>
    <w:qFormat/>
    <w:uiPriority w:val="0"/>
    <w:pPr>
      <w:widowControl/>
      <w:jc w:val="left"/>
    </w:pPr>
    <w:rPr>
      <w:rFonts w:ascii="仿宋_GB2312" w:hAnsi="仿宋_GB2312" w:eastAsia="宋体" w:cs="Verdana"/>
      <w:sz w:val="28"/>
      <w:szCs w:val="20"/>
    </w:rPr>
  </w:style>
  <w:style w:type="paragraph" w:customStyle="1" w:styleId="1918">
    <w:name w:val="样式 四号 行距: 固定值 24 磅"/>
    <w:basedOn w:val="1"/>
    <w:qFormat/>
    <w:uiPriority w:val="0"/>
    <w:pPr>
      <w:widowControl/>
      <w:spacing w:line="480" w:lineRule="exact"/>
      <w:ind w:firstLine="560" w:firstLineChars="200"/>
      <w:jc w:val="left"/>
    </w:pPr>
    <w:rPr>
      <w:rFonts w:ascii="Times New Roman" w:hAnsi="Times New Roman" w:eastAsia="宋体" w:cs="Times New Roman"/>
      <w:sz w:val="24"/>
      <w:szCs w:val="20"/>
    </w:rPr>
  </w:style>
  <w:style w:type="paragraph" w:customStyle="1" w:styleId="1919">
    <w:name w:val="列表 5E"/>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1920">
    <w:name w:val="列表 I"/>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1921">
    <w:name w:val="附录"/>
    <w:basedOn w:val="6"/>
    <w:next w:val="1"/>
    <w:qFormat/>
    <w:uiPriority w:val="0"/>
    <w:pPr>
      <w:widowControl/>
      <w:numPr>
        <w:numId w:val="0"/>
      </w:numPr>
      <w:tabs>
        <w:tab w:val="left" w:pos="390"/>
      </w:tabs>
      <w:adjustRightInd w:val="0"/>
      <w:snapToGrid w:val="0"/>
      <w:spacing w:before="0" w:after="220" w:line="240" w:lineRule="auto"/>
      <w:ind w:left="390" w:hanging="390"/>
    </w:pPr>
    <w:rPr>
      <w:rFonts w:eastAsia="宋体" w:cs="Times New Roman"/>
      <w:bCs w:val="0"/>
      <w:color w:val="0000FF"/>
      <w:spacing w:val="-10"/>
      <w:kern w:val="28"/>
      <w:sz w:val="30"/>
      <w:szCs w:val="20"/>
    </w:rPr>
  </w:style>
  <w:style w:type="paragraph" w:customStyle="1" w:styleId="1922">
    <w:name w:val="右五"/>
    <w:basedOn w:val="1838"/>
    <w:next w:val="1"/>
    <w:qFormat/>
    <w:uiPriority w:val="0"/>
    <w:pPr>
      <w:jc w:val="right"/>
    </w:pPr>
  </w:style>
  <w:style w:type="paragraph" w:customStyle="1" w:styleId="1923">
    <w:name w:val="列表 D"/>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1924">
    <w:name w:val="样式 标题 2 + 段前: 0 磅 段后: 0 磅 行距: 1.5 倍行距"/>
    <w:basedOn w:val="7"/>
    <w:qFormat/>
    <w:uiPriority w:val="0"/>
    <w:pPr>
      <w:keepLines w:val="0"/>
      <w:widowControl/>
      <w:numPr>
        <w:ilvl w:val="0"/>
        <w:numId w:val="0"/>
      </w:numPr>
      <w:spacing w:beforeLines="50" w:after="0" w:line="360" w:lineRule="auto"/>
      <w:ind w:left="599" w:hanging="576"/>
      <w:jc w:val="both"/>
    </w:pPr>
    <w:rPr>
      <w:rFonts w:ascii="Calibri" w:hAnsi="Calibri" w:eastAsia="黑体" w:cs="宋体"/>
      <w:spacing w:val="20"/>
      <w:kern w:val="0"/>
      <w:szCs w:val="20"/>
      <w:lang w:val="en-GB"/>
    </w:rPr>
  </w:style>
  <w:style w:type="paragraph" w:customStyle="1" w:styleId="1925">
    <w:name w:val="列表 2S"/>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1926">
    <w:name w:val="热电厂正文 Char"/>
    <w:basedOn w:val="1"/>
    <w:qFormat/>
    <w:uiPriority w:val="0"/>
    <w:pPr>
      <w:widowControl/>
      <w:spacing w:line="440" w:lineRule="exact"/>
      <w:ind w:firstLine="480" w:firstLineChars="200"/>
      <w:jc w:val="left"/>
    </w:pPr>
    <w:rPr>
      <w:rFonts w:ascii="Times New Roman" w:hAnsi="Times New Roman" w:eastAsia="宋体" w:cs="Times New Roman"/>
      <w:sz w:val="24"/>
      <w:szCs w:val="24"/>
    </w:rPr>
  </w:style>
  <w:style w:type="paragraph" w:customStyle="1" w:styleId="1927">
    <w:name w:val="Char Char Char1 Char1"/>
    <w:basedOn w:val="1"/>
    <w:qFormat/>
    <w:uiPriority w:val="0"/>
    <w:pPr>
      <w:widowControl/>
      <w:spacing w:line="240" w:lineRule="auto"/>
      <w:jc w:val="left"/>
    </w:pPr>
    <w:rPr>
      <w:rFonts w:ascii="仿宋_GB2312" w:hAnsi="仿宋_GB2312" w:eastAsia="宋体" w:cs="仿宋_GB2312"/>
      <w:szCs w:val="24"/>
    </w:rPr>
  </w:style>
  <w:style w:type="paragraph" w:customStyle="1" w:styleId="1928">
    <w:name w:val="Char Char Char Char Char Char Char Char2 Char Char Char Char Char Char Char Char Char Char Char Char Char"/>
    <w:basedOn w:val="1"/>
    <w:next w:val="1"/>
    <w:qFormat/>
    <w:uiPriority w:val="0"/>
    <w:pPr>
      <w:widowControl/>
      <w:spacing w:line="240" w:lineRule="auto"/>
      <w:ind w:firstLine="200" w:firstLineChars="200"/>
      <w:jc w:val="left"/>
    </w:pPr>
    <w:rPr>
      <w:rFonts w:ascii="宋体" w:hAnsi="宋体" w:eastAsia="汉鼎简书宋" w:cs="宋体"/>
      <w:spacing w:val="4"/>
      <w:sz w:val="24"/>
      <w:szCs w:val="24"/>
    </w:rPr>
  </w:style>
  <w:style w:type="paragraph" w:customStyle="1" w:styleId="1929">
    <w:name w:val="样式 小四 加粗 居中"/>
    <w:basedOn w:val="1"/>
    <w:qFormat/>
    <w:uiPriority w:val="0"/>
    <w:pPr>
      <w:widowControl/>
      <w:spacing w:after="120" w:line="240" w:lineRule="auto"/>
      <w:jc w:val="center"/>
    </w:pPr>
    <w:rPr>
      <w:rFonts w:ascii="Times New Roman" w:hAnsi="Times New Roman" w:eastAsia="仿宋_GB2312" w:cs="宋体"/>
      <w:b/>
      <w:bCs/>
      <w:sz w:val="24"/>
      <w:szCs w:val="20"/>
    </w:rPr>
  </w:style>
  <w:style w:type="paragraph" w:customStyle="1" w:styleId="1930">
    <w:name w:val="文本框"/>
    <w:basedOn w:val="1"/>
    <w:qFormat/>
    <w:uiPriority w:val="0"/>
    <w:pPr>
      <w:widowControl/>
      <w:spacing w:line="240" w:lineRule="auto"/>
      <w:jc w:val="center"/>
    </w:pPr>
    <w:rPr>
      <w:rFonts w:ascii="仿宋_GB2312" w:hAnsi="仿宋_GB2312" w:eastAsia="宋体" w:cs="仿宋_GB2312"/>
      <w:sz w:val="24"/>
      <w:szCs w:val="24"/>
    </w:rPr>
  </w:style>
  <w:style w:type="paragraph" w:customStyle="1" w:styleId="1931">
    <w:name w:val="ENUM"/>
    <w:basedOn w:val="1"/>
    <w:qFormat/>
    <w:uiPriority w:val="0"/>
    <w:pPr>
      <w:widowControl/>
      <w:tabs>
        <w:tab w:val="left" w:pos="840"/>
        <w:tab w:val="left" w:pos="1418"/>
      </w:tabs>
      <w:spacing w:before="60" w:after="60" w:line="240" w:lineRule="auto"/>
      <w:ind w:left="1418" w:hanging="284" w:firstLineChars="200"/>
      <w:jc w:val="left"/>
    </w:pPr>
    <w:rPr>
      <w:rFonts w:ascii="Courier New" w:hAnsi="Courier New" w:eastAsia="宋体" w:cs="仿宋_GB2312"/>
      <w:kern w:val="0"/>
      <w:sz w:val="22"/>
      <w:szCs w:val="20"/>
      <w:lang w:val="en-GB"/>
    </w:rPr>
  </w:style>
  <w:style w:type="paragraph" w:customStyle="1" w:styleId="1932">
    <w:name w:val="列表 4Z"/>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1933">
    <w:name w:val="圖標題"/>
    <w:basedOn w:val="1"/>
    <w:qFormat/>
    <w:uiPriority w:val="0"/>
    <w:pPr>
      <w:widowControl/>
      <w:topLinePunct/>
      <w:adjustRightInd w:val="0"/>
      <w:spacing w:line="384" w:lineRule="exact"/>
      <w:jc w:val="center"/>
      <w:textAlignment w:val="baseline"/>
    </w:pPr>
    <w:rPr>
      <w:rFonts w:ascii="Courier New" w:hAnsi="Courier New" w:eastAsia="DFKai-SB" w:cs="Courier New"/>
      <w:kern w:val="20"/>
      <w:sz w:val="24"/>
      <w:szCs w:val="20"/>
      <w:lang w:eastAsia="zh-TW"/>
    </w:rPr>
  </w:style>
  <w:style w:type="paragraph" w:customStyle="1" w:styleId="1934">
    <w:name w:val="正文文本缩进 211"/>
    <w:basedOn w:val="1"/>
    <w:qFormat/>
    <w:uiPriority w:val="0"/>
    <w:pPr>
      <w:widowControl/>
      <w:adjustRightInd w:val="0"/>
      <w:ind w:firstLine="510"/>
      <w:jc w:val="left"/>
      <w:textAlignment w:val="baseline"/>
    </w:pPr>
    <w:rPr>
      <w:rFonts w:ascii="Verdana" w:hAnsi="Verdana" w:eastAsia="宋体" w:cs="仿宋_GB2312"/>
      <w:sz w:val="28"/>
      <w:szCs w:val="20"/>
    </w:rPr>
  </w:style>
  <w:style w:type="paragraph" w:customStyle="1" w:styleId="1935">
    <w:name w:val="黑点"/>
    <w:basedOn w:val="1"/>
    <w:qFormat/>
    <w:uiPriority w:val="0"/>
    <w:pPr>
      <w:widowControl/>
      <w:tabs>
        <w:tab w:val="left" w:pos="600"/>
        <w:tab w:val="left" w:pos="2100"/>
      </w:tabs>
      <w:adjustRightInd w:val="0"/>
      <w:ind w:left="2100" w:hanging="420"/>
      <w:jc w:val="left"/>
      <w:textAlignment w:val="baseline"/>
    </w:pPr>
    <w:rPr>
      <w:rFonts w:ascii="Verdana" w:hAnsi="Verdana" w:eastAsia="宋体" w:cs="仿宋_GB2312"/>
      <w:color w:val="000000"/>
      <w:kern w:val="0"/>
      <w:sz w:val="24"/>
      <w:szCs w:val="20"/>
    </w:rPr>
  </w:style>
  <w:style w:type="paragraph" w:customStyle="1" w:styleId="1936">
    <w:name w:val="样式 题注 + 五号 加粗 居中"/>
    <w:basedOn w:val="1"/>
    <w:qFormat/>
    <w:uiPriority w:val="0"/>
    <w:pPr>
      <w:widowControl/>
      <w:spacing w:beforeLines="20" w:afterLines="20"/>
      <w:jc w:val="center"/>
    </w:pPr>
    <w:rPr>
      <w:rFonts w:ascii="Courier New" w:hAnsi="Courier New" w:eastAsia="楷体" w:cs="仿宋_GB2312"/>
      <w:b/>
      <w:bCs/>
      <w:sz w:val="24"/>
    </w:rPr>
  </w:style>
  <w:style w:type="paragraph" w:customStyle="1" w:styleId="1937">
    <w:name w:val="样式 标题 1章标题标题1章节H1NMP Heading 1 + Arial 左 段前: 12 磅 段后: 6 ..."/>
    <w:basedOn w:val="6"/>
    <w:qFormat/>
    <w:uiPriority w:val="0"/>
    <w:pPr>
      <w:widowControl/>
      <w:numPr>
        <w:numId w:val="0"/>
      </w:numPr>
      <w:spacing w:before="240" w:after="120" w:line="240" w:lineRule="auto"/>
      <w:ind w:left="170" w:hanging="170"/>
      <w:jc w:val="left"/>
    </w:pPr>
    <w:rPr>
      <w:rFonts w:ascii="仿宋_GB2312" w:hAnsi="仿宋_GB2312" w:eastAsia="宋体" w:cs="仿宋_GB2312"/>
      <w:color w:val="0000FF"/>
      <w:spacing w:val="-12"/>
      <w:sz w:val="44"/>
    </w:rPr>
  </w:style>
  <w:style w:type="paragraph" w:customStyle="1" w:styleId="1938">
    <w:name w:val="文-7"/>
    <w:basedOn w:val="1"/>
    <w:qFormat/>
    <w:uiPriority w:val="0"/>
    <w:pPr>
      <w:widowControl/>
      <w:tabs>
        <w:tab w:val="right" w:leader="dot" w:pos="8789"/>
      </w:tabs>
      <w:spacing w:before="120" w:line="240" w:lineRule="auto"/>
      <w:ind w:left="1701" w:firstLine="482"/>
      <w:jc w:val="left"/>
    </w:pPr>
    <w:rPr>
      <w:rFonts w:ascii="仿宋_GB2312" w:hAnsi="仿宋_GB2312" w:eastAsia="宋体" w:cs="仿宋_GB2312"/>
      <w:sz w:val="24"/>
      <w:szCs w:val="24"/>
    </w:rPr>
  </w:style>
  <w:style w:type="paragraph" w:customStyle="1" w:styleId="1939">
    <w:name w:val="列表 M"/>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1940">
    <w:name w:val="S表格"/>
    <w:basedOn w:val="1"/>
    <w:qFormat/>
    <w:uiPriority w:val="0"/>
    <w:pPr>
      <w:widowControl/>
      <w:spacing w:before="240"/>
      <w:jc w:val="left"/>
      <w:outlineLvl w:val="2"/>
    </w:pPr>
    <w:rPr>
      <w:rFonts w:ascii="Times New Roman" w:hAnsi="Times New Roman" w:eastAsia="宋体" w:cs="Times New Roman"/>
      <w:bCs/>
      <w:sz w:val="24"/>
      <w:szCs w:val="24"/>
    </w:rPr>
  </w:style>
  <w:style w:type="paragraph" w:customStyle="1" w:styleId="1941">
    <w:name w:val="泸县焦化表头"/>
    <w:basedOn w:val="1"/>
    <w:qFormat/>
    <w:uiPriority w:val="0"/>
    <w:pPr>
      <w:widowControl/>
      <w:adjustRightInd w:val="0"/>
      <w:snapToGrid w:val="0"/>
      <w:spacing w:line="240" w:lineRule="auto"/>
      <w:jc w:val="center"/>
    </w:pPr>
    <w:rPr>
      <w:rFonts w:ascii="Times New Roman" w:hAnsi="Times New Roman" w:eastAsia="宋体" w:cs="Times New Roman"/>
      <w:b/>
      <w:color w:val="0000FF"/>
      <w:sz w:val="24"/>
      <w:szCs w:val="24"/>
    </w:rPr>
  </w:style>
  <w:style w:type="paragraph" w:customStyle="1" w:styleId="1942">
    <w:name w:val="表格11"/>
    <w:basedOn w:val="1"/>
    <w:qFormat/>
    <w:uiPriority w:val="0"/>
    <w:pPr>
      <w:widowControl/>
      <w:spacing w:line="240" w:lineRule="atLeast"/>
      <w:jc w:val="center"/>
    </w:pPr>
    <w:rPr>
      <w:rFonts w:ascii="Times New Roman" w:hAnsi="Times New Roman" w:eastAsia="宋体" w:cs="Times New Roman"/>
      <w:sz w:val="24"/>
      <w:szCs w:val="24"/>
    </w:rPr>
  </w:style>
  <w:style w:type="paragraph" w:customStyle="1" w:styleId="1943">
    <w:name w:val="填表内容"/>
    <w:basedOn w:val="1"/>
    <w:qFormat/>
    <w:uiPriority w:val="0"/>
    <w:pPr>
      <w:widowControl/>
      <w:adjustRightInd w:val="0"/>
      <w:spacing w:line="480" w:lineRule="exact"/>
      <w:ind w:firstLine="560" w:firstLineChars="200"/>
      <w:jc w:val="left"/>
      <w:textAlignment w:val="baseline"/>
    </w:pPr>
    <w:rPr>
      <w:rFonts w:ascii="经典叠圆体简" w:hAnsi="仿宋_GB2312" w:eastAsia="经典叠圆体简" w:cs="仿宋_GB2312"/>
      <w:sz w:val="28"/>
      <w:szCs w:val="20"/>
    </w:rPr>
  </w:style>
  <w:style w:type="paragraph" w:customStyle="1" w:styleId="1944">
    <w:name w:val="列表 4A"/>
    <w:basedOn w:val="81"/>
    <w:qFormat/>
    <w:uiPriority w:val="0"/>
    <w:pPr>
      <w:widowControl/>
      <w:tabs>
        <w:tab w:val="left" w:pos="360"/>
      </w:tabs>
      <w:adjustRightInd/>
      <w:spacing w:afterLines="30" w:line="288" w:lineRule="auto"/>
      <w:ind w:left="360" w:hanging="360" w:hangingChars="200"/>
      <w:jc w:val="left"/>
      <w:textAlignment w:val="auto"/>
    </w:pPr>
    <w:rPr>
      <w:rFonts w:ascii="Courier New" w:hAnsi="Courier New" w:cs="仿宋_GB2312"/>
      <w:color w:val="CCFFFF"/>
      <w:kern w:val="2"/>
    </w:rPr>
  </w:style>
  <w:style w:type="paragraph" w:customStyle="1" w:styleId="1945">
    <w:name w:val="单元格"/>
    <w:basedOn w:val="1"/>
    <w:qFormat/>
    <w:uiPriority w:val="0"/>
    <w:pPr>
      <w:widowControl/>
      <w:adjustRightInd w:val="0"/>
      <w:snapToGrid w:val="0"/>
      <w:spacing w:line="320" w:lineRule="exact"/>
      <w:jc w:val="center"/>
    </w:pPr>
    <w:rPr>
      <w:rFonts w:ascii="Verdana" w:hAnsi="Verdana" w:eastAsia="宋体" w:cs="仿宋_GB2312"/>
      <w:kern w:val="0"/>
      <w:szCs w:val="24"/>
    </w:rPr>
  </w:style>
  <w:style w:type="paragraph" w:customStyle="1" w:styleId="1946">
    <w:name w:val="樣式2"/>
    <w:basedOn w:val="8"/>
    <w:qFormat/>
    <w:uiPriority w:val="0"/>
    <w:pPr>
      <w:keepLines w:val="0"/>
      <w:widowControl/>
      <w:numPr>
        <w:ilvl w:val="0"/>
        <w:numId w:val="0"/>
      </w:numPr>
      <w:tabs>
        <w:tab w:val="left" w:pos="1050"/>
        <w:tab w:val="left" w:pos="3640"/>
      </w:tabs>
      <w:spacing w:before="240" w:after="240" w:line="360" w:lineRule="auto"/>
      <w:ind w:left="284"/>
    </w:pPr>
    <w:rPr>
      <w:rFonts w:ascii="Courier New" w:hAnsi="Courier New" w:eastAsia="Times New Roman" w:cs="Courier New"/>
      <w:bCs w:val="0"/>
      <w:color w:val="000000"/>
      <w:spacing w:val="20"/>
      <w:szCs w:val="36"/>
      <w:lang w:eastAsia="zh-TW"/>
    </w:rPr>
  </w:style>
  <w:style w:type="paragraph" w:customStyle="1" w:styleId="1947">
    <w:name w:val="資料來源"/>
    <w:basedOn w:val="1"/>
    <w:qFormat/>
    <w:uiPriority w:val="0"/>
    <w:pPr>
      <w:widowControl/>
      <w:adjustRightInd w:val="0"/>
      <w:snapToGrid w:val="0"/>
      <w:spacing w:before="60" w:line="240" w:lineRule="auto"/>
      <w:jc w:val="left"/>
      <w:textAlignment w:val="baseline"/>
    </w:pPr>
    <w:rPr>
      <w:rFonts w:ascii="仿宋_GB2312" w:hAnsi="仿宋_GB2312" w:eastAsia="Times New Roman" w:cs="仿宋_GB2312"/>
      <w:sz w:val="18"/>
      <w:szCs w:val="20"/>
      <w:lang w:eastAsia="zh-TW"/>
    </w:rPr>
  </w:style>
  <w:style w:type="paragraph" w:customStyle="1" w:styleId="1948">
    <w:name w:val="图1-1"/>
    <w:basedOn w:val="567"/>
    <w:qFormat/>
    <w:uiPriority w:val="0"/>
    <w:pPr>
      <w:keepLines/>
      <w:widowControl/>
      <w:tabs>
        <w:tab w:val="clear" w:pos="720"/>
      </w:tabs>
      <w:adjustRightInd/>
      <w:snapToGrid/>
      <w:spacing w:line="240" w:lineRule="auto"/>
      <w:ind w:left="0" w:leftChars="0" w:right="0" w:rightChars="0"/>
    </w:pPr>
    <w:rPr>
      <w:color w:val="auto"/>
      <w:sz w:val="21"/>
    </w:rPr>
  </w:style>
  <w:style w:type="paragraph" w:customStyle="1" w:styleId="1949">
    <w:name w:val="样式 表格 + 左  25 字符1"/>
    <w:basedOn w:val="468"/>
    <w:qFormat/>
    <w:uiPriority w:val="0"/>
    <w:pPr>
      <w:widowControl/>
      <w:snapToGrid/>
      <w:spacing w:beforeLines="0" w:afterLines="0"/>
    </w:pPr>
    <w:rPr>
      <w:rFonts w:ascii="仿宋_GB2312" w:hAnsi="Verdana" w:eastAsia="Times New Roman" w:cs="Verdana"/>
      <w:kern w:val="0"/>
      <w:sz w:val="18"/>
      <w:szCs w:val="20"/>
    </w:rPr>
  </w:style>
  <w:style w:type="paragraph" w:customStyle="1" w:styleId="1950">
    <w:name w:val="Content"/>
    <w:basedOn w:val="1"/>
    <w:qFormat/>
    <w:uiPriority w:val="0"/>
    <w:pPr>
      <w:widowControl/>
      <w:tabs>
        <w:tab w:val="left" w:pos="9480"/>
        <w:tab w:val="left" w:pos="9600"/>
      </w:tabs>
      <w:spacing w:before="120" w:after="120" w:line="240" w:lineRule="atLeast"/>
      <w:jc w:val="center"/>
    </w:pPr>
    <w:rPr>
      <w:rFonts w:ascii="Courier New" w:hAnsi="Courier New" w:eastAsia="宋体" w:cs="仿宋_GB2312"/>
      <w:b/>
      <w:kern w:val="0"/>
      <w:sz w:val="28"/>
      <w:szCs w:val="20"/>
      <w:lang w:val="fr-FR"/>
    </w:rPr>
  </w:style>
  <w:style w:type="paragraph" w:customStyle="1" w:styleId="1951">
    <w:name w:val="样式 湛江钢铁正文 +"/>
    <w:basedOn w:val="1"/>
    <w:qFormat/>
    <w:uiPriority w:val="0"/>
    <w:pPr>
      <w:widowControl/>
      <w:adjustRightInd w:val="0"/>
      <w:spacing w:afterLines="25"/>
      <w:ind w:firstLine="480" w:firstLineChars="200"/>
      <w:jc w:val="left"/>
      <w:textAlignment w:val="baseline"/>
    </w:pPr>
    <w:rPr>
      <w:rFonts w:ascii="仿宋_GB2312" w:hAnsi="仿宋_GB2312" w:eastAsia="Times New Roman" w:cs="仿宋_GB2312"/>
      <w:color w:val="000000"/>
      <w:kern w:val="0"/>
      <w:sz w:val="24"/>
      <w:szCs w:val="24"/>
    </w:rPr>
  </w:style>
  <w:style w:type="paragraph" w:customStyle="1" w:styleId="1952">
    <w:name w:val="四级"/>
    <w:basedOn w:val="8"/>
    <w:qFormat/>
    <w:uiPriority w:val="0"/>
    <w:pPr>
      <w:keepLines w:val="0"/>
      <w:widowControl/>
      <w:numPr>
        <w:ilvl w:val="0"/>
        <w:numId w:val="0"/>
      </w:numPr>
      <w:adjustRightInd w:val="0"/>
      <w:snapToGrid w:val="0"/>
      <w:spacing w:before="0" w:after="0" w:line="360" w:lineRule="auto"/>
      <w:ind w:right="-50"/>
      <w:outlineLvl w:val="3"/>
    </w:pPr>
    <w:rPr>
      <w:rFonts w:eastAsia="宋体" w:cs="Times New Roman"/>
      <w:color w:val="0000FF"/>
      <w:kern w:val="0"/>
      <w:szCs w:val="24"/>
    </w:rPr>
  </w:style>
  <w:style w:type="paragraph" w:customStyle="1" w:styleId="1953">
    <w:name w:val="样式 标题 1标题 1宋旭峰标题1章节H1h11headingHeader 1st Pageh1 chapte..."/>
    <w:basedOn w:val="6"/>
    <w:qFormat/>
    <w:uiPriority w:val="0"/>
    <w:pPr>
      <w:widowControl/>
      <w:numPr>
        <w:numId w:val="0"/>
      </w:numPr>
      <w:adjustRightInd w:val="0"/>
      <w:snapToGrid w:val="0"/>
      <w:spacing w:before="0" w:after="156" w:line="360" w:lineRule="auto"/>
      <w:jc w:val="left"/>
    </w:pPr>
    <w:rPr>
      <w:rFonts w:ascii="仿宋_GB2312" w:hAnsi="仿宋_GB2312" w:eastAsia="楷体" w:cs="仿宋_GB2312"/>
      <w:kern w:val="2"/>
      <w:sz w:val="24"/>
      <w:szCs w:val="30"/>
    </w:rPr>
  </w:style>
  <w:style w:type="paragraph" w:customStyle="1" w:styleId="1954">
    <w:name w:val="Char Char Char1 Char1 Char Char Char"/>
    <w:basedOn w:val="1"/>
    <w:qFormat/>
    <w:uiPriority w:val="0"/>
    <w:pPr>
      <w:widowControl/>
      <w:spacing w:line="240" w:lineRule="auto"/>
      <w:jc w:val="left"/>
    </w:pPr>
    <w:rPr>
      <w:rFonts w:ascii="仿宋_GB2312" w:hAnsi="仿宋_GB2312" w:eastAsia="宋体" w:cs="仿宋_GB2312"/>
      <w:szCs w:val="24"/>
    </w:rPr>
  </w:style>
  <w:style w:type="paragraph" w:customStyle="1" w:styleId="1955">
    <w:name w:val="edri-A title Char1"/>
    <w:basedOn w:val="1719"/>
    <w:next w:val="1719"/>
    <w:qFormat/>
    <w:uiPriority w:val="0"/>
    <w:pPr>
      <w:tabs>
        <w:tab w:val="clear" w:pos="0"/>
        <w:tab w:val="clear" w:pos="945"/>
      </w:tabs>
      <w:ind w:left="851" w:hanging="851"/>
      <w:outlineLvl w:val="3"/>
    </w:pPr>
  </w:style>
  <w:style w:type="paragraph" w:customStyle="1" w:styleId="1956">
    <w:name w:val="文本匡小五号 Char"/>
    <w:qFormat/>
    <w:uiPriority w:val="0"/>
    <w:pPr>
      <w:snapToGrid w:val="0"/>
      <w:spacing w:line="100" w:lineRule="atLeast"/>
      <w:jc w:val="center"/>
    </w:pPr>
    <w:rPr>
      <w:rFonts w:ascii="仿宋_GB2312" w:hAnsi="仿宋_GB2312" w:eastAsia="Times New Roman" w:cs="仿宋_GB2312"/>
      <w:sz w:val="21"/>
      <w:szCs w:val="21"/>
      <w:lang w:val="en-US" w:eastAsia="zh-CN" w:bidi="ar-SA"/>
    </w:rPr>
  </w:style>
  <w:style w:type="paragraph" w:customStyle="1" w:styleId="1957">
    <w:name w:val="M"/>
    <w:basedOn w:val="6"/>
    <w:qFormat/>
    <w:uiPriority w:val="0"/>
    <w:pPr>
      <w:keepLines w:val="0"/>
      <w:widowControl/>
      <w:numPr>
        <w:numId w:val="0"/>
      </w:numPr>
      <w:tabs>
        <w:tab w:val="left" w:pos="2260"/>
        <w:tab w:val="left" w:pos="2820"/>
        <w:tab w:val="left" w:pos="3420"/>
      </w:tabs>
      <w:adjustRightInd w:val="0"/>
      <w:snapToGrid w:val="0"/>
      <w:spacing w:before="440" w:after="0" w:line="240" w:lineRule="auto"/>
      <w:ind w:left="851" w:right="-28" w:hanging="851"/>
      <w:jc w:val="left"/>
    </w:pPr>
    <w:rPr>
      <w:rFonts w:ascii="Courier New" w:hAnsi="Courier New" w:eastAsia="宋体" w:cs="仿宋_GB2312"/>
      <w:b w:val="0"/>
      <w:bCs w:val="0"/>
      <w:kern w:val="0"/>
      <w:sz w:val="22"/>
      <w:szCs w:val="20"/>
      <w:lang w:val="en-GB"/>
    </w:rPr>
  </w:style>
  <w:style w:type="paragraph" w:customStyle="1" w:styleId="1958">
    <w:name w:val="样式 标题 2H2节标题 1.1节标题 1.1 Char1.1  标题 2  节标题 1.1第一章 标题 2Head..."/>
    <w:basedOn w:val="7"/>
    <w:qFormat/>
    <w:uiPriority w:val="0"/>
    <w:pPr>
      <w:widowControl/>
      <w:numPr>
        <w:ilvl w:val="0"/>
        <w:numId w:val="0"/>
      </w:numPr>
      <w:spacing w:beforeLines="50" w:after="0" w:line="360" w:lineRule="auto"/>
      <w:jc w:val="both"/>
    </w:pPr>
    <w:rPr>
      <w:rFonts w:ascii="仿宋_GB2312" w:hAnsi="仿宋_GB2312" w:eastAsia="Times New Roman" w:cs="Verdana"/>
      <w:sz w:val="24"/>
      <w:szCs w:val="20"/>
    </w:rPr>
  </w:style>
  <w:style w:type="paragraph" w:customStyle="1" w:styleId="1959">
    <w:name w:val="样式 正文首行缩进 + 首行缩进:  1 字符"/>
    <w:basedOn w:val="90"/>
    <w:qFormat/>
    <w:uiPriority w:val="0"/>
    <w:pPr>
      <w:widowControl/>
      <w:spacing w:after="0" w:line="440" w:lineRule="exact"/>
      <w:ind w:firstLine="200" w:firstLineChars="200"/>
      <w:jc w:val="left"/>
    </w:pPr>
    <w:rPr>
      <w:spacing w:val="6"/>
      <w:sz w:val="24"/>
      <w:szCs w:val="20"/>
    </w:rPr>
  </w:style>
  <w:style w:type="paragraph" w:customStyle="1" w:styleId="1960">
    <w:name w:val="样式 标题 3标题3小标题1.1.1标题 3 + 段后: 4 磅"/>
    <w:basedOn w:val="8"/>
    <w:qFormat/>
    <w:uiPriority w:val="0"/>
    <w:pPr>
      <w:keepLines w:val="0"/>
      <w:widowControl/>
      <w:numPr>
        <w:ilvl w:val="0"/>
        <w:numId w:val="0"/>
      </w:numPr>
      <w:adjustRightInd w:val="0"/>
      <w:snapToGrid w:val="0"/>
      <w:spacing w:before="0" w:after="80" w:line="360" w:lineRule="auto"/>
    </w:pPr>
    <w:rPr>
      <w:rFonts w:eastAsia="宋体" w:cs="宋体"/>
      <w:bCs w:val="0"/>
      <w:color w:val="0000FF"/>
      <w:spacing w:val="-5"/>
      <w:kern w:val="28"/>
      <w:szCs w:val="20"/>
    </w:rPr>
  </w:style>
  <w:style w:type="paragraph" w:customStyle="1" w:styleId="1961">
    <w:name w:val="列表 3J"/>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1962">
    <w:name w:val="表格文字小四"/>
    <w:basedOn w:val="1"/>
    <w:next w:val="4"/>
    <w:qFormat/>
    <w:uiPriority w:val="0"/>
    <w:pPr>
      <w:widowControl/>
      <w:adjustRightInd w:val="0"/>
      <w:snapToGrid w:val="0"/>
      <w:spacing w:line="240" w:lineRule="auto"/>
      <w:ind w:left="-593"/>
      <w:jc w:val="center"/>
    </w:pPr>
    <w:rPr>
      <w:rFonts w:ascii="Verdana" w:hAnsi="Verdana" w:eastAsia="宋体" w:cs="仿宋_GB2312"/>
      <w:sz w:val="24"/>
      <w:szCs w:val="24"/>
    </w:rPr>
  </w:style>
  <w:style w:type="paragraph" w:customStyle="1" w:styleId="1963">
    <w:name w:val="封面正文"/>
    <w:qFormat/>
    <w:uiPriority w:val="0"/>
    <w:pPr>
      <w:jc w:val="both"/>
    </w:pPr>
    <w:rPr>
      <w:rFonts w:ascii="仿宋_GB2312" w:hAnsi="仿宋_GB2312" w:eastAsia="宋体" w:cs="仿宋_GB2312"/>
      <w:lang w:val="en-US" w:eastAsia="zh-CN" w:bidi="ar-SA"/>
    </w:rPr>
  </w:style>
  <w:style w:type="paragraph" w:customStyle="1" w:styleId="1964">
    <w:name w:val="表格中"/>
    <w:basedOn w:val="1"/>
    <w:qFormat/>
    <w:uiPriority w:val="0"/>
    <w:pPr>
      <w:widowControl/>
      <w:snapToGrid w:val="0"/>
      <w:jc w:val="left"/>
    </w:pPr>
    <w:rPr>
      <w:rFonts w:ascii="Verdana" w:hAnsi="Verdana" w:eastAsia="宋体" w:cs="仿宋_GB2312"/>
      <w:spacing w:val="-20"/>
      <w:sz w:val="28"/>
      <w:szCs w:val="28"/>
    </w:rPr>
  </w:style>
  <w:style w:type="paragraph" w:customStyle="1" w:styleId="1965">
    <w:name w:val="样式 样式 黑色 首行缩进:  2 字符 行距: 固定值 25 磅 + Times New Roman 首行缩进:  2 字符"/>
    <w:basedOn w:val="1"/>
    <w:qFormat/>
    <w:uiPriority w:val="0"/>
    <w:pPr>
      <w:widowControl/>
      <w:spacing w:line="580" w:lineRule="exact"/>
      <w:ind w:firstLine="200" w:firstLineChars="200"/>
      <w:jc w:val="left"/>
    </w:pPr>
    <w:rPr>
      <w:rFonts w:ascii="Times New Roman" w:hAnsi="Times New Roman" w:eastAsia="仿宋_GB2312" w:cs="宋体"/>
      <w:b/>
      <w:bCs/>
      <w:color w:val="000000"/>
      <w:sz w:val="28"/>
      <w:szCs w:val="20"/>
    </w:rPr>
  </w:style>
  <w:style w:type="paragraph" w:customStyle="1" w:styleId="1966">
    <w:name w:val="表格文字居中 Char"/>
    <w:basedOn w:val="90"/>
    <w:qFormat/>
    <w:uiPriority w:val="0"/>
    <w:pPr>
      <w:widowControl/>
      <w:tabs>
        <w:tab w:val="left" w:pos="628"/>
        <w:tab w:val="left" w:pos="1727"/>
        <w:tab w:val="left" w:pos="1884"/>
        <w:tab w:val="left" w:pos="2660"/>
        <w:tab w:val="left" w:pos="5460"/>
      </w:tabs>
      <w:snapToGrid w:val="0"/>
      <w:spacing w:after="0" w:line="320" w:lineRule="exact"/>
      <w:ind w:firstLine="0" w:firstLineChars="0"/>
      <w:jc w:val="left"/>
    </w:pPr>
    <w:rPr>
      <w:color w:val="FF0000"/>
      <w:kern w:val="0"/>
      <w:szCs w:val="20"/>
    </w:rPr>
  </w:style>
  <w:style w:type="paragraph" w:customStyle="1" w:styleId="1967">
    <w:name w:val="样式 标题 2 + 段前: 0.5 行"/>
    <w:basedOn w:val="7"/>
    <w:qFormat/>
    <w:uiPriority w:val="0"/>
    <w:pPr>
      <w:keepNext w:val="0"/>
      <w:keepLines w:val="0"/>
      <w:widowControl/>
      <w:numPr>
        <w:ilvl w:val="0"/>
        <w:numId w:val="0"/>
      </w:numPr>
      <w:snapToGrid w:val="0"/>
      <w:spacing w:beforeLines="50" w:after="0" w:line="240" w:lineRule="auto"/>
      <w:ind w:left="540" w:hanging="540"/>
      <w:jc w:val="both"/>
    </w:pPr>
    <w:rPr>
      <w:rFonts w:ascii="仿宋_GB2312" w:hAnsi="仿宋_GB2312" w:eastAsia="楷体" w:cs="Verdana"/>
      <w:b w:val="0"/>
      <w:bCs w:val="0"/>
      <w:color w:val="0000FF"/>
      <w:sz w:val="24"/>
      <w:szCs w:val="20"/>
    </w:rPr>
  </w:style>
  <w:style w:type="paragraph" w:customStyle="1" w:styleId="1968">
    <w:name w:val="灯泡注释(打印无效)"/>
    <w:basedOn w:val="90"/>
    <w:qFormat/>
    <w:uiPriority w:val="0"/>
    <w:pPr>
      <w:widowControl/>
      <w:snapToGrid w:val="0"/>
      <w:spacing w:after="0"/>
      <w:ind w:firstLine="0" w:firstLineChars="0"/>
      <w:jc w:val="left"/>
    </w:pPr>
    <w:rPr>
      <w:rFonts w:ascii="仿宋_GB2312" w:hAnsi="仿宋_GB2312" w:cs="仿宋_GB2312"/>
      <w:i/>
      <w:vanish/>
      <w:color w:val="FF0000"/>
      <w:szCs w:val="21"/>
    </w:rPr>
  </w:style>
  <w:style w:type="paragraph" w:customStyle="1" w:styleId="1969">
    <w:name w:val="Qzy样式1"/>
    <w:basedOn w:val="6"/>
    <w:qFormat/>
    <w:uiPriority w:val="0"/>
    <w:pPr>
      <w:keepNext w:val="0"/>
      <w:widowControl/>
      <w:numPr>
        <w:numId w:val="0"/>
      </w:numPr>
      <w:spacing w:before="0" w:after="0" w:line="240" w:lineRule="atLeast"/>
      <w:jc w:val="left"/>
    </w:pPr>
    <w:rPr>
      <w:rFonts w:eastAsia="宋体" w:cs="Times New Roman"/>
      <w:bCs w:val="0"/>
      <w:sz w:val="36"/>
      <w:szCs w:val="20"/>
    </w:rPr>
  </w:style>
  <w:style w:type="paragraph" w:customStyle="1" w:styleId="1970">
    <w:name w:val="列表 A"/>
    <w:basedOn w:val="70"/>
    <w:qFormat/>
    <w:uiPriority w:val="0"/>
    <w:pPr>
      <w:widowControl/>
      <w:tabs>
        <w:tab w:val="left" w:pos="1021"/>
      </w:tabs>
      <w:adjustRightInd/>
      <w:spacing w:beforeLines="100" w:afterLines="50" w:line="288" w:lineRule="auto"/>
      <w:ind w:left="1021" w:hanging="454"/>
      <w:jc w:val="left"/>
      <w:textAlignment w:val="auto"/>
    </w:pPr>
    <w:rPr>
      <w:rFonts w:ascii="Courier New" w:hAnsi="Courier New" w:cs="仿宋_GB2312"/>
      <w:b/>
      <w:bCs/>
      <w:color w:val="FF99CC"/>
      <w:kern w:val="2"/>
    </w:rPr>
  </w:style>
  <w:style w:type="paragraph" w:customStyle="1" w:styleId="1971">
    <w:name w:val="Item1"/>
    <w:basedOn w:val="1"/>
    <w:qFormat/>
    <w:uiPriority w:val="0"/>
    <w:pPr>
      <w:widowControl/>
      <w:spacing w:line="240" w:lineRule="auto"/>
      <w:jc w:val="left"/>
    </w:pPr>
    <w:rPr>
      <w:rFonts w:ascii="仿宋_GB2312" w:hAnsi="仿宋_GB2312" w:eastAsia="宋体" w:cs="仿宋_GB2312"/>
      <w:szCs w:val="24"/>
    </w:rPr>
  </w:style>
  <w:style w:type="paragraph" w:customStyle="1" w:styleId="1972">
    <w:name w:val="xl96"/>
    <w:basedOn w:val="1"/>
    <w:qFormat/>
    <w:uiPriority w:val="0"/>
    <w:pPr>
      <w:widowControl/>
      <w:pBdr>
        <w:left w:val="single" w:color="auto" w:sz="8" w:space="0"/>
        <w:right w:val="single" w:color="auto" w:sz="4" w:space="0"/>
      </w:pBdr>
      <w:spacing w:before="100" w:beforeAutospacing="1" w:after="100" w:afterAutospacing="1" w:line="240" w:lineRule="auto"/>
      <w:jc w:val="center"/>
      <w:textAlignment w:val="center"/>
    </w:pPr>
    <w:rPr>
      <w:rFonts w:ascii="華康中楷體" w:hAnsi="華康中楷體" w:eastAsia="華康中楷體" w:cs="華康中楷體"/>
      <w:kern w:val="0"/>
      <w:sz w:val="16"/>
      <w:szCs w:val="16"/>
    </w:rPr>
  </w:style>
  <w:style w:type="paragraph" w:customStyle="1" w:styleId="1973">
    <w:name w:val="样式 标题 3标题3小标题1.1.1标题 3Char1 Char1Char1 Char CharChar1 Cha...2"/>
    <w:basedOn w:val="8"/>
    <w:qFormat/>
    <w:uiPriority w:val="0"/>
    <w:pPr>
      <w:widowControl/>
      <w:numPr>
        <w:ilvl w:val="0"/>
        <w:numId w:val="0"/>
      </w:numPr>
      <w:autoSpaceDE w:val="0"/>
      <w:autoSpaceDN w:val="0"/>
      <w:adjustRightInd w:val="0"/>
      <w:spacing w:before="0" w:after="0" w:line="360" w:lineRule="auto"/>
      <w:textAlignment w:val="baseline"/>
    </w:pPr>
    <w:rPr>
      <w:rFonts w:eastAsia="宋体" w:cs="宋体"/>
      <w:color w:val="0000FF"/>
      <w:kern w:val="0"/>
      <w:szCs w:val="20"/>
    </w:rPr>
  </w:style>
  <w:style w:type="paragraph" w:customStyle="1" w:styleId="1974">
    <w:name w:val="样式 标题 3标题3小标题1.1.1标题 3Char1 Char1Char1 Char CharChar1 Cha..."/>
    <w:basedOn w:val="8"/>
    <w:qFormat/>
    <w:uiPriority w:val="0"/>
    <w:pPr>
      <w:widowControl/>
      <w:numPr>
        <w:ilvl w:val="0"/>
        <w:numId w:val="0"/>
      </w:numPr>
      <w:autoSpaceDE w:val="0"/>
      <w:autoSpaceDN w:val="0"/>
      <w:adjustRightInd w:val="0"/>
      <w:snapToGrid w:val="0"/>
      <w:spacing w:before="0" w:after="0" w:line="360" w:lineRule="auto"/>
      <w:textAlignment w:val="baseline"/>
    </w:pPr>
    <w:rPr>
      <w:rFonts w:eastAsia="宋体" w:cs="宋体"/>
      <w:color w:val="0000FF"/>
      <w:kern w:val="0"/>
      <w:szCs w:val="24"/>
    </w:rPr>
  </w:style>
  <w:style w:type="paragraph" w:customStyle="1" w:styleId="1975">
    <w:name w:val="列表 4J"/>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1976">
    <w:name w:val="样式 标题 2 + 黑体 (符号) 宋体"/>
    <w:basedOn w:val="7"/>
    <w:qFormat/>
    <w:uiPriority w:val="0"/>
    <w:pPr>
      <w:widowControl/>
      <w:numPr>
        <w:ilvl w:val="0"/>
        <w:numId w:val="0"/>
      </w:numPr>
      <w:spacing w:beforeLines="50" w:after="120" w:line="360" w:lineRule="auto"/>
      <w:jc w:val="center"/>
      <w:outlineLvl w:val="9"/>
    </w:pPr>
    <w:rPr>
      <w:rFonts w:ascii="楷体" w:hAnsi="仿宋_GB2312" w:eastAsia="楷体" w:cs="仿宋_GB2312"/>
      <w:sz w:val="44"/>
      <w:szCs w:val="44"/>
    </w:rPr>
  </w:style>
  <w:style w:type="paragraph" w:customStyle="1" w:styleId="1977">
    <w:name w:val="正文-使用"/>
    <w:basedOn w:val="1"/>
    <w:qFormat/>
    <w:uiPriority w:val="0"/>
    <w:pPr>
      <w:widowControl/>
      <w:ind w:firstLine="482"/>
      <w:jc w:val="left"/>
    </w:pPr>
    <w:rPr>
      <w:rFonts w:ascii="仿宋_GB2312" w:hAnsi="仿宋_GB2312" w:eastAsia="宋体" w:cs="仿宋_GB2312"/>
      <w:sz w:val="24"/>
      <w:szCs w:val="20"/>
    </w:rPr>
  </w:style>
  <w:style w:type="paragraph" w:customStyle="1" w:styleId="1978">
    <w:name w:val="表内字"/>
    <w:qFormat/>
    <w:uiPriority w:val="0"/>
    <w:pPr>
      <w:spacing w:line="312" w:lineRule="auto"/>
      <w:jc w:val="center"/>
    </w:pPr>
    <w:rPr>
      <w:rFonts w:ascii="Times New Roman" w:hAnsi="Times New Roman" w:eastAsia="宋体" w:cs="Times New Roman"/>
      <w:color w:val="000000"/>
      <w:sz w:val="21"/>
      <w:lang w:val="en-US" w:eastAsia="zh-CN" w:bidi="ar-SA"/>
    </w:rPr>
  </w:style>
  <w:style w:type="paragraph" w:customStyle="1" w:styleId="1979">
    <w:name w:val="样式 表格文字居中 Char + 自动设置"/>
    <w:basedOn w:val="1966"/>
    <w:qFormat/>
    <w:uiPriority w:val="0"/>
    <w:rPr>
      <w:color w:val="000000"/>
    </w:rPr>
  </w:style>
  <w:style w:type="paragraph" w:customStyle="1" w:styleId="1980">
    <w:name w:val="四级无标题条"/>
    <w:basedOn w:val="1"/>
    <w:qFormat/>
    <w:uiPriority w:val="0"/>
    <w:pPr>
      <w:widowControl/>
      <w:spacing w:line="240" w:lineRule="auto"/>
      <w:jc w:val="left"/>
    </w:pPr>
    <w:rPr>
      <w:rFonts w:ascii="Times New Roman" w:hAnsi="Times New Roman" w:eastAsia="宋体" w:cs="Times New Roman"/>
      <w:szCs w:val="20"/>
    </w:rPr>
  </w:style>
  <w:style w:type="paragraph" w:customStyle="1" w:styleId="1981">
    <w:name w:val="样式 标题 4常用标题 4 + 段前: 6 磅 段后: 6 磅 行距: 固定值 26 磅"/>
    <w:basedOn w:val="9"/>
    <w:qFormat/>
    <w:uiPriority w:val="0"/>
    <w:pPr>
      <w:widowControl/>
      <w:numPr>
        <w:ilvl w:val="0"/>
        <w:numId w:val="0"/>
      </w:numPr>
      <w:tabs>
        <w:tab w:val="left" w:pos="800"/>
        <w:tab w:val="left" w:pos="1440"/>
      </w:tabs>
      <w:spacing w:before="120" w:after="120" w:line="520" w:lineRule="exact"/>
    </w:pPr>
    <w:rPr>
      <w:rFonts w:ascii="Courier New" w:hAnsi="Courier New" w:eastAsia="楷体" w:cs="Verdana"/>
      <w:b w:val="0"/>
      <w:sz w:val="28"/>
      <w:szCs w:val="20"/>
    </w:rPr>
  </w:style>
  <w:style w:type="paragraph" w:customStyle="1" w:styleId="1982">
    <w:name w:val="图注、图的脚注"/>
    <w:basedOn w:val="1598"/>
    <w:qFormat/>
    <w:uiPriority w:val="0"/>
    <w:rPr>
      <w:sz w:val="18"/>
    </w:rPr>
  </w:style>
  <w:style w:type="paragraph" w:customStyle="1" w:styleId="1983">
    <w:name w:val="攀成钢三级标题"/>
    <w:basedOn w:val="1"/>
    <w:qFormat/>
    <w:uiPriority w:val="0"/>
    <w:pPr>
      <w:widowControl/>
      <w:jc w:val="left"/>
      <w:outlineLvl w:val="2"/>
    </w:pPr>
    <w:rPr>
      <w:rFonts w:ascii="Times New Roman" w:hAnsi="Times New Roman" w:eastAsia="宋体" w:cs="Times New Roman"/>
      <w:b/>
      <w:color w:val="008000"/>
      <w:kern w:val="0"/>
      <w:sz w:val="24"/>
      <w:szCs w:val="20"/>
    </w:rPr>
  </w:style>
  <w:style w:type="paragraph" w:customStyle="1" w:styleId="1984">
    <w:name w:val="样式 小四 加粗 行距: 1.5 倍行距"/>
    <w:basedOn w:val="1"/>
    <w:qFormat/>
    <w:uiPriority w:val="0"/>
    <w:pPr>
      <w:widowControl/>
      <w:jc w:val="left"/>
    </w:pPr>
    <w:rPr>
      <w:rFonts w:ascii="仿宋_GB2312" w:hAnsi="仿宋_GB2312" w:eastAsia="宋体" w:cs="Verdana"/>
      <w:b/>
      <w:bCs/>
      <w:sz w:val="24"/>
      <w:szCs w:val="20"/>
    </w:rPr>
  </w:style>
  <w:style w:type="paragraph" w:customStyle="1" w:styleId="1985">
    <w:name w:val="攀成钢加粗顶头小标题"/>
    <w:basedOn w:val="1"/>
    <w:qFormat/>
    <w:uiPriority w:val="0"/>
    <w:pPr>
      <w:widowControl/>
      <w:jc w:val="left"/>
    </w:pPr>
    <w:rPr>
      <w:rFonts w:ascii="Times New Roman" w:hAnsi="Times New Roman" w:eastAsia="宋体" w:cs="Times New Roman"/>
      <w:b/>
      <w:color w:val="008000"/>
      <w:kern w:val="0"/>
      <w:sz w:val="24"/>
      <w:szCs w:val="20"/>
    </w:rPr>
  </w:style>
  <w:style w:type="paragraph" w:customStyle="1" w:styleId="1986">
    <w:name w:val="正文999"/>
    <w:basedOn w:val="1"/>
    <w:qFormat/>
    <w:uiPriority w:val="0"/>
    <w:pPr>
      <w:widowControl/>
      <w:ind w:firstLine="480" w:firstLineChars="200"/>
      <w:jc w:val="left"/>
    </w:pPr>
    <w:rPr>
      <w:rFonts w:ascii="Verdana" w:hAnsi="Verdana" w:eastAsia="宋体" w:cs="仿宋_GB2312"/>
      <w:sz w:val="24"/>
      <w:szCs w:val="24"/>
    </w:rPr>
  </w:style>
  <w:style w:type="paragraph" w:customStyle="1" w:styleId="1987">
    <w:name w:val="表1"/>
    <w:next w:val="1"/>
    <w:qFormat/>
    <w:uiPriority w:val="0"/>
    <w:pPr>
      <w:adjustRightInd w:val="0"/>
      <w:snapToGrid w:val="0"/>
      <w:jc w:val="center"/>
    </w:pPr>
    <w:rPr>
      <w:rFonts w:ascii="宋体" w:hAnsi="Times New Roman" w:eastAsia="宋体" w:cs="Times New Roman"/>
      <w:sz w:val="21"/>
      <w:lang w:val="en-US" w:eastAsia="zh-CN" w:bidi="ar-SA"/>
    </w:rPr>
  </w:style>
  <w:style w:type="paragraph" w:customStyle="1" w:styleId="1988">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1989">
    <w:name w:val="yz"/>
    <w:basedOn w:val="4"/>
    <w:qFormat/>
    <w:uiPriority w:val="0"/>
    <w:pPr>
      <w:widowControl/>
      <w:tabs>
        <w:tab w:val="left" w:pos="900"/>
      </w:tabs>
      <w:adjustRightInd w:val="0"/>
      <w:spacing w:after="0" w:line="240" w:lineRule="auto"/>
      <w:ind w:firstLine="200" w:firstLineChars="200"/>
      <w:jc w:val="left"/>
      <w:textAlignment w:val="baseline"/>
    </w:pPr>
    <w:rPr>
      <w:rFonts w:ascii="宋体" w:hAnsi="宋体" w:eastAsia="宋体" w:cs="Times New Roman"/>
      <w:sz w:val="24"/>
      <w:szCs w:val="20"/>
    </w:rPr>
  </w:style>
  <w:style w:type="paragraph" w:customStyle="1" w:styleId="1990">
    <w:name w:val="样式 德胜三级标题 + 粉红"/>
    <w:basedOn w:val="1816"/>
    <w:qFormat/>
    <w:uiPriority w:val="0"/>
    <w:pPr>
      <w:outlineLvl w:val="3"/>
    </w:pPr>
    <w:rPr>
      <w:bCs/>
      <w:color w:val="FF00FF"/>
      <w:szCs w:val="24"/>
    </w:rPr>
  </w:style>
  <w:style w:type="paragraph" w:customStyle="1" w:styleId="1991">
    <w:name w:val="列表 5R"/>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1992">
    <w:name w:val="样式 两端对齐"/>
    <w:basedOn w:val="1"/>
    <w:qFormat/>
    <w:uiPriority w:val="0"/>
    <w:pPr>
      <w:widowControl/>
      <w:spacing w:afterLines="50" w:line="240" w:lineRule="auto"/>
      <w:ind w:right="240" w:rightChars="100" w:firstLine="200" w:firstLineChars="200"/>
      <w:jc w:val="left"/>
    </w:pPr>
    <w:rPr>
      <w:rFonts w:ascii="Times New Roman" w:hAnsi="Times New Roman" w:eastAsia="宋体" w:cs="宋体"/>
      <w:sz w:val="24"/>
      <w:szCs w:val="20"/>
    </w:rPr>
  </w:style>
  <w:style w:type="paragraph" w:customStyle="1" w:styleId="1993">
    <w:name w:val="Char4 Char Char Char Char Char Char Char Char Char Char Char Char Char Char Char Char Char1 Char"/>
    <w:basedOn w:val="1"/>
    <w:qFormat/>
    <w:uiPriority w:val="0"/>
    <w:pPr>
      <w:widowControl/>
      <w:spacing w:line="240" w:lineRule="exact"/>
      <w:ind w:firstLine="200" w:firstLineChars="200"/>
      <w:jc w:val="left"/>
    </w:pPr>
    <w:rPr>
      <w:rFonts w:ascii="仿宋_GB2312" w:hAnsi="仿宋_GB2312" w:eastAsia="宋体" w:cs="仿宋_GB2312"/>
      <w:sz w:val="28"/>
      <w:szCs w:val="28"/>
    </w:rPr>
  </w:style>
  <w:style w:type="paragraph" w:customStyle="1" w:styleId="1994">
    <w:name w:val="样式 表格小四 + 段前: 0.3 行 段后: 0.2 行"/>
    <w:basedOn w:val="1995"/>
    <w:qFormat/>
    <w:uiPriority w:val="0"/>
    <w:pPr>
      <w:spacing w:beforeLines="30" w:afterLines="20"/>
    </w:pPr>
    <w:rPr>
      <w:rFonts w:cs="Verdana"/>
    </w:rPr>
  </w:style>
  <w:style w:type="paragraph" w:customStyle="1" w:styleId="1995">
    <w:name w:val="表格小四"/>
    <w:basedOn w:val="1"/>
    <w:qFormat/>
    <w:uiPriority w:val="0"/>
    <w:pPr>
      <w:widowControl/>
      <w:spacing w:line="240" w:lineRule="auto"/>
      <w:jc w:val="center"/>
    </w:pPr>
    <w:rPr>
      <w:rFonts w:ascii="仿宋_GB2312" w:hAnsi="仿宋_GB2312" w:eastAsia="宋体" w:cs="仿宋_GB2312"/>
      <w:sz w:val="24"/>
      <w:szCs w:val="20"/>
    </w:rPr>
  </w:style>
  <w:style w:type="paragraph" w:customStyle="1" w:styleId="1996">
    <w:name w:val="列表 4F"/>
    <w:basedOn w:val="81"/>
    <w:qFormat/>
    <w:uiPriority w:val="0"/>
    <w:pPr>
      <w:widowControl/>
      <w:tabs>
        <w:tab w:val="left" w:pos="980"/>
      </w:tabs>
      <w:adjustRightInd/>
      <w:spacing w:afterLines="30" w:line="288" w:lineRule="auto"/>
      <w:ind w:left="980"/>
      <w:jc w:val="left"/>
      <w:textAlignment w:val="auto"/>
    </w:pPr>
    <w:rPr>
      <w:rFonts w:ascii="Courier New" w:hAnsi="Courier New" w:cs="仿宋_GB2312"/>
      <w:color w:val="CCFFFF"/>
      <w:kern w:val="2"/>
    </w:rPr>
  </w:style>
  <w:style w:type="paragraph" w:customStyle="1" w:styleId="1997">
    <w:name w:val="文本框五号"/>
    <w:qFormat/>
    <w:uiPriority w:val="0"/>
    <w:pPr>
      <w:adjustRightInd w:val="0"/>
      <w:spacing w:line="240" w:lineRule="atLeast"/>
      <w:jc w:val="center"/>
    </w:pPr>
    <w:rPr>
      <w:rFonts w:ascii="仿宋_GB2312" w:hAnsi="仿宋_GB2312" w:eastAsia="Times New Roman" w:cs="仿宋_GB2312"/>
      <w:kern w:val="2"/>
      <w:sz w:val="21"/>
      <w:szCs w:val="21"/>
      <w:lang w:val="en-US" w:eastAsia="zh-CN" w:bidi="ar-SA"/>
    </w:rPr>
  </w:style>
  <w:style w:type="paragraph" w:customStyle="1" w:styleId="1998">
    <w:name w:val="Char Char Char Char Char Char Char Char Char Char Char Char1 Char"/>
    <w:basedOn w:val="1"/>
    <w:next w:val="1"/>
    <w:qFormat/>
    <w:uiPriority w:val="0"/>
    <w:pPr>
      <w:widowControl/>
      <w:spacing w:line="336" w:lineRule="auto"/>
      <w:ind w:firstLine="200" w:firstLineChars="200"/>
      <w:jc w:val="left"/>
    </w:pPr>
    <w:rPr>
      <w:rFonts w:ascii="Verdana" w:hAnsi="Verdana" w:eastAsia="Batang" w:cs="Verdana"/>
      <w:sz w:val="24"/>
      <w:szCs w:val="24"/>
    </w:rPr>
  </w:style>
  <w:style w:type="paragraph" w:customStyle="1" w:styleId="1999">
    <w:name w:val="样式 (符号) 宋体 首行缩进:  2 字符1"/>
    <w:basedOn w:val="1"/>
    <w:qFormat/>
    <w:uiPriority w:val="0"/>
    <w:pPr>
      <w:widowControl/>
      <w:spacing w:line="240" w:lineRule="auto"/>
      <w:ind w:firstLine="567" w:firstLineChars="200"/>
      <w:jc w:val="left"/>
    </w:pPr>
    <w:rPr>
      <w:rFonts w:ascii="Verdana" w:hAnsi="Verdana" w:eastAsia="宋体" w:cs="Verdana"/>
      <w:sz w:val="27"/>
      <w:szCs w:val="20"/>
    </w:rPr>
  </w:style>
  <w:style w:type="paragraph" w:customStyle="1" w:styleId="2000">
    <w:name w:val="泸县焦化表格文字"/>
    <w:basedOn w:val="1"/>
    <w:qFormat/>
    <w:uiPriority w:val="0"/>
    <w:pPr>
      <w:widowControl/>
      <w:adjustRightInd w:val="0"/>
      <w:snapToGrid w:val="0"/>
      <w:spacing w:line="240" w:lineRule="auto"/>
      <w:jc w:val="center"/>
    </w:pPr>
    <w:rPr>
      <w:rFonts w:ascii="Times New Roman" w:hAnsi="Times New Roman" w:eastAsia="宋体" w:cs="Times New Roman"/>
      <w:bCs/>
      <w:color w:val="0000FF"/>
    </w:rPr>
  </w:style>
  <w:style w:type="paragraph" w:customStyle="1" w:styleId="2001">
    <w:name w:val="表中样式"/>
    <w:basedOn w:val="1"/>
    <w:qFormat/>
    <w:uiPriority w:val="0"/>
    <w:pPr>
      <w:widowControl/>
      <w:spacing w:line="240" w:lineRule="exact"/>
      <w:ind w:left="-25" w:leftChars="-25" w:right="-31" w:rightChars="-31"/>
      <w:jc w:val="center"/>
    </w:pPr>
    <w:rPr>
      <w:rFonts w:ascii="Verdana" w:hAnsi="Verdana" w:eastAsia="宋体" w:cs="Verdana"/>
      <w:bCs/>
      <w:kern w:val="0"/>
      <w:szCs w:val="32"/>
    </w:rPr>
  </w:style>
  <w:style w:type="paragraph" w:customStyle="1" w:styleId="2002">
    <w:name w:val="列表 5B"/>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2003">
    <w:name w:val="1.1.1.1-"/>
    <w:basedOn w:val="1"/>
    <w:qFormat/>
    <w:uiPriority w:val="0"/>
    <w:pPr>
      <w:widowControl/>
      <w:tabs>
        <w:tab w:val="left" w:pos="398"/>
        <w:tab w:val="left" w:pos="2268"/>
      </w:tabs>
      <w:wordWrap w:val="0"/>
      <w:adjustRightInd w:val="0"/>
      <w:snapToGrid w:val="0"/>
      <w:spacing w:line="360" w:lineRule="atLeast"/>
      <w:ind w:left="398" w:firstLine="1587"/>
      <w:jc w:val="left"/>
      <w:textAlignment w:val="baseline"/>
    </w:pPr>
    <w:rPr>
      <w:rFonts w:ascii="Courier New" w:hAnsi="Courier New" w:eastAsia="PMingLiU" w:cs="仿宋_GB2312"/>
      <w:kern w:val="0"/>
      <w:sz w:val="20"/>
      <w:szCs w:val="20"/>
    </w:rPr>
  </w:style>
  <w:style w:type="paragraph" w:customStyle="1" w:styleId="2004">
    <w:name w:val="居中"/>
    <w:basedOn w:val="1"/>
    <w:qFormat/>
    <w:uiPriority w:val="0"/>
    <w:pPr>
      <w:widowControl/>
      <w:spacing w:before="40" w:after="40" w:line="480" w:lineRule="exact"/>
      <w:jc w:val="center"/>
    </w:pPr>
    <w:rPr>
      <w:rFonts w:ascii="Courier New" w:hAnsi="Courier New" w:eastAsia="宋体" w:cs="仿宋_GB2312"/>
      <w:sz w:val="24"/>
      <w:szCs w:val="20"/>
    </w:rPr>
  </w:style>
  <w:style w:type="paragraph" w:customStyle="1" w:styleId="2005">
    <w:name w:val="列表 2Y"/>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006">
    <w:name w:val="列表 2K"/>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007">
    <w:name w:val="仿宋体"/>
    <w:basedOn w:val="1"/>
    <w:qFormat/>
    <w:uiPriority w:val="0"/>
    <w:pPr>
      <w:widowControl/>
      <w:spacing w:line="844" w:lineRule="atLeast"/>
      <w:ind w:firstLine="419"/>
      <w:jc w:val="left"/>
      <w:textAlignment w:val="baseline"/>
    </w:pPr>
    <w:rPr>
      <w:rFonts w:ascii="仿宋_GB2312" w:hAnsi="仿宋_GB2312" w:eastAsia="Times New Roman" w:cs="仿宋_GB2312"/>
      <w:color w:val="000000"/>
      <w:kern w:val="0"/>
      <w:sz w:val="31"/>
      <w:szCs w:val="20"/>
      <w:u w:color="000000"/>
    </w:rPr>
  </w:style>
  <w:style w:type="paragraph" w:customStyle="1" w:styleId="2008">
    <w:name w:val="攀成钢二级标题"/>
    <w:basedOn w:val="1"/>
    <w:qFormat/>
    <w:uiPriority w:val="0"/>
    <w:pPr>
      <w:widowControl/>
      <w:spacing w:line="480" w:lineRule="auto"/>
      <w:jc w:val="left"/>
      <w:outlineLvl w:val="1"/>
    </w:pPr>
    <w:rPr>
      <w:rFonts w:ascii="Times New Roman" w:hAnsi="Times New Roman" w:eastAsia="宋体" w:cs="Times New Roman"/>
      <w:b/>
      <w:color w:val="008000"/>
      <w:kern w:val="0"/>
      <w:sz w:val="28"/>
      <w:szCs w:val="20"/>
    </w:rPr>
  </w:style>
  <w:style w:type="paragraph" w:customStyle="1" w:styleId="2009">
    <w:name w:val="样式 标题 3 + 左侧:  0 厘米 首行缩进:  0 厘米"/>
    <w:basedOn w:val="8"/>
    <w:qFormat/>
    <w:uiPriority w:val="0"/>
    <w:pPr>
      <w:widowControl/>
      <w:numPr>
        <w:ilvl w:val="0"/>
        <w:numId w:val="0"/>
      </w:numPr>
      <w:tabs>
        <w:tab w:val="left" w:pos="709"/>
      </w:tabs>
      <w:adjustRightInd w:val="0"/>
      <w:spacing w:before="120" w:after="120" w:line="240" w:lineRule="auto"/>
      <w:ind w:left="709" w:hanging="709"/>
      <w:textAlignment w:val="baseline"/>
    </w:pPr>
    <w:rPr>
      <w:rFonts w:ascii="仿宋_GB2312" w:hAnsi="Verdana" w:eastAsia="宋体" w:cs="Verdana"/>
      <w:color w:val="0000FF"/>
      <w:kern w:val="32"/>
      <w:sz w:val="32"/>
    </w:rPr>
  </w:style>
  <w:style w:type="paragraph" w:customStyle="1" w:styleId="2010">
    <w:name w:val="正文5"/>
    <w:qFormat/>
    <w:uiPriority w:val="0"/>
    <w:pPr>
      <w:widowControl w:val="0"/>
      <w:adjustRightInd w:val="0"/>
      <w:spacing w:line="360" w:lineRule="atLeast"/>
      <w:textAlignment w:val="baseline"/>
    </w:pPr>
    <w:rPr>
      <w:rFonts w:ascii="Verdana" w:hAnsi="仿宋_GB2312" w:eastAsia="宋体" w:cs="仿宋_GB2312"/>
      <w:sz w:val="24"/>
      <w:lang w:val="en-US" w:eastAsia="zh-CN" w:bidi="ar-SA"/>
    </w:rPr>
  </w:style>
  <w:style w:type="paragraph" w:customStyle="1" w:styleId="2011">
    <w:name w:val="內文-1"/>
    <w:basedOn w:val="1"/>
    <w:qFormat/>
    <w:uiPriority w:val="0"/>
    <w:pPr>
      <w:widowControl/>
      <w:topLinePunct/>
      <w:adjustRightInd w:val="0"/>
      <w:spacing w:line="384" w:lineRule="exact"/>
      <w:ind w:firstLine="482"/>
      <w:jc w:val="left"/>
      <w:textAlignment w:val="baseline"/>
    </w:pPr>
    <w:rPr>
      <w:rFonts w:ascii="仿宋_GB2312" w:hAnsi="仿宋_GB2312" w:eastAsia="Times New Roman" w:cs="仿宋_GB2312"/>
      <w:kern w:val="20"/>
      <w:sz w:val="24"/>
      <w:szCs w:val="20"/>
      <w:lang w:eastAsia="zh-TW"/>
    </w:rPr>
  </w:style>
  <w:style w:type="paragraph" w:customStyle="1" w:styleId="2012">
    <w:name w:val="18"/>
    <w:basedOn w:val="1"/>
    <w:qFormat/>
    <w:uiPriority w:val="0"/>
    <w:pPr>
      <w:widowControl/>
      <w:snapToGrid w:val="0"/>
      <w:spacing w:before="120" w:after="100" w:afterAutospacing="1" w:line="240" w:lineRule="atLeast"/>
      <w:jc w:val="center"/>
    </w:pPr>
    <w:rPr>
      <w:rFonts w:ascii="Times New Roman" w:hAnsi="Times New Roman" w:eastAsia="宋体" w:cs="Times New Roman"/>
      <w:b/>
      <w:kern w:val="0"/>
      <w:sz w:val="24"/>
      <w:szCs w:val="20"/>
    </w:rPr>
  </w:style>
  <w:style w:type="paragraph" w:customStyle="1" w:styleId="2013">
    <w:name w:val="列表 5O"/>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2014">
    <w:name w:val="标题样式2"/>
    <w:basedOn w:val="7"/>
    <w:qFormat/>
    <w:uiPriority w:val="0"/>
    <w:pPr>
      <w:widowControl/>
      <w:numPr>
        <w:ilvl w:val="0"/>
        <w:numId w:val="0"/>
      </w:numPr>
      <w:spacing w:beforeLines="50" w:after="0" w:line="360" w:lineRule="auto"/>
      <w:jc w:val="both"/>
    </w:pPr>
    <w:rPr>
      <w:rFonts w:ascii="黑体" w:hAnsi="Arial" w:eastAsia="黑体" w:cs="Times New Roman"/>
      <w:szCs w:val="28"/>
    </w:rPr>
  </w:style>
  <w:style w:type="paragraph" w:customStyle="1" w:styleId="2015">
    <w:name w:val="GM"/>
    <w:basedOn w:val="6"/>
    <w:qFormat/>
    <w:uiPriority w:val="0"/>
    <w:pPr>
      <w:keepLines w:val="0"/>
      <w:widowControl/>
      <w:numPr>
        <w:numId w:val="0"/>
      </w:numPr>
      <w:tabs>
        <w:tab w:val="left" w:pos="2260"/>
        <w:tab w:val="left" w:pos="2820"/>
        <w:tab w:val="left" w:pos="3420"/>
      </w:tabs>
      <w:adjustRightInd w:val="0"/>
      <w:snapToGrid w:val="0"/>
      <w:spacing w:before="240" w:after="0" w:line="240" w:lineRule="auto"/>
      <w:ind w:left="851" w:right="-28" w:hanging="851"/>
      <w:jc w:val="left"/>
    </w:pPr>
    <w:rPr>
      <w:rFonts w:ascii="Courier New" w:hAnsi="Courier New" w:eastAsia="宋体" w:cs="仿宋_GB2312"/>
      <w:bCs w:val="0"/>
      <w:kern w:val="0"/>
      <w:sz w:val="22"/>
      <w:szCs w:val="20"/>
      <w:lang w:val="en-GB"/>
    </w:rPr>
  </w:style>
  <w:style w:type="paragraph" w:customStyle="1" w:styleId="2016">
    <w:name w:val="font16"/>
    <w:basedOn w:val="1"/>
    <w:qFormat/>
    <w:uiPriority w:val="0"/>
    <w:pPr>
      <w:widowControl/>
      <w:spacing w:before="100" w:beforeAutospacing="1" w:after="100" w:afterAutospacing="1" w:line="240" w:lineRule="auto"/>
      <w:jc w:val="left"/>
    </w:pPr>
    <w:rPr>
      <w:rFonts w:ascii="Verdana" w:hAnsi="Verdana" w:eastAsia="宋体" w:cs="華康中楷體"/>
      <w:kern w:val="0"/>
      <w:sz w:val="20"/>
      <w:szCs w:val="20"/>
      <w:u w:val="single"/>
    </w:rPr>
  </w:style>
  <w:style w:type="paragraph" w:customStyle="1" w:styleId="2017">
    <w:name w:val="MTDisplayEquation"/>
    <w:basedOn w:val="1"/>
    <w:next w:val="1"/>
    <w:qFormat/>
    <w:uiPriority w:val="0"/>
    <w:pPr>
      <w:widowControl/>
      <w:tabs>
        <w:tab w:val="center" w:pos="4160"/>
        <w:tab w:val="right" w:pos="8320"/>
      </w:tabs>
      <w:spacing w:line="460" w:lineRule="exact"/>
      <w:ind w:firstLine="420" w:firstLineChars="200"/>
      <w:jc w:val="left"/>
    </w:pPr>
    <w:rPr>
      <w:rFonts w:ascii="方正宋三简体" w:hAnsi="Times New Roman" w:eastAsia="宋体" w:cs="Times New Roman"/>
      <w:szCs w:val="24"/>
    </w:rPr>
  </w:style>
  <w:style w:type="paragraph" w:customStyle="1" w:styleId="2018">
    <w:name w:val="湛江码头表"/>
    <w:basedOn w:val="1"/>
    <w:qFormat/>
    <w:uiPriority w:val="0"/>
    <w:pPr>
      <w:widowControl/>
      <w:spacing w:line="240" w:lineRule="auto"/>
      <w:jc w:val="center"/>
    </w:pPr>
    <w:rPr>
      <w:rFonts w:ascii="仿宋_GB2312" w:hAnsi="仿宋_GB2312" w:eastAsia="Times New Roman" w:cs="仿宋_GB2312"/>
      <w:kern w:val="0"/>
      <w:szCs w:val="24"/>
      <w:lang w:eastAsia="zh-TW"/>
    </w:rPr>
  </w:style>
  <w:style w:type="paragraph" w:customStyle="1" w:styleId="2019">
    <w:name w:val="IDC A-Head (2nd Line)"/>
    <w:basedOn w:val="1"/>
    <w:next w:val="1"/>
    <w:qFormat/>
    <w:uiPriority w:val="0"/>
    <w:pPr>
      <w:widowControl/>
      <w:spacing w:line="240" w:lineRule="auto"/>
      <w:jc w:val="center"/>
    </w:pPr>
    <w:rPr>
      <w:rFonts w:ascii="仿宋_GB2312" w:hAnsi="仿宋_GB2312" w:eastAsia="宋体" w:cs="仿宋_GB2312"/>
      <w:caps/>
      <w:kern w:val="0"/>
      <w:sz w:val="24"/>
      <w:szCs w:val="20"/>
    </w:rPr>
  </w:style>
  <w:style w:type="paragraph" w:customStyle="1" w:styleId="2020">
    <w:name w:val="列表 3C"/>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2021">
    <w:name w:val="列表 2Q"/>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022">
    <w:name w:val="单位名称"/>
    <w:basedOn w:val="1"/>
    <w:next w:val="1"/>
    <w:qFormat/>
    <w:uiPriority w:val="0"/>
    <w:pPr>
      <w:widowControl/>
      <w:spacing w:line="500" w:lineRule="atLeast"/>
      <w:jc w:val="center"/>
    </w:pPr>
    <w:rPr>
      <w:rFonts w:ascii="仿宋_GB2312" w:hAnsi="仿宋_GB2312" w:eastAsia="宋体" w:cs="仿宋_GB2312"/>
      <w:sz w:val="44"/>
      <w:szCs w:val="44"/>
    </w:rPr>
  </w:style>
  <w:style w:type="paragraph" w:customStyle="1" w:styleId="2023">
    <w:name w:val="样式 宋体 小四 左 行距: 固定值 24 磅"/>
    <w:basedOn w:val="1"/>
    <w:qFormat/>
    <w:uiPriority w:val="0"/>
    <w:pPr>
      <w:widowControl/>
      <w:spacing w:line="480" w:lineRule="exact"/>
      <w:ind w:firstLine="200" w:firstLineChars="200"/>
      <w:jc w:val="left"/>
    </w:pPr>
    <w:rPr>
      <w:rFonts w:ascii="宋体" w:hAnsi="Times New Roman" w:eastAsia="宋体" w:cs="宋体"/>
      <w:kern w:val="0"/>
      <w:sz w:val="24"/>
      <w:szCs w:val="20"/>
    </w:rPr>
  </w:style>
  <w:style w:type="paragraph" w:customStyle="1" w:styleId="2024">
    <w:name w:val="xl110"/>
    <w:basedOn w:val="1"/>
    <w:qFormat/>
    <w:uiPriority w:val="0"/>
    <w:pPr>
      <w:widowControl/>
      <w:pBdr>
        <w:bottom w:val="single" w:color="auto" w:sz="4" w:space="0"/>
        <w:right w:val="single" w:color="auto" w:sz="8" w:space="0"/>
      </w:pBdr>
      <w:spacing w:before="100" w:beforeAutospacing="1" w:after="100" w:afterAutospacing="1" w:line="240" w:lineRule="auto"/>
      <w:jc w:val="center"/>
      <w:textAlignment w:val="center"/>
    </w:pPr>
    <w:rPr>
      <w:rFonts w:ascii="華康中楷體" w:hAnsi="華康中楷體" w:eastAsia="華康中楷體" w:cs="華康中楷體"/>
      <w:kern w:val="0"/>
      <w:sz w:val="16"/>
      <w:szCs w:val="16"/>
    </w:rPr>
  </w:style>
  <w:style w:type="paragraph" w:customStyle="1" w:styleId="2025">
    <w:name w:val="7表格(治)"/>
    <w:qFormat/>
    <w:uiPriority w:val="0"/>
    <w:pPr>
      <w:jc w:val="center"/>
    </w:pPr>
    <w:rPr>
      <w:rFonts w:ascii="宋体" w:hAnsi="宋体" w:eastAsia="宋体" w:cs="Times New Roman"/>
      <w:color w:val="0000FF"/>
      <w:sz w:val="21"/>
      <w:lang w:val="en-US" w:eastAsia="zh-CN" w:bidi="ar-SA"/>
    </w:rPr>
  </w:style>
  <w:style w:type="paragraph" w:customStyle="1" w:styleId="2026">
    <w:name w:val="标题样式4"/>
    <w:basedOn w:val="9"/>
    <w:qFormat/>
    <w:uiPriority w:val="0"/>
    <w:pPr>
      <w:keepNext w:val="0"/>
      <w:keepLines w:val="0"/>
      <w:widowControl/>
      <w:numPr>
        <w:ilvl w:val="0"/>
        <w:numId w:val="0"/>
      </w:numPr>
      <w:adjustRightInd w:val="0"/>
      <w:snapToGrid w:val="0"/>
      <w:spacing w:before="0" w:after="0" w:line="360" w:lineRule="auto"/>
    </w:pPr>
    <w:rPr>
      <w:rFonts w:eastAsia="宋体" w:cs="Times New Roman"/>
      <w:kern w:val="0"/>
      <w:szCs w:val="24"/>
      <w:lang w:val="zh-CN"/>
    </w:rPr>
  </w:style>
  <w:style w:type="paragraph" w:customStyle="1" w:styleId="2027">
    <w:name w:val="Char Char Char Char1 Char Char Char"/>
    <w:basedOn w:val="1"/>
    <w:qFormat/>
    <w:uiPriority w:val="0"/>
    <w:pPr>
      <w:widowControl/>
      <w:spacing w:line="240" w:lineRule="auto"/>
      <w:jc w:val="left"/>
    </w:pPr>
    <w:rPr>
      <w:rFonts w:ascii="Times New Roman" w:hAnsi="Times New Roman" w:eastAsia="宋体" w:cs="Times New Roman"/>
      <w:sz w:val="24"/>
      <w:szCs w:val="24"/>
    </w:rPr>
  </w:style>
  <w:style w:type="paragraph" w:customStyle="1" w:styleId="2028">
    <w:name w:val="表式1"/>
    <w:basedOn w:val="1"/>
    <w:qFormat/>
    <w:uiPriority w:val="0"/>
    <w:pPr>
      <w:widowControl/>
      <w:adjustRightInd w:val="0"/>
      <w:spacing w:line="240" w:lineRule="atLeast"/>
      <w:jc w:val="left"/>
      <w:textAlignment w:val="baseline"/>
    </w:pPr>
    <w:rPr>
      <w:rFonts w:ascii="Courier New" w:hAnsi="Courier New" w:eastAsia="仿宋体" w:cs="仿宋_GB2312"/>
      <w:b/>
      <w:kern w:val="0"/>
      <w:sz w:val="24"/>
      <w:szCs w:val="20"/>
      <w:lang w:eastAsia="zh-TW"/>
    </w:rPr>
  </w:style>
  <w:style w:type="paragraph" w:customStyle="1" w:styleId="2029">
    <w:name w:val="注×："/>
    <w:qFormat/>
    <w:uiPriority w:val="0"/>
    <w:pPr>
      <w:widowControl w:val="0"/>
      <w:tabs>
        <w:tab w:val="left" w:pos="630"/>
      </w:tabs>
      <w:autoSpaceDE w:val="0"/>
      <w:autoSpaceDN w:val="0"/>
      <w:jc w:val="both"/>
    </w:pPr>
    <w:rPr>
      <w:rFonts w:ascii="Verdana" w:hAnsi="仿宋_GB2312" w:eastAsia="宋体" w:cs="仿宋_GB2312"/>
      <w:sz w:val="18"/>
      <w:lang w:val="en-US" w:eastAsia="zh-CN" w:bidi="ar-SA"/>
    </w:rPr>
  </w:style>
  <w:style w:type="paragraph" w:customStyle="1" w:styleId="2030">
    <w:name w:val="自定义正文 Char Char Char"/>
    <w:qFormat/>
    <w:uiPriority w:val="0"/>
    <w:pPr>
      <w:widowControl w:val="0"/>
      <w:adjustRightInd w:val="0"/>
      <w:snapToGrid w:val="0"/>
      <w:spacing w:line="360" w:lineRule="auto"/>
      <w:ind w:firstLine="510"/>
      <w:jc w:val="both"/>
    </w:pPr>
    <w:rPr>
      <w:rFonts w:ascii="仿宋_GB2312" w:hAnsi="仿宋_GB2312" w:eastAsia="宋体" w:cs="仿宋_GB2312"/>
      <w:spacing w:val="-2"/>
      <w:kern w:val="2"/>
      <w:sz w:val="28"/>
      <w:szCs w:val="24"/>
      <w:lang w:val="en-US" w:eastAsia="zh-CN" w:bidi="ar-SA"/>
    </w:rPr>
  </w:style>
  <w:style w:type="paragraph" w:customStyle="1" w:styleId="2031">
    <w:name w:val="xl105"/>
    <w:basedOn w:val="1"/>
    <w:qFormat/>
    <w:uiPriority w:val="0"/>
    <w:pPr>
      <w:widowControl/>
      <w:pBdr>
        <w:top w:val="single" w:color="auto" w:sz="4" w:space="0"/>
        <w:right w:val="single" w:color="auto" w:sz="4" w:space="0"/>
      </w:pBdr>
      <w:spacing w:before="100" w:beforeAutospacing="1" w:after="100" w:afterAutospacing="1" w:line="240" w:lineRule="auto"/>
      <w:jc w:val="center"/>
      <w:textAlignment w:val="center"/>
    </w:pPr>
    <w:rPr>
      <w:rFonts w:ascii="華康中楷體" w:hAnsi="華康中楷體" w:eastAsia="華康中楷體" w:cs="華康中楷體"/>
      <w:kern w:val="0"/>
      <w:sz w:val="16"/>
      <w:szCs w:val="16"/>
    </w:rPr>
  </w:style>
  <w:style w:type="paragraph" w:customStyle="1" w:styleId="2032">
    <w:name w:val="四级条标题"/>
    <w:basedOn w:val="1866"/>
    <w:next w:val="1"/>
    <w:qFormat/>
    <w:uiPriority w:val="0"/>
    <w:pPr>
      <w:tabs>
        <w:tab w:val="clear" w:pos="360"/>
        <w:tab w:val="clear" w:pos="2100"/>
      </w:tabs>
      <w:ind w:left="2520"/>
      <w:outlineLvl w:val="5"/>
    </w:pPr>
  </w:style>
  <w:style w:type="paragraph" w:customStyle="1" w:styleId="2033">
    <w:name w:val="图表目录2"/>
    <w:basedOn w:val="1087"/>
    <w:next w:val="1087"/>
    <w:qFormat/>
    <w:uiPriority w:val="0"/>
    <w:pPr>
      <w:tabs>
        <w:tab w:val="right" w:leader="dot" w:pos="8051"/>
      </w:tabs>
      <w:adjustRightInd w:val="0"/>
      <w:spacing w:line="360" w:lineRule="atLeast"/>
      <w:ind w:left="840" w:hanging="840" w:firstLineChars="0"/>
      <w:textAlignment w:val="baseline"/>
    </w:pPr>
    <w:rPr>
      <w:rFonts w:ascii="宋体"/>
      <w:kern w:val="0"/>
      <w:szCs w:val="20"/>
    </w:rPr>
  </w:style>
  <w:style w:type="paragraph" w:customStyle="1" w:styleId="2034">
    <w:name w:val="列表 L"/>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2035">
    <w:name w:val="正文样式一"/>
    <w:basedOn w:val="1"/>
    <w:qFormat/>
    <w:uiPriority w:val="0"/>
    <w:pPr>
      <w:widowControl/>
      <w:adjustRightInd w:val="0"/>
      <w:spacing w:line="400" w:lineRule="atLeast"/>
      <w:ind w:firstLine="510"/>
      <w:jc w:val="left"/>
      <w:textAlignment w:val="baseline"/>
    </w:pPr>
    <w:rPr>
      <w:rFonts w:ascii="仿宋_GB2312" w:hAnsi="仿宋_GB2312" w:eastAsia="宋体" w:cs="仿宋_GB2312"/>
      <w:kern w:val="0"/>
      <w:sz w:val="24"/>
      <w:szCs w:val="20"/>
    </w:rPr>
  </w:style>
  <w:style w:type="paragraph" w:customStyle="1" w:styleId="2036">
    <w:name w:val="小标题@"/>
    <w:basedOn w:val="1"/>
    <w:qFormat/>
    <w:uiPriority w:val="0"/>
    <w:pPr>
      <w:widowControl/>
      <w:adjustRightInd w:val="0"/>
      <w:spacing w:before="60" w:after="60" w:line="240" w:lineRule="auto"/>
      <w:jc w:val="left"/>
      <w:textAlignment w:val="baseline"/>
    </w:pPr>
    <w:rPr>
      <w:rFonts w:ascii="仿宋_GB2312" w:hAnsi="仿宋_GB2312" w:eastAsia="宋体" w:cs="仿宋_GB2312"/>
      <w:sz w:val="24"/>
      <w:szCs w:val="20"/>
    </w:rPr>
  </w:style>
  <w:style w:type="paragraph" w:customStyle="1" w:styleId="2037">
    <w:name w:val="——"/>
    <w:basedOn w:val="1753"/>
    <w:qFormat/>
    <w:uiPriority w:val="0"/>
    <w:pPr>
      <w:ind w:left="0" w:firstLine="660" w:firstLineChars="300"/>
    </w:pPr>
  </w:style>
  <w:style w:type="paragraph" w:customStyle="1" w:styleId="2038">
    <w:name w:val="标题样式3"/>
    <w:basedOn w:val="8"/>
    <w:qFormat/>
    <w:uiPriority w:val="0"/>
    <w:pPr>
      <w:keepNext w:val="0"/>
      <w:widowControl/>
      <w:numPr>
        <w:ilvl w:val="0"/>
        <w:numId w:val="0"/>
      </w:numPr>
      <w:spacing w:before="0" w:after="0" w:line="360" w:lineRule="auto"/>
    </w:pPr>
    <w:rPr>
      <w:rFonts w:ascii="黑体" w:eastAsia="黑体" w:cs="黑体"/>
      <w:color w:val="000000"/>
      <w:kern w:val="0"/>
      <w:sz w:val="28"/>
      <w:szCs w:val="28"/>
      <w:lang w:val="zh-CN"/>
    </w:rPr>
  </w:style>
  <w:style w:type="paragraph" w:customStyle="1" w:styleId="2039">
    <w:name w:val="正文王"/>
    <w:basedOn w:val="46"/>
    <w:qFormat/>
    <w:uiPriority w:val="0"/>
    <w:pPr>
      <w:widowControl/>
      <w:spacing w:line="440" w:lineRule="exact"/>
      <w:ind w:firstLine="0" w:firstLineChars="0"/>
      <w:jc w:val="left"/>
    </w:pPr>
    <w:rPr>
      <w:rFonts w:ascii="Arial" w:hAnsi="Arial"/>
      <w:kern w:val="0"/>
    </w:rPr>
  </w:style>
  <w:style w:type="paragraph" w:customStyle="1" w:styleId="2040">
    <w:name w:val="样式1－表头"/>
    <w:basedOn w:val="1"/>
    <w:qFormat/>
    <w:uiPriority w:val="0"/>
    <w:pPr>
      <w:widowControl/>
      <w:adjustRightInd w:val="0"/>
      <w:snapToGrid w:val="0"/>
      <w:spacing w:beforeLines="50" w:afterLines="50" w:line="336" w:lineRule="auto"/>
      <w:jc w:val="center"/>
    </w:pPr>
    <w:rPr>
      <w:rFonts w:ascii="Times New Roman" w:hAnsi="Times New Roman" w:eastAsia="黑体" w:cs="Times New Roman"/>
      <w:spacing w:val="6"/>
      <w:sz w:val="24"/>
      <w:szCs w:val="20"/>
    </w:rPr>
  </w:style>
  <w:style w:type="paragraph" w:customStyle="1" w:styleId="2041">
    <w:name w:val="单元格格式"/>
    <w:qFormat/>
    <w:uiPriority w:val="0"/>
    <w:pPr>
      <w:widowControl w:val="0"/>
      <w:adjustRightInd w:val="0"/>
      <w:spacing w:beforeLines="20" w:afterLines="20" w:line="320" w:lineRule="exact"/>
      <w:ind w:left="32" w:leftChars="10" w:right="10" w:rightChars="10"/>
      <w:textAlignment w:val="baseline"/>
    </w:pPr>
    <w:rPr>
      <w:rFonts w:ascii="宋体" w:hAnsi="宋体" w:eastAsia="宋体" w:cs="Times New Roman"/>
      <w:sz w:val="28"/>
      <w:lang w:val="en-US" w:eastAsia="zh-CN" w:bidi="ar-SA"/>
    </w:rPr>
  </w:style>
  <w:style w:type="paragraph" w:customStyle="1" w:styleId="2042">
    <w:name w:val="項目:(一)[a]1.[a](1)[a]"/>
    <w:basedOn w:val="1"/>
    <w:qFormat/>
    <w:uiPriority w:val="0"/>
    <w:pPr>
      <w:widowControl/>
      <w:spacing w:line="320" w:lineRule="atLeast"/>
      <w:ind w:left="1038" w:firstLine="448"/>
      <w:jc w:val="left"/>
    </w:pPr>
    <w:rPr>
      <w:rFonts w:ascii="仿宋_GB2312" w:hAnsi="仿宋_GB2312" w:eastAsia="仿宋体" w:cs="仿宋_GB2312"/>
      <w:sz w:val="22"/>
      <w:szCs w:val="20"/>
      <w:lang w:eastAsia="zh-TW"/>
    </w:rPr>
  </w:style>
  <w:style w:type="paragraph" w:customStyle="1" w:styleId="2043">
    <w:name w:val="文本框5号两端齐"/>
    <w:basedOn w:val="1"/>
    <w:qFormat/>
    <w:uiPriority w:val="0"/>
    <w:pPr>
      <w:widowControl/>
      <w:spacing w:line="240" w:lineRule="auto"/>
      <w:jc w:val="left"/>
    </w:pPr>
    <w:rPr>
      <w:rFonts w:ascii="仿宋_GB2312" w:hAnsi="仿宋_GB2312" w:eastAsia="Times New Roman" w:cs="仿宋_GB2312"/>
    </w:rPr>
  </w:style>
  <w:style w:type="paragraph" w:customStyle="1" w:styleId="2044">
    <w:name w:val="列表 2H"/>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045">
    <w:name w:val="表样式"/>
    <w:basedOn w:val="1809"/>
    <w:qFormat/>
    <w:uiPriority w:val="0"/>
    <w:pPr>
      <w:keepNext w:val="0"/>
      <w:widowControl w:val="0"/>
      <w:spacing w:line="240" w:lineRule="auto"/>
    </w:pPr>
    <w:rPr>
      <w:rFonts w:ascii="??" w:eastAsia="楷体"/>
      <w:sz w:val="21"/>
    </w:rPr>
  </w:style>
  <w:style w:type="paragraph" w:customStyle="1" w:styleId="2046">
    <w:name w:val="样式 纯文本表内文字 + 楷体_GB2312 左"/>
    <w:basedOn w:val="1"/>
    <w:qFormat/>
    <w:uiPriority w:val="0"/>
    <w:pPr>
      <w:widowControl/>
      <w:tabs>
        <w:tab w:val="left" w:pos="1350"/>
      </w:tabs>
      <w:autoSpaceDE w:val="0"/>
      <w:autoSpaceDN w:val="0"/>
      <w:adjustRightInd w:val="0"/>
      <w:snapToGrid w:val="0"/>
      <w:spacing w:line="320" w:lineRule="exact"/>
      <w:jc w:val="left"/>
    </w:pPr>
    <w:rPr>
      <w:rFonts w:ascii="Courier New" w:hAnsi="Courier New" w:eastAsia="经典叠圆体简" w:cs="Verdana"/>
    </w:rPr>
  </w:style>
  <w:style w:type="paragraph" w:customStyle="1" w:styleId="2047">
    <w:name w:val="列表 2J"/>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048">
    <w:name w:val="列表 J"/>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2049">
    <w:name w:val="列表 N"/>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2050">
    <w:name w:val="首页页眉样式"/>
    <w:basedOn w:val="1"/>
    <w:qFormat/>
    <w:uiPriority w:val="0"/>
    <w:pPr>
      <w:widowControl/>
      <w:tabs>
        <w:tab w:val="left" w:pos="390"/>
      </w:tabs>
      <w:spacing w:line="320" w:lineRule="exact"/>
      <w:ind w:left="390" w:hanging="390"/>
      <w:jc w:val="center"/>
    </w:pPr>
    <w:rPr>
      <w:rFonts w:ascii="宋体" w:hAnsi="宋体" w:eastAsia="宋体" w:cs="Times New Roman"/>
      <w:szCs w:val="20"/>
    </w:rPr>
  </w:style>
  <w:style w:type="paragraph" w:customStyle="1" w:styleId="2051">
    <w:name w:val="xl92"/>
    <w:basedOn w:val="1"/>
    <w:qFormat/>
    <w:uiPriority w:val="0"/>
    <w:pPr>
      <w:widowControl/>
      <w:pBdr>
        <w:top w:val="single" w:color="auto" w:sz="4" w:space="0"/>
        <w:left w:val="single" w:color="auto" w:sz="4" w:space="0"/>
        <w:bottom w:val="single" w:color="auto" w:sz="8" w:space="0"/>
      </w:pBdr>
      <w:spacing w:before="100" w:beforeAutospacing="1" w:after="100" w:afterAutospacing="1" w:line="240" w:lineRule="auto"/>
      <w:jc w:val="center"/>
    </w:pPr>
    <w:rPr>
      <w:rFonts w:ascii="華康中楷體" w:hAnsi="華康中楷體" w:eastAsia="華康中楷體" w:cs="華康中楷體"/>
      <w:kern w:val="0"/>
      <w:sz w:val="16"/>
      <w:szCs w:val="16"/>
    </w:rPr>
  </w:style>
  <w:style w:type="paragraph" w:customStyle="1" w:styleId="2052">
    <w:name w:val="ttop"/>
    <w:basedOn w:val="1"/>
    <w:qFormat/>
    <w:uiPriority w:val="0"/>
    <w:pPr>
      <w:widowControl/>
      <w:spacing w:before="100" w:beforeAutospacing="1" w:after="100" w:afterAutospacing="1" w:line="240" w:lineRule="auto"/>
      <w:jc w:val="left"/>
    </w:pPr>
    <w:rPr>
      <w:rFonts w:ascii="Verdana" w:hAnsi="Verdana" w:eastAsia="宋体" w:cs="仿宋_GB2312"/>
      <w:kern w:val="0"/>
      <w:sz w:val="24"/>
      <w:szCs w:val="24"/>
    </w:rPr>
  </w:style>
  <w:style w:type="paragraph" w:customStyle="1" w:styleId="2053">
    <w:name w:val="样式 四号 首行缩进:  0.85 厘米 行距: 1.5 倍行距"/>
    <w:basedOn w:val="1"/>
    <w:qFormat/>
    <w:uiPriority w:val="0"/>
    <w:pPr>
      <w:widowControl/>
      <w:ind w:firstLine="480"/>
      <w:jc w:val="left"/>
    </w:pPr>
    <w:rPr>
      <w:rFonts w:ascii="仿宋_GB2312" w:hAnsi="仿宋_GB2312" w:eastAsia="宋体" w:cs="Verdana"/>
      <w:sz w:val="28"/>
      <w:szCs w:val="20"/>
    </w:rPr>
  </w:style>
  <w:style w:type="paragraph" w:customStyle="1" w:styleId="2054">
    <w:name w:val="列表 2A"/>
    <w:basedOn w:val="38"/>
    <w:qFormat/>
    <w:uiPriority w:val="0"/>
    <w:pPr>
      <w:widowControl/>
      <w:tabs>
        <w:tab w:val="left" w:pos="1335"/>
      </w:tabs>
      <w:adjustRightInd/>
      <w:spacing w:beforeLines="0" w:beforeAutospacing="1" w:after="100" w:afterAutospacing="1" w:line="288" w:lineRule="auto"/>
      <w:ind w:left="1335" w:hanging="705"/>
      <w:jc w:val="left"/>
      <w:textAlignment w:val="auto"/>
    </w:pPr>
    <w:rPr>
      <w:rFonts w:ascii="Courier New" w:hAnsi="Courier New" w:cs="仿宋_GB2312"/>
      <w:color w:val="FFFF99"/>
      <w:kern w:val="2"/>
    </w:rPr>
  </w:style>
  <w:style w:type="paragraph" w:customStyle="1" w:styleId="2055">
    <w:name w:val="列表 4W"/>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2056">
    <w:name w:val="报告1"/>
    <w:basedOn w:val="495"/>
    <w:qFormat/>
    <w:uiPriority w:val="0"/>
    <w:pPr>
      <w:widowControl/>
      <w:textAlignment w:val="baseline"/>
    </w:pPr>
    <w:rPr>
      <w:rFonts w:ascii="仿宋_GB2312" w:hAnsi="仿宋_GB2312" w:cs="仿宋_GB2312"/>
      <w:kern w:val="24"/>
    </w:rPr>
  </w:style>
  <w:style w:type="paragraph" w:customStyle="1" w:styleId="2057">
    <w:name w:val="表题 Char Char"/>
    <w:basedOn w:val="1"/>
    <w:qFormat/>
    <w:uiPriority w:val="0"/>
    <w:pPr>
      <w:keepNext/>
      <w:keepLines/>
      <w:widowControl/>
      <w:spacing w:before="120"/>
      <w:jc w:val="center"/>
    </w:pPr>
    <w:rPr>
      <w:rFonts w:ascii="宋体" w:hAnsi="宋体" w:eastAsia="宋体" w:cs="Times New Roman"/>
      <w:b/>
      <w:sz w:val="24"/>
      <w:szCs w:val="20"/>
    </w:rPr>
  </w:style>
  <w:style w:type="paragraph" w:customStyle="1" w:styleId="2058">
    <w:name w:val="样式 标题 3 + Arial"/>
    <w:basedOn w:val="1"/>
    <w:qFormat/>
    <w:uiPriority w:val="0"/>
    <w:pPr>
      <w:widowControl/>
      <w:spacing w:line="240" w:lineRule="auto"/>
      <w:jc w:val="left"/>
    </w:pPr>
    <w:rPr>
      <w:rFonts w:ascii="仿宋_GB2312" w:hAnsi="仿宋_GB2312" w:eastAsia="宋体" w:cs="仿宋_GB2312"/>
      <w:szCs w:val="20"/>
    </w:rPr>
  </w:style>
  <w:style w:type="paragraph" w:customStyle="1" w:styleId="2059">
    <w:name w:val="puce"/>
    <w:basedOn w:val="1"/>
    <w:qFormat/>
    <w:uiPriority w:val="0"/>
    <w:pPr>
      <w:widowControl/>
      <w:tabs>
        <w:tab w:val="left" w:pos="390"/>
      </w:tabs>
      <w:adjustRightInd w:val="0"/>
      <w:snapToGrid w:val="0"/>
      <w:spacing w:line="300" w:lineRule="auto"/>
      <w:ind w:left="1020" w:hanging="340"/>
      <w:jc w:val="left"/>
    </w:pPr>
    <w:rPr>
      <w:rFonts w:ascii="楷体_GB2312" w:hAnsi="Arial" w:eastAsia="楷体_GB2312" w:cs="Times New Roman"/>
      <w:kern w:val="0"/>
      <w:sz w:val="28"/>
      <w:szCs w:val="28"/>
    </w:rPr>
  </w:style>
  <w:style w:type="paragraph" w:customStyle="1" w:styleId="2060">
    <w:name w:val="表格样式1"/>
    <w:basedOn w:val="1"/>
    <w:qFormat/>
    <w:uiPriority w:val="0"/>
    <w:pPr>
      <w:widowControl/>
      <w:adjustRightInd w:val="0"/>
      <w:spacing w:line="20" w:lineRule="atLeast"/>
      <w:jc w:val="center"/>
      <w:textAlignment w:val="baseline"/>
    </w:pPr>
    <w:rPr>
      <w:rFonts w:ascii="Verdana" w:hAnsi="仿宋_GB2312" w:eastAsia="宋体" w:cs="仿宋_GB2312"/>
      <w:kern w:val="0"/>
      <w:szCs w:val="20"/>
    </w:rPr>
  </w:style>
  <w:style w:type="paragraph" w:customStyle="1" w:styleId="2061">
    <w:name w:val="文本块1"/>
    <w:basedOn w:val="1"/>
    <w:qFormat/>
    <w:uiPriority w:val="0"/>
    <w:pPr>
      <w:widowControl/>
      <w:tabs>
        <w:tab w:val="left" w:pos="8100"/>
      </w:tabs>
      <w:adjustRightInd w:val="0"/>
      <w:ind w:left="540" w:right="206" w:firstLine="1260"/>
      <w:jc w:val="left"/>
      <w:textAlignment w:val="baseline"/>
    </w:pPr>
    <w:rPr>
      <w:rFonts w:ascii="Times New Roman" w:hAnsi="Times New Roman" w:eastAsia="宋体" w:cs="Times New Roman"/>
      <w:kern w:val="0"/>
      <w:szCs w:val="20"/>
    </w:rPr>
  </w:style>
  <w:style w:type="paragraph" w:customStyle="1" w:styleId="2062">
    <w:name w:val="默认段落字体 Para Char Char Char Char Char Char Char"/>
    <w:basedOn w:val="1"/>
    <w:qFormat/>
    <w:uiPriority w:val="0"/>
    <w:pPr>
      <w:widowControl/>
      <w:spacing w:line="240" w:lineRule="auto"/>
      <w:jc w:val="left"/>
    </w:pPr>
    <w:rPr>
      <w:rFonts w:ascii="仿宋_GB2312" w:hAnsi="仿宋_GB2312" w:eastAsia="宋体" w:cs="仿宋_GB2312"/>
      <w:szCs w:val="24"/>
    </w:rPr>
  </w:style>
  <w:style w:type="paragraph" w:customStyle="1" w:styleId="2063">
    <w:name w:val="列表 2L"/>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064">
    <w:name w:val="列表 4I"/>
    <w:basedOn w:val="81"/>
    <w:qFormat/>
    <w:uiPriority w:val="0"/>
    <w:pPr>
      <w:widowControl/>
      <w:tabs>
        <w:tab w:val="left" w:pos="785"/>
      </w:tabs>
      <w:adjustRightInd/>
      <w:spacing w:afterLines="30" w:line="288" w:lineRule="auto"/>
      <w:ind w:left="0" w:firstLine="425"/>
      <w:jc w:val="left"/>
      <w:textAlignment w:val="auto"/>
    </w:pPr>
    <w:rPr>
      <w:rFonts w:ascii="Courier New" w:hAnsi="Courier New" w:cs="仿宋_GB2312"/>
      <w:color w:val="CCFFFF"/>
      <w:kern w:val="2"/>
    </w:rPr>
  </w:style>
  <w:style w:type="paragraph" w:customStyle="1" w:styleId="2065">
    <w:name w:val="左侧"/>
    <w:qFormat/>
    <w:uiPriority w:val="0"/>
    <w:pPr>
      <w:spacing w:line="280" w:lineRule="exact"/>
      <w:jc w:val="center"/>
    </w:pPr>
    <w:rPr>
      <w:rFonts w:ascii="Times New Roman" w:hAnsi="Times New Roman" w:eastAsia="宋体" w:cs="仿宋_GB2312"/>
      <w:color w:val="000000"/>
      <w:sz w:val="21"/>
      <w:lang w:val="en-US" w:eastAsia="zh-CN" w:bidi="ar-SA"/>
    </w:rPr>
  </w:style>
  <w:style w:type="paragraph" w:customStyle="1" w:styleId="2066">
    <w:name w:val="edri-title secong"/>
    <w:basedOn w:val="1"/>
    <w:qFormat/>
    <w:uiPriority w:val="0"/>
    <w:pPr>
      <w:widowControl/>
      <w:tabs>
        <w:tab w:val="left" w:pos="2"/>
        <w:tab w:val="left" w:pos="945"/>
      </w:tabs>
      <w:spacing w:beforeLines="50" w:line="300" w:lineRule="auto"/>
      <w:ind w:left="966" w:hanging="964"/>
      <w:jc w:val="left"/>
      <w:outlineLvl w:val="1"/>
    </w:pPr>
    <w:rPr>
      <w:rFonts w:ascii="????" w:hAnsi="????" w:eastAsia="宋体" w:cs="仿宋_GB2312"/>
      <w:b/>
      <w:bCs/>
      <w:kern w:val="0"/>
      <w:sz w:val="28"/>
      <w:szCs w:val="20"/>
    </w:rPr>
  </w:style>
  <w:style w:type="paragraph" w:customStyle="1" w:styleId="2067">
    <w:name w:val="列表 4H"/>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2068">
    <w:name w:val="正文4"/>
    <w:basedOn w:val="1"/>
    <w:qFormat/>
    <w:uiPriority w:val="0"/>
    <w:pPr>
      <w:widowControl/>
      <w:autoSpaceDE w:val="0"/>
      <w:autoSpaceDN w:val="0"/>
      <w:spacing w:after="160" w:line="440" w:lineRule="exact"/>
      <w:ind w:left="567" w:hanging="567"/>
      <w:jc w:val="left"/>
      <w:textAlignment w:val="bottom"/>
    </w:pPr>
    <w:rPr>
      <w:rFonts w:ascii="仿宋_GB2312" w:hAnsi="仿宋_GB2312" w:eastAsia="宋体" w:cs="仿宋_GB2312"/>
      <w:sz w:val="28"/>
      <w:szCs w:val="20"/>
    </w:rPr>
  </w:style>
  <w:style w:type="paragraph" w:customStyle="1" w:styleId="2069">
    <w:name w:val="列表 5Q"/>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2070">
    <w:name w:val="自定义缩进"/>
    <w:basedOn w:val="1"/>
    <w:qFormat/>
    <w:uiPriority w:val="0"/>
    <w:pPr>
      <w:widowControl/>
      <w:ind w:firstLine="480" w:firstLineChars="200"/>
      <w:jc w:val="left"/>
    </w:pPr>
    <w:rPr>
      <w:rFonts w:ascii="宋体" w:hAnsi="宋体" w:eastAsia="宋体" w:cs="Times New Roman"/>
      <w:kern w:val="0"/>
      <w:sz w:val="24"/>
      <w:szCs w:val="24"/>
    </w:rPr>
  </w:style>
  <w:style w:type="paragraph" w:customStyle="1" w:styleId="2071">
    <w:name w:val="3级"/>
    <w:basedOn w:val="1"/>
    <w:qFormat/>
    <w:uiPriority w:val="0"/>
    <w:pPr>
      <w:widowControl/>
      <w:spacing w:line="240" w:lineRule="auto"/>
      <w:jc w:val="left"/>
    </w:pPr>
    <w:rPr>
      <w:rFonts w:ascii="Times New Roman" w:hAnsi="Times New Roman" w:eastAsia="宋体" w:cs="Times New Roman"/>
      <w:b/>
      <w:sz w:val="28"/>
      <w:szCs w:val="28"/>
    </w:rPr>
  </w:style>
  <w:style w:type="paragraph" w:customStyle="1" w:styleId="2072">
    <w:name w:val="封面项目名称"/>
    <w:basedOn w:val="1"/>
    <w:next w:val="1"/>
    <w:qFormat/>
    <w:uiPriority w:val="0"/>
    <w:pPr>
      <w:widowControl/>
      <w:adjustRightInd w:val="0"/>
      <w:snapToGrid w:val="0"/>
      <w:spacing w:line="480" w:lineRule="exact"/>
      <w:ind w:firstLine="567"/>
      <w:jc w:val="center"/>
    </w:pPr>
    <w:rPr>
      <w:rFonts w:ascii="楷体" w:hAnsi="仿宋_GB2312" w:eastAsia="楷体" w:cs="仿宋_GB2312"/>
      <w:sz w:val="44"/>
      <w:szCs w:val="20"/>
    </w:rPr>
  </w:style>
  <w:style w:type="paragraph" w:customStyle="1" w:styleId="2073">
    <w:name w:val="0003"/>
    <w:basedOn w:val="8"/>
    <w:qFormat/>
    <w:uiPriority w:val="0"/>
    <w:pPr>
      <w:keepNext w:val="0"/>
      <w:keepLines w:val="0"/>
      <w:widowControl/>
      <w:numPr>
        <w:ilvl w:val="0"/>
        <w:numId w:val="0"/>
      </w:numPr>
      <w:adjustRightInd w:val="0"/>
      <w:snapToGrid w:val="0"/>
      <w:spacing w:beforeLines="100" w:after="0" w:line="360" w:lineRule="auto"/>
    </w:pPr>
    <w:rPr>
      <w:rFonts w:ascii="宋体" w:eastAsia="宋体" w:cs="Times New Roman"/>
      <w:b w:val="0"/>
      <w:color w:val="0000FF"/>
      <w:kern w:val="0"/>
      <w:szCs w:val="24"/>
    </w:rPr>
  </w:style>
  <w:style w:type="paragraph" w:customStyle="1" w:styleId="2074">
    <w:name w:val="列表 2P"/>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075">
    <w:name w:val="样式 德胜表格内容 + 10 磅"/>
    <w:basedOn w:val="1470"/>
    <w:qFormat/>
    <w:uiPriority w:val="0"/>
    <w:rPr>
      <w:b/>
    </w:rPr>
  </w:style>
  <w:style w:type="paragraph" w:customStyle="1" w:styleId="2076">
    <w:name w:val="附图编号"/>
    <w:basedOn w:val="1"/>
    <w:qFormat/>
    <w:uiPriority w:val="0"/>
    <w:pPr>
      <w:widowControl/>
      <w:tabs>
        <w:tab w:val="left" w:pos="1760"/>
      </w:tabs>
      <w:spacing w:line="288" w:lineRule="auto"/>
      <w:ind w:left="1021" w:hanging="341"/>
      <w:jc w:val="left"/>
    </w:pPr>
    <w:rPr>
      <w:rFonts w:ascii="Courier New" w:hAnsi="Courier New" w:eastAsia="宋体" w:cs="仿宋_GB2312"/>
      <w:color w:val="CC99FF"/>
      <w:sz w:val="24"/>
      <w:szCs w:val="20"/>
    </w:rPr>
  </w:style>
  <w:style w:type="paragraph" w:customStyle="1" w:styleId="2077">
    <w:name w:val="样式 湛江钢铁表 +"/>
    <w:basedOn w:val="1"/>
    <w:next w:val="1"/>
    <w:qFormat/>
    <w:uiPriority w:val="0"/>
    <w:pPr>
      <w:widowControl/>
      <w:adjustRightInd w:val="0"/>
      <w:snapToGrid w:val="0"/>
      <w:spacing w:beforeLines="20" w:afterLines="20" w:line="240" w:lineRule="auto"/>
      <w:jc w:val="center"/>
      <w:textAlignment w:val="baseline"/>
    </w:pPr>
    <w:rPr>
      <w:rFonts w:ascii="仿宋_GB2312" w:hAnsi="仿宋_GB2312" w:eastAsia="Times New Roman" w:cs="仿宋_GB2312"/>
      <w:kern w:val="0"/>
    </w:rPr>
  </w:style>
  <w:style w:type="paragraph" w:customStyle="1" w:styleId="2078">
    <w:name w:val="样式 标题 2 + 段前: 0.5 行3"/>
    <w:basedOn w:val="7"/>
    <w:qFormat/>
    <w:uiPriority w:val="0"/>
    <w:pPr>
      <w:keepNext w:val="0"/>
      <w:keepLines w:val="0"/>
      <w:widowControl/>
      <w:numPr>
        <w:ilvl w:val="0"/>
        <w:numId w:val="0"/>
      </w:numPr>
      <w:snapToGrid w:val="0"/>
      <w:spacing w:beforeLines="50" w:after="0" w:line="240" w:lineRule="auto"/>
      <w:ind w:left="567" w:hanging="540"/>
      <w:jc w:val="both"/>
    </w:pPr>
    <w:rPr>
      <w:rFonts w:ascii="仿宋_GB2312" w:hAnsi="仿宋_GB2312" w:eastAsia="楷体" w:cs="Verdana"/>
      <w:b w:val="0"/>
      <w:bCs w:val="0"/>
      <w:color w:val="0000FF"/>
      <w:sz w:val="24"/>
      <w:szCs w:val="20"/>
    </w:rPr>
  </w:style>
  <w:style w:type="paragraph" w:customStyle="1" w:styleId="2079">
    <w:name w:val="注："/>
    <w:next w:val="1"/>
    <w:qFormat/>
    <w:uiPriority w:val="0"/>
    <w:pPr>
      <w:widowControl w:val="0"/>
      <w:tabs>
        <w:tab w:val="left" w:pos="895"/>
      </w:tabs>
      <w:autoSpaceDE w:val="0"/>
      <w:autoSpaceDN w:val="0"/>
      <w:ind w:left="895" w:hanging="420"/>
      <w:jc w:val="both"/>
    </w:pPr>
    <w:rPr>
      <w:rFonts w:ascii="Verdana" w:hAnsi="仿宋_GB2312" w:eastAsia="宋体" w:cs="仿宋_GB2312"/>
      <w:sz w:val="18"/>
      <w:lang w:val="en-US" w:eastAsia="zh-CN" w:bidi="ar-SA"/>
    </w:rPr>
  </w:style>
  <w:style w:type="paragraph" w:customStyle="1" w:styleId="2080">
    <w:name w:val="封面三号"/>
    <w:basedOn w:val="1"/>
    <w:qFormat/>
    <w:uiPriority w:val="0"/>
    <w:pPr>
      <w:widowControl/>
      <w:spacing w:line="240" w:lineRule="auto"/>
      <w:jc w:val="center"/>
    </w:pPr>
    <w:rPr>
      <w:rFonts w:ascii="Verdana" w:hAnsi="Verdana" w:eastAsia="宋体" w:cs="Verdana"/>
      <w:spacing w:val="55"/>
      <w:kern w:val="0"/>
      <w:sz w:val="32"/>
      <w:szCs w:val="32"/>
    </w:rPr>
  </w:style>
  <w:style w:type="paragraph" w:customStyle="1" w:styleId="2081">
    <w:name w:val="样式 标题 1 + 自动设置"/>
    <w:basedOn w:val="6"/>
    <w:qFormat/>
    <w:uiPriority w:val="0"/>
    <w:pPr>
      <w:widowControl/>
      <w:numPr>
        <w:numId w:val="0"/>
      </w:numPr>
      <w:tabs>
        <w:tab w:val="left" w:pos="390"/>
        <w:tab w:val="left" w:pos="700"/>
      </w:tabs>
      <w:autoSpaceDE w:val="0"/>
      <w:autoSpaceDN w:val="0"/>
      <w:adjustRightInd w:val="0"/>
      <w:spacing w:before="0" w:after="0" w:line="360" w:lineRule="auto"/>
      <w:ind w:left="431" w:hanging="431"/>
    </w:pPr>
    <w:rPr>
      <w:rFonts w:eastAsia="宋体" w:cs="Times New Roman"/>
      <w:sz w:val="28"/>
      <w:szCs w:val="20"/>
    </w:rPr>
  </w:style>
  <w:style w:type="paragraph" w:customStyle="1" w:styleId="2082">
    <w:name w:val="xl108"/>
    <w:basedOn w:val="1"/>
    <w:qFormat/>
    <w:uiPriority w:val="0"/>
    <w:pPr>
      <w:widowControl/>
      <w:pBdr>
        <w:bottom w:val="single" w:color="auto" w:sz="4" w:space="0"/>
        <w:right w:val="single" w:color="auto" w:sz="8" w:space="0"/>
      </w:pBdr>
      <w:spacing w:before="100" w:beforeAutospacing="1" w:after="100" w:afterAutospacing="1" w:line="240" w:lineRule="auto"/>
      <w:jc w:val="center"/>
      <w:textAlignment w:val="center"/>
    </w:pPr>
    <w:rPr>
      <w:rFonts w:ascii="華康中楷體" w:hAnsi="華康中楷體" w:eastAsia="華康中楷體" w:cs="華康中楷體"/>
      <w:kern w:val="0"/>
      <w:sz w:val="16"/>
      <w:szCs w:val="16"/>
    </w:rPr>
  </w:style>
  <w:style w:type="paragraph" w:customStyle="1" w:styleId="2083">
    <w:name w:val="列表 2X"/>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084">
    <w:name w:val="Char3"/>
    <w:basedOn w:val="1"/>
    <w:qFormat/>
    <w:uiPriority w:val="0"/>
    <w:pPr>
      <w:widowControl/>
      <w:spacing w:line="240" w:lineRule="auto"/>
      <w:jc w:val="left"/>
    </w:pPr>
    <w:rPr>
      <w:rFonts w:ascii="Times New Roman" w:hAnsi="Times New Roman" w:eastAsia="宋体" w:cs="Times New Roman"/>
      <w:sz w:val="24"/>
      <w:szCs w:val="24"/>
    </w:rPr>
  </w:style>
  <w:style w:type="paragraph" w:customStyle="1" w:styleId="2085">
    <w:name w:val="最新泸县焦化表格文字"/>
    <w:basedOn w:val="1"/>
    <w:qFormat/>
    <w:uiPriority w:val="0"/>
    <w:pPr>
      <w:keepNext/>
      <w:keepLines/>
      <w:widowControl/>
      <w:autoSpaceDE w:val="0"/>
      <w:autoSpaceDN w:val="0"/>
      <w:adjustRightInd w:val="0"/>
      <w:snapToGrid w:val="0"/>
      <w:spacing w:line="240" w:lineRule="auto"/>
      <w:jc w:val="left"/>
    </w:pPr>
    <w:rPr>
      <w:rFonts w:ascii="Times New Roman" w:hAnsi="Times New Roman" w:eastAsia="宋体" w:cs="Times New Roman"/>
      <w:bCs/>
      <w:color w:val="0000FF"/>
    </w:rPr>
  </w:style>
  <w:style w:type="paragraph" w:customStyle="1" w:styleId="2086">
    <w:name w:val="项目2"/>
    <w:basedOn w:val="1"/>
    <w:qFormat/>
    <w:uiPriority w:val="0"/>
    <w:pPr>
      <w:widowControl/>
      <w:tabs>
        <w:tab w:val="left" w:pos="360"/>
        <w:tab w:val="left" w:pos="780"/>
      </w:tabs>
      <w:snapToGrid w:val="0"/>
      <w:spacing w:line="240" w:lineRule="atLeast"/>
      <w:ind w:left="780" w:hanging="360"/>
      <w:jc w:val="left"/>
    </w:pPr>
    <w:rPr>
      <w:rFonts w:ascii="仿宋_GB2312" w:hAnsi="仿宋_GB2312" w:eastAsia="宋体" w:cs="仿宋_GB2312"/>
      <w:sz w:val="28"/>
      <w:szCs w:val="20"/>
    </w:rPr>
  </w:style>
  <w:style w:type="paragraph" w:customStyle="1" w:styleId="2087">
    <w:name w:val="表格文字样式"/>
    <w:basedOn w:val="880"/>
    <w:qFormat/>
    <w:uiPriority w:val="0"/>
    <w:pPr>
      <w:widowControl/>
      <w:spacing w:line="240" w:lineRule="auto"/>
      <w:ind w:firstLine="0"/>
      <w:jc w:val="center"/>
    </w:pPr>
    <w:rPr>
      <w:rFonts w:eastAsia="华文中宋"/>
    </w:rPr>
  </w:style>
  <w:style w:type="paragraph" w:customStyle="1" w:styleId="2088">
    <w:name w:val="样式 德胜正文 + ?? ??Dˎ̥ Ê×ÐÐËõ½ø:"/>
    <w:basedOn w:val="1519"/>
    <w:qFormat/>
    <w:uiPriority w:val="0"/>
    <w:pPr>
      <w:ind w:firstLine="480"/>
    </w:pPr>
  </w:style>
  <w:style w:type="paragraph" w:customStyle="1" w:styleId="2089">
    <w:name w:val="2级标题"/>
    <w:basedOn w:val="7"/>
    <w:qFormat/>
    <w:uiPriority w:val="0"/>
    <w:pPr>
      <w:keepNext w:val="0"/>
      <w:keepLines w:val="0"/>
      <w:widowControl/>
      <w:numPr>
        <w:ilvl w:val="0"/>
        <w:numId w:val="0"/>
      </w:numPr>
      <w:adjustRightInd w:val="0"/>
      <w:snapToGrid w:val="0"/>
      <w:spacing w:beforeLines="50" w:after="0" w:line="360" w:lineRule="auto"/>
      <w:jc w:val="both"/>
    </w:pPr>
    <w:rPr>
      <w:rFonts w:ascii="楷体" w:hAnsi="Courier New" w:eastAsia="楷体" w:cs="仿宋_GB2312"/>
      <w:b w:val="0"/>
      <w:bCs w:val="0"/>
      <w:kern w:val="0"/>
      <w:sz w:val="30"/>
      <w:szCs w:val="28"/>
    </w:rPr>
  </w:style>
  <w:style w:type="paragraph" w:customStyle="1" w:styleId="2090">
    <w:name w:val="表内式样"/>
    <w:qFormat/>
    <w:uiPriority w:val="0"/>
    <w:pPr>
      <w:widowControl w:val="0"/>
      <w:jc w:val="center"/>
    </w:pPr>
    <w:rPr>
      <w:rFonts w:ascii="仿宋_GB2312" w:hAnsi="仿宋_GB2312" w:eastAsia="宋体" w:cs="仿宋_GB2312"/>
      <w:sz w:val="18"/>
      <w:szCs w:val="24"/>
      <w:lang w:val="en-US" w:eastAsia="zh-CN" w:bidi="ar-SA"/>
    </w:rPr>
  </w:style>
  <w:style w:type="paragraph" w:customStyle="1" w:styleId="2091">
    <w:name w:val="文-1"/>
    <w:basedOn w:val="1"/>
    <w:qFormat/>
    <w:uiPriority w:val="0"/>
    <w:pPr>
      <w:widowControl/>
      <w:spacing w:before="120" w:line="240" w:lineRule="auto"/>
      <w:ind w:left="851" w:firstLine="482"/>
      <w:jc w:val="left"/>
    </w:pPr>
    <w:rPr>
      <w:rFonts w:ascii="仿宋_GB2312" w:hAnsi="仿宋_GB2312" w:eastAsia="宋体" w:cs="仿宋_GB2312"/>
      <w:sz w:val="24"/>
      <w:szCs w:val="20"/>
    </w:rPr>
  </w:style>
  <w:style w:type="paragraph" w:customStyle="1" w:styleId="2092">
    <w:name w:val="Char Char9 Char Char"/>
    <w:basedOn w:val="1"/>
    <w:qFormat/>
    <w:uiPriority w:val="0"/>
    <w:pPr>
      <w:widowControl/>
      <w:adjustRightInd w:val="0"/>
      <w:snapToGrid w:val="0"/>
      <w:spacing w:line="240" w:lineRule="auto"/>
      <w:jc w:val="left"/>
    </w:pPr>
    <w:rPr>
      <w:rFonts w:ascii="Verdana" w:hAnsi="Courier New" w:eastAsia="宋体" w:cs="仿宋_GB2312"/>
      <w:spacing w:val="2"/>
      <w:kern w:val="0"/>
      <w:szCs w:val="20"/>
    </w:rPr>
  </w:style>
  <w:style w:type="paragraph" w:customStyle="1" w:styleId="2093">
    <w:name w:val="样式 标题 5 + 自动设置"/>
    <w:basedOn w:val="10"/>
    <w:qFormat/>
    <w:uiPriority w:val="0"/>
    <w:pPr>
      <w:keepNext w:val="0"/>
      <w:keepLines w:val="0"/>
      <w:widowControl/>
      <w:tabs>
        <w:tab w:val="left" w:pos="2100"/>
      </w:tabs>
      <w:adjustRightInd w:val="0"/>
      <w:snapToGrid w:val="0"/>
      <w:spacing w:before="0" w:after="0" w:line="500" w:lineRule="exact"/>
      <w:ind w:left="2100" w:firstLine="200" w:firstLineChars="200"/>
      <w:jc w:val="left"/>
    </w:pPr>
    <w:rPr>
      <w:rFonts w:eastAsia="宋体" w:cs="Times New Roman"/>
      <w:b w:val="0"/>
      <w:bCs w:val="0"/>
      <w:sz w:val="28"/>
      <w:szCs w:val="20"/>
    </w:rPr>
  </w:style>
  <w:style w:type="paragraph" w:customStyle="1" w:styleId="2094">
    <w:name w:val="列表 3E"/>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2095">
    <w:name w:val="样式1 f"/>
    <w:basedOn w:val="6"/>
    <w:qFormat/>
    <w:uiPriority w:val="0"/>
    <w:pPr>
      <w:keepLines w:val="0"/>
      <w:widowControl/>
      <w:numPr>
        <w:numId w:val="0"/>
      </w:numPr>
      <w:spacing w:before="0" w:after="0" w:line="360" w:lineRule="auto"/>
      <w:jc w:val="left"/>
    </w:pPr>
    <w:rPr>
      <w:rFonts w:eastAsia="宋体" w:cs="Times New Roman"/>
      <w:color w:val="0000FF"/>
      <w:sz w:val="30"/>
      <w:szCs w:val="30"/>
    </w:rPr>
  </w:style>
  <w:style w:type="paragraph" w:customStyle="1" w:styleId="2096">
    <w:name w:val="正文段落"/>
    <w:basedOn w:val="1"/>
    <w:qFormat/>
    <w:uiPriority w:val="0"/>
    <w:pPr>
      <w:widowControl/>
      <w:spacing w:line="360" w:lineRule="exact"/>
      <w:ind w:firstLine="476"/>
      <w:jc w:val="left"/>
    </w:pPr>
    <w:rPr>
      <w:rFonts w:ascii="宋体" w:hAnsi="宋体" w:eastAsia="宋体" w:cs="Times New Roman"/>
      <w:sz w:val="24"/>
      <w:szCs w:val="24"/>
    </w:rPr>
  </w:style>
  <w:style w:type="paragraph" w:customStyle="1" w:styleId="2097">
    <w:name w:val="Char Char Char Char Char Char Char Char Char Char Char Char Char Char Char Char Char Char Char Char Char Char Char Char Char Char Char Char Char Char Char Char Char Char Char Char Char Char Char Char Char Char"/>
    <w:basedOn w:val="1"/>
    <w:qFormat/>
    <w:uiPriority w:val="0"/>
    <w:pPr>
      <w:widowControl/>
      <w:spacing w:line="240" w:lineRule="auto"/>
      <w:jc w:val="left"/>
    </w:pPr>
    <w:rPr>
      <w:rFonts w:ascii="仿宋_GB2312" w:hAnsi="仿宋_GB2312" w:eastAsia="宋体" w:cs="仿宋_GB2312"/>
      <w:szCs w:val="24"/>
    </w:rPr>
  </w:style>
  <w:style w:type="paragraph" w:customStyle="1" w:styleId="2098">
    <w:name w:val="1级标题"/>
    <w:basedOn w:val="6"/>
    <w:qFormat/>
    <w:uiPriority w:val="0"/>
    <w:pPr>
      <w:keepNext w:val="0"/>
      <w:keepLines w:val="0"/>
      <w:widowControl/>
      <w:numPr>
        <w:numId w:val="0"/>
      </w:numPr>
      <w:adjustRightInd w:val="0"/>
      <w:snapToGrid w:val="0"/>
      <w:spacing w:before="0" w:after="0" w:line="360" w:lineRule="auto"/>
      <w:jc w:val="left"/>
    </w:pPr>
    <w:rPr>
      <w:rFonts w:ascii="楷体" w:hAnsi="仿宋_GB2312" w:eastAsia="楷体" w:cs="仿宋_GB2312"/>
      <w:b w:val="0"/>
      <w:sz w:val="24"/>
      <w:szCs w:val="30"/>
    </w:rPr>
  </w:style>
  <w:style w:type="paragraph" w:customStyle="1" w:styleId="2099">
    <w:name w:val="Char Char Char Char Char Char Char Char Char Char Char Char Char Char Char1 Char Char Char Char Char Char Char Char Char Char Char Char Char Char Char Char"/>
    <w:basedOn w:val="1"/>
    <w:next w:val="5"/>
    <w:qFormat/>
    <w:uiPriority w:val="0"/>
    <w:pPr>
      <w:widowControl/>
      <w:spacing w:line="240" w:lineRule="auto"/>
      <w:jc w:val="left"/>
    </w:pPr>
    <w:rPr>
      <w:rFonts w:ascii="仿宋_GB2312" w:hAnsi="仿宋_GB2312" w:eastAsia="宋体" w:cs="仿宋_GB2312"/>
      <w:sz w:val="28"/>
      <w:szCs w:val="28"/>
    </w:rPr>
  </w:style>
  <w:style w:type="paragraph" w:customStyle="1" w:styleId="2100">
    <w:name w:val="框图格式2"/>
    <w:basedOn w:val="1"/>
    <w:qFormat/>
    <w:uiPriority w:val="0"/>
    <w:pPr>
      <w:widowControl/>
      <w:spacing w:line="240" w:lineRule="auto"/>
      <w:jc w:val="left"/>
    </w:pPr>
    <w:rPr>
      <w:rFonts w:ascii="仿宋_GB2312" w:hAnsi="仿宋_GB2312" w:eastAsia="宋体" w:cs="仿宋_GB2312"/>
      <w:sz w:val="18"/>
      <w:szCs w:val="24"/>
    </w:rPr>
  </w:style>
  <w:style w:type="paragraph" w:customStyle="1" w:styleId="2101">
    <w:name w:val="OIC1 Company Name"/>
    <w:basedOn w:val="1"/>
    <w:qFormat/>
    <w:uiPriority w:val="0"/>
    <w:pPr>
      <w:widowControl/>
      <w:spacing w:line="240" w:lineRule="auto"/>
      <w:jc w:val="center"/>
    </w:pPr>
    <w:rPr>
      <w:rFonts w:ascii="?????" w:hAnsi="?????" w:eastAsia="宋体" w:cs="仿宋_GB2312"/>
      <w:color w:val="000080"/>
      <w:spacing w:val="40"/>
      <w:kern w:val="0"/>
      <w:sz w:val="28"/>
      <w:szCs w:val="20"/>
    </w:rPr>
  </w:style>
  <w:style w:type="paragraph" w:customStyle="1" w:styleId="2102">
    <w:name w:val="8.2.1.1 标题 31.1.1条标题 3 Char Char标题 3 Char标3§1.1.1.. (1.1.1)- ...1"/>
    <w:basedOn w:val="1"/>
    <w:qFormat/>
    <w:uiPriority w:val="0"/>
    <w:pPr>
      <w:widowControl/>
      <w:tabs>
        <w:tab w:val="left" w:pos="0"/>
        <w:tab w:val="left" w:pos="720"/>
      </w:tabs>
      <w:spacing w:line="312" w:lineRule="auto"/>
      <w:ind w:left="720" w:hanging="720"/>
      <w:jc w:val="left"/>
    </w:pPr>
    <w:rPr>
      <w:rFonts w:ascii="Times New Roman" w:hAnsi="Times New Roman" w:eastAsia="宋体" w:cs="Times New Roman"/>
      <w:sz w:val="24"/>
      <w:szCs w:val="20"/>
    </w:rPr>
  </w:style>
  <w:style w:type="paragraph" w:customStyle="1" w:styleId="2103">
    <w:name w:val="表数"/>
    <w:basedOn w:val="1"/>
    <w:qFormat/>
    <w:uiPriority w:val="0"/>
    <w:pPr>
      <w:widowControl/>
      <w:spacing w:line="300" w:lineRule="atLeast"/>
      <w:jc w:val="center"/>
    </w:pPr>
    <w:rPr>
      <w:rFonts w:ascii="楷体_GB2312" w:hAnsi="宋体" w:eastAsia="楷体_GB2312" w:cs="Times New Roman"/>
      <w:color w:val="000000"/>
      <w:sz w:val="24"/>
      <w:szCs w:val="20"/>
    </w:rPr>
  </w:style>
  <w:style w:type="paragraph" w:customStyle="1" w:styleId="2104">
    <w:name w:val="样式 加粗 左侧:  0.32 厘米"/>
    <w:basedOn w:val="1"/>
    <w:qFormat/>
    <w:uiPriority w:val="0"/>
    <w:pPr>
      <w:widowControl/>
      <w:spacing w:line="500" w:lineRule="exact"/>
      <w:ind w:left="180"/>
      <w:jc w:val="left"/>
    </w:pPr>
    <w:rPr>
      <w:rFonts w:ascii="Times New Roman" w:hAnsi="Times New Roman" w:eastAsia="宋体" w:cs="宋体"/>
      <w:b/>
      <w:bCs/>
      <w:sz w:val="28"/>
      <w:szCs w:val="20"/>
    </w:rPr>
  </w:style>
  <w:style w:type="paragraph" w:customStyle="1" w:styleId="2105">
    <w:name w:val="Char Char Char Char Char Char Char Char Char Char Char Char Char Char Char1 Char Char Char Char Char Char Char Char Char Char Char Char Char Char Char Char Char Char Char Char Char Char Char Char Char"/>
    <w:basedOn w:val="1"/>
    <w:next w:val="5"/>
    <w:qFormat/>
    <w:uiPriority w:val="0"/>
    <w:pPr>
      <w:widowControl/>
      <w:spacing w:line="240" w:lineRule="auto"/>
      <w:jc w:val="left"/>
    </w:pPr>
    <w:rPr>
      <w:rFonts w:ascii="仿宋_GB2312" w:hAnsi="仿宋_GB2312" w:eastAsia="宋体" w:cs="仿宋_GB2312"/>
      <w:sz w:val="28"/>
      <w:szCs w:val="20"/>
    </w:rPr>
  </w:style>
  <w:style w:type="paragraph" w:customStyle="1" w:styleId="2106">
    <w:name w:val="ttopl"/>
    <w:basedOn w:val="1"/>
    <w:qFormat/>
    <w:uiPriority w:val="0"/>
    <w:pPr>
      <w:widowControl/>
      <w:spacing w:before="100" w:beforeAutospacing="1" w:after="100" w:afterAutospacing="1" w:line="240" w:lineRule="auto"/>
      <w:jc w:val="left"/>
    </w:pPr>
    <w:rPr>
      <w:rFonts w:ascii="Verdana" w:hAnsi="Verdana" w:eastAsia="宋体" w:cs="仿宋_GB2312"/>
      <w:kern w:val="0"/>
      <w:sz w:val="24"/>
      <w:szCs w:val="24"/>
    </w:rPr>
  </w:style>
  <w:style w:type="paragraph" w:customStyle="1" w:styleId="2107">
    <w:name w:val="xl104"/>
    <w:basedOn w:val="1"/>
    <w:qFormat/>
    <w:uiPriority w:val="0"/>
    <w:pPr>
      <w:widowControl/>
      <w:pBdr>
        <w:left w:val="single" w:color="auto" w:sz="8" w:space="0"/>
      </w:pBdr>
      <w:spacing w:before="100" w:beforeAutospacing="1" w:after="100" w:afterAutospacing="1" w:line="240" w:lineRule="auto"/>
      <w:jc w:val="left"/>
      <w:textAlignment w:val="center"/>
    </w:pPr>
    <w:rPr>
      <w:rFonts w:ascii="華康中楷體" w:hAnsi="華康中楷體" w:eastAsia="華康中楷體" w:cs="華康中楷體"/>
      <w:kern w:val="0"/>
      <w:sz w:val="16"/>
      <w:szCs w:val="16"/>
    </w:rPr>
  </w:style>
  <w:style w:type="paragraph" w:customStyle="1" w:styleId="2108">
    <w:name w:val="样式 标题 1 + Times New Roman 二号 段后: 6 磅 行距: 单倍行距"/>
    <w:basedOn w:val="6"/>
    <w:qFormat/>
    <w:uiPriority w:val="0"/>
    <w:pPr>
      <w:widowControl/>
      <w:numPr>
        <w:numId w:val="0"/>
      </w:numPr>
      <w:tabs>
        <w:tab w:val="left" w:pos="425"/>
      </w:tabs>
      <w:adjustRightInd w:val="0"/>
      <w:spacing w:after="120" w:line="240" w:lineRule="auto"/>
      <w:ind w:left="425" w:hanging="425"/>
      <w:jc w:val="left"/>
      <w:textAlignment w:val="baseline"/>
    </w:pPr>
    <w:rPr>
      <w:rFonts w:ascii="仿宋_GB2312" w:hAnsi="仿宋_GB2312" w:eastAsia="宋体" w:cs="Verdana"/>
      <w:color w:val="0000FF"/>
      <w:sz w:val="44"/>
      <w:szCs w:val="20"/>
    </w:rPr>
  </w:style>
  <w:style w:type="paragraph" w:customStyle="1" w:styleId="2109">
    <w:name w:val="列表 4E"/>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2110">
    <w:name w:val="列表 4X"/>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2111">
    <w:name w:val="图表名"/>
    <w:basedOn w:val="1"/>
    <w:qFormat/>
    <w:uiPriority w:val="0"/>
    <w:pPr>
      <w:widowControl/>
      <w:adjustRightInd w:val="0"/>
      <w:snapToGrid w:val="0"/>
      <w:jc w:val="center"/>
    </w:pPr>
    <w:rPr>
      <w:rFonts w:ascii="仿宋_GB2312" w:hAnsi="仿宋_GB2312" w:eastAsia="楷体" w:cs="仿宋_GB2312"/>
      <w:color w:val="000000"/>
      <w:kern w:val="0"/>
      <w:sz w:val="28"/>
      <w:szCs w:val="28"/>
    </w:rPr>
  </w:style>
  <w:style w:type="paragraph" w:customStyle="1" w:styleId="2112">
    <w:name w:val="1文章"/>
    <w:basedOn w:val="1"/>
    <w:qFormat/>
    <w:uiPriority w:val="0"/>
    <w:pPr>
      <w:widowControl/>
      <w:snapToGrid w:val="0"/>
      <w:ind w:firstLine="573"/>
      <w:jc w:val="left"/>
    </w:pPr>
    <w:rPr>
      <w:rFonts w:ascii="Times New Roman" w:hAnsi="Times New Roman" w:eastAsia="仿宋_GB2312" w:cs="Times New Roman"/>
      <w:sz w:val="28"/>
      <w:szCs w:val="20"/>
    </w:rPr>
  </w:style>
  <w:style w:type="paragraph" w:customStyle="1" w:styleId="2113">
    <w:name w:val="ttxt"/>
    <w:basedOn w:val="1"/>
    <w:qFormat/>
    <w:uiPriority w:val="0"/>
    <w:pPr>
      <w:widowControl/>
      <w:spacing w:before="100" w:beforeAutospacing="1" w:after="100" w:afterAutospacing="1" w:line="240" w:lineRule="auto"/>
      <w:jc w:val="left"/>
    </w:pPr>
    <w:rPr>
      <w:rFonts w:ascii="Verdana" w:hAnsi="Verdana" w:eastAsia="宋体" w:cs="仿宋_GB2312"/>
      <w:kern w:val="0"/>
      <w:sz w:val="24"/>
      <w:szCs w:val="24"/>
    </w:rPr>
  </w:style>
  <w:style w:type="paragraph" w:customStyle="1" w:styleId="2114">
    <w:name w:val="_Style 961"/>
    <w:basedOn w:val="1"/>
    <w:qFormat/>
    <w:uiPriority w:val="0"/>
    <w:pPr>
      <w:widowControl/>
      <w:ind w:firstLine="200" w:firstLineChars="200"/>
      <w:jc w:val="left"/>
    </w:pPr>
    <w:rPr>
      <w:rFonts w:ascii="Times New Roman" w:hAnsi="Times New Roman" w:eastAsia="宋体" w:cs="Times New Roman"/>
      <w:szCs w:val="24"/>
    </w:rPr>
  </w:style>
  <w:style w:type="paragraph" w:customStyle="1" w:styleId="2115">
    <w:name w:val="样式 仿宋_GB2312 小四1"/>
    <w:basedOn w:val="1"/>
    <w:qFormat/>
    <w:uiPriority w:val="0"/>
    <w:pPr>
      <w:widowControl/>
      <w:adjustRightInd w:val="0"/>
      <w:ind w:firstLine="480" w:firstLineChars="200"/>
      <w:jc w:val="left"/>
      <w:textAlignment w:val="baseline"/>
    </w:pPr>
    <w:rPr>
      <w:rFonts w:ascii="仿宋_GB2312" w:hAnsi="仿宋_GB2312" w:eastAsia="Times New Roman" w:cs="仿宋_GB2312"/>
      <w:kern w:val="0"/>
      <w:sz w:val="24"/>
      <w:szCs w:val="24"/>
    </w:rPr>
  </w:style>
  <w:style w:type="paragraph" w:customStyle="1" w:styleId="2116">
    <w:name w:val="列表 2O"/>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117">
    <w:name w:val="0005左缩2"/>
    <w:basedOn w:val="1"/>
    <w:qFormat/>
    <w:uiPriority w:val="0"/>
    <w:pPr>
      <w:widowControl/>
      <w:autoSpaceDE w:val="0"/>
      <w:autoSpaceDN w:val="0"/>
      <w:adjustRightInd w:val="0"/>
      <w:spacing w:afterLines="30" w:line="500" w:lineRule="exact"/>
      <w:ind w:firstLine="200" w:firstLineChars="200"/>
      <w:jc w:val="left"/>
    </w:pPr>
    <w:rPr>
      <w:rFonts w:ascii="宋体" w:hAnsi="宋体" w:eastAsia="宋体" w:cs="Times New Roman"/>
      <w:sz w:val="28"/>
      <w:szCs w:val="28"/>
    </w:rPr>
  </w:style>
  <w:style w:type="paragraph" w:customStyle="1" w:styleId="2118">
    <w:name w:val="列表 4R"/>
    <w:basedOn w:val="81"/>
    <w:qFormat/>
    <w:uiPriority w:val="0"/>
    <w:pPr>
      <w:widowControl/>
      <w:tabs>
        <w:tab w:val="left" w:pos="907"/>
      </w:tabs>
      <w:adjustRightInd/>
      <w:spacing w:afterLines="30" w:line="288" w:lineRule="auto"/>
      <w:ind w:left="907" w:hanging="567"/>
      <w:jc w:val="left"/>
      <w:textAlignment w:val="auto"/>
    </w:pPr>
    <w:rPr>
      <w:rFonts w:ascii="Courier New" w:hAnsi="Courier New" w:cs="仿宋_GB2312"/>
      <w:color w:val="CCFFFF"/>
      <w:kern w:val="2"/>
    </w:rPr>
  </w:style>
  <w:style w:type="paragraph" w:customStyle="1" w:styleId="2119">
    <w:name w:val="样式 样式 左侧:  2 字符 段后: 0.5 行 + 首行缩进:  2 字符 段后: 0.5 行"/>
    <w:basedOn w:val="1"/>
    <w:qFormat/>
    <w:uiPriority w:val="0"/>
    <w:pPr>
      <w:widowControl/>
      <w:spacing w:afterLines="50" w:line="240" w:lineRule="auto"/>
      <w:ind w:firstLine="560" w:firstLineChars="200"/>
      <w:jc w:val="left"/>
    </w:pPr>
    <w:rPr>
      <w:rFonts w:ascii="仿宋_GB2312" w:hAnsi="仿宋_GB2312" w:eastAsia="Times New Roman" w:cs="仿宋_GB2312"/>
      <w:sz w:val="28"/>
      <w:szCs w:val="28"/>
    </w:rPr>
  </w:style>
  <w:style w:type="paragraph" w:customStyle="1" w:styleId="2120">
    <w:name w:val="五级条标题"/>
    <w:basedOn w:val="2032"/>
    <w:next w:val="1"/>
    <w:qFormat/>
    <w:uiPriority w:val="0"/>
    <w:pPr>
      <w:ind w:left="2940"/>
      <w:outlineLvl w:val="6"/>
    </w:pPr>
  </w:style>
  <w:style w:type="paragraph" w:customStyle="1" w:styleId="2121">
    <w:name w:val="1.1.1縮"/>
    <w:basedOn w:val="1"/>
    <w:qFormat/>
    <w:uiPriority w:val="0"/>
    <w:pPr>
      <w:widowControl/>
      <w:autoSpaceDE w:val="0"/>
      <w:autoSpaceDN w:val="0"/>
      <w:snapToGrid w:val="0"/>
      <w:ind w:left="1610" w:firstLine="554"/>
      <w:jc w:val="left"/>
    </w:pPr>
    <w:rPr>
      <w:rFonts w:ascii="仿宋_GB2312" w:hAnsi="仿宋_GB2312" w:eastAsia="MS Gothic" w:cs="仿宋_GB2312"/>
      <w:sz w:val="28"/>
      <w:szCs w:val="20"/>
      <w:lang w:eastAsia="zh-TW"/>
    </w:rPr>
  </w:style>
  <w:style w:type="paragraph" w:customStyle="1" w:styleId="2122">
    <w:name w:val="悬挂式正文"/>
    <w:basedOn w:val="1"/>
    <w:qFormat/>
    <w:uiPriority w:val="0"/>
    <w:pPr>
      <w:widowControl/>
      <w:tabs>
        <w:tab w:val="center" w:pos="6804"/>
        <w:tab w:val="right" w:pos="7371"/>
      </w:tabs>
      <w:overflowPunct w:val="0"/>
      <w:adjustRightInd w:val="0"/>
      <w:ind w:left="1701" w:hanging="1134"/>
      <w:jc w:val="left"/>
      <w:textAlignment w:val="baseline"/>
    </w:pPr>
    <w:rPr>
      <w:rFonts w:ascii="Times New Roman" w:hAnsi="Times New Roman" w:eastAsia="宋体" w:cs="Times New Roman"/>
      <w:kern w:val="0"/>
      <w:sz w:val="28"/>
      <w:szCs w:val="20"/>
    </w:rPr>
  </w:style>
  <w:style w:type="paragraph" w:customStyle="1" w:styleId="2123">
    <w:name w:val="列表 3H"/>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2124">
    <w:name w:val="樣式6"/>
    <w:basedOn w:val="1"/>
    <w:qFormat/>
    <w:uiPriority w:val="0"/>
    <w:pPr>
      <w:widowControl/>
      <w:adjustRightInd w:val="0"/>
      <w:spacing w:line="240" w:lineRule="atLeast"/>
      <w:ind w:left="57"/>
      <w:jc w:val="left"/>
      <w:textAlignment w:val="baseline"/>
    </w:pPr>
    <w:rPr>
      <w:rFonts w:ascii="Courier New" w:hAnsi="Courier New" w:eastAsia="仿宋体" w:cs="仿宋_GB2312"/>
      <w:b/>
      <w:kern w:val="0"/>
      <w:sz w:val="24"/>
      <w:szCs w:val="20"/>
      <w:lang w:eastAsia="zh-TW"/>
    </w:rPr>
  </w:style>
  <w:style w:type="paragraph" w:customStyle="1" w:styleId="2125">
    <w:name w:val="尾注文本1"/>
    <w:basedOn w:val="1087"/>
    <w:qFormat/>
    <w:uiPriority w:val="0"/>
    <w:pPr>
      <w:adjustRightInd w:val="0"/>
      <w:spacing w:line="360" w:lineRule="atLeast"/>
      <w:ind w:firstLine="0" w:firstLineChars="0"/>
      <w:textAlignment w:val="baseline"/>
    </w:pPr>
    <w:rPr>
      <w:rFonts w:ascii="宋体"/>
      <w:kern w:val="0"/>
      <w:sz w:val="21"/>
      <w:szCs w:val="20"/>
    </w:rPr>
  </w:style>
  <w:style w:type="paragraph" w:customStyle="1" w:styleId="2126">
    <w:name w:val="样式 图表 + 首行缩进:  2 字符1"/>
    <w:basedOn w:val="1"/>
    <w:qFormat/>
    <w:uiPriority w:val="0"/>
    <w:pPr>
      <w:widowControl/>
      <w:adjustRightInd w:val="0"/>
      <w:snapToGrid w:val="0"/>
      <w:spacing w:beforeLines="20" w:afterLines="20" w:line="240" w:lineRule="auto"/>
      <w:ind w:left="-102" w:leftChars="-50" w:right="-105" w:rightChars="-50" w:hanging="3"/>
      <w:jc w:val="center"/>
    </w:pPr>
    <w:rPr>
      <w:rFonts w:ascii="仿宋_GB2312" w:hAnsi="仿宋_GB2312" w:eastAsia="Times New Roman" w:cs="仿宋_GB2312"/>
      <w:color w:val="000000"/>
      <w:szCs w:val="24"/>
    </w:rPr>
  </w:style>
  <w:style w:type="paragraph" w:customStyle="1" w:styleId="2127">
    <w:name w:val="表后注解"/>
    <w:basedOn w:val="1"/>
    <w:qFormat/>
    <w:uiPriority w:val="0"/>
    <w:pPr>
      <w:widowControl/>
      <w:spacing w:line="300" w:lineRule="atLeast"/>
      <w:jc w:val="left"/>
    </w:pPr>
    <w:rPr>
      <w:rFonts w:ascii="楷体_GB2312" w:hAnsi="宋体" w:eastAsia="楷体_GB2312" w:cs="Times New Roman"/>
      <w:bCs/>
      <w:color w:val="000000"/>
      <w:sz w:val="20"/>
      <w:szCs w:val="20"/>
    </w:rPr>
  </w:style>
  <w:style w:type="paragraph" w:customStyle="1" w:styleId="2128">
    <w:name w:val="Header Base"/>
    <w:basedOn w:val="1"/>
    <w:qFormat/>
    <w:uiPriority w:val="0"/>
    <w:pPr>
      <w:keepLines/>
      <w:widowControl/>
      <w:tabs>
        <w:tab w:val="center" w:pos="4320"/>
        <w:tab w:val="right" w:pos="8640"/>
      </w:tabs>
      <w:spacing w:line="180" w:lineRule="atLeast"/>
      <w:jc w:val="left"/>
    </w:pPr>
    <w:rPr>
      <w:rFonts w:ascii="Arial" w:hAnsi="Arial" w:eastAsia="宋体" w:cs="Times New Roman"/>
      <w:spacing w:val="-5"/>
      <w:kern w:val="0"/>
      <w:sz w:val="28"/>
      <w:szCs w:val="20"/>
    </w:rPr>
  </w:style>
  <w:style w:type="paragraph" w:customStyle="1" w:styleId="2129">
    <w:name w:val="6表(图)头(治)"/>
    <w:next w:val="1"/>
    <w:qFormat/>
    <w:uiPriority w:val="0"/>
    <w:pPr>
      <w:widowControl w:val="0"/>
      <w:adjustRightInd w:val="0"/>
      <w:snapToGrid w:val="0"/>
      <w:jc w:val="center"/>
    </w:pPr>
    <w:rPr>
      <w:rFonts w:ascii="Times New Roman" w:hAnsi="宋体" w:eastAsia="宋体" w:cs="Times New Roman"/>
      <w:sz w:val="21"/>
      <w:szCs w:val="21"/>
      <w:lang w:val="en-US" w:eastAsia="zh-CN" w:bidi="ar-SA"/>
    </w:rPr>
  </w:style>
  <w:style w:type="paragraph" w:customStyle="1" w:styleId="2130">
    <w:name w:val="样式 标题 3H3条标题1.1.11.1.1标题 3H31H32H33u3标题 3 Char Char Char...1"/>
    <w:basedOn w:val="8"/>
    <w:qFormat/>
    <w:uiPriority w:val="0"/>
    <w:pPr>
      <w:widowControl/>
      <w:numPr>
        <w:ilvl w:val="0"/>
        <w:numId w:val="0"/>
      </w:numPr>
      <w:spacing w:beforeLines="100" w:afterLines="50" w:line="240" w:lineRule="auto"/>
    </w:pPr>
    <w:rPr>
      <w:rFonts w:ascii="仿宋_GB2312" w:hAnsi="仿宋_GB2312" w:eastAsia="楷体" w:cs="Verdana"/>
      <w:kern w:val="28"/>
      <w:sz w:val="30"/>
      <w:szCs w:val="20"/>
    </w:rPr>
  </w:style>
  <w:style w:type="paragraph" w:customStyle="1" w:styleId="2131">
    <w:name w:val="样式 标题 2 + Times New Roman"/>
    <w:basedOn w:val="7"/>
    <w:qFormat/>
    <w:uiPriority w:val="0"/>
    <w:pPr>
      <w:widowControl/>
      <w:numPr>
        <w:ilvl w:val="0"/>
        <w:numId w:val="0"/>
      </w:numPr>
      <w:spacing w:beforeLines="50" w:line="415" w:lineRule="auto"/>
      <w:ind w:firstLine="538" w:firstLineChars="192"/>
    </w:pPr>
    <w:rPr>
      <w:rFonts w:ascii="仿宋_GB2312" w:hAnsi="仿宋_GB2312" w:eastAsia="楷体" w:cs="仿宋_GB2312"/>
      <w:bCs w:val="0"/>
      <w:kern w:val="0"/>
      <w:sz w:val="32"/>
    </w:rPr>
  </w:style>
  <w:style w:type="paragraph" w:customStyle="1" w:styleId="2132">
    <w:name w:val="Body Text 22"/>
    <w:basedOn w:val="1"/>
    <w:qFormat/>
    <w:uiPriority w:val="0"/>
    <w:pPr>
      <w:widowControl/>
      <w:adjustRightInd w:val="0"/>
      <w:spacing w:line="440" w:lineRule="atLeast"/>
      <w:ind w:firstLine="480"/>
      <w:jc w:val="left"/>
      <w:textAlignment w:val="baseline"/>
    </w:pPr>
    <w:rPr>
      <w:rFonts w:ascii="仿宋_GB2312" w:hAnsi="仿宋_GB2312" w:eastAsia="Times New Roman" w:cs="仿宋_GB2312"/>
      <w:sz w:val="24"/>
      <w:szCs w:val="20"/>
    </w:rPr>
  </w:style>
  <w:style w:type="paragraph" w:customStyle="1" w:styleId="2133">
    <w:name w:val="样式 德胜正文 + 首行缩进:  2 字符"/>
    <w:basedOn w:val="1519"/>
    <w:qFormat/>
    <w:uiPriority w:val="0"/>
  </w:style>
  <w:style w:type="paragraph" w:customStyle="1" w:styleId="2134">
    <w:name w:val="样式 样式 标题 2 + 段前: 0 磅 段后: 0 磅 行距: 1.5 倍行距 + (中文) 黑体"/>
    <w:basedOn w:val="1"/>
    <w:qFormat/>
    <w:uiPriority w:val="0"/>
    <w:pPr>
      <w:keepNext/>
      <w:widowControl/>
      <w:tabs>
        <w:tab w:val="left" w:pos="851"/>
      </w:tabs>
      <w:ind w:left="576" w:hanging="576"/>
      <w:jc w:val="left"/>
      <w:outlineLvl w:val="1"/>
    </w:pPr>
    <w:rPr>
      <w:rFonts w:ascii="Times New Roman" w:hAnsi="Times New Roman" w:eastAsia="黑体" w:cs="宋体"/>
      <w:b/>
      <w:bCs/>
      <w:spacing w:val="20"/>
      <w:kern w:val="0"/>
      <w:sz w:val="24"/>
      <w:szCs w:val="24"/>
      <w:lang w:val="en-GB"/>
    </w:rPr>
  </w:style>
  <w:style w:type="paragraph" w:customStyle="1" w:styleId="2135">
    <w:name w:val="列表 4P"/>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2136">
    <w:name w:val="表字"/>
    <w:basedOn w:val="1"/>
    <w:qFormat/>
    <w:uiPriority w:val="0"/>
    <w:pPr>
      <w:widowControl/>
      <w:spacing w:line="240" w:lineRule="auto"/>
      <w:jc w:val="center"/>
    </w:pPr>
    <w:rPr>
      <w:rFonts w:ascii="宋体" w:hAnsi="Times New Roman" w:eastAsia="宋体" w:cs="Times New Roman"/>
      <w:szCs w:val="20"/>
    </w:rPr>
  </w:style>
  <w:style w:type="paragraph" w:customStyle="1" w:styleId="2137">
    <w:name w:val="标题 2，节"/>
    <w:basedOn w:val="7"/>
    <w:qFormat/>
    <w:uiPriority w:val="0"/>
    <w:pPr>
      <w:widowControl/>
      <w:numPr>
        <w:ilvl w:val="0"/>
        <w:numId w:val="0"/>
      </w:numPr>
      <w:adjustRightInd w:val="0"/>
      <w:snapToGrid w:val="0"/>
      <w:spacing w:beforeLines="50" w:line="415" w:lineRule="auto"/>
      <w:jc w:val="both"/>
    </w:pPr>
    <w:rPr>
      <w:rFonts w:ascii="宋体" w:hAnsi="宋体" w:eastAsia="宋体" w:cs="Times New Roman"/>
      <w:bCs w:val="0"/>
      <w:sz w:val="24"/>
      <w:szCs w:val="20"/>
    </w:rPr>
  </w:style>
  <w:style w:type="paragraph" w:customStyle="1" w:styleId="2138">
    <w:name w:val="表中文字----------------"/>
    <w:basedOn w:val="1"/>
    <w:qFormat/>
    <w:uiPriority w:val="0"/>
    <w:pPr>
      <w:widowControl/>
      <w:spacing w:line="240" w:lineRule="auto"/>
      <w:jc w:val="center"/>
    </w:pPr>
    <w:rPr>
      <w:rFonts w:ascii="仿宋_GB2312" w:hAnsi="仿宋_GB2312" w:eastAsia="宋体" w:cs="仿宋_GB2312"/>
      <w:szCs w:val="20"/>
    </w:rPr>
  </w:style>
  <w:style w:type="paragraph" w:customStyle="1" w:styleId="2139">
    <w:name w:val="新标题样式"/>
    <w:basedOn w:val="1"/>
    <w:qFormat/>
    <w:uiPriority w:val="0"/>
    <w:pPr>
      <w:widowControl/>
      <w:tabs>
        <w:tab w:val="left" w:pos="567"/>
      </w:tabs>
      <w:jc w:val="left"/>
    </w:pPr>
    <w:rPr>
      <w:rFonts w:ascii="Times New Roman" w:hAnsi="Times New Roman" w:eastAsia="黑体" w:cs="Times New Roman"/>
      <w:b/>
      <w:spacing w:val="20"/>
      <w:sz w:val="24"/>
      <w:szCs w:val="20"/>
    </w:rPr>
  </w:style>
  <w:style w:type="paragraph" w:customStyle="1" w:styleId="2140">
    <w:name w:val="text3"/>
    <w:basedOn w:val="1"/>
    <w:qFormat/>
    <w:uiPriority w:val="0"/>
    <w:pPr>
      <w:widowControl/>
      <w:spacing w:before="100" w:beforeAutospacing="1" w:after="100" w:afterAutospacing="1" w:line="300" w:lineRule="atLeast"/>
      <w:jc w:val="left"/>
    </w:pPr>
    <w:rPr>
      <w:rFonts w:ascii="宋体" w:hAnsi="宋体" w:eastAsia="宋体" w:cs="Times New Roman"/>
      <w:color w:val="000000"/>
      <w:kern w:val="0"/>
      <w:sz w:val="24"/>
      <w:szCs w:val="24"/>
    </w:rPr>
  </w:style>
  <w:style w:type="paragraph" w:customStyle="1" w:styleId="2141">
    <w:name w:val="OIC1 Address"/>
    <w:basedOn w:val="1"/>
    <w:qFormat/>
    <w:uiPriority w:val="0"/>
    <w:pPr>
      <w:widowControl/>
      <w:tabs>
        <w:tab w:val="left" w:pos="1440"/>
      </w:tabs>
      <w:spacing w:line="240" w:lineRule="auto"/>
      <w:jc w:val="center"/>
    </w:pPr>
    <w:rPr>
      <w:rFonts w:ascii="Courier New" w:hAnsi="Courier New" w:eastAsia="宋体" w:cs="仿宋_GB2312"/>
      <w:color w:val="000080"/>
      <w:kern w:val="0"/>
      <w:sz w:val="20"/>
      <w:szCs w:val="20"/>
    </w:rPr>
  </w:style>
  <w:style w:type="paragraph" w:customStyle="1" w:styleId="2142">
    <w:name w:val="WW-Body Text Indent 3"/>
    <w:basedOn w:val="1"/>
    <w:qFormat/>
    <w:uiPriority w:val="0"/>
    <w:pPr>
      <w:widowControl/>
      <w:suppressAutoHyphens/>
      <w:spacing w:after="120"/>
      <w:ind w:firstLine="420"/>
      <w:jc w:val="left"/>
    </w:pPr>
    <w:rPr>
      <w:rFonts w:ascii="Courier New" w:hAnsi="Courier New" w:eastAsia="宋体" w:cs="仿宋_GB2312"/>
      <w:kern w:val="20481"/>
      <w:sz w:val="24"/>
      <w:szCs w:val="20"/>
    </w:rPr>
  </w:style>
  <w:style w:type="paragraph" w:customStyle="1" w:styleId="2143">
    <w:name w:val="流程图"/>
    <w:basedOn w:val="1"/>
    <w:qFormat/>
    <w:uiPriority w:val="0"/>
    <w:pPr>
      <w:widowControl/>
      <w:tabs>
        <w:tab w:val="left" w:pos="0"/>
      </w:tabs>
      <w:autoSpaceDE w:val="0"/>
      <w:autoSpaceDN w:val="0"/>
      <w:adjustRightInd w:val="0"/>
      <w:spacing w:line="240" w:lineRule="atLeast"/>
      <w:jc w:val="center"/>
      <w:textAlignment w:val="bottom"/>
    </w:pPr>
    <w:rPr>
      <w:rFonts w:ascii="宋体" w:hAnsi="Times New Roman" w:eastAsia="宋体" w:cs="Times New Roman"/>
      <w:szCs w:val="20"/>
    </w:rPr>
  </w:style>
  <w:style w:type="paragraph" w:customStyle="1" w:styleId="2144">
    <w:name w:val="图表"/>
    <w:basedOn w:val="4"/>
    <w:next w:val="4"/>
    <w:qFormat/>
    <w:uiPriority w:val="0"/>
    <w:pPr>
      <w:widowControl/>
      <w:tabs>
        <w:tab w:val="left" w:pos="360"/>
      </w:tabs>
      <w:adjustRightInd w:val="0"/>
      <w:snapToGrid w:val="0"/>
      <w:spacing w:before="60" w:after="60" w:line="264" w:lineRule="auto"/>
      <w:jc w:val="left"/>
      <w:textAlignment w:val="baseline"/>
    </w:pPr>
    <w:rPr>
      <w:rFonts w:ascii="仿宋_GB2312" w:hAnsi="仿宋_GB2312" w:eastAsia="Times New Roman" w:cs="仿宋_GB2312"/>
      <w:kern w:val="0"/>
      <w:sz w:val="24"/>
      <w:szCs w:val="24"/>
    </w:rPr>
  </w:style>
  <w:style w:type="paragraph" w:customStyle="1" w:styleId="2145">
    <w:name w:val="目录"/>
    <w:basedOn w:val="63"/>
    <w:qFormat/>
    <w:uiPriority w:val="0"/>
    <w:pPr>
      <w:widowControl/>
      <w:tabs>
        <w:tab w:val="right" w:leader="dot" w:pos="9060"/>
      </w:tabs>
      <w:spacing w:line="420" w:lineRule="atLeast"/>
      <w:jc w:val="center"/>
    </w:pPr>
    <w:rPr>
      <w:rFonts w:eastAsia="宋体" w:cs="Times New Roman"/>
      <w:spacing w:val="12"/>
      <w:sz w:val="44"/>
    </w:rPr>
  </w:style>
  <w:style w:type="paragraph" w:customStyle="1" w:styleId="2146">
    <w:name w:val="1."/>
    <w:basedOn w:val="1"/>
    <w:qFormat/>
    <w:uiPriority w:val="0"/>
    <w:pPr>
      <w:widowControl/>
      <w:snapToGrid w:val="0"/>
      <w:ind w:left="1820" w:hanging="323"/>
      <w:jc w:val="left"/>
    </w:pPr>
    <w:rPr>
      <w:rFonts w:ascii="MS Gothic" w:hAnsi="Century" w:eastAsia="MS Gothic" w:cs="仿宋_GB2312"/>
      <w:sz w:val="28"/>
      <w:szCs w:val="20"/>
      <w:lang w:eastAsia="zh-TW"/>
    </w:rPr>
  </w:style>
  <w:style w:type="paragraph" w:customStyle="1" w:styleId="2147">
    <w:name w:val="9点"/>
    <w:basedOn w:val="1"/>
    <w:qFormat/>
    <w:uiPriority w:val="0"/>
    <w:pPr>
      <w:widowControl/>
      <w:tabs>
        <w:tab w:val="left" w:pos="390"/>
      </w:tabs>
      <w:spacing w:line="360" w:lineRule="exact"/>
      <w:jc w:val="left"/>
    </w:pPr>
    <w:rPr>
      <w:rFonts w:ascii="Times New Roman" w:hAnsi="Times New Roman" w:eastAsia="宋体" w:cs="Times New Roman"/>
      <w:szCs w:val="24"/>
    </w:rPr>
  </w:style>
  <w:style w:type="paragraph" w:customStyle="1" w:styleId="2148">
    <w:name w:val="內(1)"/>
    <w:basedOn w:val="1"/>
    <w:qFormat/>
    <w:uiPriority w:val="0"/>
    <w:pPr>
      <w:widowControl/>
      <w:snapToGrid w:val="0"/>
      <w:spacing w:line="420" w:lineRule="atLeast"/>
      <w:ind w:left="1531" w:firstLine="520" w:firstLineChars="200"/>
      <w:jc w:val="left"/>
    </w:pPr>
    <w:rPr>
      <w:rFonts w:ascii="仿宋_GB2312" w:hAnsi="仿宋_GB2312" w:eastAsia="MS Gothic" w:cs="仿宋_GB2312"/>
      <w:sz w:val="26"/>
      <w:szCs w:val="20"/>
      <w:lang w:eastAsia="zh-TW"/>
    </w:rPr>
  </w:style>
  <w:style w:type="paragraph" w:customStyle="1" w:styleId="2149">
    <w:name w:val="样式 标题 2"/>
    <w:basedOn w:val="7"/>
    <w:qFormat/>
    <w:uiPriority w:val="0"/>
    <w:pPr>
      <w:keepNext w:val="0"/>
      <w:keepLines w:val="0"/>
      <w:widowControl/>
      <w:numPr>
        <w:ilvl w:val="0"/>
        <w:numId w:val="0"/>
      </w:numPr>
      <w:spacing w:beforeLines="50" w:afterLines="50" w:line="500" w:lineRule="exact"/>
      <w:jc w:val="both"/>
    </w:pPr>
    <w:rPr>
      <w:rFonts w:ascii="黑体" w:hAnsi="Arial" w:eastAsia="黑体" w:cs="Times New Roman"/>
      <w:b w:val="0"/>
      <w:bCs w:val="0"/>
      <w:spacing w:val="10"/>
      <w:w w:val="96"/>
      <w:sz w:val="30"/>
      <w:szCs w:val="20"/>
    </w:rPr>
  </w:style>
  <w:style w:type="paragraph" w:customStyle="1" w:styleId="2150">
    <w:name w:val="列表 4G"/>
    <w:basedOn w:val="81"/>
    <w:qFormat/>
    <w:uiPriority w:val="0"/>
    <w:pPr>
      <w:widowControl/>
      <w:tabs>
        <w:tab w:val="left" w:pos="645"/>
      </w:tabs>
      <w:adjustRightInd/>
      <w:spacing w:afterLines="30" w:line="288" w:lineRule="auto"/>
      <w:ind w:left="645" w:hanging="645"/>
      <w:jc w:val="left"/>
      <w:textAlignment w:val="auto"/>
    </w:pPr>
    <w:rPr>
      <w:rFonts w:ascii="Courier New" w:hAnsi="Courier New" w:cs="仿宋_GB2312"/>
      <w:color w:val="CCFFFF"/>
      <w:kern w:val="2"/>
    </w:rPr>
  </w:style>
  <w:style w:type="paragraph" w:customStyle="1" w:styleId="2151">
    <w:name w:val="列表 4B"/>
    <w:basedOn w:val="81"/>
    <w:qFormat/>
    <w:uiPriority w:val="0"/>
    <w:pPr>
      <w:widowControl/>
      <w:tabs>
        <w:tab w:val="left" w:pos="360"/>
      </w:tabs>
      <w:adjustRightInd/>
      <w:spacing w:afterLines="30" w:line="288" w:lineRule="auto"/>
      <w:ind w:left="360" w:hanging="360"/>
      <w:jc w:val="left"/>
      <w:textAlignment w:val="auto"/>
    </w:pPr>
    <w:rPr>
      <w:rFonts w:ascii="Courier New" w:hAnsi="Courier New" w:cs="仿宋_GB2312"/>
      <w:color w:val="CCFFFF"/>
      <w:kern w:val="2"/>
    </w:rPr>
  </w:style>
  <w:style w:type="paragraph" w:customStyle="1" w:styleId="2152">
    <w:name w:val="列表 3G"/>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2153">
    <w:name w:val="edri-7 title"/>
    <w:basedOn w:val="1830"/>
    <w:qFormat/>
    <w:uiPriority w:val="0"/>
    <w:pPr>
      <w:tabs>
        <w:tab w:val="left" w:pos="425"/>
      </w:tabs>
      <w:ind w:left="425" w:leftChars="0" w:hanging="425"/>
    </w:pPr>
  </w:style>
  <w:style w:type="paragraph" w:customStyle="1" w:styleId="2154">
    <w:name w:val="列表标题"/>
    <w:basedOn w:val="1"/>
    <w:next w:val="1"/>
    <w:qFormat/>
    <w:uiPriority w:val="0"/>
    <w:pPr>
      <w:widowControl/>
      <w:jc w:val="center"/>
    </w:pPr>
    <w:rPr>
      <w:rFonts w:ascii="仿宋_GB2312" w:hAnsi="仿宋_GB2312" w:eastAsia="宋体" w:cs="仿宋_GB2312"/>
      <w:sz w:val="24"/>
      <w:szCs w:val="20"/>
    </w:rPr>
  </w:style>
  <w:style w:type="paragraph" w:customStyle="1" w:styleId="2155">
    <w:name w:val="列表 4D"/>
    <w:basedOn w:val="81"/>
    <w:qFormat/>
    <w:uiPriority w:val="0"/>
    <w:pPr>
      <w:widowControl/>
      <w:tabs>
        <w:tab w:val="left" w:pos="360"/>
      </w:tabs>
      <w:adjustRightInd/>
      <w:spacing w:afterLines="30" w:line="288" w:lineRule="auto"/>
      <w:ind w:left="360" w:hanging="360"/>
      <w:jc w:val="left"/>
      <w:textAlignment w:val="auto"/>
    </w:pPr>
    <w:rPr>
      <w:rFonts w:ascii="Courier New" w:hAnsi="Courier New" w:cs="仿宋_GB2312"/>
      <w:color w:val="CCFFFF"/>
      <w:kern w:val="2"/>
    </w:rPr>
  </w:style>
  <w:style w:type="paragraph" w:customStyle="1" w:styleId="2156">
    <w:name w:val="列表 5M"/>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2157">
    <w:name w:val="奉读大示，心折殊深。"/>
    <w:qFormat/>
    <w:uiPriority w:val="0"/>
    <w:pPr>
      <w:widowControl w:val="0"/>
      <w:jc w:val="both"/>
    </w:pPr>
    <w:rPr>
      <w:rFonts w:ascii="仿宋_GB2312" w:hAnsi="仿宋_GB2312" w:eastAsia="宋体" w:cs="仿宋_GB2312"/>
      <w:kern w:val="2"/>
      <w:sz w:val="21"/>
      <w:lang w:val="en-US" w:eastAsia="zh-CN" w:bidi="ar-SA"/>
    </w:rPr>
  </w:style>
  <w:style w:type="paragraph" w:customStyle="1" w:styleId="2158">
    <w:name w:val="th1"/>
    <w:basedOn w:val="1"/>
    <w:qFormat/>
    <w:uiPriority w:val="0"/>
    <w:pPr>
      <w:widowControl/>
      <w:spacing w:before="100" w:beforeAutospacing="1" w:after="100" w:afterAutospacing="1" w:line="240" w:lineRule="auto"/>
      <w:jc w:val="left"/>
    </w:pPr>
    <w:rPr>
      <w:rFonts w:ascii="Verdana" w:hAnsi="Verdana" w:eastAsia="宋体" w:cs="仿宋_GB2312"/>
      <w:kern w:val="0"/>
      <w:sz w:val="24"/>
      <w:szCs w:val="24"/>
    </w:rPr>
  </w:style>
  <w:style w:type="paragraph" w:customStyle="1" w:styleId="2159">
    <w:name w:val="19"/>
    <w:basedOn w:val="1"/>
    <w:qFormat/>
    <w:uiPriority w:val="0"/>
    <w:pPr>
      <w:widowControl/>
      <w:snapToGrid w:val="0"/>
      <w:spacing w:before="100" w:beforeAutospacing="1" w:after="100" w:afterAutospacing="1" w:line="460" w:lineRule="atLeast"/>
      <w:jc w:val="left"/>
    </w:pPr>
    <w:rPr>
      <w:rFonts w:ascii="Times New Roman" w:hAnsi="Times New Roman" w:eastAsia="宋体" w:cs="Times New Roman"/>
      <w:kern w:val="0"/>
      <w:sz w:val="24"/>
      <w:szCs w:val="20"/>
    </w:rPr>
  </w:style>
  <w:style w:type="paragraph" w:customStyle="1" w:styleId="2160">
    <w:name w:val="插图标题"/>
    <w:basedOn w:val="1"/>
    <w:qFormat/>
    <w:uiPriority w:val="0"/>
    <w:pPr>
      <w:widowControl/>
      <w:tabs>
        <w:tab w:val="center" w:pos="6804"/>
        <w:tab w:val="right" w:pos="7371"/>
      </w:tabs>
      <w:overflowPunct w:val="0"/>
      <w:adjustRightInd w:val="0"/>
      <w:spacing w:line="240" w:lineRule="auto"/>
      <w:ind w:firstLine="567"/>
      <w:jc w:val="center"/>
      <w:textAlignment w:val="baseline"/>
    </w:pPr>
    <w:rPr>
      <w:rFonts w:ascii="楷体" w:hAnsi="仿宋_GB2312" w:eastAsia="楷体" w:cs="仿宋_GB2312"/>
      <w:kern w:val="0"/>
      <w:sz w:val="28"/>
      <w:szCs w:val="20"/>
    </w:rPr>
  </w:style>
  <w:style w:type="paragraph" w:customStyle="1" w:styleId="2161">
    <w:name w:val="項目:(一)[a]1.[a](1)[a]圈[a]A"/>
    <w:basedOn w:val="1"/>
    <w:qFormat/>
    <w:uiPriority w:val="0"/>
    <w:pPr>
      <w:widowControl/>
      <w:spacing w:line="320" w:lineRule="atLeast"/>
      <w:ind w:left="1548" w:hanging="289"/>
      <w:jc w:val="left"/>
    </w:pPr>
    <w:rPr>
      <w:rFonts w:ascii="仿宋_GB2312" w:hAnsi="仿宋_GB2312" w:eastAsia="仿宋体" w:cs="仿宋_GB2312"/>
      <w:sz w:val="22"/>
      <w:szCs w:val="20"/>
      <w:lang w:eastAsia="zh-TW"/>
    </w:rPr>
  </w:style>
  <w:style w:type="paragraph" w:customStyle="1" w:styleId="2162">
    <w:name w:val="edri-1).title"/>
    <w:basedOn w:val="1955"/>
    <w:qFormat/>
    <w:uiPriority w:val="0"/>
    <w:pPr>
      <w:ind w:left="2250" w:hanging="420"/>
      <w:outlineLvl w:val="4"/>
    </w:pPr>
  </w:style>
  <w:style w:type="paragraph" w:customStyle="1" w:styleId="2163">
    <w:name w:val="样式 样式 宋体 小四 左 行距: 固定值 24 磅 + 黑色 居中 首行缩进:  2 字符 段前: 5 磅 段后: 5..."/>
    <w:basedOn w:val="2023"/>
    <w:qFormat/>
    <w:uiPriority w:val="0"/>
    <w:pPr>
      <w:spacing w:before="100" w:after="100"/>
      <w:ind w:firstLine="0" w:firstLineChars="0"/>
      <w:jc w:val="center"/>
    </w:pPr>
    <w:rPr>
      <w:color w:val="000000"/>
    </w:rPr>
  </w:style>
  <w:style w:type="paragraph" w:customStyle="1" w:styleId="2164">
    <w:name w:val="style12 style13"/>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 w:type="paragraph" w:customStyle="1" w:styleId="2165">
    <w:name w:val="5文章(治)"/>
    <w:basedOn w:val="1"/>
    <w:qFormat/>
    <w:uiPriority w:val="0"/>
    <w:pPr>
      <w:widowControl/>
      <w:ind w:firstLine="560" w:firstLineChars="200"/>
      <w:jc w:val="left"/>
    </w:pPr>
    <w:rPr>
      <w:rFonts w:ascii="Times New Roman" w:hAnsi="Times New Roman" w:eastAsia="楷体_GB2312" w:cs="Times New Roman"/>
      <w:sz w:val="28"/>
      <w:szCs w:val="20"/>
    </w:rPr>
  </w:style>
  <w:style w:type="paragraph" w:customStyle="1" w:styleId="2166">
    <w:name w:val="xl99"/>
    <w:basedOn w:val="1"/>
    <w:qFormat/>
    <w:uiPriority w:val="0"/>
    <w:pPr>
      <w:widowControl/>
      <w:pBdr>
        <w:top w:val="single" w:color="auto" w:sz="8" w:space="0"/>
        <w:left w:val="single" w:color="auto" w:sz="8" w:space="0"/>
        <w:bottom w:val="single" w:color="auto" w:sz="4" w:space="0"/>
      </w:pBdr>
      <w:spacing w:before="100" w:beforeAutospacing="1" w:after="100" w:afterAutospacing="1" w:line="240" w:lineRule="auto"/>
      <w:jc w:val="center"/>
    </w:pPr>
    <w:rPr>
      <w:rFonts w:ascii="華康中楷體" w:hAnsi="華康中楷體" w:eastAsia="華康中楷體" w:cs="華康中楷體"/>
      <w:kern w:val="0"/>
      <w:sz w:val="16"/>
      <w:szCs w:val="16"/>
    </w:rPr>
  </w:style>
  <w:style w:type="paragraph" w:customStyle="1" w:styleId="2167">
    <w:name w:val="a4"/>
    <w:basedOn w:val="1"/>
    <w:qFormat/>
    <w:uiPriority w:val="0"/>
    <w:pPr>
      <w:widowControl/>
      <w:spacing w:before="100" w:beforeAutospacing="1" w:after="100" w:afterAutospacing="1" w:line="240" w:lineRule="auto"/>
      <w:jc w:val="left"/>
    </w:pPr>
    <w:rPr>
      <w:rFonts w:ascii="華康中楷體" w:hAnsi="華康中楷體" w:eastAsia="華康中楷體" w:cs="華康中楷體"/>
      <w:kern w:val="0"/>
      <w:sz w:val="24"/>
      <w:szCs w:val="24"/>
    </w:rPr>
  </w:style>
  <w:style w:type="paragraph" w:customStyle="1" w:styleId="2168">
    <w:name w:val="正文-第几条"/>
    <w:basedOn w:val="1"/>
    <w:qFormat/>
    <w:uiPriority w:val="0"/>
    <w:pPr>
      <w:widowControl/>
      <w:tabs>
        <w:tab w:val="left" w:pos="720"/>
      </w:tabs>
      <w:ind w:left="720" w:hanging="720"/>
      <w:jc w:val="left"/>
    </w:pPr>
    <w:rPr>
      <w:rFonts w:ascii="仿宋_GB2312" w:hAnsi="仿宋_GB2312" w:eastAsia="宋体" w:cs="仿宋_GB2312"/>
      <w:sz w:val="24"/>
      <w:szCs w:val="24"/>
    </w:rPr>
  </w:style>
  <w:style w:type="paragraph" w:customStyle="1" w:styleId="2169">
    <w:name w:val="附录标识"/>
    <w:basedOn w:val="1988"/>
    <w:qFormat/>
    <w:uiPriority w:val="0"/>
    <w:pPr>
      <w:tabs>
        <w:tab w:val="clear" w:pos="903"/>
      </w:tabs>
      <w:spacing w:after="200"/>
    </w:pPr>
    <w:rPr>
      <w:sz w:val="21"/>
    </w:rPr>
  </w:style>
  <w:style w:type="paragraph" w:customStyle="1" w:styleId="2170">
    <w:name w:val="xl95"/>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華康中楷體" w:hAnsi="華康中楷體" w:eastAsia="華康中楷體" w:cs="華康中楷體"/>
      <w:kern w:val="0"/>
      <w:sz w:val="16"/>
      <w:szCs w:val="16"/>
    </w:rPr>
  </w:style>
  <w:style w:type="paragraph" w:customStyle="1" w:styleId="2171">
    <w:name w:val="列表 E"/>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2172">
    <w:name w:val="样式 标题 1 + 段后: 6 磅"/>
    <w:basedOn w:val="6"/>
    <w:qFormat/>
    <w:uiPriority w:val="0"/>
    <w:pPr>
      <w:widowControl/>
      <w:numPr>
        <w:numId w:val="0"/>
      </w:numPr>
      <w:tabs>
        <w:tab w:val="left" w:pos="360"/>
      </w:tabs>
      <w:spacing w:after="120" w:line="240" w:lineRule="auto"/>
      <w:ind w:left="170" w:hanging="170"/>
      <w:jc w:val="left"/>
    </w:pPr>
    <w:rPr>
      <w:rFonts w:ascii="仿宋_GB2312" w:hAnsi="仿宋_GB2312" w:eastAsia="宋体" w:cs="Verdana"/>
      <w:color w:val="0000FF"/>
      <w:sz w:val="84"/>
      <w:szCs w:val="20"/>
    </w:rPr>
  </w:style>
  <w:style w:type="paragraph" w:customStyle="1" w:styleId="2173">
    <w:name w:val="样式 标题 2 + Times New Roman 小三 居中"/>
    <w:basedOn w:val="7"/>
    <w:qFormat/>
    <w:uiPriority w:val="0"/>
    <w:pPr>
      <w:widowControl/>
      <w:numPr>
        <w:ilvl w:val="0"/>
        <w:numId w:val="0"/>
      </w:numPr>
      <w:spacing w:beforeLines="50" w:line="415" w:lineRule="auto"/>
      <w:ind w:firstLine="538" w:firstLineChars="192"/>
    </w:pPr>
    <w:rPr>
      <w:rFonts w:ascii="仿宋_GB2312" w:hAnsi="仿宋_GB2312" w:eastAsia="楷体" w:cs="Verdana"/>
      <w:bCs w:val="0"/>
      <w:kern w:val="0"/>
      <w:sz w:val="30"/>
      <w:szCs w:val="20"/>
    </w:rPr>
  </w:style>
  <w:style w:type="paragraph" w:customStyle="1" w:styleId="2174">
    <w:name w:val="攀成钢表头"/>
    <w:basedOn w:val="1"/>
    <w:qFormat/>
    <w:uiPriority w:val="0"/>
    <w:pPr>
      <w:widowControl/>
      <w:spacing w:line="240" w:lineRule="auto"/>
      <w:jc w:val="center"/>
    </w:pPr>
    <w:rPr>
      <w:rFonts w:ascii="Times New Roman" w:hAnsi="Times New Roman" w:eastAsia="宋体" w:cs="Times New Roman"/>
      <w:b/>
      <w:color w:val="008000"/>
      <w:kern w:val="0"/>
      <w:sz w:val="24"/>
      <w:szCs w:val="20"/>
    </w:rPr>
  </w:style>
  <w:style w:type="paragraph" w:customStyle="1" w:styleId="2175">
    <w:name w:val="1pt line"/>
    <w:qFormat/>
    <w:uiPriority w:val="0"/>
    <w:pPr>
      <w:pBdr>
        <w:bottom w:val="single" w:color="auto" w:sz="8" w:space="1"/>
      </w:pBdr>
      <w:spacing w:line="20" w:lineRule="exact"/>
    </w:pPr>
    <w:rPr>
      <w:rFonts w:ascii="仿宋_GB2312" w:hAnsi="仿宋_GB2312" w:eastAsia="Times New Roman" w:cs="仿宋_GB2312"/>
      <w:lang w:val="en-US" w:eastAsia="zh-TW" w:bidi="ar-SA"/>
    </w:rPr>
  </w:style>
  <w:style w:type="paragraph" w:customStyle="1" w:styleId="2176">
    <w:name w:val="列表 2I"/>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177">
    <w:name w:val="报告书表格"/>
    <w:basedOn w:val="1"/>
    <w:qFormat/>
    <w:uiPriority w:val="0"/>
    <w:pPr>
      <w:widowControl/>
      <w:adjustRightInd w:val="0"/>
      <w:spacing w:before="60" w:after="60" w:line="240" w:lineRule="atLeast"/>
      <w:jc w:val="center"/>
      <w:textAlignment w:val="baseline"/>
    </w:pPr>
    <w:rPr>
      <w:rFonts w:ascii="Times New Roman" w:hAnsi="Times New Roman" w:eastAsia="宋体" w:cs="Times New Roman"/>
      <w:kern w:val="0"/>
      <w:szCs w:val="20"/>
    </w:rPr>
  </w:style>
  <w:style w:type="paragraph" w:customStyle="1" w:styleId="2178">
    <w:name w:val="edri-制表位13"/>
    <w:basedOn w:val="1"/>
    <w:qFormat/>
    <w:uiPriority w:val="0"/>
    <w:pPr>
      <w:widowControl/>
      <w:tabs>
        <w:tab w:val="left" w:pos="3720"/>
        <w:tab w:val="left" w:pos="3750"/>
        <w:tab w:val="left" w:pos="5220"/>
        <w:tab w:val="left" w:pos="5400"/>
      </w:tabs>
      <w:snapToGrid w:val="0"/>
      <w:ind w:left="945" w:leftChars="450" w:firstLine="898" w:firstLineChars="374"/>
      <w:jc w:val="left"/>
    </w:pPr>
    <w:rPr>
      <w:rFonts w:ascii="仿宋_GB2312" w:hAnsi="仿宋_GB2312" w:eastAsia="宋体" w:cs="方正宋三简体"/>
      <w:sz w:val="24"/>
      <w:szCs w:val="24"/>
    </w:rPr>
  </w:style>
  <w:style w:type="paragraph" w:customStyle="1" w:styleId="2179">
    <w:name w:val="样式 正文文字 +"/>
    <w:basedOn w:val="1"/>
    <w:qFormat/>
    <w:uiPriority w:val="0"/>
    <w:pPr>
      <w:widowControl/>
      <w:adjustRightInd w:val="0"/>
      <w:snapToGrid w:val="0"/>
      <w:spacing w:before="60" w:after="60" w:line="264" w:lineRule="auto"/>
      <w:ind w:firstLine="110" w:firstLineChars="110"/>
      <w:jc w:val="left"/>
      <w:textAlignment w:val="baseline"/>
    </w:pPr>
    <w:rPr>
      <w:rFonts w:ascii="仿宋_GB2312" w:hAnsi="仿宋_GB2312" w:eastAsia="Times New Roman" w:cs="仿宋_GB2312"/>
      <w:kern w:val="0"/>
      <w:sz w:val="24"/>
      <w:szCs w:val="24"/>
    </w:rPr>
  </w:style>
  <w:style w:type="paragraph" w:customStyle="1" w:styleId="2180">
    <w:name w:val="2文章"/>
    <w:basedOn w:val="2112"/>
    <w:qFormat/>
    <w:uiPriority w:val="0"/>
    <w:pPr>
      <w:ind w:left="1260" w:hanging="693"/>
    </w:pPr>
  </w:style>
  <w:style w:type="paragraph" w:customStyle="1" w:styleId="2181">
    <w:name w:val="正文（首行缩进两字）m"/>
    <w:basedOn w:val="24"/>
    <w:qFormat/>
    <w:uiPriority w:val="0"/>
    <w:pPr>
      <w:widowControl/>
      <w:spacing w:line="240" w:lineRule="auto"/>
      <w:ind w:firstLine="0" w:firstLineChars="0"/>
      <w:jc w:val="left"/>
    </w:pPr>
    <w:rPr>
      <w:rFonts w:ascii="Calibri" w:hAnsi="Calibri"/>
      <w:sz w:val="21"/>
      <w:szCs w:val="20"/>
    </w:rPr>
  </w:style>
  <w:style w:type="paragraph" w:customStyle="1" w:styleId="2182">
    <w:name w:val="列表 5J"/>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2183">
    <w:name w:val="表标"/>
    <w:next w:val="1"/>
    <w:qFormat/>
    <w:uiPriority w:val="0"/>
    <w:pPr>
      <w:tabs>
        <w:tab w:val="left" w:pos="8207"/>
      </w:tabs>
      <w:adjustRightInd w:val="0"/>
      <w:snapToGrid w:val="0"/>
      <w:spacing w:before="120" w:line="312" w:lineRule="auto"/>
      <w:jc w:val="center"/>
      <w:textAlignment w:val="baseline"/>
    </w:pPr>
    <w:rPr>
      <w:rFonts w:ascii="Times New Roman" w:hAnsi="Times New Roman" w:eastAsia="黑体" w:cs="Times New Roman"/>
      <w:kern w:val="2"/>
      <w:sz w:val="24"/>
      <w:lang w:val="en-US" w:eastAsia="zh-CN" w:bidi="ar-SA"/>
    </w:rPr>
  </w:style>
  <w:style w:type="paragraph" w:customStyle="1" w:styleId="2184">
    <w:name w:val="居中四号"/>
    <w:qFormat/>
    <w:uiPriority w:val="0"/>
    <w:pPr>
      <w:spacing w:line="300" w:lineRule="auto"/>
      <w:jc w:val="center"/>
    </w:pPr>
    <w:rPr>
      <w:rFonts w:ascii="Times New Roman" w:hAnsi="Times New Roman" w:eastAsia="宋体" w:cs="Times New Roman"/>
      <w:sz w:val="28"/>
      <w:lang w:val="en-US" w:eastAsia="zh-CN" w:bidi="ar-SA"/>
    </w:rPr>
  </w:style>
  <w:style w:type="paragraph" w:customStyle="1" w:styleId="2185">
    <w:name w:val="正文文本 2111"/>
    <w:basedOn w:val="1"/>
    <w:qFormat/>
    <w:uiPriority w:val="0"/>
    <w:pPr>
      <w:widowControl/>
      <w:adjustRightInd w:val="0"/>
      <w:spacing w:line="240" w:lineRule="auto"/>
      <w:ind w:left="425"/>
      <w:jc w:val="left"/>
      <w:textAlignment w:val="baseline"/>
    </w:pPr>
    <w:rPr>
      <w:rFonts w:ascii="Verdana" w:hAnsi="仿宋_GB2312" w:eastAsia="宋体" w:cs="仿宋_GB2312"/>
      <w:kern w:val="0"/>
      <w:sz w:val="24"/>
      <w:szCs w:val="20"/>
    </w:rPr>
  </w:style>
  <w:style w:type="paragraph" w:customStyle="1" w:styleId="2186">
    <w:name w:val="xl100"/>
    <w:basedOn w:val="1"/>
    <w:qFormat/>
    <w:uiPriority w:val="0"/>
    <w:pPr>
      <w:widowControl/>
      <w:pBdr>
        <w:top w:val="single" w:color="auto" w:sz="8" w:space="0"/>
        <w:bottom w:val="single" w:color="auto" w:sz="4" w:space="0"/>
        <w:right w:val="single" w:color="auto" w:sz="8" w:space="0"/>
      </w:pBdr>
      <w:spacing w:before="100" w:beforeAutospacing="1" w:after="100" w:afterAutospacing="1" w:line="240" w:lineRule="auto"/>
      <w:jc w:val="left"/>
    </w:pPr>
    <w:rPr>
      <w:rFonts w:ascii="華康中楷體" w:hAnsi="華康中楷體" w:eastAsia="華康中楷體" w:cs="華康中楷體"/>
      <w:kern w:val="0"/>
      <w:sz w:val="24"/>
      <w:szCs w:val="24"/>
    </w:rPr>
  </w:style>
  <w:style w:type="paragraph" w:customStyle="1" w:styleId="2187">
    <w:name w:val="附图"/>
    <w:basedOn w:val="1"/>
    <w:qFormat/>
    <w:uiPriority w:val="0"/>
    <w:pPr>
      <w:widowControl/>
      <w:spacing w:line="240" w:lineRule="atLeast"/>
      <w:jc w:val="center"/>
    </w:pPr>
    <w:rPr>
      <w:rFonts w:ascii="Times New Roman" w:hAnsi="Times New Roman" w:eastAsia="宋体" w:cs="Times New Roman"/>
      <w:szCs w:val="20"/>
    </w:rPr>
  </w:style>
  <w:style w:type="paragraph" w:customStyle="1" w:styleId="2188">
    <w:name w:val="edri-制表位1"/>
    <w:basedOn w:val="1"/>
    <w:qFormat/>
    <w:uiPriority w:val="0"/>
    <w:pPr>
      <w:widowControl/>
      <w:tabs>
        <w:tab w:val="left" w:pos="4620"/>
      </w:tabs>
      <w:snapToGrid w:val="0"/>
      <w:ind w:left="363" w:leftChars="173" w:firstLine="1440" w:firstLineChars="600"/>
      <w:jc w:val="left"/>
    </w:pPr>
    <w:rPr>
      <w:rFonts w:ascii="仿宋_GB2312" w:hAnsi="仿宋_GB2312" w:eastAsia="宋体" w:cs="仿宋_GB2312"/>
      <w:sz w:val="24"/>
      <w:szCs w:val="24"/>
    </w:rPr>
  </w:style>
  <w:style w:type="paragraph" w:customStyle="1" w:styleId="2189">
    <w:name w:val="zhengwen"/>
    <w:basedOn w:val="1"/>
    <w:qFormat/>
    <w:uiPriority w:val="0"/>
    <w:pPr>
      <w:widowControl/>
      <w:spacing w:before="100" w:beforeAutospacing="1" w:after="100" w:afterAutospacing="1" w:line="240" w:lineRule="auto"/>
      <w:jc w:val="left"/>
    </w:pPr>
    <w:rPr>
      <w:rFonts w:ascii="宋体" w:hAnsi="宋体" w:eastAsia="宋体" w:cs="Times New Roman"/>
      <w:kern w:val="0"/>
      <w:sz w:val="24"/>
      <w:szCs w:val="24"/>
    </w:rPr>
  </w:style>
  <w:style w:type="paragraph" w:customStyle="1" w:styleId="2190">
    <w:name w:val="样式（二级目录）"/>
    <w:basedOn w:val="8"/>
    <w:qFormat/>
    <w:uiPriority w:val="0"/>
    <w:pPr>
      <w:widowControl/>
      <w:numPr>
        <w:ilvl w:val="0"/>
        <w:numId w:val="0"/>
      </w:numPr>
      <w:adjustRightInd w:val="0"/>
      <w:snapToGrid w:val="0"/>
      <w:spacing w:before="0" w:after="0" w:line="360" w:lineRule="auto"/>
    </w:pPr>
    <w:rPr>
      <w:rFonts w:hAnsi="宋体" w:eastAsia="Times New Roman" w:cs="Times New Roman"/>
      <w:bCs w:val="0"/>
      <w:color w:val="0000FF"/>
    </w:rPr>
  </w:style>
  <w:style w:type="paragraph" w:customStyle="1" w:styleId="2191">
    <w:name w:val="hangju"/>
    <w:basedOn w:val="1"/>
    <w:qFormat/>
    <w:uiPriority w:val="0"/>
    <w:pPr>
      <w:widowControl/>
      <w:spacing w:before="100" w:beforeAutospacing="1" w:after="100" w:afterAutospacing="1" w:line="400" w:lineRule="atLeast"/>
      <w:jc w:val="left"/>
    </w:pPr>
    <w:rPr>
      <w:rFonts w:ascii="Verdana" w:hAnsi="Verdana" w:eastAsia="宋体" w:cs="仿宋_GB2312"/>
      <w:kern w:val="0"/>
      <w:sz w:val="24"/>
      <w:szCs w:val="24"/>
    </w:rPr>
  </w:style>
  <w:style w:type="paragraph" w:customStyle="1" w:styleId="2192">
    <w:name w:val="样式 行距: 1.5 倍行距"/>
    <w:basedOn w:val="1"/>
    <w:qFormat/>
    <w:uiPriority w:val="0"/>
    <w:pPr>
      <w:widowControl/>
      <w:ind w:firstLine="200" w:firstLineChars="200"/>
      <w:jc w:val="left"/>
    </w:pPr>
    <w:rPr>
      <w:rFonts w:ascii="Times New Roman" w:hAnsi="Times New Roman" w:eastAsia="宋体" w:cs="宋体"/>
      <w:sz w:val="24"/>
      <w:szCs w:val="24"/>
    </w:rPr>
  </w:style>
  <w:style w:type="paragraph" w:customStyle="1" w:styleId="2193">
    <w:name w:val="brdrw15brsp20 tqctx4153t"/>
    <w:qFormat/>
    <w:uiPriority w:val="0"/>
    <w:pPr>
      <w:widowControl w:val="0"/>
      <w:pBdr>
        <w:bottom w:val="single" w:color="auto" w:sz="6" w:space="0"/>
      </w:pBdr>
      <w:adjustRightInd w:val="0"/>
      <w:spacing w:line="312" w:lineRule="atLeast"/>
      <w:jc w:val="center"/>
    </w:pPr>
    <w:rPr>
      <w:rFonts w:ascii="仿宋_GB2312" w:hAnsi="仿宋_GB2312" w:eastAsia="宋体" w:cs="仿宋_GB2312"/>
      <w:sz w:val="21"/>
      <w:lang w:val="en-US" w:eastAsia="zh-CN" w:bidi="ar-SA"/>
    </w:rPr>
  </w:style>
  <w:style w:type="paragraph" w:customStyle="1" w:styleId="2194">
    <w:name w:val="表题格式"/>
    <w:basedOn w:val="1"/>
    <w:qFormat/>
    <w:uiPriority w:val="0"/>
    <w:pPr>
      <w:widowControl/>
      <w:spacing w:line="440" w:lineRule="exact"/>
      <w:ind w:firstLine="377" w:firstLineChars="377"/>
      <w:jc w:val="left"/>
    </w:pPr>
    <w:rPr>
      <w:rFonts w:ascii="仿宋_GB2312" w:hAnsi="仿宋_GB2312" w:eastAsia="楷体" w:cs="仿宋_GB2312"/>
      <w:kern w:val="0"/>
      <w:sz w:val="24"/>
      <w:szCs w:val="20"/>
    </w:rPr>
  </w:style>
  <w:style w:type="paragraph" w:customStyle="1" w:styleId="2195">
    <w:name w:val="Body Text 21"/>
    <w:basedOn w:val="1"/>
    <w:qFormat/>
    <w:uiPriority w:val="0"/>
    <w:pPr>
      <w:widowControl/>
      <w:adjustRightInd w:val="0"/>
      <w:spacing w:line="500" w:lineRule="exact"/>
      <w:jc w:val="left"/>
      <w:textAlignment w:val="baseline"/>
    </w:pPr>
    <w:rPr>
      <w:rFonts w:ascii="仿宋_GB2312" w:hAnsi="仿宋_GB2312" w:eastAsia="华文仿宋" w:cs="仿宋_GB2312"/>
      <w:sz w:val="24"/>
      <w:szCs w:val="20"/>
    </w:rPr>
  </w:style>
  <w:style w:type="paragraph" w:customStyle="1" w:styleId="2196">
    <w:name w:val="编号"/>
    <w:basedOn w:val="1"/>
    <w:qFormat/>
    <w:uiPriority w:val="0"/>
    <w:pPr>
      <w:widowControl/>
      <w:adjustRightInd w:val="0"/>
      <w:spacing w:line="240" w:lineRule="auto"/>
      <w:ind w:left="1200" w:hanging="600"/>
      <w:jc w:val="left"/>
      <w:textAlignment w:val="baseline"/>
    </w:pPr>
    <w:rPr>
      <w:rFonts w:ascii="MHei-Medium" w:hAnsi="MHei-Medium" w:eastAsia="宋体" w:cs="仿宋_GB2312"/>
      <w:kern w:val="0"/>
      <w:sz w:val="24"/>
      <w:szCs w:val="20"/>
    </w:rPr>
  </w:style>
  <w:style w:type="paragraph" w:customStyle="1" w:styleId="2197">
    <w:name w:val="Bullet_Indent"/>
    <w:basedOn w:val="1"/>
    <w:qFormat/>
    <w:uiPriority w:val="0"/>
    <w:pPr>
      <w:widowControl/>
      <w:adjustRightInd w:val="0"/>
      <w:snapToGrid w:val="0"/>
      <w:spacing w:after="240"/>
      <w:ind w:left="1440" w:hanging="720"/>
      <w:jc w:val="left"/>
    </w:pPr>
    <w:rPr>
      <w:rFonts w:ascii="仿宋_GB2312" w:hAnsi="仿宋_GB2312" w:eastAsia="宋体" w:cs="仿宋_GB2312"/>
      <w:kern w:val="0"/>
      <w:sz w:val="24"/>
      <w:szCs w:val="20"/>
    </w:rPr>
  </w:style>
  <w:style w:type="paragraph" w:customStyle="1" w:styleId="2198">
    <w:name w:val="标题3.5"/>
    <w:basedOn w:val="1"/>
    <w:qFormat/>
    <w:uiPriority w:val="0"/>
    <w:pPr>
      <w:widowControl/>
      <w:spacing w:line="240" w:lineRule="auto"/>
      <w:jc w:val="left"/>
    </w:pPr>
    <w:rPr>
      <w:rFonts w:ascii="Times New Roman" w:hAnsi="Times New Roman" w:eastAsia="仿宋_GB2312" w:cs="Times New Roman"/>
      <w:sz w:val="24"/>
      <w:szCs w:val="24"/>
    </w:rPr>
  </w:style>
  <w:style w:type="paragraph" w:customStyle="1" w:styleId="2199">
    <w:name w:val="Date1"/>
    <w:basedOn w:val="1"/>
    <w:next w:val="1"/>
    <w:qFormat/>
    <w:uiPriority w:val="0"/>
    <w:pPr>
      <w:widowControl/>
      <w:adjustRightInd w:val="0"/>
      <w:spacing w:line="240" w:lineRule="auto"/>
      <w:jc w:val="left"/>
      <w:textAlignment w:val="baseline"/>
    </w:pPr>
    <w:rPr>
      <w:rFonts w:ascii="Times New Roman" w:hAnsi="Times New Roman" w:eastAsia="宋体" w:cs="Times New Roman"/>
      <w:szCs w:val="20"/>
    </w:rPr>
  </w:style>
  <w:style w:type="paragraph" w:customStyle="1" w:styleId="2200">
    <w:name w:val="标标题4.7"/>
    <w:basedOn w:val="1"/>
    <w:qFormat/>
    <w:uiPriority w:val="0"/>
    <w:pPr>
      <w:widowControl/>
      <w:tabs>
        <w:tab w:val="center" w:pos="4060"/>
        <w:tab w:val="right" w:pos="8261"/>
      </w:tabs>
      <w:suppressAutoHyphens/>
      <w:adjustRightInd w:val="0"/>
      <w:snapToGrid w:val="0"/>
      <w:jc w:val="center"/>
    </w:pPr>
    <w:rPr>
      <w:rFonts w:ascii="Times New Roman" w:hAnsi="Times New Roman" w:eastAsia="宋体" w:cs="Times New Roman"/>
      <w:spacing w:val="6"/>
      <w:kern w:val="0"/>
      <w:sz w:val="24"/>
      <w:szCs w:val="26"/>
    </w:rPr>
  </w:style>
  <w:style w:type="paragraph" w:customStyle="1" w:styleId="2201">
    <w:name w:val="尾注文本11"/>
    <w:basedOn w:val="1"/>
    <w:qFormat/>
    <w:uiPriority w:val="0"/>
    <w:pPr>
      <w:widowControl/>
      <w:adjustRightInd w:val="0"/>
      <w:spacing w:line="360" w:lineRule="atLeast"/>
      <w:jc w:val="left"/>
      <w:textAlignment w:val="baseline"/>
    </w:pPr>
    <w:rPr>
      <w:rFonts w:ascii="Verdana" w:hAnsi="仿宋_GB2312" w:eastAsia="宋体" w:cs="仿宋_GB2312"/>
      <w:kern w:val="0"/>
      <w:szCs w:val="20"/>
    </w:rPr>
  </w:style>
  <w:style w:type="paragraph" w:customStyle="1" w:styleId="2202">
    <w:name w:val="样式 标题 3 + 黑色 Char Char Char"/>
    <w:basedOn w:val="8"/>
    <w:qFormat/>
    <w:uiPriority w:val="0"/>
    <w:pPr>
      <w:keepNext w:val="0"/>
      <w:keepLines w:val="0"/>
      <w:widowControl/>
      <w:numPr>
        <w:ilvl w:val="0"/>
        <w:numId w:val="0"/>
      </w:numPr>
      <w:tabs>
        <w:tab w:val="left" w:pos="1260"/>
      </w:tabs>
      <w:adjustRightInd w:val="0"/>
      <w:snapToGrid w:val="0"/>
      <w:spacing w:before="0" w:after="0" w:line="360" w:lineRule="auto"/>
      <w:ind w:left="567" w:hanging="420"/>
    </w:pPr>
    <w:rPr>
      <w:rFonts w:ascii="仿宋_GB2312" w:hAnsi="Verdana" w:eastAsia="宋体" w:cs="仿宋_GB2312"/>
      <w:b w:val="0"/>
      <w:bCs w:val="0"/>
      <w:color w:val="000000"/>
    </w:rPr>
  </w:style>
  <w:style w:type="paragraph" w:customStyle="1" w:styleId="2203">
    <w:name w:val="ｲﾝﾃﾞﾝﾄ-2"/>
    <w:basedOn w:val="1"/>
    <w:qFormat/>
    <w:uiPriority w:val="0"/>
    <w:pPr>
      <w:widowControl/>
      <w:spacing w:line="360" w:lineRule="atLeast"/>
      <w:ind w:left="737"/>
      <w:jc w:val="left"/>
    </w:pPr>
    <w:rPr>
      <w:rFonts w:ascii="Times New Roman" w:hAnsi="楷体_GB2312" w:eastAsia="宋体" w:cs="仿宋_GB2312"/>
      <w:szCs w:val="20"/>
      <w:lang w:eastAsia="ja-JP"/>
    </w:rPr>
  </w:style>
  <w:style w:type="paragraph" w:customStyle="1" w:styleId="2204">
    <w:name w:val="列表 4U"/>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2205">
    <w:name w:val="表8.1-1"/>
    <w:basedOn w:val="1"/>
    <w:qFormat/>
    <w:uiPriority w:val="0"/>
    <w:pPr>
      <w:widowControl/>
      <w:tabs>
        <w:tab w:val="left" w:pos="720"/>
        <w:tab w:val="left" w:pos="3480"/>
      </w:tabs>
      <w:adjustRightInd w:val="0"/>
      <w:snapToGrid w:val="0"/>
      <w:spacing w:beforeLines="100" w:line="240" w:lineRule="atLeast"/>
      <w:ind w:left="2820" w:hanging="360"/>
      <w:jc w:val="center"/>
    </w:pPr>
    <w:rPr>
      <w:rFonts w:ascii="黑体" w:hAnsi="Times New Roman" w:eastAsia="黑体" w:cs="Times New Roman"/>
      <w:b/>
      <w:sz w:val="24"/>
      <w:szCs w:val="20"/>
    </w:rPr>
  </w:style>
  <w:style w:type="paragraph" w:customStyle="1" w:styleId="2206">
    <w:name w:val="列表 2M"/>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207">
    <w:name w:val="列表 C"/>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2208">
    <w:name w:val="样式 标题 1 + 黑体 三号"/>
    <w:basedOn w:val="6"/>
    <w:qFormat/>
    <w:uiPriority w:val="0"/>
    <w:pPr>
      <w:widowControl/>
      <w:numPr>
        <w:numId w:val="0"/>
      </w:numPr>
      <w:topLinePunct/>
      <w:autoSpaceDE w:val="0"/>
      <w:autoSpaceDN w:val="0"/>
      <w:adjustRightInd w:val="0"/>
      <w:snapToGrid w:val="0"/>
      <w:spacing w:line="240" w:lineRule="auto"/>
      <w:ind w:firstLine="538" w:firstLineChars="224"/>
      <w:jc w:val="left"/>
    </w:pPr>
    <w:rPr>
      <w:rFonts w:ascii="楷体" w:hAnsi="楷体" w:eastAsia="楷体" w:cs="仿宋_GB2312"/>
      <w:b w:val="0"/>
      <w:bCs w:val="0"/>
      <w:sz w:val="24"/>
    </w:rPr>
  </w:style>
  <w:style w:type="paragraph" w:customStyle="1" w:styleId="2209">
    <w:name w:val="正文（首行缩进）"/>
    <w:basedOn w:val="1"/>
    <w:qFormat/>
    <w:uiPriority w:val="0"/>
    <w:pPr>
      <w:widowControl/>
      <w:ind w:firstLine="480" w:firstLineChars="200"/>
      <w:jc w:val="left"/>
    </w:pPr>
    <w:rPr>
      <w:rFonts w:ascii="Verdana" w:hAnsi="Verdana" w:eastAsia="宋体" w:cs="仿宋_GB2312"/>
      <w:color w:val="000000"/>
      <w:sz w:val="24"/>
      <w:szCs w:val="20"/>
    </w:rPr>
  </w:style>
  <w:style w:type="paragraph" w:customStyle="1" w:styleId="2210">
    <w:name w:val="规划正文样式"/>
    <w:basedOn w:val="1"/>
    <w:qFormat/>
    <w:uiPriority w:val="0"/>
    <w:pPr>
      <w:widowControl/>
      <w:spacing w:line="400" w:lineRule="exact"/>
      <w:ind w:firstLine="480" w:firstLineChars="200"/>
      <w:jc w:val="left"/>
    </w:pPr>
    <w:rPr>
      <w:rFonts w:ascii="仿宋_GB2312" w:hAnsi="仿宋_GB2312" w:eastAsia="宋体" w:cs="仿宋_GB2312"/>
      <w:sz w:val="24"/>
      <w:szCs w:val="24"/>
    </w:rPr>
  </w:style>
  <w:style w:type="paragraph" w:customStyle="1" w:styleId="2211">
    <w:name w:val="inhalt1"/>
    <w:basedOn w:val="1"/>
    <w:qFormat/>
    <w:uiPriority w:val="0"/>
    <w:pPr>
      <w:widowControl/>
      <w:spacing w:before="100" w:beforeAutospacing="1" w:after="100" w:afterAutospacing="1" w:line="240" w:lineRule="auto"/>
      <w:jc w:val="left"/>
    </w:pPr>
    <w:rPr>
      <w:rFonts w:ascii="Verdana" w:hAnsi="Verdana" w:eastAsia="宋体" w:cs="仿宋_GB2312"/>
      <w:color w:val="000000"/>
      <w:kern w:val="0"/>
      <w:sz w:val="24"/>
      <w:szCs w:val="24"/>
    </w:rPr>
  </w:style>
  <w:style w:type="paragraph" w:customStyle="1" w:styleId="2212">
    <w:name w:val="Normal1"/>
    <w:qFormat/>
    <w:uiPriority w:val="0"/>
    <w:pPr>
      <w:widowControl w:val="0"/>
      <w:adjustRightInd w:val="0"/>
      <w:spacing w:line="360" w:lineRule="atLeast"/>
      <w:textAlignment w:val="baseline"/>
    </w:pPr>
    <w:rPr>
      <w:rFonts w:ascii="Verdana" w:hAnsi="仿宋_GB2312" w:eastAsia="宋体" w:cs="仿宋_GB2312"/>
      <w:sz w:val="34"/>
      <w:lang w:val="en-US" w:eastAsia="zh-CN" w:bidi="ar-SA"/>
    </w:rPr>
  </w:style>
  <w:style w:type="paragraph" w:customStyle="1" w:styleId="2213">
    <w:name w:val="表格文字中"/>
    <w:basedOn w:val="1"/>
    <w:qFormat/>
    <w:uiPriority w:val="0"/>
    <w:pPr>
      <w:widowControl/>
      <w:tabs>
        <w:tab w:val="left" w:pos="1727"/>
        <w:tab w:val="left" w:pos="1884"/>
      </w:tabs>
      <w:adjustRightInd w:val="0"/>
      <w:snapToGrid w:val="0"/>
      <w:spacing w:line="240" w:lineRule="auto"/>
      <w:jc w:val="center"/>
    </w:pPr>
    <w:rPr>
      <w:rFonts w:ascii="宋体" w:hAnsi="宋体" w:eastAsia="宋体" w:cs="Times New Roman"/>
      <w:color w:val="000000"/>
      <w:kern w:val="0"/>
      <w:sz w:val="24"/>
      <w:szCs w:val="24"/>
    </w:rPr>
  </w:style>
  <w:style w:type="paragraph" w:customStyle="1" w:styleId="2214">
    <w:name w:val="正文样式3"/>
    <w:basedOn w:val="1"/>
    <w:qFormat/>
    <w:uiPriority w:val="0"/>
    <w:pPr>
      <w:keepLines/>
      <w:widowControl/>
      <w:adjustRightInd w:val="0"/>
      <w:spacing w:line="20" w:lineRule="atLeast"/>
      <w:jc w:val="center"/>
      <w:textAlignment w:val="baseline"/>
    </w:pPr>
    <w:rPr>
      <w:rFonts w:ascii="仿宋_GB2312" w:hAnsi="仿宋_GB2312" w:eastAsia="宋体" w:cs="仿宋_GB2312"/>
      <w:kern w:val="0"/>
      <w:sz w:val="24"/>
      <w:szCs w:val="20"/>
    </w:rPr>
  </w:style>
  <w:style w:type="paragraph" w:customStyle="1" w:styleId="2215">
    <w:name w:val="横线"/>
    <w:basedOn w:val="24"/>
    <w:qFormat/>
    <w:uiPriority w:val="0"/>
    <w:pPr>
      <w:widowControl/>
      <w:spacing w:line="240" w:lineRule="auto"/>
      <w:ind w:firstLine="0" w:firstLineChars="0"/>
      <w:jc w:val="left"/>
    </w:pPr>
    <w:rPr>
      <w:rFonts w:ascii="Calibri" w:hAnsi="Calibri"/>
      <w:sz w:val="21"/>
      <w:szCs w:val="20"/>
    </w:rPr>
  </w:style>
  <w:style w:type="paragraph" w:customStyle="1" w:styleId="2216">
    <w:name w:val="indent"/>
    <w:basedOn w:val="1"/>
    <w:qFormat/>
    <w:uiPriority w:val="0"/>
    <w:pPr>
      <w:widowControl/>
      <w:spacing w:before="100" w:beforeAutospacing="1" w:after="100" w:afterAutospacing="1" w:line="240" w:lineRule="auto"/>
      <w:ind w:firstLine="525"/>
      <w:jc w:val="left"/>
    </w:pPr>
    <w:rPr>
      <w:rFonts w:ascii="Verdana" w:hAnsi="Verdana" w:eastAsia="宋体" w:cs="Verdana"/>
      <w:kern w:val="0"/>
      <w:sz w:val="24"/>
      <w:szCs w:val="24"/>
    </w:rPr>
  </w:style>
  <w:style w:type="paragraph" w:customStyle="1" w:styleId="2217">
    <w:name w:val="Char Char Char1 Char Char Char Char Char Char Char Char Char Char Char Char Char"/>
    <w:basedOn w:val="1"/>
    <w:qFormat/>
    <w:uiPriority w:val="0"/>
    <w:pPr>
      <w:widowControl/>
      <w:spacing w:line="240" w:lineRule="auto"/>
      <w:jc w:val="left"/>
    </w:pPr>
    <w:rPr>
      <w:rFonts w:ascii="Times New Roman" w:hAnsi="Times New Roman" w:eastAsia="宋体" w:cs="Times New Roman"/>
      <w:sz w:val="24"/>
      <w:szCs w:val="24"/>
    </w:rPr>
  </w:style>
  <w:style w:type="paragraph" w:customStyle="1" w:styleId="2218">
    <w:name w:val="表格样式"/>
    <w:basedOn w:val="1"/>
    <w:qFormat/>
    <w:uiPriority w:val="0"/>
    <w:pPr>
      <w:widowControl/>
      <w:adjustRightInd w:val="0"/>
      <w:snapToGrid w:val="0"/>
      <w:spacing w:line="240" w:lineRule="auto"/>
      <w:jc w:val="center"/>
      <w:textAlignment w:val="baseline"/>
    </w:pPr>
    <w:rPr>
      <w:rFonts w:ascii="Verdana" w:hAnsi="仿宋_GB2312" w:eastAsia="宋体" w:cs="仿宋_GB2312"/>
      <w:color w:val="000000"/>
      <w:kern w:val="0"/>
      <w:sz w:val="24"/>
      <w:szCs w:val="20"/>
    </w:rPr>
  </w:style>
  <w:style w:type="paragraph" w:customStyle="1" w:styleId="2219">
    <w:name w:val="样式 标题 3小标题小节标题标题3H3h33rd level第二层条标题4标题 3 Char标题 3 Cha..."/>
    <w:basedOn w:val="8"/>
    <w:qFormat/>
    <w:uiPriority w:val="0"/>
    <w:pPr>
      <w:widowControl/>
      <w:numPr>
        <w:ilvl w:val="0"/>
        <w:numId w:val="0"/>
      </w:numPr>
      <w:tabs>
        <w:tab w:val="left" w:pos="851"/>
        <w:tab w:val="left" w:pos="1364"/>
      </w:tabs>
      <w:adjustRightInd w:val="0"/>
      <w:spacing w:before="120" w:after="120" w:line="240" w:lineRule="auto"/>
      <w:ind w:left="1135" w:hanging="1"/>
      <w:textAlignment w:val="baseline"/>
    </w:pPr>
    <w:rPr>
      <w:rFonts w:ascii="仿宋_GB2312" w:hAnsi="Verdana" w:eastAsia="宋体" w:cs="Verdana"/>
      <w:color w:val="000000"/>
      <w:kern w:val="32"/>
      <w:sz w:val="32"/>
    </w:rPr>
  </w:style>
  <w:style w:type="paragraph" w:customStyle="1" w:styleId="2220">
    <w:name w:val="样式 标题 1 + 黑体 三号 居中 行距: 固定值 20 磅"/>
    <w:basedOn w:val="6"/>
    <w:qFormat/>
    <w:uiPriority w:val="0"/>
    <w:pPr>
      <w:widowControl/>
      <w:numPr>
        <w:numId w:val="0"/>
      </w:numPr>
      <w:topLinePunct/>
      <w:autoSpaceDE w:val="0"/>
      <w:autoSpaceDN w:val="0"/>
      <w:adjustRightInd w:val="0"/>
      <w:snapToGrid w:val="0"/>
      <w:spacing w:line="400" w:lineRule="exact"/>
      <w:ind w:firstLine="538" w:firstLineChars="224"/>
      <w:jc w:val="left"/>
    </w:pPr>
    <w:rPr>
      <w:rFonts w:ascii="楷体" w:hAnsi="楷体" w:eastAsia="楷体" w:cs="Verdana"/>
      <w:b w:val="0"/>
      <w:bCs w:val="0"/>
      <w:sz w:val="24"/>
      <w:szCs w:val="20"/>
    </w:rPr>
  </w:style>
  <w:style w:type="paragraph" w:customStyle="1" w:styleId="2221">
    <w:name w:val="页脚11"/>
    <w:basedOn w:val="1087"/>
    <w:qFormat/>
    <w:uiPriority w:val="0"/>
    <w:pPr>
      <w:tabs>
        <w:tab w:val="center" w:pos="4153"/>
        <w:tab w:val="right" w:pos="8306"/>
      </w:tabs>
      <w:adjustRightInd w:val="0"/>
      <w:spacing w:line="240" w:lineRule="atLeast"/>
      <w:ind w:firstLine="0" w:firstLineChars="0"/>
      <w:textAlignment w:val="baseline"/>
    </w:pPr>
    <w:rPr>
      <w:rFonts w:ascii="Verdana" w:hAnsi="仿宋_GB2312" w:cs="仿宋_GB2312"/>
      <w:kern w:val="0"/>
      <w:sz w:val="18"/>
      <w:szCs w:val="20"/>
    </w:rPr>
  </w:style>
  <w:style w:type="paragraph" w:customStyle="1" w:styleId="2222">
    <w:name w:val="列表 3M"/>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2223">
    <w:name w:val="样式 标题2　自动设置"/>
    <w:basedOn w:val="7"/>
    <w:qFormat/>
    <w:uiPriority w:val="0"/>
    <w:pPr>
      <w:widowControl/>
      <w:numPr>
        <w:ilvl w:val="0"/>
        <w:numId w:val="0"/>
      </w:numPr>
      <w:spacing w:beforeLines="50" w:afterLines="50" w:line="240" w:lineRule="auto"/>
      <w:ind w:left="576" w:hanging="576"/>
      <w:jc w:val="both"/>
    </w:pPr>
    <w:rPr>
      <w:rFonts w:ascii="Verdana" w:hAnsi="Verdana" w:eastAsia="Times New Roman" w:cs="Verdana"/>
      <w:kern w:val="0"/>
      <w:szCs w:val="20"/>
    </w:rPr>
  </w:style>
  <w:style w:type="paragraph" w:customStyle="1" w:styleId="2224">
    <w:name w:val="列表 3L"/>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2225">
    <w:name w:val="湛江钢铁表标题"/>
    <w:basedOn w:val="1"/>
    <w:qFormat/>
    <w:uiPriority w:val="0"/>
    <w:pPr>
      <w:widowControl/>
      <w:spacing w:beforeLines="50"/>
      <w:ind w:firstLine="480" w:firstLineChars="200"/>
      <w:jc w:val="center"/>
    </w:pPr>
    <w:rPr>
      <w:rFonts w:ascii="仿宋_GB2312" w:hAnsi="仿宋_GB2312" w:eastAsia="Times New Roman" w:cs="仿宋_GB2312"/>
      <w:color w:val="000000"/>
      <w:kern w:val="0"/>
      <w:sz w:val="24"/>
      <w:szCs w:val="24"/>
    </w:rPr>
  </w:style>
  <w:style w:type="paragraph" w:customStyle="1" w:styleId="2226">
    <w:name w:val="121111111111"/>
    <w:basedOn w:val="1"/>
    <w:qFormat/>
    <w:uiPriority w:val="0"/>
    <w:pPr>
      <w:widowControl/>
      <w:spacing w:line="460" w:lineRule="exact"/>
      <w:jc w:val="center"/>
    </w:pPr>
    <w:rPr>
      <w:rFonts w:ascii="Times New Roman" w:hAnsi="Times New Roman" w:eastAsia="黑体" w:cs="Times New Roman"/>
      <w:color w:val="000000"/>
      <w:spacing w:val="16"/>
      <w:sz w:val="24"/>
      <w:szCs w:val="24"/>
    </w:rPr>
  </w:style>
  <w:style w:type="paragraph" w:customStyle="1" w:styleId="2227">
    <w:name w:val="ttxtl"/>
    <w:basedOn w:val="1"/>
    <w:qFormat/>
    <w:uiPriority w:val="0"/>
    <w:pPr>
      <w:widowControl/>
      <w:spacing w:before="100" w:beforeAutospacing="1" w:after="100" w:afterAutospacing="1" w:line="240" w:lineRule="auto"/>
      <w:jc w:val="left"/>
    </w:pPr>
    <w:rPr>
      <w:rFonts w:ascii="Verdana" w:hAnsi="Verdana" w:eastAsia="宋体" w:cs="仿宋_GB2312"/>
      <w:kern w:val="0"/>
      <w:sz w:val="24"/>
      <w:szCs w:val="24"/>
    </w:rPr>
  </w:style>
  <w:style w:type="paragraph" w:customStyle="1" w:styleId="2228">
    <w:name w:val="表前文字"/>
    <w:basedOn w:val="1"/>
    <w:qFormat/>
    <w:uiPriority w:val="0"/>
    <w:pPr>
      <w:widowControl/>
      <w:spacing w:line="240" w:lineRule="auto"/>
      <w:jc w:val="center"/>
    </w:pPr>
    <w:rPr>
      <w:rFonts w:ascii="仿宋_GB2312" w:hAnsi="仿宋_GB2312" w:eastAsia="宋体" w:cs="仿宋_GB2312"/>
      <w:sz w:val="24"/>
      <w:szCs w:val="24"/>
    </w:rPr>
  </w:style>
  <w:style w:type="paragraph" w:customStyle="1" w:styleId="2229">
    <w:name w:val="style14"/>
    <w:basedOn w:val="1"/>
    <w:qFormat/>
    <w:uiPriority w:val="0"/>
    <w:pPr>
      <w:widowControl/>
      <w:spacing w:before="100" w:beforeAutospacing="1" w:after="100" w:afterAutospacing="1" w:line="240" w:lineRule="auto"/>
      <w:jc w:val="left"/>
    </w:pPr>
    <w:rPr>
      <w:rFonts w:ascii="宋体" w:hAnsi="宋体" w:eastAsia="宋体" w:cs="宋体"/>
      <w:b/>
      <w:bCs/>
      <w:color w:val="FFFFCC"/>
      <w:kern w:val="0"/>
      <w:sz w:val="24"/>
      <w:szCs w:val="24"/>
    </w:rPr>
  </w:style>
  <w:style w:type="paragraph" w:customStyle="1" w:styleId="2230">
    <w:name w:val="列表 2V"/>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231">
    <w:name w:val="样式 标题 2第一层条H2h2 + 左侧:  0 厘米 首行缩进:  0 厘米"/>
    <w:basedOn w:val="7"/>
    <w:qFormat/>
    <w:uiPriority w:val="0"/>
    <w:pPr>
      <w:widowControl/>
      <w:numPr>
        <w:ilvl w:val="0"/>
        <w:numId w:val="0"/>
      </w:numPr>
      <w:adjustRightInd w:val="0"/>
      <w:spacing w:beforeLines="50" w:after="120" w:line="240" w:lineRule="auto"/>
      <w:ind w:left="737" w:hanging="737"/>
      <w:textAlignment w:val="baseline"/>
    </w:pPr>
    <w:rPr>
      <w:rFonts w:ascii="仿宋_GB2312" w:hAnsi="仿宋_GB2312" w:eastAsia="楷体" w:cs="Verdana"/>
      <w:color w:val="0000FF"/>
      <w:kern w:val="32"/>
      <w:sz w:val="32"/>
      <w:szCs w:val="20"/>
    </w:rPr>
  </w:style>
  <w:style w:type="paragraph" w:customStyle="1" w:styleId="2232">
    <w:name w:val="表体宋旭峰"/>
    <w:basedOn w:val="46"/>
    <w:qFormat/>
    <w:uiPriority w:val="0"/>
    <w:pPr>
      <w:widowControl/>
      <w:overflowPunct w:val="0"/>
      <w:spacing w:line="280" w:lineRule="atLeast"/>
      <w:ind w:firstLine="0" w:firstLineChars="0"/>
      <w:jc w:val="center"/>
      <w:textAlignment w:val="baseline"/>
    </w:pPr>
    <w:rPr>
      <w:rFonts w:ascii="Verdana" w:hAnsi="MHei-Medium" w:cs="MHei-Medium"/>
      <w:kern w:val="24"/>
      <w:sz w:val="18"/>
    </w:rPr>
  </w:style>
  <w:style w:type="paragraph" w:customStyle="1" w:styleId="2233">
    <w:name w:val="edri-title first"/>
    <w:basedOn w:val="1"/>
    <w:qFormat/>
    <w:uiPriority w:val="0"/>
    <w:pPr>
      <w:widowControl/>
      <w:tabs>
        <w:tab w:val="left" w:pos="2"/>
        <w:tab w:val="left" w:pos="945"/>
      </w:tabs>
      <w:spacing w:beforeLines="50" w:line="300" w:lineRule="auto"/>
      <w:ind w:left="966" w:hanging="964"/>
      <w:jc w:val="left"/>
      <w:outlineLvl w:val="0"/>
    </w:pPr>
    <w:rPr>
      <w:rFonts w:ascii="????" w:hAnsi="????" w:eastAsia="宋体" w:cs="仿宋_GB2312"/>
      <w:b/>
      <w:bCs/>
      <w:kern w:val="0"/>
      <w:sz w:val="30"/>
      <w:szCs w:val="20"/>
    </w:rPr>
  </w:style>
  <w:style w:type="paragraph" w:customStyle="1" w:styleId="2234">
    <w:name w:val="couv"/>
    <w:basedOn w:val="1"/>
    <w:qFormat/>
    <w:uiPriority w:val="0"/>
    <w:pPr>
      <w:widowControl/>
      <w:spacing w:before="120" w:after="120" w:line="240" w:lineRule="auto"/>
      <w:ind w:firstLine="200" w:firstLineChars="200"/>
      <w:jc w:val="center"/>
    </w:pPr>
    <w:rPr>
      <w:rFonts w:ascii="仿宋_GB2312" w:hAnsi="仿宋_GB2312" w:eastAsia="宋体" w:cs="仿宋_GB2312"/>
      <w:b/>
      <w:kern w:val="0"/>
      <w:sz w:val="40"/>
      <w:szCs w:val="20"/>
      <w:lang w:val="en-GB"/>
    </w:rPr>
  </w:style>
  <w:style w:type="paragraph" w:customStyle="1" w:styleId="2235">
    <w:name w:val="04"/>
    <w:basedOn w:val="1"/>
    <w:qFormat/>
    <w:uiPriority w:val="0"/>
    <w:pPr>
      <w:widowControl/>
      <w:spacing w:line="312" w:lineRule="auto"/>
      <w:jc w:val="left"/>
    </w:pPr>
    <w:rPr>
      <w:rFonts w:ascii="仿宋_GB2312" w:hAnsi="仿宋_GB2312" w:eastAsia="Times New Roman" w:cs="仿宋_GB2312"/>
      <w:sz w:val="24"/>
      <w:szCs w:val="30"/>
    </w:rPr>
  </w:style>
  <w:style w:type="paragraph" w:customStyle="1" w:styleId="2236">
    <w:name w:val="ST20_1"/>
    <w:basedOn w:val="1"/>
    <w:qFormat/>
    <w:uiPriority w:val="0"/>
    <w:pPr>
      <w:widowControl/>
      <w:adjustRightInd w:val="0"/>
      <w:spacing w:line="240" w:lineRule="auto"/>
      <w:jc w:val="center"/>
      <w:textAlignment w:val="baseline"/>
    </w:pPr>
    <w:rPr>
      <w:rFonts w:ascii="Verdana" w:hAnsi="仿宋_GB2312" w:eastAsia="宋体" w:cs="仿宋_GB2312"/>
      <w:kern w:val="0"/>
      <w:szCs w:val="20"/>
    </w:rPr>
  </w:style>
  <w:style w:type="paragraph" w:customStyle="1" w:styleId="2237">
    <w:name w:val="Pa3"/>
    <w:basedOn w:val="1"/>
    <w:next w:val="1"/>
    <w:qFormat/>
    <w:uiPriority w:val="0"/>
    <w:pPr>
      <w:widowControl/>
      <w:autoSpaceDE w:val="0"/>
      <w:autoSpaceDN w:val="0"/>
      <w:adjustRightInd w:val="0"/>
      <w:spacing w:line="240" w:lineRule="auto"/>
      <w:jc w:val="left"/>
    </w:pPr>
    <w:rPr>
      <w:rFonts w:ascii="Gulim" w:hAnsi="仿宋_GB2312" w:eastAsia="Gulim" w:cs="仿宋_GB2312"/>
      <w:kern w:val="0"/>
      <w:sz w:val="20"/>
      <w:szCs w:val="24"/>
    </w:rPr>
  </w:style>
  <w:style w:type="paragraph" w:customStyle="1" w:styleId="2238">
    <w:name w:val="表后空行"/>
    <w:basedOn w:val="1"/>
    <w:next w:val="1"/>
    <w:qFormat/>
    <w:uiPriority w:val="0"/>
    <w:pPr>
      <w:widowControl/>
      <w:spacing w:line="240" w:lineRule="auto"/>
      <w:jc w:val="left"/>
    </w:pPr>
    <w:rPr>
      <w:rFonts w:ascii="仿宋_GB2312" w:hAnsi="仿宋_GB2312" w:eastAsia="宋体" w:cs="仿宋_GB2312"/>
      <w:kern w:val="18"/>
      <w:sz w:val="18"/>
      <w:szCs w:val="24"/>
    </w:rPr>
  </w:style>
  <w:style w:type="paragraph" w:customStyle="1" w:styleId="2239">
    <w:name w:val="Char2 Char Char Char Char Char Char1 Char Char Char Char Char Char1"/>
    <w:basedOn w:val="1"/>
    <w:qFormat/>
    <w:uiPriority w:val="0"/>
    <w:pPr>
      <w:widowControl/>
      <w:ind w:firstLine="200" w:firstLineChars="200"/>
      <w:jc w:val="left"/>
    </w:pPr>
    <w:rPr>
      <w:rFonts w:ascii="Verdana" w:hAnsi="Verdana" w:eastAsia="宋体" w:cs="Verdana"/>
      <w:sz w:val="24"/>
      <w:szCs w:val="24"/>
    </w:rPr>
  </w:style>
  <w:style w:type="paragraph" w:customStyle="1" w:styleId="2240">
    <w:name w:val="列表 B"/>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2241">
    <w:name w:val="xl106"/>
    <w:basedOn w:val="1"/>
    <w:qFormat/>
    <w:uiPriority w:val="0"/>
    <w:pPr>
      <w:widowControl/>
      <w:pBdr>
        <w:bottom w:val="single" w:color="auto" w:sz="4" w:space="0"/>
        <w:right w:val="single" w:color="auto" w:sz="4" w:space="0"/>
      </w:pBdr>
      <w:spacing w:before="100" w:beforeAutospacing="1" w:after="100" w:afterAutospacing="1" w:line="240" w:lineRule="auto"/>
      <w:jc w:val="center"/>
      <w:textAlignment w:val="center"/>
    </w:pPr>
    <w:rPr>
      <w:rFonts w:ascii="華康中楷體" w:hAnsi="華康中楷體" w:eastAsia="華康中楷體" w:cs="華康中楷體"/>
      <w:kern w:val="0"/>
      <w:sz w:val="16"/>
      <w:szCs w:val="16"/>
    </w:rPr>
  </w:style>
  <w:style w:type="paragraph" w:customStyle="1" w:styleId="2242">
    <w:name w:val="样式 首行缩进:  1.01 厘米"/>
    <w:basedOn w:val="1"/>
    <w:qFormat/>
    <w:uiPriority w:val="0"/>
    <w:pPr>
      <w:widowControl/>
      <w:spacing w:line="500" w:lineRule="exact"/>
      <w:ind w:firstLine="570"/>
      <w:jc w:val="left"/>
    </w:pPr>
    <w:rPr>
      <w:rFonts w:ascii="Times New Roman" w:hAnsi="Times New Roman" w:eastAsia="宋体" w:cs="宋体"/>
      <w:kern w:val="28"/>
      <w:sz w:val="28"/>
      <w:szCs w:val="20"/>
    </w:rPr>
  </w:style>
  <w:style w:type="paragraph" w:customStyle="1" w:styleId="2243">
    <w:name w:val="列表 2G"/>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244">
    <w:name w:val="样式 样式 宋体 13 磅 白色 首行缩进:  0.74 厘米 + 自动设置 首行缩进:  2 字符"/>
    <w:basedOn w:val="1"/>
    <w:qFormat/>
    <w:uiPriority w:val="0"/>
    <w:pPr>
      <w:widowControl/>
      <w:spacing w:line="240" w:lineRule="auto"/>
      <w:ind w:firstLine="520" w:firstLineChars="200"/>
      <w:jc w:val="left"/>
    </w:pPr>
    <w:rPr>
      <w:rFonts w:ascii="Verdana" w:hAnsi="Verdana" w:eastAsia="宋体" w:cs="Verdana"/>
      <w:sz w:val="27"/>
      <w:szCs w:val="27"/>
    </w:rPr>
  </w:style>
  <w:style w:type="paragraph" w:customStyle="1" w:styleId="2245">
    <w:name w:val="环保篇"/>
    <w:basedOn w:val="1"/>
    <w:qFormat/>
    <w:uiPriority w:val="0"/>
    <w:pPr>
      <w:widowControl/>
      <w:tabs>
        <w:tab w:val="left" w:pos="360"/>
      </w:tabs>
      <w:adjustRightInd w:val="0"/>
      <w:jc w:val="left"/>
      <w:textAlignment w:val="baseline"/>
    </w:pPr>
    <w:rPr>
      <w:rFonts w:ascii="仿宋_GB2312" w:hAnsi="仿宋_GB2312" w:eastAsia="宋体" w:cs="仿宋_GB2312"/>
      <w:sz w:val="28"/>
      <w:szCs w:val="20"/>
    </w:rPr>
  </w:style>
  <w:style w:type="paragraph" w:customStyle="1" w:styleId="2246">
    <w:name w:val="表头王"/>
    <w:basedOn w:val="1"/>
    <w:qFormat/>
    <w:uiPriority w:val="0"/>
    <w:pPr>
      <w:widowControl/>
      <w:adjustRightInd w:val="0"/>
      <w:snapToGrid w:val="0"/>
      <w:jc w:val="center"/>
    </w:pPr>
    <w:rPr>
      <w:rFonts w:ascii="黑体" w:hAnsi="Times New Roman" w:eastAsia="黑体" w:cs="Times New Roman"/>
      <w:b/>
      <w:sz w:val="24"/>
      <w:szCs w:val="24"/>
    </w:rPr>
  </w:style>
  <w:style w:type="paragraph" w:customStyle="1" w:styleId="2247">
    <w:name w:val="我的2"/>
    <w:basedOn w:val="1"/>
    <w:qFormat/>
    <w:uiPriority w:val="0"/>
    <w:pPr>
      <w:widowControl/>
      <w:spacing w:line="240" w:lineRule="auto"/>
      <w:jc w:val="left"/>
    </w:pPr>
    <w:rPr>
      <w:rFonts w:ascii="仿宋_GB2312" w:hAnsi="仿宋_GB2312" w:eastAsia="宋体" w:cs="仿宋_GB2312"/>
      <w:b/>
      <w:sz w:val="28"/>
      <w:szCs w:val="24"/>
    </w:rPr>
  </w:style>
  <w:style w:type="paragraph" w:customStyle="1" w:styleId="2248">
    <w:name w:val="正文21"/>
    <w:qFormat/>
    <w:uiPriority w:val="0"/>
    <w:pPr>
      <w:widowControl w:val="0"/>
      <w:suppressAutoHyphens/>
      <w:spacing w:line="520" w:lineRule="atLeast"/>
      <w:ind w:firstLine="200"/>
      <w:jc w:val="both"/>
    </w:pPr>
    <w:rPr>
      <w:rFonts w:ascii="Times New Roman" w:hAnsi="Times New Roman" w:eastAsia="宋体" w:cs="Times New Roman"/>
      <w:spacing w:val="18"/>
      <w:sz w:val="32"/>
      <w:lang w:val="en-US" w:eastAsia="zh-CN" w:bidi="ar-SA"/>
    </w:rPr>
  </w:style>
  <w:style w:type="paragraph" w:customStyle="1" w:styleId="2249">
    <w:name w:val="样式 四号 首行缩进:  2 字符"/>
    <w:basedOn w:val="1"/>
    <w:qFormat/>
    <w:uiPriority w:val="0"/>
    <w:pPr>
      <w:widowControl/>
      <w:spacing w:line="480" w:lineRule="atLeast"/>
      <w:ind w:firstLine="200" w:firstLineChars="200"/>
      <w:jc w:val="left"/>
    </w:pPr>
    <w:rPr>
      <w:rFonts w:ascii="Times New Roman" w:hAnsi="Times New Roman" w:eastAsia="宋体" w:cs="Times New Roman"/>
      <w:sz w:val="24"/>
      <w:szCs w:val="24"/>
    </w:rPr>
  </w:style>
  <w:style w:type="paragraph" w:customStyle="1" w:styleId="2250">
    <w:name w:val="标标题1.9"/>
    <w:basedOn w:val="1"/>
    <w:qFormat/>
    <w:uiPriority w:val="0"/>
    <w:pPr>
      <w:widowControl/>
      <w:tabs>
        <w:tab w:val="left" w:pos="390"/>
        <w:tab w:val="center" w:pos="4060"/>
        <w:tab w:val="right" w:pos="8261"/>
      </w:tabs>
      <w:suppressAutoHyphens/>
      <w:adjustRightInd w:val="0"/>
      <w:spacing w:before="240" w:line="240" w:lineRule="atLeast"/>
      <w:ind w:left="390" w:hanging="390"/>
      <w:jc w:val="center"/>
    </w:pPr>
    <w:rPr>
      <w:rFonts w:ascii="黑体" w:hAnsi="Times New Roman" w:eastAsia="黑体" w:cs="Times New Roman"/>
      <w:b/>
      <w:spacing w:val="6"/>
      <w:kern w:val="0"/>
      <w:sz w:val="26"/>
      <w:szCs w:val="26"/>
    </w:rPr>
  </w:style>
  <w:style w:type="paragraph" w:customStyle="1" w:styleId="2251">
    <w:name w:val="列表 4T"/>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2252">
    <w:name w:val="tian"/>
    <w:basedOn w:val="1"/>
    <w:qFormat/>
    <w:uiPriority w:val="0"/>
    <w:pPr>
      <w:widowControl/>
      <w:spacing w:line="240" w:lineRule="auto"/>
      <w:jc w:val="left"/>
    </w:pPr>
    <w:rPr>
      <w:rFonts w:ascii="仿宋_GB2312" w:hAnsi="仿宋_GB2312" w:eastAsia="宋体" w:cs="仿宋_GB2312"/>
      <w:sz w:val="24"/>
      <w:szCs w:val="20"/>
    </w:rPr>
  </w:style>
  <w:style w:type="paragraph" w:customStyle="1" w:styleId="2253">
    <w:name w:val="列图"/>
    <w:basedOn w:val="70"/>
    <w:next w:val="1"/>
    <w:qFormat/>
    <w:uiPriority w:val="0"/>
    <w:pPr>
      <w:keepLines/>
      <w:widowControl/>
      <w:snapToGrid w:val="0"/>
      <w:spacing w:beforeLines="0" w:line="276" w:lineRule="auto"/>
      <w:ind w:left="0" w:firstLine="0"/>
      <w:jc w:val="center"/>
    </w:pPr>
    <w:rPr>
      <w:rFonts w:ascii="仿宋_GB2312" w:hAnsi="仿宋_GB2312" w:cs="仿宋_GB2312"/>
      <w:kern w:val="28"/>
    </w:rPr>
  </w:style>
  <w:style w:type="paragraph" w:customStyle="1" w:styleId="2254">
    <w:name w:val="图目"/>
    <w:basedOn w:val="1"/>
    <w:qFormat/>
    <w:uiPriority w:val="0"/>
    <w:pPr>
      <w:widowControl/>
      <w:adjustRightInd w:val="0"/>
      <w:spacing w:line="360" w:lineRule="atLeast"/>
      <w:jc w:val="center"/>
      <w:textAlignment w:val="baseline"/>
    </w:pPr>
    <w:rPr>
      <w:rFonts w:ascii="仿宋_GB2312" w:hAnsi="仿宋_GB2312" w:eastAsia="宋体" w:cs="仿宋_GB2312"/>
      <w:kern w:val="0"/>
      <w:sz w:val="24"/>
      <w:szCs w:val="20"/>
    </w:rPr>
  </w:style>
  <w:style w:type="paragraph" w:customStyle="1" w:styleId="2255">
    <w:name w:val="font17"/>
    <w:basedOn w:val="1"/>
    <w:qFormat/>
    <w:uiPriority w:val="0"/>
    <w:pPr>
      <w:widowControl/>
      <w:spacing w:before="100" w:beforeAutospacing="1" w:after="100" w:afterAutospacing="1" w:line="240" w:lineRule="auto"/>
      <w:jc w:val="left"/>
    </w:pPr>
    <w:rPr>
      <w:rFonts w:ascii="仿宋_GB2312" w:hAnsi="仿宋_GB2312" w:eastAsia="華康中楷體" w:cs="仿宋_GB2312"/>
      <w:kern w:val="0"/>
      <w:sz w:val="20"/>
      <w:szCs w:val="20"/>
      <w:u w:val="single"/>
    </w:rPr>
  </w:style>
  <w:style w:type="paragraph" w:customStyle="1" w:styleId="2256">
    <w:name w:val="xl101"/>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pPr>
    <w:rPr>
      <w:rFonts w:ascii="華康中楷體" w:hAnsi="華康中楷體" w:eastAsia="華康中楷體" w:cs="華康中楷體"/>
      <w:kern w:val="0"/>
      <w:sz w:val="16"/>
      <w:szCs w:val="16"/>
    </w:rPr>
  </w:style>
  <w:style w:type="paragraph" w:customStyle="1" w:styleId="2257">
    <w:name w:val="一级无标题条"/>
    <w:basedOn w:val="1"/>
    <w:qFormat/>
    <w:uiPriority w:val="0"/>
    <w:pPr>
      <w:widowControl/>
      <w:spacing w:line="240" w:lineRule="auto"/>
      <w:jc w:val="left"/>
    </w:pPr>
    <w:rPr>
      <w:rFonts w:ascii="Times New Roman" w:hAnsi="Times New Roman" w:eastAsia="宋体" w:cs="Times New Roman"/>
      <w:szCs w:val="20"/>
    </w:rPr>
  </w:style>
  <w:style w:type="paragraph" w:customStyle="1" w:styleId="2258">
    <w:name w:val="列表 5I"/>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2259">
    <w:name w:val="样式 标题 3样式　标题 3　自动设置标题 3 Char章 + Times New 表题3"/>
    <w:basedOn w:val="8"/>
    <w:qFormat/>
    <w:uiPriority w:val="0"/>
    <w:pPr>
      <w:widowControl/>
      <w:numPr>
        <w:ilvl w:val="0"/>
        <w:numId w:val="0"/>
      </w:numPr>
      <w:tabs>
        <w:tab w:val="left" w:pos="3800"/>
        <w:tab w:val="left" w:pos="5200"/>
      </w:tabs>
      <w:autoSpaceDE w:val="0"/>
      <w:autoSpaceDN w:val="0"/>
      <w:adjustRightInd w:val="0"/>
      <w:snapToGrid w:val="0"/>
      <w:spacing w:beforeLines="50" w:afterLines="50" w:line="240" w:lineRule="auto"/>
      <w:ind w:left="-1523" w:firstLine="1523"/>
    </w:pPr>
    <w:rPr>
      <w:rFonts w:ascii="仿宋_GB2312" w:hAnsi="仿宋_GB2312" w:eastAsia="宋体" w:cs="Verdana"/>
      <w:sz w:val="28"/>
      <w:szCs w:val="28"/>
    </w:rPr>
  </w:style>
  <w:style w:type="paragraph" w:customStyle="1" w:styleId="2260">
    <w:name w:val="右侧"/>
    <w:qFormat/>
    <w:uiPriority w:val="0"/>
    <w:pPr>
      <w:spacing w:line="280" w:lineRule="exact"/>
      <w:jc w:val="right"/>
    </w:pPr>
    <w:rPr>
      <w:rFonts w:ascii="Times New Roman" w:hAnsi="Times New Roman" w:eastAsia="宋体" w:cs="仿宋_GB2312"/>
      <w:color w:val="000000"/>
      <w:sz w:val="18"/>
      <w:lang w:val="en-US" w:eastAsia="zh-CN" w:bidi="ar-SA"/>
    </w:rPr>
  </w:style>
  <w:style w:type="paragraph" w:customStyle="1" w:styleId="2261">
    <w:name w:val="!Texte courant"/>
    <w:qFormat/>
    <w:uiPriority w:val="0"/>
    <w:pPr>
      <w:spacing w:before="120" w:line="280" w:lineRule="atLeast"/>
      <w:jc w:val="both"/>
    </w:pPr>
    <w:rPr>
      <w:rFonts w:ascii="仿宋_GB2312" w:hAnsi="仿宋_GB2312" w:eastAsia="宋体" w:cs="仿宋_GB2312"/>
      <w:sz w:val="24"/>
      <w:lang w:val="fr-FR" w:eastAsia="en-US" w:bidi="ar-SA"/>
    </w:rPr>
  </w:style>
  <w:style w:type="paragraph" w:customStyle="1" w:styleId="2262">
    <w:name w:val="列表 4O"/>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2263">
    <w:name w:val="列表 2D"/>
    <w:basedOn w:val="38"/>
    <w:qFormat/>
    <w:uiPriority w:val="0"/>
    <w:pPr>
      <w:widowControl/>
      <w:tabs>
        <w:tab w:val="left" w:pos="885"/>
      </w:tabs>
      <w:adjustRightInd/>
      <w:spacing w:beforeLines="0" w:beforeAutospacing="1" w:after="100" w:afterAutospacing="1" w:line="288" w:lineRule="auto"/>
      <w:ind w:left="885" w:hanging="315"/>
      <w:jc w:val="left"/>
      <w:textAlignment w:val="auto"/>
    </w:pPr>
    <w:rPr>
      <w:rFonts w:ascii="Courier New" w:hAnsi="Courier New" w:cs="仿宋_GB2312"/>
      <w:color w:val="FFFF99"/>
      <w:kern w:val="2"/>
    </w:rPr>
  </w:style>
  <w:style w:type="paragraph" w:customStyle="1" w:styleId="2264">
    <w:name w:val="列表 2F"/>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265">
    <w:name w:val="封面"/>
    <w:qFormat/>
    <w:uiPriority w:val="0"/>
    <w:pPr>
      <w:spacing w:line="360" w:lineRule="auto"/>
      <w:jc w:val="center"/>
    </w:pPr>
    <w:rPr>
      <w:rFonts w:ascii="Verdana" w:hAnsi="Verdana" w:eastAsia="宋体" w:cs="仿宋_GB2312"/>
      <w:b/>
      <w:spacing w:val="-20"/>
      <w:sz w:val="36"/>
      <w:szCs w:val="36"/>
      <w:lang w:val="en-US" w:eastAsia="zh-CN" w:bidi="ar-SA"/>
    </w:rPr>
  </w:style>
  <w:style w:type="paragraph" w:customStyle="1" w:styleId="2266">
    <w:name w:val="列表 2E"/>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267">
    <w:name w:val="列表 5A"/>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2268">
    <w:name w:val="列表 3D"/>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2269">
    <w:name w:val="列表 4N"/>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2270">
    <w:name w:val="列表 3A"/>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2271">
    <w:name w:val="列表 3K"/>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2272">
    <w:name w:val="列表 3N"/>
    <w:basedOn w:val="15"/>
    <w:qFormat/>
    <w:uiPriority w:val="0"/>
    <w:pPr>
      <w:tabs>
        <w:tab w:val="left" w:pos="907"/>
      </w:tabs>
      <w:adjustRightInd/>
      <w:spacing w:beforeLines="0" w:line="288" w:lineRule="auto"/>
      <w:ind w:left="907" w:hanging="567"/>
      <w:jc w:val="left"/>
      <w:textAlignment w:val="auto"/>
    </w:pPr>
    <w:rPr>
      <w:rFonts w:ascii="Courier New" w:hAnsi="Courier New" w:cs="仿宋_GB2312"/>
      <w:color w:val="CCFFCC"/>
      <w:kern w:val="2"/>
    </w:rPr>
  </w:style>
  <w:style w:type="paragraph" w:customStyle="1" w:styleId="2273">
    <w:name w:val="列表 4Q"/>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2274">
    <w:name w:val="列表 4V"/>
    <w:basedOn w:val="81"/>
    <w:qFormat/>
    <w:uiPriority w:val="0"/>
    <w:pPr>
      <w:widowControl/>
      <w:tabs>
        <w:tab w:val="left" w:pos="1021"/>
      </w:tabs>
      <w:adjustRightInd/>
      <w:spacing w:afterLines="30" w:line="288" w:lineRule="auto"/>
      <w:ind w:left="1021" w:hanging="454"/>
      <w:jc w:val="left"/>
      <w:textAlignment w:val="auto"/>
    </w:pPr>
    <w:rPr>
      <w:rFonts w:ascii="Courier New" w:hAnsi="Courier New" w:cs="仿宋_GB2312"/>
      <w:color w:val="CCFFFF"/>
      <w:kern w:val="2"/>
    </w:rPr>
  </w:style>
  <w:style w:type="paragraph" w:customStyle="1" w:styleId="2275">
    <w:name w:val="列表 G"/>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2276">
    <w:name w:val="列表 2W"/>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277">
    <w:name w:val="列表 5N"/>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2278">
    <w:name w:val="列表 5P"/>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2279">
    <w:name w:val="列表 5S"/>
    <w:basedOn w:val="73"/>
    <w:qFormat/>
    <w:uiPriority w:val="0"/>
    <w:pPr>
      <w:tabs>
        <w:tab w:val="left" w:pos="1134"/>
      </w:tabs>
      <w:adjustRightInd/>
      <w:spacing w:beforeLines="0" w:line="240" w:lineRule="auto"/>
      <w:ind w:left="1134" w:hanging="425"/>
      <w:jc w:val="left"/>
      <w:textAlignment w:val="auto"/>
    </w:pPr>
    <w:rPr>
      <w:rFonts w:ascii="Courier New" w:hAnsi="Courier New" w:cs="仿宋_GB2312"/>
      <w:color w:val="99CCFF"/>
      <w:kern w:val="2"/>
    </w:rPr>
  </w:style>
  <w:style w:type="paragraph" w:customStyle="1" w:styleId="2280">
    <w:name w:val="小五表文"/>
    <w:qFormat/>
    <w:uiPriority w:val="0"/>
    <w:pPr>
      <w:spacing w:beforeLines="50"/>
      <w:ind w:firstLine="3304" w:firstLineChars="1180"/>
    </w:pPr>
    <w:rPr>
      <w:rFonts w:ascii="仿宋_GB2312" w:hAnsi="仿宋_GB2312" w:eastAsia="楷体" w:cs="仿宋_GB2312"/>
      <w:bCs/>
      <w:spacing w:val="20"/>
      <w:sz w:val="24"/>
      <w:lang w:val="en-US" w:eastAsia="zh-CN" w:bidi="ar-SA"/>
    </w:rPr>
  </w:style>
  <w:style w:type="paragraph" w:customStyle="1" w:styleId="2281">
    <w:name w:val="列表D"/>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2282">
    <w:name w:val="正文表标题"/>
    <w:next w:val="9"/>
    <w:qFormat/>
    <w:uiPriority w:val="0"/>
    <w:pPr>
      <w:tabs>
        <w:tab w:val="left" w:pos="390"/>
      </w:tabs>
      <w:ind w:left="390" w:hanging="390"/>
      <w:jc w:val="center"/>
    </w:pPr>
    <w:rPr>
      <w:rFonts w:ascii="楷体" w:hAnsi="仿宋_GB2312" w:eastAsia="楷体" w:cs="仿宋_GB2312"/>
      <w:sz w:val="21"/>
      <w:lang w:val="en-US" w:eastAsia="zh-CN" w:bidi="ar-SA"/>
    </w:rPr>
  </w:style>
  <w:style w:type="paragraph" w:customStyle="1" w:styleId="2283">
    <w:name w:val="列表 H"/>
    <w:basedOn w:val="70"/>
    <w:qFormat/>
    <w:uiPriority w:val="0"/>
    <w:pPr>
      <w:widowControl/>
      <w:tabs>
        <w:tab w:val="left" w:pos="425"/>
      </w:tabs>
      <w:adjustRightInd/>
      <w:spacing w:beforeLines="100" w:afterLines="50" w:line="288" w:lineRule="auto"/>
      <w:ind w:left="425" w:hanging="425"/>
      <w:jc w:val="left"/>
      <w:textAlignment w:val="auto"/>
    </w:pPr>
    <w:rPr>
      <w:rFonts w:ascii="Courier New" w:hAnsi="Courier New" w:cs="仿宋_GB2312"/>
      <w:b/>
      <w:bCs/>
      <w:color w:val="FF99CC"/>
      <w:kern w:val="2"/>
    </w:rPr>
  </w:style>
  <w:style w:type="paragraph" w:customStyle="1" w:styleId="2284">
    <w:name w:val="列表 2Z"/>
    <w:basedOn w:val="38"/>
    <w:qFormat/>
    <w:uiPriority w:val="0"/>
    <w:pPr>
      <w:widowControl/>
      <w:tabs>
        <w:tab w:val="left" w:pos="737"/>
      </w:tabs>
      <w:adjustRightInd/>
      <w:spacing w:beforeLines="0" w:beforeAutospacing="1" w:after="100" w:afterAutospacing="1" w:line="288" w:lineRule="auto"/>
      <w:ind w:left="737" w:hanging="567"/>
      <w:jc w:val="left"/>
      <w:textAlignment w:val="auto"/>
    </w:pPr>
    <w:rPr>
      <w:rFonts w:ascii="Courier New" w:hAnsi="Courier New" w:cs="仿宋_GB2312"/>
      <w:color w:val="FFFF99"/>
      <w:kern w:val="2"/>
    </w:rPr>
  </w:style>
  <w:style w:type="paragraph" w:customStyle="1" w:styleId="2285">
    <w:name w:val="样式 标题 2节标题1.1标题 2节Char节标题 1.1节标题 1.1 Char Char节标题 1.1 Cha...1"/>
    <w:basedOn w:val="7"/>
    <w:qFormat/>
    <w:uiPriority w:val="0"/>
    <w:pPr>
      <w:keepLines w:val="0"/>
      <w:widowControl/>
      <w:numPr>
        <w:ilvl w:val="0"/>
        <w:numId w:val="0"/>
      </w:numPr>
      <w:spacing w:beforeLines="50" w:after="0" w:line="360" w:lineRule="auto"/>
      <w:jc w:val="both"/>
    </w:pPr>
    <w:rPr>
      <w:rFonts w:ascii="Calibri" w:hAnsi="Calibri" w:eastAsia="楷体" w:cs="宋体"/>
      <w:color w:val="0000FF"/>
      <w:szCs w:val="20"/>
    </w:rPr>
  </w:style>
  <w:style w:type="paragraph" w:customStyle="1" w:styleId="2286">
    <w:name w:val="公司名"/>
    <w:basedOn w:val="1"/>
    <w:qFormat/>
    <w:uiPriority w:val="0"/>
    <w:pPr>
      <w:keepNext/>
      <w:keepLines/>
      <w:widowControl/>
      <w:spacing w:beforeLines="50" w:afterLines="50" w:line="320" w:lineRule="atLeast"/>
      <w:jc w:val="center"/>
    </w:pPr>
    <w:rPr>
      <w:rFonts w:ascii="Courier New" w:hAnsi="Courier New" w:eastAsia="经典叠圆体简" w:cs="仿宋_GB2312"/>
      <w:b/>
      <w:bCs/>
      <w:color w:val="CCFFCC"/>
      <w:kern w:val="28"/>
      <w:sz w:val="32"/>
      <w:szCs w:val="20"/>
      <w:lang w:bidi="he-IL"/>
    </w:rPr>
  </w:style>
  <w:style w:type="paragraph" w:customStyle="1" w:styleId="2287">
    <w:name w:val="尾消息标题"/>
    <w:basedOn w:val="1"/>
    <w:next w:val="4"/>
    <w:qFormat/>
    <w:uiPriority w:val="0"/>
    <w:pPr>
      <w:widowControl/>
      <w:pBdr>
        <w:bottom w:val="single" w:color="auto" w:sz="6" w:space="19"/>
        <w:between w:val="single" w:color="auto" w:sz="6" w:space="19"/>
      </w:pBdr>
      <w:tabs>
        <w:tab w:val="left" w:pos="1260"/>
        <w:tab w:val="left" w:pos="2940"/>
      </w:tabs>
      <w:spacing w:line="240" w:lineRule="atLeast"/>
      <w:jc w:val="left"/>
    </w:pPr>
    <w:rPr>
      <w:rFonts w:ascii="仿宋_GB2312" w:hAnsi="仿宋_GB2312" w:eastAsia="宋体" w:cs="仿宋_GB2312"/>
      <w:kern w:val="0"/>
      <w:sz w:val="18"/>
      <w:szCs w:val="18"/>
    </w:rPr>
  </w:style>
  <w:style w:type="paragraph" w:customStyle="1" w:styleId="2288">
    <w:name w:val="依据文字"/>
    <w:basedOn w:val="2"/>
    <w:qFormat/>
    <w:uiPriority w:val="0"/>
    <w:pPr>
      <w:widowControl/>
      <w:tabs>
        <w:tab w:val="left" w:pos="420"/>
        <w:tab w:val="left" w:pos="870"/>
        <w:tab w:val="left" w:pos="3150"/>
      </w:tabs>
      <w:autoSpaceDE w:val="0"/>
      <w:autoSpaceDN w:val="0"/>
      <w:adjustRightInd w:val="0"/>
      <w:snapToGrid w:val="0"/>
      <w:spacing w:before="60" w:line="336" w:lineRule="auto"/>
      <w:ind w:left="0" w:leftChars="0" w:firstLine="527" w:firstLineChars="0"/>
      <w:jc w:val="left"/>
      <w:textAlignment w:val="baseline"/>
    </w:pPr>
    <w:rPr>
      <w:rFonts w:ascii="Verdana" w:hAnsi="仿宋_GB2312"/>
      <w:color w:val="0000FF"/>
      <w:szCs w:val="20"/>
    </w:rPr>
  </w:style>
  <w:style w:type="paragraph" w:customStyle="1" w:styleId="2289">
    <w:name w:val="Char1 Char Char Char1 Char Char Char Char Char Char Char Char Char Char Char Char"/>
    <w:basedOn w:val="1"/>
    <w:qFormat/>
    <w:uiPriority w:val="0"/>
    <w:pPr>
      <w:widowControl/>
      <w:spacing w:line="240" w:lineRule="auto"/>
      <w:jc w:val="left"/>
    </w:pPr>
    <w:rPr>
      <w:rFonts w:ascii="仿宋_GB2312" w:hAnsi="仿宋_GB2312" w:eastAsia="宋体" w:cs="仿宋_GB2312"/>
      <w:sz w:val="24"/>
      <w:szCs w:val="24"/>
    </w:rPr>
  </w:style>
  <w:style w:type="paragraph" w:customStyle="1" w:styleId="2290">
    <w:name w:val="附录1"/>
    <w:basedOn w:val="6"/>
    <w:next w:val="1"/>
    <w:qFormat/>
    <w:uiPriority w:val="0"/>
    <w:pPr>
      <w:widowControl/>
      <w:numPr>
        <w:numId w:val="0"/>
      </w:numPr>
      <w:tabs>
        <w:tab w:val="left" w:pos="720"/>
      </w:tabs>
      <w:spacing w:before="0" w:after="220" w:line="360" w:lineRule="auto"/>
      <w:ind w:left="680" w:hanging="680"/>
    </w:pPr>
    <w:rPr>
      <w:rFonts w:ascii="仿宋_GB2312" w:hAnsi="仿宋_GB2312" w:eastAsia="宋体" w:cs="仿宋_GB2312"/>
      <w:bCs w:val="0"/>
      <w:spacing w:val="-10"/>
      <w:kern w:val="28"/>
      <w:sz w:val="30"/>
      <w:szCs w:val="20"/>
    </w:rPr>
  </w:style>
  <w:style w:type="paragraph" w:customStyle="1" w:styleId="2291">
    <w:name w:val="表内"/>
    <w:basedOn w:val="1"/>
    <w:next w:val="1"/>
    <w:qFormat/>
    <w:uiPriority w:val="0"/>
    <w:pPr>
      <w:widowControl/>
      <w:adjustRightInd w:val="0"/>
      <w:snapToGrid w:val="0"/>
      <w:spacing w:before="120" w:after="120" w:line="288" w:lineRule="auto"/>
      <w:jc w:val="center"/>
    </w:pPr>
    <w:rPr>
      <w:rFonts w:ascii="仿宋_GB2312" w:hAnsi="仿宋_GB2312" w:eastAsia="宋体" w:cs="仿宋_GB2312"/>
      <w:szCs w:val="20"/>
    </w:rPr>
  </w:style>
  <w:style w:type="paragraph" w:customStyle="1" w:styleId="2292">
    <w:name w:val="Char Char Char Char Char Char Char Char Char Char Char Char Char1"/>
    <w:basedOn w:val="1"/>
    <w:next w:val="5"/>
    <w:qFormat/>
    <w:uiPriority w:val="0"/>
    <w:pPr>
      <w:widowControl/>
      <w:spacing w:line="240" w:lineRule="auto"/>
      <w:jc w:val="left"/>
    </w:pPr>
    <w:rPr>
      <w:rFonts w:ascii="仿宋_GB2312" w:hAnsi="仿宋_GB2312" w:eastAsia="宋体" w:cs="仿宋_GB2312"/>
      <w:sz w:val="28"/>
      <w:szCs w:val="28"/>
    </w:rPr>
  </w:style>
  <w:style w:type="paragraph" w:customStyle="1" w:styleId="2293">
    <w:name w:val="标题 3  cg"/>
    <w:basedOn w:val="8"/>
    <w:qFormat/>
    <w:uiPriority w:val="0"/>
    <w:pPr>
      <w:widowControl/>
      <w:numPr>
        <w:ilvl w:val="0"/>
        <w:numId w:val="0"/>
      </w:numPr>
      <w:spacing w:before="0" w:after="0" w:line="360" w:lineRule="auto"/>
      <w:textAlignment w:val="baseline"/>
    </w:pPr>
    <w:rPr>
      <w:rFonts w:eastAsia="宋体" w:cs="Times New Roman"/>
      <w:color w:val="0000FF"/>
      <w:szCs w:val="24"/>
    </w:rPr>
  </w:style>
  <w:style w:type="paragraph" w:customStyle="1" w:styleId="2294">
    <w:name w:val="表格内容格式"/>
    <w:basedOn w:val="1"/>
    <w:qFormat/>
    <w:uiPriority w:val="0"/>
    <w:pPr>
      <w:widowControl/>
      <w:adjustRightInd w:val="0"/>
      <w:snapToGrid w:val="0"/>
      <w:spacing w:line="240" w:lineRule="auto"/>
      <w:jc w:val="center"/>
      <w:textAlignment w:val="baseline"/>
    </w:pPr>
    <w:rPr>
      <w:rFonts w:ascii="Verdana" w:hAnsi="Verdana" w:eastAsia="宋体" w:cs="仿宋_GB2312"/>
      <w:kern w:val="0"/>
      <w:szCs w:val="20"/>
    </w:rPr>
  </w:style>
  <w:style w:type="paragraph" w:customStyle="1" w:styleId="2295">
    <w:name w:val="样式 目录 2 + 左侧:  2 字符 首行缩进:  2 字符"/>
    <w:basedOn w:val="78"/>
    <w:qFormat/>
    <w:uiPriority w:val="0"/>
    <w:pPr>
      <w:widowControl/>
      <w:tabs>
        <w:tab w:val="right" w:leader="dot" w:pos="8296"/>
        <w:tab w:val="right" w:leader="dot" w:pos="9060"/>
      </w:tabs>
      <w:snapToGrid w:val="0"/>
      <w:spacing w:after="40"/>
      <w:ind w:left="420" w:firstLine="476"/>
    </w:pPr>
    <w:rPr>
      <w:rFonts w:ascii="仿宋_GB2312" w:hAnsi="仿宋_GB2312" w:eastAsia="楷体" w:cs="Verdana"/>
      <w:spacing w:val="20"/>
      <w:sz w:val="24"/>
    </w:rPr>
  </w:style>
  <w:style w:type="paragraph" w:customStyle="1" w:styleId="2296">
    <w:name w:val="In Table (II)"/>
    <w:basedOn w:val="1847"/>
    <w:qFormat/>
    <w:uiPriority w:val="0"/>
    <w:pPr>
      <w:spacing w:beforeLines="25" w:afterLines="25"/>
      <w:ind w:left="52" w:leftChars="20"/>
      <w:jc w:val="left"/>
    </w:pPr>
  </w:style>
  <w:style w:type="paragraph" w:customStyle="1" w:styleId="2297">
    <w:name w:val="正文文本缩进 311"/>
    <w:basedOn w:val="1"/>
    <w:qFormat/>
    <w:uiPriority w:val="0"/>
    <w:pPr>
      <w:widowControl/>
      <w:adjustRightInd w:val="0"/>
      <w:spacing w:line="360" w:lineRule="atLeast"/>
      <w:ind w:firstLine="480"/>
      <w:jc w:val="left"/>
      <w:textAlignment w:val="baseline"/>
    </w:pPr>
    <w:rPr>
      <w:rFonts w:ascii="Verdana" w:hAnsi="仿宋_GB2312" w:eastAsia="宋体" w:cs="仿宋_GB2312"/>
      <w:kern w:val="0"/>
      <w:sz w:val="24"/>
      <w:szCs w:val="20"/>
    </w:rPr>
  </w:style>
  <w:style w:type="paragraph" w:customStyle="1" w:styleId="2298">
    <w:name w:val="样式 标题 31.1.1条标题 3 Char Char标题 3 Char标3§1.1.1.. (1.1.1)- ...1"/>
    <w:basedOn w:val="1"/>
    <w:qFormat/>
    <w:uiPriority w:val="0"/>
    <w:pPr>
      <w:widowControl/>
      <w:tabs>
        <w:tab w:val="left" w:pos="0"/>
      </w:tabs>
      <w:spacing w:line="312" w:lineRule="auto"/>
      <w:jc w:val="left"/>
    </w:pPr>
    <w:rPr>
      <w:rFonts w:ascii="Times New Roman" w:hAnsi="Times New Roman" w:eastAsia="宋体" w:cs="Times New Roman"/>
      <w:sz w:val="24"/>
      <w:szCs w:val="20"/>
    </w:rPr>
  </w:style>
  <w:style w:type="paragraph" w:customStyle="1" w:styleId="2299">
    <w:name w:val="正文单倍行距"/>
    <w:basedOn w:val="1"/>
    <w:qFormat/>
    <w:uiPriority w:val="0"/>
    <w:pPr>
      <w:widowControl/>
      <w:tabs>
        <w:tab w:val="left" w:pos="8640"/>
      </w:tabs>
      <w:snapToGrid w:val="0"/>
      <w:spacing w:line="240" w:lineRule="auto"/>
      <w:ind w:firstLine="200" w:firstLineChars="200"/>
      <w:jc w:val="left"/>
    </w:pPr>
    <w:rPr>
      <w:rFonts w:ascii="仿宋_GB2312" w:hAnsi="仿宋_GB2312" w:eastAsia="Times New Roman" w:cs="仿宋_GB2312"/>
      <w:sz w:val="24"/>
      <w:szCs w:val="24"/>
    </w:rPr>
  </w:style>
  <w:style w:type="paragraph" w:customStyle="1" w:styleId="2300">
    <w:name w:val="表格文本"/>
    <w:basedOn w:val="1"/>
    <w:next w:val="1"/>
    <w:qFormat/>
    <w:uiPriority w:val="0"/>
    <w:pPr>
      <w:widowControl/>
      <w:spacing w:line="240" w:lineRule="exact"/>
      <w:jc w:val="left"/>
    </w:pPr>
    <w:rPr>
      <w:rFonts w:ascii="仿宋_GB2312" w:hAnsi="仿宋_GB2312" w:eastAsia="宋体" w:cs="仿宋_GB2312"/>
      <w:szCs w:val="20"/>
    </w:rPr>
  </w:style>
  <w:style w:type="paragraph" w:customStyle="1" w:styleId="2301">
    <w:name w:val="框图内容"/>
    <w:basedOn w:val="1"/>
    <w:qFormat/>
    <w:uiPriority w:val="0"/>
    <w:pPr>
      <w:widowControl/>
      <w:spacing w:line="240" w:lineRule="auto"/>
      <w:jc w:val="center"/>
    </w:pPr>
    <w:rPr>
      <w:rFonts w:ascii="Verdana" w:hAnsi="仿宋_GB2312" w:eastAsia="宋体" w:cs="仿宋_GB2312"/>
      <w:szCs w:val="24"/>
      <w:lang w:val="en-GB"/>
    </w:rPr>
  </w:style>
  <w:style w:type="paragraph" w:customStyle="1" w:styleId="2302">
    <w:name w:val="列项·"/>
    <w:qFormat/>
    <w:uiPriority w:val="0"/>
    <w:pPr>
      <w:tabs>
        <w:tab w:val="left" w:pos="360"/>
        <w:tab w:val="left" w:pos="840"/>
      </w:tabs>
      <w:ind w:left="840" w:leftChars="200" w:hanging="420" w:hangingChars="200"/>
      <w:jc w:val="both"/>
    </w:pPr>
    <w:rPr>
      <w:rFonts w:ascii="Verdana" w:hAnsi="仿宋_GB2312" w:eastAsia="宋体" w:cs="仿宋_GB2312"/>
      <w:sz w:val="21"/>
      <w:lang w:val="en-US" w:eastAsia="zh-CN" w:bidi="ar-SA"/>
    </w:rPr>
  </w:style>
  <w:style w:type="paragraph" w:customStyle="1" w:styleId="2303">
    <w:name w:val="正文图小四"/>
    <w:basedOn w:val="1"/>
    <w:qFormat/>
    <w:uiPriority w:val="0"/>
    <w:pPr>
      <w:widowControl/>
      <w:adjustRightInd w:val="0"/>
      <w:snapToGrid w:val="0"/>
      <w:spacing w:line="240" w:lineRule="auto"/>
      <w:jc w:val="center"/>
      <w:textAlignment w:val="baseline"/>
    </w:pPr>
    <w:rPr>
      <w:rFonts w:ascii="Verdana" w:hAnsi="仿宋_GB2312" w:eastAsia="宋体" w:cs="仿宋_GB2312"/>
      <w:kern w:val="0"/>
      <w:sz w:val="24"/>
      <w:szCs w:val="24"/>
    </w:rPr>
  </w:style>
  <w:style w:type="paragraph" w:customStyle="1" w:styleId="2304">
    <w:name w:val="正文文本 211"/>
    <w:basedOn w:val="1"/>
    <w:qFormat/>
    <w:uiPriority w:val="0"/>
    <w:pPr>
      <w:widowControl/>
      <w:adjustRightInd w:val="0"/>
      <w:spacing w:line="240" w:lineRule="auto"/>
      <w:ind w:left="425"/>
      <w:jc w:val="left"/>
      <w:textAlignment w:val="baseline"/>
    </w:pPr>
    <w:rPr>
      <w:rFonts w:ascii="Verdana" w:hAnsi="仿宋_GB2312" w:eastAsia="宋体" w:cs="仿宋_GB2312"/>
      <w:kern w:val="0"/>
      <w:sz w:val="24"/>
      <w:szCs w:val="20"/>
    </w:rPr>
  </w:style>
  <w:style w:type="paragraph" w:customStyle="1" w:styleId="2305">
    <w:name w:val="表－居中列"/>
    <w:basedOn w:val="1"/>
    <w:qFormat/>
    <w:uiPriority w:val="0"/>
    <w:pPr>
      <w:widowControl/>
      <w:suppressLineNumbers/>
      <w:suppressAutoHyphens/>
      <w:snapToGrid w:val="0"/>
      <w:spacing w:before="60" w:after="60" w:line="240" w:lineRule="auto"/>
      <w:jc w:val="center"/>
    </w:pPr>
    <w:rPr>
      <w:rFonts w:ascii="Times New Roman" w:hAnsi="Times New Roman" w:eastAsia="宋体" w:cs="Times New Roman"/>
      <w:kern w:val="0"/>
      <w:szCs w:val="20"/>
      <w:lang w:eastAsia="ja-JP"/>
    </w:rPr>
  </w:style>
  <w:style w:type="paragraph" w:customStyle="1" w:styleId="2306">
    <w:name w:val="文-5"/>
    <w:basedOn w:val="1"/>
    <w:qFormat/>
    <w:uiPriority w:val="0"/>
    <w:pPr>
      <w:widowControl/>
      <w:tabs>
        <w:tab w:val="right" w:leader="dot" w:pos="8789"/>
      </w:tabs>
      <w:spacing w:before="120" w:line="240" w:lineRule="auto"/>
      <w:ind w:left="1276" w:firstLine="482"/>
      <w:jc w:val="left"/>
    </w:pPr>
    <w:rPr>
      <w:rFonts w:ascii="仿宋_GB2312" w:hAnsi="仿宋_GB2312" w:eastAsia="宋体" w:cs="仿宋_GB2312"/>
      <w:sz w:val="24"/>
      <w:szCs w:val="20"/>
    </w:rPr>
  </w:style>
  <w:style w:type="paragraph" w:customStyle="1" w:styleId="2307">
    <w:name w:val="表、图名宋旭峰"/>
    <w:basedOn w:val="210"/>
    <w:qFormat/>
    <w:uiPriority w:val="0"/>
    <w:pPr>
      <w:widowControl w:val="0"/>
      <w:spacing w:line="360" w:lineRule="auto"/>
      <w:ind w:firstLine="0"/>
    </w:pPr>
    <w:rPr>
      <w:rFonts w:ascii="楷体" w:hAnsi="Verdana" w:eastAsia="楷体" w:cs="仿宋_GB2312"/>
      <w:b w:val="0"/>
      <w:bCs w:val="0"/>
      <w:kern w:val="0"/>
    </w:rPr>
  </w:style>
  <w:style w:type="paragraph" w:customStyle="1" w:styleId="2308">
    <w:name w:val="kk"/>
    <w:basedOn w:val="4"/>
    <w:qFormat/>
    <w:uiPriority w:val="0"/>
    <w:pPr>
      <w:widowControl/>
      <w:autoSpaceDE w:val="0"/>
      <w:autoSpaceDN w:val="0"/>
      <w:adjustRightInd w:val="0"/>
      <w:spacing w:after="0"/>
      <w:jc w:val="left"/>
      <w:textAlignment w:val="baseline"/>
    </w:pPr>
    <w:rPr>
      <w:rFonts w:ascii="仿宋_GB2312" w:hAnsi="仿宋_GB2312" w:eastAsia="宋体" w:cs="仿宋_GB2312"/>
      <w:spacing w:val="10"/>
      <w:kern w:val="0"/>
      <w:sz w:val="24"/>
      <w:szCs w:val="20"/>
    </w:rPr>
  </w:style>
  <w:style w:type="paragraph" w:customStyle="1" w:styleId="2309">
    <w:name w:val="框图文字1"/>
    <w:basedOn w:val="1"/>
    <w:qFormat/>
    <w:uiPriority w:val="0"/>
    <w:pPr>
      <w:widowControl/>
      <w:adjustRightInd w:val="0"/>
      <w:snapToGrid w:val="0"/>
      <w:spacing w:beforeLines="25" w:line="240" w:lineRule="auto"/>
      <w:jc w:val="center"/>
    </w:pPr>
    <w:rPr>
      <w:rFonts w:ascii="仿宋_GB2312" w:hAnsi="仿宋_GB2312" w:eastAsia="宋体" w:cs="仿宋_GB2312"/>
      <w:sz w:val="18"/>
      <w:szCs w:val="24"/>
    </w:rPr>
  </w:style>
  <w:style w:type="paragraph" w:customStyle="1" w:styleId="2310">
    <w:name w:val="acee正文"/>
    <w:basedOn w:val="1"/>
    <w:qFormat/>
    <w:uiPriority w:val="0"/>
    <w:pPr>
      <w:widowControl/>
      <w:adjustRightInd w:val="0"/>
      <w:snapToGrid w:val="0"/>
      <w:spacing w:line="480" w:lineRule="exact"/>
      <w:ind w:firstLine="640" w:firstLineChars="200"/>
      <w:jc w:val="left"/>
    </w:pPr>
    <w:rPr>
      <w:rFonts w:ascii="??" w:hAnsi="Verdana" w:eastAsia="Times New Roman" w:cs="仿宋_GB2312"/>
      <w:sz w:val="32"/>
      <w:szCs w:val="24"/>
    </w:rPr>
  </w:style>
  <w:style w:type="paragraph" w:customStyle="1" w:styleId="2311">
    <w:name w:val="正文（缩进）"/>
    <w:basedOn w:val="1"/>
    <w:qFormat/>
    <w:uiPriority w:val="0"/>
    <w:pPr>
      <w:widowControl/>
      <w:adjustRightInd w:val="0"/>
      <w:snapToGrid w:val="0"/>
      <w:ind w:firstLine="200" w:firstLineChars="200"/>
      <w:jc w:val="left"/>
    </w:pPr>
    <w:rPr>
      <w:rFonts w:ascii="仿宋_GB2312" w:hAnsi="仿宋_GB2312" w:eastAsia="宋体" w:cs="仿宋_GB2312"/>
      <w:kern w:val="0"/>
      <w:sz w:val="24"/>
      <w:szCs w:val="24"/>
    </w:rPr>
  </w:style>
  <w:style w:type="paragraph" w:customStyle="1" w:styleId="2312">
    <w:name w:val="正文图"/>
    <w:basedOn w:val="1"/>
    <w:qFormat/>
    <w:uiPriority w:val="0"/>
    <w:pPr>
      <w:widowControl/>
      <w:adjustRightInd w:val="0"/>
      <w:snapToGrid w:val="0"/>
      <w:spacing w:before="40" w:line="240" w:lineRule="auto"/>
      <w:jc w:val="center"/>
      <w:textAlignment w:val="baseline"/>
    </w:pPr>
    <w:rPr>
      <w:rFonts w:ascii="Verdana" w:hAnsi="仿宋_GB2312" w:eastAsia="宋体" w:cs="仿宋_GB2312"/>
      <w:kern w:val="0"/>
      <w:sz w:val="24"/>
      <w:szCs w:val="20"/>
    </w:rPr>
  </w:style>
  <w:style w:type="paragraph" w:customStyle="1" w:styleId="2313">
    <w:name w:val="ourfont3"/>
    <w:basedOn w:val="1"/>
    <w:qFormat/>
    <w:uiPriority w:val="0"/>
    <w:pPr>
      <w:widowControl/>
      <w:spacing w:before="100" w:beforeAutospacing="1" w:after="100" w:afterAutospacing="1" w:line="240" w:lineRule="auto"/>
      <w:jc w:val="left"/>
    </w:pPr>
    <w:rPr>
      <w:rFonts w:ascii="Verdana" w:hAnsi="Verdana" w:eastAsia="宋体" w:cs="Verdana"/>
      <w:kern w:val="0"/>
      <w:sz w:val="24"/>
      <w:szCs w:val="24"/>
    </w:rPr>
  </w:style>
  <w:style w:type="paragraph" w:customStyle="1" w:styleId="2314">
    <w:name w:val="Char1 Char Char Char1 Char Char Char"/>
    <w:basedOn w:val="1"/>
    <w:qFormat/>
    <w:uiPriority w:val="0"/>
    <w:pPr>
      <w:widowControl/>
      <w:spacing w:line="240" w:lineRule="auto"/>
      <w:jc w:val="left"/>
    </w:pPr>
    <w:rPr>
      <w:rFonts w:ascii="仿宋_GB2312" w:hAnsi="仿宋_GB2312" w:eastAsia="宋体" w:cs="仿宋_GB2312"/>
      <w:sz w:val="24"/>
      <w:szCs w:val="24"/>
    </w:rPr>
  </w:style>
  <w:style w:type="paragraph" w:customStyle="1" w:styleId="2315">
    <w:name w:val="定表"/>
    <w:basedOn w:val="1"/>
    <w:qFormat/>
    <w:uiPriority w:val="0"/>
    <w:pPr>
      <w:widowControl/>
      <w:snapToGrid w:val="0"/>
      <w:spacing w:afterLines="50" w:line="240" w:lineRule="auto"/>
      <w:jc w:val="left"/>
    </w:pPr>
    <w:rPr>
      <w:rFonts w:ascii="黑体" w:hAnsi="黑体" w:eastAsia="宋体" w:cs="黑体"/>
      <w:szCs w:val="24"/>
    </w:rPr>
  </w:style>
  <w:style w:type="paragraph" w:customStyle="1" w:styleId="2316">
    <w:name w:val="样式 纯文本 + (西文) Times New Roman (中文) 楷体_GB2312 四号 行距: 固定值 25 磅"/>
    <w:basedOn w:val="46"/>
    <w:qFormat/>
    <w:uiPriority w:val="0"/>
    <w:pPr>
      <w:widowControl/>
      <w:snapToGrid w:val="0"/>
      <w:spacing w:line="500" w:lineRule="exact"/>
      <w:ind w:firstLine="555"/>
      <w:jc w:val="left"/>
    </w:pPr>
    <w:rPr>
      <w:rFonts w:ascii="仿宋_GB2312" w:hAnsi="仿宋_GB2312" w:eastAsia="经典叠圆体简" w:cs="Verdana"/>
      <w:sz w:val="28"/>
    </w:rPr>
  </w:style>
  <w:style w:type="paragraph" w:customStyle="1" w:styleId="2317">
    <w:name w:val="样式 标题 3 + 左侧:  0 厘米 悬挂缩进: 7.2 字符 段前: 4.65 磅 段后: 6 磅 行距: 固定值 ..."/>
    <w:basedOn w:val="8"/>
    <w:qFormat/>
    <w:uiPriority w:val="0"/>
    <w:pPr>
      <w:widowControl/>
      <w:numPr>
        <w:ilvl w:val="0"/>
        <w:numId w:val="0"/>
      </w:numPr>
      <w:spacing w:before="93" w:after="120" w:line="440" w:lineRule="exact"/>
      <w:ind w:left="720" w:hanging="720"/>
    </w:pPr>
    <w:rPr>
      <w:rFonts w:eastAsia="黑体" w:cs="Times New Roman"/>
      <w:b w:val="0"/>
      <w:bCs w:val="0"/>
      <w:sz w:val="26"/>
      <w:szCs w:val="20"/>
    </w:rPr>
  </w:style>
  <w:style w:type="paragraph" w:customStyle="1" w:styleId="2318">
    <w:name w:val="样式 正文(首行缩进) + 8 磅 加粗 首行缩进:  2 字符"/>
    <w:basedOn w:val="1"/>
    <w:qFormat/>
    <w:uiPriority w:val="0"/>
    <w:pPr>
      <w:widowControl/>
      <w:adjustRightInd w:val="0"/>
      <w:snapToGrid w:val="0"/>
      <w:spacing w:line="240" w:lineRule="auto"/>
      <w:ind w:firstLine="200" w:firstLineChars="200"/>
      <w:jc w:val="left"/>
    </w:pPr>
    <w:rPr>
      <w:rFonts w:ascii="仿宋_GB2312" w:hAnsi="仿宋_GB2312" w:eastAsia="宋体" w:cs="Verdana"/>
      <w:b/>
      <w:bCs/>
      <w:kern w:val="0"/>
      <w:sz w:val="16"/>
      <w:szCs w:val="20"/>
    </w:rPr>
  </w:style>
  <w:style w:type="paragraph" w:customStyle="1" w:styleId="2319">
    <w:name w:val="wenzi"/>
    <w:basedOn w:val="1"/>
    <w:qFormat/>
    <w:uiPriority w:val="0"/>
    <w:pPr>
      <w:widowControl/>
      <w:spacing w:before="100" w:beforeAutospacing="1" w:after="100" w:afterAutospacing="1" w:line="360" w:lineRule="atLeast"/>
      <w:jc w:val="left"/>
    </w:pPr>
    <w:rPr>
      <w:rFonts w:ascii="Verdana" w:hAnsi="Verdana" w:eastAsia="宋体" w:cs="仿宋_GB2312"/>
      <w:color w:val="000000"/>
      <w:kern w:val="0"/>
      <w:sz w:val="18"/>
      <w:szCs w:val="18"/>
    </w:rPr>
  </w:style>
  <w:style w:type="paragraph" w:customStyle="1" w:styleId="2320">
    <w:name w:val="样式 标题 3标题3小标题1.1.1标题 3Char1 Char1Char1 Char CharChar1 Cha...1"/>
    <w:basedOn w:val="8"/>
    <w:qFormat/>
    <w:uiPriority w:val="0"/>
    <w:pPr>
      <w:widowControl/>
      <w:numPr>
        <w:ilvl w:val="0"/>
        <w:numId w:val="0"/>
      </w:numPr>
      <w:autoSpaceDE w:val="0"/>
      <w:autoSpaceDN w:val="0"/>
      <w:adjustRightInd w:val="0"/>
      <w:spacing w:before="0" w:after="0" w:line="360" w:lineRule="auto"/>
      <w:textAlignment w:val="baseline"/>
    </w:pPr>
    <w:rPr>
      <w:rFonts w:eastAsia="宋体" w:cs="宋体"/>
      <w:color w:val="0000FF"/>
      <w:kern w:val="0"/>
      <w:szCs w:val="20"/>
    </w:rPr>
  </w:style>
  <w:style w:type="paragraph" w:customStyle="1" w:styleId="2321">
    <w:name w:val="标题4."/>
    <w:basedOn w:val="9"/>
    <w:qFormat/>
    <w:uiPriority w:val="0"/>
    <w:pPr>
      <w:widowControl/>
      <w:numPr>
        <w:ilvl w:val="0"/>
        <w:numId w:val="0"/>
      </w:numPr>
      <w:tabs>
        <w:tab w:val="left" w:pos="1800"/>
      </w:tabs>
      <w:spacing w:before="120" w:after="120" w:line="312" w:lineRule="auto"/>
      <w:ind w:left="851" w:hanging="851"/>
    </w:pPr>
    <w:rPr>
      <w:rFonts w:eastAsia="黑体" w:cs="Times New Roman"/>
      <w:bCs w:val="0"/>
      <w:szCs w:val="20"/>
    </w:rPr>
  </w:style>
  <w:style w:type="paragraph" w:customStyle="1" w:styleId="2322">
    <w:name w:val="调研内容"/>
    <w:basedOn w:val="1"/>
    <w:qFormat/>
    <w:uiPriority w:val="0"/>
    <w:pPr>
      <w:widowControl/>
      <w:jc w:val="left"/>
    </w:pPr>
    <w:rPr>
      <w:rFonts w:ascii="Times New Roman" w:hAnsi="Times New Roman" w:eastAsia="宋体" w:cs="Times New Roman"/>
      <w:szCs w:val="20"/>
    </w:rPr>
  </w:style>
  <w:style w:type="paragraph" w:customStyle="1" w:styleId="2323">
    <w:name w:val="样式 标题 3 + 黑体 加粗"/>
    <w:basedOn w:val="8"/>
    <w:qFormat/>
    <w:uiPriority w:val="0"/>
    <w:pPr>
      <w:widowControl/>
      <w:numPr>
        <w:ilvl w:val="0"/>
        <w:numId w:val="0"/>
      </w:numPr>
      <w:spacing w:before="0" w:after="0" w:line="440" w:lineRule="exact"/>
    </w:pPr>
    <w:rPr>
      <w:rFonts w:ascii="黑体" w:hAnsi="黑体" w:eastAsia="黑体" w:cs="Times New Roman"/>
      <w:b w:val="0"/>
      <w:kern w:val="0"/>
      <w:sz w:val="28"/>
    </w:rPr>
  </w:style>
  <w:style w:type="paragraph" w:customStyle="1" w:styleId="2324">
    <w:name w:val="列出段落11"/>
    <w:basedOn w:val="1"/>
    <w:qFormat/>
    <w:uiPriority w:val="0"/>
    <w:pPr>
      <w:widowControl/>
      <w:ind w:firstLine="420" w:firstLineChars="200"/>
      <w:jc w:val="left"/>
    </w:pPr>
    <w:rPr>
      <w:rFonts w:ascii="Times New Roman" w:hAnsi="Times New Roman" w:eastAsia="宋体" w:cs="Times New Roman"/>
      <w:sz w:val="24"/>
    </w:rPr>
  </w:style>
  <w:style w:type="paragraph" w:customStyle="1" w:styleId="2325">
    <w:name w:val="正文首行缩进11"/>
    <w:basedOn w:val="4"/>
    <w:qFormat/>
    <w:uiPriority w:val="0"/>
    <w:pPr>
      <w:widowControl/>
      <w:spacing w:line="240" w:lineRule="auto"/>
      <w:ind w:firstLine="420" w:firstLineChars="100"/>
      <w:jc w:val="left"/>
    </w:pPr>
    <w:rPr>
      <w:rFonts w:ascii="Times New Roman" w:hAnsi="Times New Roman" w:eastAsia="宋体" w:cs="Times New Roman"/>
      <w:kern w:val="0"/>
      <w:sz w:val="24"/>
      <w:szCs w:val="24"/>
    </w:rPr>
  </w:style>
  <w:style w:type="paragraph" w:customStyle="1" w:styleId="2326">
    <w:name w:val="日期11"/>
    <w:basedOn w:val="1"/>
    <w:next w:val="1"/>
    <w:qFormat/>
    <w:uiPriority w:val="0"/>
    <w:pPr>
      <w:widowControl/>
      <w:ind w:left="100" w:leftChars="2500" w:firstLine="200" w:firstLineChars="200"/>
      <w:jc w:val="left"/>
    </w:pPr>
    <w:rPr>
      <w:rFonts w:ascii="Calibri" w:hAnsi="Calibri" w:eastAsia="宋体" w:cs="Times New Roman"/>
      <w:kern w:val="0"/>
      <w:sz w:val="24"/>
      <w:szCs w:val="20"/>
    </w:rPr>
  </w:style>
  <w:style w:type="paragraph" w:customStyle="1" w:styleId="2327">
    <w:name w:val="Char Char Char1 Char Char Char Char Char Char Char Char Char Char1"/>
    <w:basedOn w:val="1"/>
    <w:qFormat/>
    <w:uiPriority w:val="0"/>
    <w:pPr>
      <w:widowControl/>
      <w:spacing w:line="240" w:lineRule="atLeast"/>
      <w:ind w:left="420" w:firstLine="420"/>
      <w:jc w:val="left"/>
    </w:pPr>
    <w:rPr>
      <w:rFonts w:ascii="Times New Roman" w:hAnsi="Times New Roman" w:eastAsia="宋体" w:cs="Times New Roman"/>
      <w:szCs w:val="24"/>
    </w:rPr>
  </w:style>
  <w:style w:type="paragraph" w:customStyle="1" w:styleId="2328">
    <w:name w:val="Char Char3 Char Char1"/>
    <w:basedOn w:val="1"/>
    <w:qFormat/>
    <w:uiPriority w:val="0"/>
    <w:pPr>
      <w:widowControl/>
      <w:ind w:firstLine="200" w:firstLineChars="200"/>
      <w:jc w:val="left"/>
    </w:pPr>
    <w:rPr>
      <w:rFonts w:ascii="Times New Roman" w:hAnsi="Times New Roman" w:eastAsia="宋体" w:cs="Times New Roman"/>
      <w:szCs w:val="24"/>
    </w:rPr>
  </w:style>
  <w:style w:type="paragraph" w:customStyle="1" w:styleId="2329">
    <w:name w:val="正文1 Char Char Char Char"/>
    <w:basedOn w:val="1"/>
    <w:qFormat/>
    <w:uiPriority w:val="0"/>
    <w:pPr>
      <w:widowControl/>
      <w:tabs>
        <w:tab w:val="left" w:pos="5327"/>
        <w:tab w:val="left" w:pos="6326"/>
        <w:tab w:val="left" w:pos="7230"/>
        <w:tab w:val="left" w:pos="9301"/>
      </w:tabs>
      <w:autoSpaceDE w:val="0"/>
      <w:autoSpaceDN w:val="0"/>
      <w:adjustRightInd w:val="0"/>
      <w:snapToGrid w:val="0"/>
      <w:spacing w:line="600" w:lineRule="exact"/>
      <w:ind w:firstLine="200" w:firstLineChars="200"/>
      <w:jc w:val="left"/>
    </w:pPr>
    <w:rPr>
      <w:rFonts w:ascii="Arial Narrow" w:hAnsi="Arial Narrow" w:eastAsia="仿宋_GB2312" w:cs="Times New Roman"/>
      <w:color w:val="000000"/>
      <w:kern w:val="10"/>
      <w:sz w:val="28"/>
      <w:szCs w:val="28"/>
    </w:rPr>
  </w:style>
  <w:style w:type="paragraph" w:customStyle="1" w:styleId="2330">
    <w:name w:val="标题 5项"/>
    <w:basedOn w:val="10"/>
    <w:link w:val="2331"/>
    <w:qFormat/>
    <w:uiPriority w:val="0"/>
    <w:pPr>
      <w:keepLines w:val="0"/>
      <w:adjustRightInd w:val="0"/>
      <w:snapToGrid w:val="0"/>
      <w:spacing w:before="0" w:after="0" w:line="360" w:lineRule="auto"/>
      <w:ind w:firstLine="280" w:firstLineChars="100"/>
    </w:pPr>
    <w:rPr>
      <w:rFonts w:eastAsia="宋体" w:cs="Times New Roman"/>
      <w:b w:val="0"/>
      <w:bCs w:val="0"/>
      <w:sz w:val="28"/>
    </w:rPr>
  </w:style>
  <w:style w:type="character" w:customStyle="1" w:styleId="2331">
    <w:name w:val="标题 5项 Char"/>
    <w:link w:val="2330"/>
    <w:qFormat/>
    <w:uiPriority w:val="0"/>
    <w:rPr>
      <w:rFonts w:ascii="Times New Roman" w:hAnsi="Times New Roman" w:eastAsia="宋体" w:cs="Times New Roman"/>
      <w:sz w:val="28"/>
      <w:szCs w:val="28"/>
    </w:rPr>
  </w:style>
  <w:style w:type="character" w:customStyle="1" w:styleId="2332">
    <w:name w:val="页眉 字符"/>
    <w:qFormat/>
    <w:uiPriority w:val="0"/>
    <w:rPr>
      <w:sz w:val="18"/>
      <w:szCs w:val="18"/>
    </w:rPr>
  </w:style>
  <w:style w:type="character" w:customStyle="1" w:styleId="2333">
    <w:name w:val="页脚 字符"/>
    <w:qFormat/>
    <w:uiPriority w:val="0"/>
    <w:rPr>
      <w:sz w:val="18"/>
      <w:szCs w:val="18"/>
    </w:rPr>
  </w:style>
  <w:style w:type="character" w:customStyle="1" w:styleId="2334">
    <w:name w:val="标题 4 Char1"/>
    <w:qFormat/>
    <w:uiPriority w:val="0"/>
    <w:rPr>
      <w:rFonts w:eastAsia="黑体"/>
      <w:sz w:val="30"/>
      <w:szCs w:val="30"/>
      <w:lang w:val="en-US" w:eastAsia="zh-CN" w:bidi="ar-SA"/>
    </w:rPr>
  </w:style>
  <w:style w:type="paragraph" w:customStyle="1" w:styleId="2335">
    <w:name w:val="样式 小四 行距: 1.5 倍行距 首行缩进:  2 字符"/>
    <w:basedOn w:val="1"/>
    <w:qFormat/>
    <w:uiPriority w:val="0"/>
    <w:pPr>
      <w:adjustRightInd w:val="0"/>
      <w:snapToGrid w:val="0"/>
      <w:ind w:firstLine="600" w:firstLineChars="200"/>
    </w:pPr>
    <w:rPr>
      <w:rFonts w:ascii="Times New Roman" w:hAnsi="Times New Roman" w:eastAsia="宋体" w:cs="宋体"/>
      <w:sz w:val="24"/>
      <w:szCs w:val="24"/>
    </w:rPr>
  </w:style>
  <w:style w:type="character" w:customStyle="1" w:styleId="2336">
    <w:name w:val="标准表格 Char"/>
    <w:link w:val="2337"/>
    <w:qFormat/>
    <w:uiPriority w:val="0"/>
    <w:rPr>
      <w:rFonts w:eastAsia="宋体"/>
      <w:szCs w:val="21"/>
    </w:rPr>
  </w:style>
  <w:style w:type="paragraph" w:customStyle="1" w:styleId="2337">
    <w:name w:val="标准表格"/>
    <w:basedOn w:val="1"/>
    <w:link w:val="2336"/>
    <w:qFormat/>
    <w:uiPriority w:val="0"/>
    <w:pPr>
      <w:widowControl/>
      <w:adjustRightInd w:val="0"/>
      <w:snapToGrid w:val="0"/>
      <w:spacing w:line="240" w:lineRule="auto"/>
      <w:jc w:val="center"/>
    </w:pPr>
    <w:rPr>
      <w:rFonts w:eastAsia="宋体"/>
    </w:rPr>
  </w:style>
  <w:style w:type="character" w:customStyle="1" w:styleId="2338">
    <w:name w:val="图名表头 Char"/>
    <w:link w:val="2339"/>
    <w:qFormat/>
    <w:uiPriority w:val="0"/>
    <w:rPr>
      <w:b/>
      <w:sz w:val="24"/>
      <w:szCs w:val="21"/>
    </w:rPr>
  </w:style>
  <w:style w:type="paragraph" w:customStyle="1" w:styleId="2339">
    <w:name w:val="图名表头"/>
    <w:basedOn w:val="1"/>
    <w:link w:val="2338"/>
    <w:qFormat/>
    <w:uiPriority w:val="0"/>
    <w:pPr>
      <w:overflowPunct w:val="0"/>
      <w:adjustRightInd w:val="0"/>
      <w:snapToGrid w:val="0"/>
      <w:spacing w:line="240" w:lineRule="auto"/>
      <w:jc w:val="center"/>
      <w:textAlignment w:val="baseline"/>
    </w:pPr>
    <w:rPr>
      <w:b/>
      <w:sz w:val="24"/>
    </w:rPr>
  </w:style>
  <w:style w:type="paragraph" w:customStyle="1" w:styleId="2340">
    <w:name w:val="表格格式"/>
    <w:qFormat/>
    <w:uiPriority w:val="0"/>
    <w:pPr>
      <w:jc w:val="center"/>
    </w:pPr>
    <w:rPr>
      <w:rFonts w:ascii="Times New Roman" w:hAnsi="Times New Roman" w:eastAsia="宋体" w:cs="Times New Roman"/>
      <w:sz w:val="21"/>
      <w:szCs w:val="21"/>
      <w:lang w:val="en-US" w:eastAsia="zh-CN" w:bidi="ar-SA"/>
    </w:rPr>
  </w:style>
  <w:style w:type="paragraph" w:customStyle="1" w:styleId="2341">
    <w:name w:val="楷体样式 正文文本"/>
    <w:basedOn w:val="1"/>
    <w:qFormat/>
    <w:uiPriority w:val="0"/>
    <w:pPr>
      <w:snapToGrid w:val="0"/>
      <w:ind w:firstLine="560" w:firstLineChars="200"/>
    </w:pPr>
    <w:rPr>
      <w:rFonts w:ascii="Times New Roman" w:hAnsi="Times New Roman" w:eastAsia="楷体_GB2312" w:cs="Times New Roman"/>
      <w:sz w:val="28"/>
      <w:szCs w:val="24"/>
    </w:rPr>
  </w:style>
  <w:style w:type="paragraph" w:customStyle="1" w:styleId="2342">
    <w:name w:val="表头和图名"/>
    <w:basedOn w:val="1"/>
    <w:qFormat/>
    <w:uiPriority w:val="0"/>
    <w:pPr>
      <w:autoSpaceDE w:val="0"/>
      <w:autoSpaceDN w:val="0"/>
      <w:adjustRightInd w:val="0"/>
      <w:snapToGrid w:val="0"/>
      <w:spacing w:line="240" w:lineRule="auto"/>
      <w:jc w:val="center"/>
      <w:textAlignment w:val="baseline"/>
    </w:pPr>
    <w:rPr>
      <w:rFonts w:ascii="Times New Roman" w:hAnsi="Times New Roman" w:eastAsia="宋体" w:cs="Times New Roman"/>
      <w:b/>
      <w:kern w:val="0"/>
      <w:sz w:val="24"/>
      <w:szCs w:val="24"/>
    </w:rPr>
  </w:style>
  <w:style w:type="character" w:customStyle="1" w:styleId="2343">
    <w:name w:val="16"/>
    <w:qFormat/>
    <w:uiPriority w:val="0"/>
    <w:rPr>
      <w:rFonts w:hint="default" w:ascii="Times New Roman" w:hAnsi="Times New Roman" w:eastAsia="黑体" w:cs="宋体"/>
      <w:b/>
      <w:bCs/>
      <w:kern w:val="2"/>
      <w:sz w:val="24"/>
      <w:szCs w:val="24"/>
      <w:lang w:val="en-US" w:eastAsia="zh-CN" w:bidi="ar-SA"/>
    </w:rPr>
  </w:style>
  <w:style w:type="character" w:customStyle="1" w:styleId="2344">
    <w:name w:val="+++++正文 Char"/>
    <w:qFormat/>
    <w:uiPriority w:val="0"/>
    <w:rPr>
      <w:rFonts w:eastAsia="黑体"/>
      <w:b/>
      <w:kern w:val="2"/>
      <w:sz w:val="24"/>
      <w:szCs w:val="24"/>
      <w:lang w:val="en-US" w:eastAsia="zh-CN" w:bidi="ar-SA"/>
    </w:rPr>
  </w:style>
  <w:style w:type="character" w:customStyle="1" w:styleId="2345">
    <w:name w:val="章 Char Char1"/>
    <w:qFormat/>
    <w:uiPriority w:val="0"/>
    <w:rPr>
      <w:rFonts w:eastAsia="宋体"/>
      <w:b/>
      <w:bCs/>
      <w:kern w:val="2"/>
      <w:sz w:val="32"/>
      <w:szCs w:val="32"/>
      <w:lang w:val="en-US" w:eastAsia="zh-CN" w:bidi="ar-SA"/>
    </w:rPr>
  </w:style>
  <w:style w:type="character" w:customStyle="1" w:styleId="2346">
    <w:name w:val="h2 Char3"/>
    <w:qFormat/>
    <w:uiPriority w:val="0"/>
    <w:rPr>
      <w:rFonts w:eastAsia="宋体"/>
      <w:b/>
      <w:kern w:val="2"/>
      <w:sz w:val="24"/>
      <w:szCs w:val="30"/>
      <w:lang w:val="en-US" w:eastAsia="zh-CN" w:bidi="ar-SA"/>
    </w:rPr>
  </w:style>
  <w:style w:type="character" w:customStyle="1" w:styleId="2347">
    <w:name w:val="标题 3 Char Char Char Char"/>
    <w:semiHidden/>
    <w:qFormat/>
    <w:uiPriority w:val="0"/>
    <w:rPr>
      <w:rFonts w:eastAsia="宋体"/>
      <w:kern w:val="2"/>
      <w:sz w:val="28"/>
      <w:szCs w:val="24"/>
      <w:lang w:val="en-US" w:eastAsia="zh-CN" w:bidi="ar-SA"/>
    </w:rPr>
  </w:style>
  <w:style w:type="character" w:customStyle="1" w:styleId="2348">
    <w:name w:val="款标题1.1.1.1 Char2"/>
    <w:semiHidden/>
    <w:qFormat/>
    <w:uiPriority w:val="0"/>
    <w:rPr>
      <w:rFonts w:eastAsia="宋体"/>
      <w:bCs/>
      <w:kern w:val="2"/>
      <w:sz w:val="24"/>
      <w:szCs w:val="30"/>
      <w:lang w:val="en-US" w:eastAsia="zh-CN" w:bidi="ar-SA"/>
    </w:rPr>
  </w:style>
  <w:style w:type="character" w:customStyle="1" w:styleId="2349">
    <w:name w:val="标题 5 Char Char1"/>
    <w:basedOn w:val="94"/>
    <w:semiHidden/>
    <w:qFormat/>
    <w:uiPriority w:val="0"/>
    <w:rPr>
      <w:rFonts w:eastAsia="宋体"/>
      <w:kern w:val="2"/>
      <w:sz w:val="24"/>
      <w:szCs w:val="24"/>
      <w:lang w:val="en-US" w:eastAsia="zh-CN" w:bidi="ar-SA"/>
    </w:rPr>
  </w:style>
  <w:style w:type="character" w:customStyle="1" w:styleId="2350">
    <w:name w:val="图标题 Char"/>
    <w:semiHidden/>
    <w:qFormat/>
    <w:uiPriority w:val="0"/>
    <w:rPr>
      <w:rFonts w:ascii="Arial" w:hAnsi="Arial" w:eastAsia="黑体"/>
      <w:b/>
      <w:bCs/>
      <w:kern w:val="2"/>
      <w:sz w:val="24"/>
      <w:szCs w:val="24"/>
      <w:lang w:val="en-US" w:eastAsia="zh-CN" w:bidi="ar-SA"/>
    </w:rPr>
  </w:style>
  <w:style w:type="character" w:customStyle="1" w:styleId="2351">
    <w:name w:val="Char Char45"/>
    <w:qFormat/>
    <w:uiPriority w:val="0"/>
    <w:rPr>
      <w:rFonts w:eastAsia="宋体"/>
      <w:b/>
      <w:bCs/>
      <w:kern w:val="2"/>
      <w:sz w:val="24"/>
      <w:szCs w:val="24"/>
      <w:lang w:val="en-US" w:eastAsia="zh-CN" w:bidi="ar-SA"/>
    </w:rPr>
  </w:style>
  <w:style w:type="character" w:customStyle="1" w:styleId="2352">
    <w:name w:val="Char Char44"/>
    <w:qFormat/>
    <w:uiPriority w:val="0"/>
    <w:rPr>
      <w:rFonts w:ascii="Arial" w:hAnsi="Arial" w:eastAsia="黑体"/>
      <w:kern w:val="2"/>
      <w:sz w:val="24"/>
      <w:szCs w:val="24"/>
      <w:lang w:val="en-US" w:eastAsia="zh-CN" w:bidi="ar-SA"/>
    </w:rPr>
  </w:style>
  <w:style w:type="character" w:customStyle="1" w:styleId="2353">
    <w:name w:val="正文文字缩进 2 Char Char1"/>
    <w:qFormat/>
    <w:uiPriority w:val="0"/>
    <w:rPr>
      <w:rFonts w:ascii="仿宋_GB2312" w:eastAsia="仿宋_GB2312"/>
      <w:kern w:val="2"/>
      <w:sz w:val="28"/>
      <w:szCs w:val="24"/>
      <w:lang w:val="en-US" w:eastAsia="zh-CN" w:bidi="ar-SA"/>
    </w:rPr>
  </w:style>
  <w:style w:type="character" w:customStyle="1" w:styleId="2354">
    <w:name w:val="四号 Char"/>
    <w:qFormat/>
    <w:uiPriority w:val="0"/>
    <w:rPr>
      <w:rFonts w:eastAsia="宋体"/>
      <w:kern w:val="2"/>
      <w:sz w:val="24"/>
      <w:szCs w:val="24"/>
      <w:lang w:val="en-US" w:eastAsia="zh-CN" w:bidi="ar-SA"/>
    </w:rPr>
  </w:style>
  <w:style w:type="character" w:customStyle="1" w:styleId="2355">
    <w:name w:val="正文文字缩进 3 Char Char1"/>
    <w:qFormat/>
    <w:uiPriority w:val="0"/>
    <w:rPr>
      <w:rFonts w:eastAsia="宋体"/>
      <w:kern w:val="2"/>
      <w:sz w:val="24"/>
      <w:szCs w:val="24"/>
      <w:lang w:val="en-US" w:eastAsia="zh-CN" w:bidi="ar-SA"/>
    </w:rPr>
  </w:style>
  <w:style w:type="character" w:customStyle="1" w:styleId="2356">
    <w:name w:val="正文文字 21 Char1"/>
    <w:qFormat/>
    <w:uiPriority w:val="0"/>
    <w:rPr>
      <w:rFonts w:ascii="仿宋_GB2312" w:eastAsia="仿宋_GB2312"/>
      <w:kern w:val="2"/>
      <w:sz w:val="32"/>
      <w:szCs w:val="32"/>
      <w:lang w:val="en-US" w:eastAsia="zh-CN" w:bidi="ar-SA"/>
    </w:rPr>
  </w:style>
  <w:style w:type="paragraph" w:customStyle="1" w:styleId="2357">
    <w:name w:val="Char4 Char Char Char2"/>
    <w:basedOn w:val="1"/>
    <w:qFormat/>
    <w:uiPriority w:val="0"/>
    <w:pPr>
      <w:adjustRightInd w:val="0"/>
      <w:snapToGrid w:val="0"/>
      <w:ind w:firstLine="200" w:firstLineChars="200"/>
    </w:pPr>
    <w:rPr>
      <w:rFonts w:ascii="Times New Roman" w:hAnsi="Times New Roman" w:eastAsia="宋体" w:cs="Times New Roman"/>
      <w:sz w:val="24"/>
      <w:szCs w:val="20"/>
    </w:rPr>
  </w:style>
  <w:style w:type="paragraph" w:customStyle="1" w:styleId="2358">
    <w:name w:val="Char2 Char Char Char Char Char Char1 Char Char Char Char Char Char2"/>
    <w:basedOn w:val="1"/>
    <w:qFormat/>
    <w:uiPriority w:val="0"/>
    <w:pPr>
      <w:ind w:firstLine="200" w:firstLineChars="200"/>
    </w:pPr>
    <w:rPr>
      <w:rFonts w:ascii="宋体" w:hAnsi="宋体" w:eastAsia="宋体" w:cs="宋体"/>
      <w:sz w:val="24"/>
      <w:szCs w:val="24"/>
    </w:rPr>
  </w:style>
  <w:style w:type="paragraph" w:customStyle="1" w:styleId="2359">
    <w:name w:val="Char22"/>
    <w:basedOn w:val="1"/>
    <w:qFormat/>
    <w:uiPriority w:val="0"/>
    <w:pPr>
      <w:tabs>
        <w:tab w:val="left" w:pos="360"/>
        <w:tab w:val="left" w:pos="1545"/>
      </w:tabs>
      <w:spacing w:line="240" w:lineRule="auto"/>
    </w:pPr>
    <w:rPr>
      <w:rFonts w:ascii="Times New Roman" w:hAnsi="Times New Roman" w:eastAsia="宋体" w:cs="Times New Roman"/>
      <w:szCs w:val="24"/>
    </w:rPr>
  </w:style>
  <w:style w:type="paragraph" w:customStyle="1" w:styleId="2360">
    <w:name w:val="Char Char Char3"/>
    <w:basedOn w:val="1"/>
    <w:qFormat/>
    <w:uiPriority w:val="0"/>
    <w:pPr>
      <w:spacing w:line="240" w:lineRule="auto"/>
    </w:pPr>
    <w:rPr>
      <w:rFonts w:ascii="Times New Roman" w:hAnsi="Times New Roman" w:eastAsia="宋体" w:cs="Times New Roman"/>
      <w:sz w:val="24"/>
      <w:szCs w:val="24"/>
    </w:rPr>
  </w:style>
  <w:style w:type="character" w:customStyle="1" w:styleId="2361">
    <w:name w:val="Char Char222"/>
    <w:qFormat/>
    <w:uiPriority w:val="0"/>
    <w:rPr>
      <w:rFonts w:ascii="宋体" w:hAnsi="宋体" w:eastAsia="仿宋_GB2312"/>
      <w:kern w:val="2"/>
      <w:sz w:val="28"/>
      <w:lang w:val="en-US" w:eastAsia="zh-CN" w:bidi="ar-SA"/>
    </w:rPr>
  </w:style>
  <w:style w:type="paragraph" w:customStyle="1" w:styleId="2362">
    <w:name w:val="列出段落3"/>
    <w:basedOn w:val="1"/>
    <w:qFormat/>
    <w:uiPriority w:val="0"/>
    <w:pPr>
      <w:spacing w:line="240" w:lineRule="auto"/>
      <w:jc w:val="left"/>
    </w:pPr>
    <w:rPr>
      <w:rFonts w:ascii="Calibri" w:hAnsi="Calibri" w:eastAsia="宋体" w:cs="Calibri"/>
      <w:kern w:val="0"/>
      <w:sz w:val="22"/>
      <w:szCs w:val="22"/>
      <w:lang w:eastAsia="en-US"/>
    </w:rPr>
  </w:style>
  <w:style w:type="paragraph" w:customStyle="1" w:styleId="2363">
    <w:name w:val="Char1 Char Char Char Char Char Char Char Char2"/>
    <w:basedOn w:val="1"/>
    <w:qFormat/>
    <w:uiPriority w:val="0"/>
    <w:pPr>
      <w:ind w:firstLine="200" w:firstLineChars="200"/>
    </w:pPr>
    <w:rPr>
      <w:rFonts w:ascii="Times New Roman" w:hAnsi="Times New Roman" w:eastAsia="宋体" w:cs="Times New Roman"/>
      <w:szCs w:val="24"/>
    </w:rPr>
  </w:style>
  <w:style w:type="character" w:customStyle="1" w:styleId="2364">
    <w:name w:val="Char Char362"/>
    <w:qFormat/>
    <w:uiPriority w:val="0"/>
    <w:rPr>
      <w:b/>
      <w:kern w:val="2"/>
      <w:sz w:val="28"/>
    </w:rPr>
  </w:style>
  <w:style w:type="character" w:customStyle="1" w:styleId="2365">
    <w:name w:val="Char Char143"/>
    <w:qFormat/>
    <w:uiPriority w:val="0"/>
    <w:rPr>
      <w:kern w:val="2"/>
      <w:sz w:val="18"/>
      <w:szCs w:val="18"/>
    </w:rPr>
  </w:style>
  <w:style w:type="character" w:customStyle="1" w:styleId="2366">
    <w:name w:val="Char Char402"/>
    <w:qFormat/>
    <w:uiPriority w:val="0"/>
    <w:rPr>
      <w:rFonts w:ascii="宋体" w:eastAsia="黑体"/>
      <w:b/>
      <w:kern w:val="44"/>
      <w:sz w:val="44"/>
      <w:lang w:val="en-US" w:eastAsia="zh-CN" w:bidi="ar-SA"/>
    </w:rPr>
  </w:style>
  <w:style w:type="character" w:customStyle="1" w:styleId="2367">
    <w:name w:val="Char Char382"/>
    <w:qFormat/>
    <w:uiPriority w:val="0"/>
    <w:rPr>
      <w:rFonts w:eastAsia="宋体"/>
      <w:b/>
      <w:bCs/>
      <w:kern w:val="2"/>
      <w:sz w:val="26"/>
      <w:szCs w:val="32"/>
      <w:lang w:val="en-US" w:eastAsia="zh-CN" w:bidi="ar-SA"/>
    </w:rPr>
  </w:style>
  <w:style w:type="character" w:customStyle="1" w:styleId="2368">
    <w:name w:val="Char Char Char Char Char Char Char Char Char Char2"/>
    <w:qFormat/>
    <w:uiPriority w:val="0"/>
    <w:rPr>
      <w:rFonts w:ascii="宋体" w:hAnsi="宋体" w:eastAsia="宋体" w:cs="宋体"/>
      <w:kern w:val="2"/>
      <w:sz w:val="24"/>
      <w:szCs w:val="28"/>
    </w:rPr>
  </w:style>
  <w:style w:type="character" w:customStyle="1" w:styleId="2369">
    <w:name w:val="Char Char Char Char Char Char Char Char Char Char Char Char2"/>
    <w:qFormat/>
    <w:uiPriority w:val="0"/>
    <w:rPr>
      <w:rFonts w:ascii="宋体" w:hAnsi="宋体" w:eastAsia="宋体" w:cs="宋体"/>
      <w:kern w:val="2"/>
      <w:sz w:val="24"/>
      <w:szCs w:val="28"/>
    </w:rPr>
  </w:style>
  <w:style w:type="character" w:customStyle="1" w:styleId="2370">
    <w:name w:val="Char Char Char Char Char Char Char Char Char Char Char2"/>
    <w:link w:val="2371"/>
    <w:qFormat/>
    <w:uiPriority w:val="0"/>
  </w:style>
  <w:style w:type="paragraph" w:customStyle="1" w:styleId="2371">
    <w:name w:val="Char Char Char Char Char Char Char Char Char2"/>
    <w:basedOn w:val="1"/>
    <w:link w:val="2370"/>
    <w:qFormat/>
    <w:uiPriority w:val="0"/>
    <w:pPr>
      <w:spacing w:line="240" w:lineRule="auto"/>
    </w:pPr>
  </w:style>
  <w:style w:type="character" w:customStyle="1" w:styleId="2372">
    <w:name w:val="Char Char372"/>
    <w:qFormat/>
    <w:uiPriority w:val="0"/>
    <w:rPr>
      <w:rFonts w:eastAsia="黑体"/>
      <w:kern w:val="2"/>
      <w:sz w:val="24"/>
      <w:lang w:val="en-US" w:eastAsia="zh-CN" w:bidi="ar-SA"/>
    </w:rPr>
  </w:style>
  <w:style w:type="character" w:customStyle="1" w:styleId="2373">
    <w:name w:val="Char Char292"/>
    <w:qFormat/>
    <w:uiPriority w:val="0"/>
    <w:rPr>
      <w:rFonts w:eastAsia="宋体"/>
      <w:kern w:val="2"/>
      <w:sz w:val="24"/>
      <w:lang w:val="en-US" w:eastAsia="zh-CN" w:bidi="ar-SA"/>
    </w:rPr>
  </w:style>
  <w:style w:type="character" w:customStyle="1" w:styleId="2374">
    <w:name w:val="Char Char182"/>
    <w:qFormat/>
    <w:uiPriority w:val="0"/>
    <w:rPr>
      <w:kern w:val="2"/>
      <w:sz w:val="24"/>
      <w:szCs w:val="21"/>
    </w:rPr>
  </w:style>
  <w:style w:type="character" w:customStyle="1" w:styleId="2375">
    <w:name w:val="Char Char392"/>
    <w:qFormat/>
    <w:uiPriority w:val="0"/>
    <w:rPr>
      <w:rFonts w:ascii="Arial" w:hAnsi="Arial" w:eastAsia="黑体"/>
      <w:b/>
      <w:kern w:val="2"/>
      <w:sz w:val="28"/>
      <w:lang w:val="en-US" w:eastAsia="zh-CN" w:bidi="ar-SA"/>
    </w:rPr>
  </w:style>
  <w:style w:type="character" w:customStyle="1" w:styleId="2376">
    <w:name w:val="Char Char Char Char12"/>
    <w:qFormat/>
    <w:uiPriority w:val="0"/>
    <w:rPr>
      <w:rFonts w:ascii="宋体" w:eastAsia="宋体"/>
      <w:kern w:val="2"/>
      <w:sz w:val="24"/>
      <w:lang w:val="en-US" w:eastAsia="zh-CN"/>
    </w:rPr>
  </w:style>
  <w:style w:type="character" w:customStyle="1" w:styleId="2377">
    <w:name w:val="Char Char272"/>
    <w:qFormat/>
    <w:uiPriority w:val="0"/>
    <w:rPr>
      <w:rFonts w:eastAsia="幼圆"/>
      <w:kern w:val="2"/>
      <w:sz w:val="21"/>
      <w:szCs w:val="18"/>
      <w:lang w:val="en-US" w:eastAsia="zh-CN" w:bidi="ar-SA"/>
    </w:rPr>
  </w:style>
  <w:style w:type="character" w:customStyle="1" w:styleId="2378">
    <w:name w:val="Char Char92"/>
    <w:qFormat/>
    <w:uiPriority w:val="0"/>
    <w:rPr>
      <w:kern w:val="2"/>
      <w:sz w:val="18"/>
    </w:rPr>
  </w:style>
  <w:style w:type="character" w:customStyle="1" w:styleId="2379">
    <w:name w:val="Char Char352"/>
    <w:qFormat/>
    <w:uiPriority w:val="0"/>
    <w:rPr>
      <w:rFonts w:ascii="Arial" w:hAnsi="Arial" w:eastAsia="黑体"/>
      <w:b/>
      <w:kern w:val="2"/>
      <w:sz w:val="24"/>
    </w:rPr>
  </w:style>
  <w:style w:type="paragraph" w:customStyle="1" w:styleId="2380">
    <w:name w:val="Char4 Char Char Char Char Char Char12"/>
    <w:basedOn w:val="1"/>
    <w:qFormat/>
    <w:uiPriority w:val="0"/>
    <w:pPr>
      <w:ind w:firstLine="200" w:firstLineChars="200"/>
    </w:pPr>
    <w:rPr>
      <w:rFonts w:ascii="宋体" w:hAnsi="宋体" w:eastAsia="宋体" w:cs="宋体"/>
      <w:sz w:val="24"/>
      <w:szCs w:val="24"/>
    </w:rPr>
  </w:style>
  <w:style w:type="paragraph" w:customStyle="1" w:styleId="2381">
    <w:name w:val="正文文本 22"/>
    <w:basedOn w:val="1"/>
    <w:qFormat/>
    <w:uiPriority w:val="0"/>
    <w:pPr>
      <w:adjustRightInd w:val="0"/>
      <w:spacing w:line="240" w:lineRule="auto"/>
      <w:textAlignment w:val="baseline"/>
    </w:pPr>
    <w:rPr>
      <w:rFonts w:ascii="Times New Roman" w:hAnsi="Times New Roman" w:eastAsia="宋体" w:cs="Times New Roman"/>
      <w:kern w:val="0"/>
      <w:sz w:val="24"/>
      <w:szCs w:val="20"/>
    </w:rPr>
  </w:style>
  <w:style w:type="paragraph" w:customStyle="1" w:styleId="2382">
    <w:name w:val="修订2"/>
    <w:qFormat/>
    <w:uiPriority w:val="0"/>
    <w:rPr>
      <w:rFonts w:ascii="Times New Roman" w:hAnsi="Times New Roman" w:eastAsia="宋体" w:cs="Times New Roman"/>
      <w:kern w:val="2"/>
      <w:sz w:val="21"/>
      <w:lang w:val="en-US" w:eastAsia="zh-CN" w:bidi="ar-SA"/>
    </w:rPr>
  </w:style>
  <w:style w:type="paragraph" w:customStyle="1" w:styleId="2383">
    <w:name w:val="Char Char Char12"/>
    <w:basedOn w:val="1"/>
    <w:qFormat/>
    <w:uiPriority w:val="0"/>
    <w:pPr>
      <w:ind w:firstLine="200" w:firstLineChars="200"/>
    </w:pPr>
    <w:rPr>
      <w:rFonts w:ascii="宋体" w:hAnsi="宋体" w:eastAsia="宋体" w:cs="Times New Roman"/>
      <w:sz w:val="24"/>
      <w:szCs w:val="20"/>
    </w:rPr>
  </w:style>
  <w:style w:type="paragraph" w:customStyle="1" w:styleId="2384">
    <w:name w:val="Char1 Char Char Char2"/>
    <w:basedOn w:val="1"/>
    <w:qFormat/>
    <w:uiPriority w:val="0"/>
    <w:pPr>
      <w:spacing w:line="240" w:lineRule="auto"/>
    </w:pPr>
    <w:rPr>
      <w:rFonts w:ascii="Times New Roman" w:hAnsi="Times New Roman" w:eastAsia="宋体" w:cs="Times New Roman"/>
      <w:szCs w:val="20"/>
    </w:rPr>
  </w:style>
  <w:style w:type="paragraph" w:customStyle="1" w:styleId="2385">
    <w:name w:val="Char12"/>
    <w:basedOn w:val="1"/>
    <w:qFormat/>
    <w:uiPriority w:val="0"/>
    <w:pPr>
      <w:ind w:firstLine="200" w:firstLineChars="200"/>
    </w:pPr>
    <w:rPr>
      <w:rFonts w:ascii="宋体" w:hAnsi="宋体" w:eastAsia="宋体" w:cs="宋体"/>
      <w:sz w:val="24"/>
      <w:szCs w:val="24"/>
    </w:rPr>
  </w:style>
  <w:style w:type="paragraph" w:customStyle="1" w:styleId="2386">
    <w:name w:val="Char Char Char Char Char Char Char Char Char Char Char Char Char Char Char Char Char Char1 Char Char Char Char Char Char Char Char Char Char Char Char Char Char Char Char2"/>
    <w:basedOn w:val="1"/>
    <w:qFormat/>
    <w:uiPriority w:val="0"/>
    <w:pPr>
      <w:ind w:firstLine="200" w:firstLineChars="200"/>
    </w:pPr>
    <w:rPr>
      <w:rFonts w:ascii="宋体" w:hAnsi="Times New Roman" w:eastAsia="宋体" w:cs="Times New Roman"/>
      <w:sz w:val="24"/>
      <w:szCs w:val="20"/>
    </w:rPr>
  </w:style>
  <w:style w:type="paragraph" w:customStyle="1" w:styleId="2387">
    <w:name w:val="Char Char Char Char Char Char1 Char2"/>
    <w:basedOn w:val="1"/>
    <w:qFormat/>
    <w:uiPriority w:val="0"/>
    <w:pPr>
      <w:ind w:firstLine="200" w:firstLineChars="200"/>
    </w:pPr>
    <w:rPr>
      <w:rFonts w:ascii="宋体" w:hAnsi="宋体" w:eastAsia="宋体" w:cs="Times New Roman"/>
      <w:sz w:val="24"/>
      <w:szCs w:val="20"/>
    </w:rPr>
  </w:style>
  <w:style w:type="paragraph" w:customStyle="1" w:styleId="2388">
    <w:name w:val="Char52"/>
    <w:basedOn w:val="1"/>
    <w:qFormat/>
    <w:uiPriority w:val="0"/>
    <w:pPr>
      <w:shd w:val="clear" w:color="auto" w:fill="000080"/>
      <w:adjustRightInd w:val="0"/>
      <w:spacing w:line="436" w:lineRule="exact"/>
      <w:ind w:left="357"/>
      <w:jc w:val="left"/>
      <w:outlineLvl w:val="3"/>
    </w:pPr>
    <w:rPr>
      <w:rFonts w:ascii="Tahoma" w:hAnsi="Tahoma" w:eastAsia="宋体" w:cs="Times New Roman"/>
      <w:b/>
      <w:sz w:val="24"/>
      <w:szCs w:val="28"/>
      <w:shd w:val="clear" w:color="auto" w:fill="000080"/>
    </w:rPr>
  </w:style>
  <w:style w:type="paragraph" w:customStyle="1" w:styleId="2389">
    <w:name w:val="Char6"/>
    <w:basedOn w:val="1"/>
    <w:qFormat/>
    <w:uiPriority w:val="0"/>
    <w:pPr>
      <w:adjustRightInd w:val="0"/>
      <w:ind w:firstLine="200" w:firstLineChars="200"/>
    </w:pPr>
    <w:rPr>
      <w:rFonts w:ascii="宋体" w:hAnsi="宋体" w:eastAsia="宋体" w:cs="宋体"/>
      <w:sz w:val="24"/>
      <w:szCs w:val="24"/>
    </w:rPr>
  </w:style>
  <w:style w:type="paragraph" w:customStyle="1" w:styleId="2390">
    <w:name w:val="Char Char Char Char3"/>
    <w:basedOn w:val="1"/>
    <w:qFormat/>
    <w:uiPriority w:val="0"/>
    <w:pPr>
      <w:ind w:firstLine="200" w:firstLineChars="200"/>
    </w:pPr>
    <w:rPr>
      <w:rFonts w:ascii="宋体" w:hAnsi="宋体" w:eastAsia="宋体" w:cs="宋体"/>
      <w:sz w:val="24"/>
      <w:szCs w:val="24"/>
    </w:rPr>
  </w:style>
  <w:style w:type="paragraph" w:customStyle="1" w:styleId="2391">
    <w:name w:val="Char Char Char Char Char Char Char Char Char Char Char Char Char Char Char Char Char Char Char Char Char Char Char Char Char2"/>
    <w:basedOn w:val="1"/>
    <w:qFormat/>
    <w:uiPriority w:val="0"/>
    <w:pPr>
      <w:ind w:firstLine="200" w:firstLineChars="200"/>
    </w:pPr>
    <w:rPr>
      <w:rFonts w:ascii="宋体" w:hAnsi="宋体" w:eastAsia="宋体" w:cs="宋体"/>
      <w:sz w:val="24"/>
      <w:szCs w:val="24"/>
    </w:rPr>
  </w:style>
  <w:style w:type="paragraph" w:customStyle="1" w:styleId="2392">
    <w:name w:val="Char Char Char Char Char Char Char Char Char Char Char Char Char Char Char Char Char Char Char2"/>
    <w:basedOn w:val="1"/>
    <w:qFormat/>
    <w:uiPriority w:val="0"/>
    <w:pPr>
      <w:ind w:firstLine="200" w:firstLineChars="200"/>
    </w:pPr>
    <w:rPr>
      <w:rFonts w:ascii="宋体" w:hAnsi="宋体" w:eastAsia="宋体" w:cs="宋体"/>
      <w:sz w:val="24"/>
      <w:szCs w:val="24"/>
    </w:rPr>
  </w:style>
  <w:style w:type="paragraph" w:customStyle="1" w:styleId="2393">
    <w:name w:val="Char Char Char Char Char Char4"/>
    <w:basedOn w:val="1"/>
    <w:qFormat/>
    <w:uiPriority w:val="0"/>
    <w:pPr>
      <w:ind w:firstLine="200" w:firstLineChars="200"/>
    </w:pPr>
    <w:rPr>
      <w:rFonts w:ascii="宋体" w:hAnsi="宋体" w:eastAsia="宋体" w:cs="宋体"/>
      <w:sz w:val="24"/>
      <w:szCs w:val="24"/>
    </w:rPr>
  </w:style>
  <w:style w:type="paragraph" w:customStyle="1" w:styleId="2394">
    <w:name w:val="日期2"/>
    <w:basedOn w:val="1"/>
    <w:next w:val="1"/>
    <w:qFormat/>
    <w:uiPriority w:val="0"/>
    <w:pPr>
      <w:adjustRightInd w:val="0"/>
      <w:spacing w:line="240" w:lineRule="auto"/>
      <w:textAlignment w:val="baseline"/>
    </w:pPr>
    <w:rPr>
      <w:rFonts w:ascii="Times New Roman" w:hAnsi="Times New Roman" w:eastAsia="宋体" w:cs="Times New Roman"/>
      <w:snapToGrid w:val="0"/>
      <w:sz w:val="24"/>
      <w:szCs w:val="20"/>
    </w:rPr>
  </w:style>
  <w:style w:type="paragraph" w:customStyle="1" w:styleId="2395">
    <w:name w:val="Char Char Char Char Char Char Char Char Char Char Char Char Char Char Char Char Char Char2"/>
    <w:basedOn w:val="1"/>
    <w:qFormat/>
    <w:uiPriority w:val="0"/>
    <w:pPr>
      <w:spacing w:line="240" w:lineRule="auto"/>
    </w:pPr>
    <w:rPr>
      <w:rFonts w:ascii="宋体" w:hAnsi="Times New Roman" w:eastAsia="宋体" w:cs="Times New Roman"/>
      <w:sz w:val="24"/>
      <w:szCs w:val="20"/>
    </w:rPr>
  </w:style>
  <w:style w:type="paragraph" w:customStyle="1" w:styleId="2396">
    <w:name w:val="Char Char Char Char Char Char Char Char Char Char Char Char Char Char Char Char Char Char1 Char Char Char Char2"/>
    <w:basedOn w:val="1"/>
    <w:qFormat/>
    <w:uiPriority w:val="0"/>
    <w:pPr>
      <w:spacing w:line="240" w:lineRule="auto"/>
    </w:pPr>
    <w:rPr>
      <w:rFonts w:ascii="Times New Roman" w:hAnsi="Times New Roman" w:eastAsia="宋体" w:cs="Times New Roman"/>
      <w:szCs w:val="24"/>
    </w:rPr>
  </w:style>
  <w:style w:type="paragraph" w:customStyle="1" w:styleId="2397">
    <w:name w:val="正文文本缩进 32"/>
    <w:basedOn w:val="1"/>
    <w:qFormat/>
    <w:uiPriority w:val="0"/>
    <w:pPr>
      <w:adjustRightInd w:val="0"/>
      <w:spacing w:line="300" w:lineRule="auto"/>
      <w:ind w:firstLine="691"/>
      <w:textAlignment w:val="baseline"/>
    </w:pPr>
    <w:rPr>
      <w:rFonts w:ascii="宋体" w:hAnsi="Times New Roman" w:eastAsia="宋体" w:cs="Times New Roman"/>
      <w:kern w:val="0"/>
      <w:sz w:val="28"/>
      <w:szCs w:val="20"/>
    </w:rPr>
  </w:style>
  <w:style w:type="paragraph" w:customStyle="1" w:styleId="2398">
    <w:name w:val="Char Char Char Char Char Char Char Char Char Char Char Char Char Char Char Char Char Char Char Char Char Char Char Char Char Char Char Char Char Char Char Char Char2"/>
    <w:basedOn w:val="1"/>
    <w:qFormat/>
    <w:uiPriority w:val="0"/>
    <w:pPr>
      <w:widowControl/>
      <w:spacing w:after="160" w:line="240" w:lineRule="exact"/>
      <w:jc w:val="left"/>
    </w:pPr>
    <w:rPr>
      <w:rFonts w:ascii="Times New Roman" w:hAnsi="Times New Roman" w:eastAsia="宋体" w:cs="Times New Roman"/>
      <w:sz w:val="32"/>
      <w:szCs w:val="20"/>
    </w:rPr>
  </w:style>
  <w:style w:type="paragraph" w:customStyle="1" w:styleId="2399">
    <w:name w:val="Char Char Char Char Char Char Char2"/>
    <w:basedOn w:val="1"/>
    <w:qFormat/>
    <w:uiPriority w:val="0"/>
    <w:pPr>
      <w:spacing w:line="240" w:lineRule="auto"/>
    </w:pPr>
    <w:rPr>
      <w:rFonts w:ascii="宋体" w:hAnsi="Times New Roman" w:eastAsia="宋体" w:cs="Times New Roman"/>
      <w:sz w:val="24"/>
      <w:szCs w:val="20"/>
    </w:rPr>
  </w:style>
  <w:style w:type="character" w:customStyle="1" w:styleId="2400">
    <w:name w:val="占位符文本2"/>
    <w:qFormat/>
    <w:uiPriority w:val="0"/>
    <w:rPr>
      <w:rFonts w:eastAsia="黑体"/>
      <w:b/>
      <w:color w:val="808080"/>
      <w:kern w:val="2"/>
      <w:sz w:val="21"/>
      <w:szCs w:val="22"/>
      <w:lang w:val="en-US" w:eastAsia="zh-CN" w:bidi="ar-SA"/>
    </w:rPr>
  </w:style>
  <w:style w:type="paragraph" w:customStyle="1" w:styleId="2401">
    <w:name w:val="TOC 标题3"/>
    <w:basedOn w:val="6"/>
    <w:next w:val="1"/>
    <w:qFormat/>
    <w:uiPriority w:val="0"/>
    <w:pPr>
      <w:numPr>
        <w:numId w:val="0"/>
      </w:numPr>
      <w:jc w:val="both"/>
      <w:outlineLvl w:val="9"/>
    </w:pPr>
    <w:rPr>
      <w:rFonts w:eastAsia="宋体" w:cs="Wingdings"/>
      <w:kern w:val="2"/>
      <w:sz w:val="21"/>
      <w:szCs w:val="22"/>
    </w:rPr>
  </w:style>
  <w:style w:type="paragraph" w:customStyle="1" w:styleId="2402">
    <w:name w:val="标题 12"/>
    <w:next w:val="1"/>
    <w:qFormat/>
    <w:uiPriority w:val="0"/>
    <w:pPr>
      <w:keepNext/>
      <w:keepLines/>
      <w:snapToGrid w:val="0"/>
      <w:spacing w:beforeLines="50" w:afterLines="50"/>
      <w:jc w:val="center"/>
      <w:outlineLvl w:val="0"/>
    </w:pPr>
    <w:rPr>
      <w:rFonts w:ascii="黑体" w:hAnsi="黑体" w:eastAsia="宋体" w:cs="Times New Roman"/>
      <w:b/>
      <w:snapToGrid w:val="0"/>
      <w:color w:val="000000"/>
      <w:kern w:val="2"/>
      <w:sz w:val="44"/>
      <w:szCs w:val="24"/>
      <w:lang w:val="en-US" w:eastAsia="zh-CN" w:bidi="ar-SA"/>
    </w:rPr>
  </w:style>
  <w:style w:type="paragraph" w:customStyle="1" w:styleId="2403">
    <w:name w:val="纯文本5"/>
    <w:basedOn w:val="1"/>
    <w:qFormat/>
    <w:uiPriority w:val="0"/>
    <w:pPr>
      <w:spacing w:line="240" w:lineRule="auto"/>
    </w:pPr>
    <w:rPr>
      <w:rFonts w:ascii="宋体" w:hAnsi="宋体" w:eastAsia="宋体" w:cs="Times New Roman"/>
      <w:sz w:val="24"/>
      <w:szCs w:val="24"/>
    </w:rPr>
  </w:style>
  <w:style w:type="paragraph" w:customStyle="1" w:styleId="2404">
    <w:name w:val="正文缩进4"/>
    <w:basedOn w:val="1"/>
    <w:qFormat/>
    <w:uiPriority w:val="0"/>
    <w:pPr>
      <w:spacing w:line="240" w:lineRule="auto"/>
      <w:ind w:firstLine="420"/>
    </w:pPr>
    <w:rPr>
      <w:rFonts w:ascii="宋体" w:hAnsi="宋体" w:eastAsia="宋体" w:cs="Times New Roman"/>
      <w:sz w:val="24"/>
      <w:szCs w:val="24"/>
    </w:rPr>
  </w:style>
  <w:style w:type="paragraph" w:customStyle="1" w:styleId="2405">
    <w:name w:val="标题 32"/>
    <w:basedOn w:val="1"/>
    <w:next w:val="1"/>
    <w:qFormat/>
    <w:uiPriority w:val="0"/>
    <w:pPr>
      <w:keepNext/>
      <w:keepLines/>
      <w:snapToGrid w:val="0"/>
      <w:outlineLvl w:val="2"/>
    </w:pPr>
    <w:rPr>
      <w:rFonts w:hint="eastAsia" w:ascii="黑体" w:hAnsi="黑体" w:eastAsia="黑体" w:cs="Times New Roman"/>
      <w:b/>
      <w:snapToGrid w:val="0"/>
      <w:color w:val="008000"/>
      <w:sz w:val="24"/>
      <w:szCs w:val="24"/>
    </w:rPr>
  </w:style>
  <w:style w:type="paragraph" w:customStyle="1" w:styleId="2406">
    <w:name w:val="正文文本缩进 23"/>
    <w:basedOn w:val="1"/>
    <w:qFormat/>
    <w:uiPriority w:val="0"/>
    <w:pPr>
      <w:snapToGrid w:val="0"/>
      <w:ind w:firstLine="200" w:firstLineChars="200"/>
    </w:pPr>
    <w:rPr>
      <w:rFonts w:ascii="宋体" w:hAnsi="Times New Roman" w:eastAsia="宋体" w:cs="Times New Roman"/>
      <w:color w:val="339966"/>
      <w:sz w:val="24"/>
      <w:szCs w:val="20"/>
    </w:rPr>
  </w:style>
  <w:style w:type="paragraph" w:customStyle="1" w:styleId="2407">
    <w:name w:val="标题 52"/>
    <w:basedOn w:val="1"/>
    <w:next w:val="1"/>
    <w:qFormat/>
    <w:uiPriority w:val="0"/>
    <w:pPr>
      <w:keepNext/>
      <w:keepLines/>
      <w:tabs>
        <w:tab w:val="left" w:pos="1800"/>
      </w:tabs>
      <w:snapToGrid w:val="0"/>
      <w:ind w:left="1009" w:hanging="1009"/>
      <w:jc w:val="left"/>
      <w:outlineLvl w:val="4"/>
    </w:pPr>
    <w:rPr>
      <w:rFonts w:ascii="Times New Roman" w:hAnsi="Times New Roman" w:eastAsia="宋体" w:cs="Times New Roman"/>
      <w:b/>
      <w:sz w:val="28"/>
      <w:szCs w:val="20"/>
    </w:rPr>
  </w:style>
  <w:style w:type="paragraph" w:customStyle="1" w:styleId="2408">
    <w:name w:val="标题 42"/>
    <w:basedOn w:val="1"/>
    <w:next w:val="1"/>
    <w:qFormat/>
    <w:uiPriority w:val="0"/>
    <w:pPr>
      <w:keepNext/>
      <w:keepLines/>
      <w:tabs>
        <w:tab w:val="left" w:pos="864"/>
      </w:tabs>
      <w:snapToGrid w:val="0"/>
      <w:spacing w:line="460" w:lineRule="atLeast"/>
      <w:ind w:left="864" w:hanging="864"/>
      <w:outlineLvl w:val="3"/>
    </w:pPr>
    <w:rPr>
      <w:rFonts w:ascii="Times New Roman" w:hAnsi="Times New Roman" w:eastAsia="宋体" w:cs="Times New Roman"/>
      <w:sz w:val="28"/>
      <w:szCs w:val="20"/>
    </w:rPr>
  </w:style>
  <w:style w:type="paragraph" w:customStyle="1" w:styleId="2409">
    <w:name w:val="正文文本2"/>
    <w:basedOn w:val="1"/>
    <w:qFormat/>
    <w:uiPriority w:val="0"/>
    <w:pPr>
      <w:spacing w:after="120" w:line="240" w:lineRule="auto"/>
    </w:pPr>
    <w:rPr>
      <w:rFonts w:ascii="Times New Roman" w:hAnsi="Times New Roman" w:eastAsia="宋体" w:cs="Times New Roman"/>
      <w:sz w:val="24"/>
      <w:szCs w:val="20"/>
    </w:rPr>
  </w:style>
  <w:style w:type="paragraph" w:customStyle="1" w:styleId="2410">
    <w:name w:val="普通(网站)3"/>
    <w:basedOn w:val="1"/>
    <w:qFormat/>
    <w:uiPriority w:val="0"/>
    <w:pPr>
      <w:widowControl/>
      <w:spacing w:before="100" w:beforeAutospacing="1" w:after="100" w:afterAutospacing="1" w:line="240" w:lineRule="auto"/>
      <w:jc w:val="left"/>
    </w:pPr>
    <w:rPr>
      <w:rFonts w:ascii="宋体" w:hAnsi="宋体" w:eastAsia="宋体" w:cs="Times New Roman"/>
      <w:sz w:val="24"/>
      <w:szCs w:val="20"/>
    </w:rPr>
  </w:style>
  <w:style w:type="paragraph" w:customStyle="1" w:styleId="2411">
    <w:name w:val="批注框文本2"/>
    <w:basedOn w:val="1"/>
    <w:qFormat/>
    <w:uiPriority w:val="0"/>
    <w:pPr>
      <w:spacing w:line="240" w:lineRule="auto"/>
    </w:pPr>
    <w:rPr>
      <w:rFonts w:ascii="Times New Roman" w:hAnsi="Times New Roman" w:eastAsia="宋体" w:cs="Times New Roman"/>
      <w:sz w:val="18"/>
      <w:szCs w:val="20"/>
    </w:rPr>
  </w:style>
  <w:style w:type="paragraph" w:customStyle="1" w:styleId="2412">
    <w:name w:val="标题 62"/>
    <w:basedOn w:val="1"/>
    <w:next w:val="1"/>
    <w:qFormat/>
    <w:uiPriority w:val="0"/>
    <w:pPr>
      <w:keepNext/>
      <w:keepLines/>
      <w:tabs>
        <w:tab w:val="left" w:pos="1152"/>
      </w:tabs>
      <w:snapToGrid w:val="0"/>
      <w:spacing w:before="240" w:after="64" w:line="316" w:lineRule="auto"/>
      <w:ind w:left="1152" w:hanging="1152"/>
      <w:outlineLvl w:val="5"/>
    </w:pPr>
    <w:rPr>
      <w:rFonts w:ascii="Arial" w:hAnsi="Arial" w:eastAsia="黑体" w:cs="Times New Roman"/>
      <w:b/>
      <w:sz w:val="24"/>
      <w:szCs w:val="20"/>
    </w:rPr>
  </w:style>
  <w:style w:type="paragraph" w:customStyle="1" w:styleId="2413">
    <w:name w:val="目录 12"/>
    <w:basedOn w:val="1"/>
    <w:next w:val="1"/>
    <w:qFormat/>
    <w:uiPriority w:val="0"/>
    <w:pPr>
      <w:spacing w:before="120" w:after="120" w:line="240" w:lineRule="auto"/>
      <w:jc w:val="left"/>
    </w:pPr>
    <w:rPr>
      <w:rFonts w:ascii="Times New Roman" w:hAnsi="Times New Roman" w:eastAsia="宋体" w:cs="Times New Roman"/>
      <w:b/>
      <w:caps/>
      <w:sz w:val="20"/>
      <w:szCs w:val="20"/>
    </w:rPr>
  </w:style>
  <w:style w:type="paragraph" w:customStyle="1" w:styleId="2414">
    <w:name w:val="标题 72"/>
    <w:basedOn w:val="1"/>
    <w:next w:val="1"/>
    <w:qFormat/>
    <w:uiPriority w:val="0"/>
    <w:pPr>
      <w:keepNext/>
      <w:keepLines/>
      <w:tabs>
        <w:tab w:val="left" w:pos="1296"/>
      </w:tabs>
      <w:snapToGrid w:val="0"/>
      <w:spacing w:before="240" w:after="64" w:line="316" w:lineRule="auto"/>
      <w:ind w:left="1296" w:hanging="1296"/>
      <w:outlineLvl w:val="6"/>
    </w:pPr>
    <w:rPr>
      <w:rFonts w:ascii="Times New Roman" w:hAnsi="Times New Roman" w:eastAsia="宋体" w:cs="Times New Roman"/>
      <w:b/>
      <w:sz w:val="24"/>
      <w:szCs w:val="20"/>
    </w:rPr>
  </w:style>
  <w:style w:type="paragraph" w:customStyle="1" w:styleId="2415">
    <w:name w:val="页脚3"/>
    <w:basedOn w:val="1"/>
    <w:qFormat/>
    <w:uiPriority w:val="0"/>
    <w:pPr>
      <w:tabs>
        <w:tab w:val="center" w:pos="4153"/>
        <w:tab w:val="right" w:pos="8306"/>
      </w:tabs>
      <w:snapToGrid w:val="0"/>
      <w:spacing w:line="240" w:lineRule="auto"/>
      <w:jc w:val="left"/>
    </w:pPr>
    <w:rPr>
      <w:rFonts w:ascii="Times New Roman" w:hAnsi="Times New Roman" w:eastAsia="宋体" w:cs="Times New Roman"/>
      <w:sz w:val="18"/>
      <w:szCs w:val="20"/>
    </w:rPr>
  </w:style>
  <w:style w:type="paragraph" w:customStyle="1" w:styleId="2416">
    <w:name w:val="批注主题2"/>
    <w:basedOn w:val="31"/>
    <w:next w:val="31"/>
    <w:qFormat/>
    <w:uiPriority w:val="0"/>
    <w:pPr>
      <w:spacing w:line="240" w:lineRule="auto"/>
      <w:ind w:firstLine="0" w:firstLineChars="0"/>
    </w:pPr>
    <w:rPr>
      <w:rFonts w:hint="eastAsia" w:ascii="宋体" w:hAnsi="宋体"/>
      <w:b/>
      <w:sz w:val="21"/>
      <w:szCs w:val="20"/>
    </w:rPr>
  </w:style>
  <w:style w:type="paragraph" w:customStyle="1" w:styleId="2417">
    <w:name w:val="正文文本缩进3"/>
    <w:basedOn w:val="1"/>
    <w:qFormat/>
    <w:uiPriority w:val="0"/>
    <w:pPr>
      <w:spacing w:after="120" w:line="240" w:lineRule="auto"/>
      <w:ind w:left="420" w:leftChars="200"/>
    </w:pPr>
    <w:rPr>
      <w:rFonts w:ascii="Times New Roman" w:hAnsi="Times New Roman" w:eastAsia="宋体" w:cs="Times New Roman"/>
      <w:sz w:val="24"/>
      <w:szCs w:val="20"/>
    </w:rPr>
  </w:style>
  <w:style w:type="paragraph" w:customStyle="1" w:styleId="2418">
    <w:name w:val="标题 92"/>
    <w:basedOn w:val="1"/>
    <w:next w:val="1"/>
    <w:qFormat/>
    <w:uiPriority w:val="0"/>
    <w:pPr>
      <w:keepNext/>
      <w:keepLines/>
      <w:tabs>
        <w:tab w:val="left" w:pos="1584"/>
      </w:tabs>
      <w:snapToGrid w:val="0"/>
      <w:spacing w:before="240" w:after="64" w:line="316" w:lineRule="auto"/>
      <w:ind w:left="1584" w:hanging="1584"/>
      <w:outlineLvl w:val="8"/>
    </w:pPr>
    <w:rPr>
      <w:rFonts w:ascii="Arial" w:hAnsi="Arial" w:eastAsia="黑体" w:cs="Times New Roman"/>
      <w:sz w:val="24"/>
      <w:szCs w:val="20"/>
    </w:rPr>
  </w:style>
  <w:style w:type="paragraph" w:customStyle="1" w:styleId="2419">
    <w:name w:val="标题 82"/>
    <w:basedOn w:val="1"/>
    <w:next w:val="1"/>
    <w:qFormat/>
    <w:uiPriority w:val="0"/>
    <w:pPr>
      <w:keepNext/>
      <w:keepLines/>
      <w:tabs>
        <w:tab w:val="left" w:pos="1440"/>
      </w:tabs>
      <w:snapToGrid w:val="0"/>
      <w:spacing w:before="240" w:after="64" w:line="316" w:lineRule="auto"/>
      <w:ind w:left="1440" w:hanging="1440"/>
      <w:outlineLvl w:val="7"/>
    </w:pPr>
    <w:rPr>
      <w:rFonts w:ascii="Arial" w:hAnsi="Arial" w:eastAsia="黑体" w:cs="Times New Roman"/>
      <w:sz w:val="24"/>
      <w:szCs w:val="20"/>
    </w:rPr>
  </w:style>
  <w:style w:type="character" w:customStyle="1" w:styleId="2420">
    <w:name w:val="已访问的超链接2"/>
    <w:qFormat/>
    <w:uiPriority w:val="0"/>
    <w:rPr>
      <w:color w:val="800080"/>
      <w:u w:val="single"/>
    </w:rPr>
  </w:style>
  <w:style w:type="paragraph" w:customStyle="1" w:styleId="2421">
    <w:name w:val="Char Char Char Char Char Char1 Char Char Char1 Char2"/>
    <w:basedOn w:val="1"/>
    <w:qFormat/>
    <w:uiPriority w:val="0"/>
    <w:pPr>
      <w:ind w:firstLine="200" w:firstLineChars="200"/>
    </w:pPr>
    <w:rPr>
      <w:rFonts w:hint="eastAsia" w:ascii="宋体" w:hAnsi="宋体" w:eastAsia="宋体" w:cs="Times New Roman"/>
      <w:sz w:val="24"/>
      <w:szCs w:val="20"/>
    </w:rPr>
  </w:style>
  <w:style w:type="paragraph" w:customStyle="1" w:styleId="2422">
    <w:name w:val="Char Char Char Char Char Char32"/>
    <w:basedOn w:val="1"/>
    <w:qFormat/>
    <w:uiPriority w:val="0"/>
    <w:pPr>
      <w:ind w:firstLine="200" w:firstLineChars="200"/>
    </w:pPr>
    <w:rPr>
      <w:rFonts w:hint="eastAsia" w:ascii="宋体" w:hAnsi="宋体" w:eastAsia="宋体" w:cs="Times New Roman"/>
      <w:sz w:val="24"/>
      <w:szCs w:val="20"/>
    </w:rPr>
  </w:style>
  <w:style w:type="paragraph" w:customStyle="1" w:styleId="2423">
    <w:name w:val="Char Char Char1 Char Char Char Char Char Char2"/>
    <w:basedOn w:val="1"/>
    <w:qFormat/>
    <w:uiPriority w:val="0"/>
    <w:rPr>
      <w:rFonts w:hint="eastAsia" w:ascii="Times New Roman" w:hAnsi="Times New Roman" w:eastAsia="宋体" w:cs="Times New Roman"/>
      <w:sz w:val="24"/>
      <w:szCs w:val="20"/>
    </w:rPr>
  </w:style>
  <w:style w:type="paragraph" w:customStyle="1" w:styleId="2424">
    <w:name w:val="Char Char Char Char Char Char3 Char Char Char2"/>
    <w:basedOn w:val="1"/>
    <w:qFormat/>
    <w:uiPriority w:val="0"/>
    <w:pPr>
      <w:ind w:firstLine="200" w:firstLineChars="200"/>
    </w:pPr>
    <w:rPr>
      <w:rFonts w:hint="eastAsia" w:ascii="宋体" w:hAnsi="宋体" w:eastAsia="宋体" w:cs="Times New Roman"/>
      <w:sz w:val="24"/>
      <w:szCs w:val="20"/>
    </w:rPr>
  </w:style>
  <w:style w:type="paragraph" w:customStyle="1" w:styleId="2425">
    <w:name w:val="Char Char Char Char Char Char Char Char Char1 Char Char Char Char2"/>
    <w:basedOn w:val="1"/>
    <w:qFormat/>
    <w:uiPriority w:val="0"/>
    <w:pPr>
      <w:spacing w:line="240" w:lineRule="auto"/>
    </w:pPr>
    <w:rPr>
      <w:rFonts w:hint="eastAsia" w:ascii="Times New Roman" w:hAnsi="Times New Roman" w:eastAsia="宋体" w:cs="Times New Roman"/>
      <w:sz w:val="24"/>
      <w:szCs w:val="20"/>
    </w:rPr>
  </w:style>
  <w:style w:type="paragraph" w:customStyle="1" w:styleId="2426">
    <w:name w:val="Char Char Char Char Char Char1 Char Char Char3"/>
    <w:basedOn w:val="1"/>
    <w:qFormat/>
    <w:uiPriority w:val="0"/>
    <w:pPr>
      <w:ind w:firstLine="200" w:firstLineChars="200"/>
    </w:pPr>
    <w:rPr>
      <w:rFonts w:hint="eastAsia" w:ascii="宋体" w:hAnsi="宋体" w:eastAsia="宋体" w:cs="Times New Roman"/>
      <w:sz w:val="24"/>
      <w:szCs w:val="20"/>
    </w:rPr>
  </w:style>
  <w:style w:type="paragraph" w:customStyle="1" w:styleId="2427">
    <w:name w:val="Char Char Char Char Char Char1 Char Char Char1 Char Char Char2"/>
    <w:basedOn w:val="1"/>
    <w:qFormat/>
    <w:uiPriority w:val="0"/>
    <w:pPr>
      <w:ind w:firstLine="200" w:firstLineChars="200"/>
    </w:pPr>
    <w:rPr>
      <w:rFonts w:hint="eastAsia" w:ascii="宋体" w:hAnsi="宋体" w:eastAsia="宋体" w:cs="Times New Roman"/>
      <w:sz w:val="24"/>
      <w:szCs w:val="20"/>
    </w:rPr>
  </w:style>
  <w:style w:type="paragraph" w:customStyle="1" w:styleId="2428">
    <w:name w:val="Char Char Char Char Char Char22"/>
    <w:basedOn w:val="1"/>
    <w:qFormat/>
    <w:uiPriority w:val="0"/>
    <w:pPr>
      <w:ind w:firstLine="200" w:firstLineChars="200"/>
    </w:pPr>
    <w:rPr>
      <w:rFonts w:hint="eastAsia" w:ascii="宋体" w:hAnsi="宋体" w:eastAsia="宋体" w:cs="Times New Roman"/>
      <w:sz w:val="24"/>
      <w:szCs w:val="20"/>
    </w:rPr>
  </w:style>
  <w:style w:type="paragraph" w:customStyle="1" w:styleId="2429">
    <w:name w:val="Char Char Char Char Char Char3 Char Char Char Char Char Char2"/>
    <w:basedOn w:val="1"/>
    <w:qFormat/>
    <w:uiPriority w:val="0"/>
    <w:pPr>
      <w:ind w:firstLine="200" w:firstLineChars="200"/>
    </w:pPr>
    <w:rPr>
      <w:rFonts w:hint="eastAsia" w:ascii="宋体" w:hAnsi="宋体" w:eastAsia="宋体" w:cs="Times New Roman"/>
      <w:sz w:val="24"/>
      <w:szCs w:val="20"/>
    </w:rPr>
  </w:style>
  <w:style w:type="paragraph" w:customStyle="1" w:styleId="2430">
    <w:name w:val="Char42"/>
    <w:basedOn w:val="1"/>
    <w:qFormat/>
    <w:uiPriority w:val="0"/>
    <w:pPr>
      <w:ind w:firstLine="200" w:firstLineChars="200"/>
    </w:pPr>
    <w:rPr>
      <w:rFonts w:hint="eastAsia" w:ascii="宋体" w:hAnsi="宋体" w:eastAsia="宋体" w:cs="Times New Roman"/>
      <w:sz w:val="24"/>
      <w:szCs w:val="20"/>
    </w:rPr>
  </w:style>
  <w:style w:type="paragraph" w:customStyle="1" w:styleId="2431">
    <w:name w:val="Char Char Char Char Char Char Char Char Char Char1 Char Char Char Char2"/>
    <w:basedOn w:val="1"/>
    <w:qFormat/>
    <w:uiPriority w:val="0"/>
    <w:pPr>
      <w:spacing w:line="240" w:lineRule="auto"/>
    </w:pPr>
    <w:rPr>
      <w:rFonts w:hint="eastAsia" w:ascii="Times New Roman" w:hAnsi="Times New Roman" w:eastAsia="宋体" w:cs="Times New Roman"/>
      <w:szCs w:val="20"/>
    </w:rPr>
  </w:style>
  <w:style w:type="paragraph" w:customStyle="1" w:styleId="2432">
    <w:name w:val="Char Char Char1 Char Char Char Char Char Char Char2"/>
    <w:basedOn w:val="1"/>
    <w:qFormat/>
    <w:uiPriority w:val="0"/>
    <w:rPr>
      <w:rFonts w:hint="eastAsia" w:ascii="Times New Roman" w:hAnsi="Times New Roman" w:eastAsia="宋体" w:cs="Times New Roman"/>
      <w:sz w:val="24"/>
      <w:szCs w:val="20"/>
    </w:rPr>
  </w:style>
  <w:style w:type="paragraph" w:customStyle="1" w:styleId="2433">
    <w:name w:val="Char Char Char Char Char Char1 Char Char Char1 Char Char Char Char Char Char2"/>
    <w:basedOn w:val="1"/>
    <w:qFormat/>
    <w:uiPriority w:val="0"/>
    <w:pPr>
      <w:ind w:firstLine="200" w:firstLineChars="200"/>
    </w:pPr>
    <w:rPr>
      <w:rFonts w:hint="eastAsia" w:ascii="宋体" w:hAnsi="宋体" w:eastAsia="宋体" w:cs="Times New Roman"/>
      <w:sz w:val="24"/>
      <w:szCs w:val="20"/>
    </w:rPr>
  </w:style>
  <w:style w:type="paragraph" w:customStyle="1" w:styleId="2434">
    <w:name w:val="Char1 Char Char Char Char Char Char2"/>
    <w:basedOn w:val="1"/>
    <w:qFormat/>
    <w:uiPriority w:val="0"/>
    <w:pPr>
      <w:ind w:firstLine="200" w:firstLineChars="200"/>
    </w:pPr>
    <w:rPr>
      <w:rFonts w:hint="eastAsia" w:ascii="宋体" w:hAnsi="宋体" w:eastAsia="宋体" w:cs="Times New Roman"/>
      <w:sz w:val="24"/>
      <w:szCs w:val="20"/>
    </w:rPr>
  </w:style>
  <w:style w:type="paragraph" w:customStyle="1" w:styleId="2435">
    <w:name w:val="Char Char Char Char Char Char1 Char Char Char Char2"/>
    <w:basedOn w:val="1"/>
    <w:qFormat/>
    <w:uiPriority w:val="0"/>
    <w:pPr>
      <w:ind w:firstLine="200" w:firstLineChars="200"/>
    </w:pPr>
    <w:rPr>
      <w:rFonts w:hint="eastAsia" w:ascii="宋体" w:hAnsi="宋体" w:eastAsia="宋体" w:cs="Times New Roman"/>
      <w:sz w:val="24"/>
      <w:szCs w:val="20"/>
    </w:rPr>
  </w:style>
  <w:style w:type="paragraph" w:customStyle="1" w:styleId="2436">
    <w:name w:val="Char Char Char1 Char2"/>
    <w:basedOn w:val="1"/>
    <w:qFormat/>
    <w:uiPriority w:val="0"/>
    <w:pPr>
      <w:spacing w:line="240" w:lineRule="auto"/>
    </w:pPr>
    <w:rPr>
      <w:rFonts w:hint="eastAsia" w:ascii="Times New Roman" w:hAnsi="Times New Roman" w:eastAsia="宋体" w:cs="Times New Roman"/>
      <w:szCs w:val="20"/>
    </w:rPr>
  </w:style>
  <w:style w:type="paragraph" w:customStyle="1" w:styleId="2437">
    <w:name w:val="Char Char Char Char Char Char1 Char Char Char12"/>
    <w:basedOn w:val="1"/>
    <w:qFormat/>
    <w:uiPriority w:val="0"/>
    <w:pPr>
      <w:ind w:firstLine="200" w:firstLineChars="200"/>
    </w:pPr>
    <w:rPr>
      <w:rFonts w:hint="eastAsia" w:ascii="宋体" w:hAnsi="宋体" w:eastAsia="宋体" w:cs="Times New Roman"/>
      <w:sz w:val="24"/>
      <w:szCs w:val="20"/>
    </w:rPr>
  </w:style>
  <w:style w:type="paragraph" w:customStyle="1" w:styleId="2438">
    <w:name w:val="Char Char Char Char Char Char3 Char Char Char Char Char Char Char2"/>
    <w:basedOn w:val="1"/>
    <w:qFormat/>
    <w:uiPriority w:val="0"/>
    <w:pPr>
      <w:ind w:firstLine="200" w:firstLineChars="200"/>
    </w:pPr>
    <w:rPr>
      <w:rFonts w:hint="eastAsia" w:ascii="宋体" w:hAnsi="宋体" w:eastAsia="宋体" w:cs="Times New Roman"/>
      <w:sz w:val="24"/>
      <w:szCs w:val="20"/>
    </w:rPr>
  </w:style>
  <w:style w:type="paragraph" w:customStyle="1" w:styleId="2439">
    <w:name w:val="Char Char Char Char Char Char Char Char Char Char Char Char Char Char Char Char Char Char Char Char Char Char Char Char Char Char Char Char Char Char Char Char Char Char2"/>
    <w:basedOn w:val="1"/>
    <w:qFormat/>
    <w:uiPriority w:val="0"/>
    <w:pPr>
      <w:ind w:firstLine="200" w:firstLineChars="200"/>
    </w:pPr>
    <w:rPr>
      <w:rFonts w:hint="eastAsia" w:ascii="宋体" w:hAnsi="宋体" w:eastAsia="宋体" w:cs="Times New Roman"/>
      <w:sz w:val="24"/>
      <w:szCs w:val="20"/>
    </w:rPr>
  </w:style>
  <w:style w:type="paragraph" w:customStyle="1" w:styleId="2440">
    <w:name w:val="Char Char Char Char Char Char Char Char Char Char Char Char Char Char Char Char Char Char Char Char Char1 Char2"/>
    <w:basedOn w:val="1"/>
    <w:qFormat/>
    <w:uiPriority w:val="0"/>
    <w:pPr>
      <w:ind w:firstLine="200" w:firstLineChars="200"/>
    </w:pPr>
    <w:rPr>
      <w:rFonts w:hint="eastAsia" w:ascii="宋体" w:hAnsi="宋体" w:eastAsia="宋体" w:cs="Times New Roman"/>
      <w:sz w:val="24"/>
      <w:szCs w:val="20"/>
    </w:rPr>
  </w:style>
  <w:style w:type="paragraph" w:customStyle="1" w:styleId="2441">
    <w:name w:val="Char2 Char Char Char Char Char Char Char Char Char Char Char Char Char1 Char Char Char Char Char Char Char Char Char Char Char Char Char Char Char1 Char2"/>
    <w:basedOn w:val="1"/>
    <w:qFormat/>
    <w:uiPriority w:val="0"/>
    <w:pPr>
      <w:spacing w:line="240" w:lineRule="auto"/>
    </w:pPr>
    <w:rPr>
      <w:rFonts w:ascii="Tahoma" w:hAnsi="Tahoma" w:eastAsia="宋体" w:cs="Tahoma"/>
      <w:b/>
      <w:bCs/>
      <w:sz w:val="24"/>
      <w:szCs w:val="44"/>
    </w:rPr>
  </w:style>
  <w:style w:type="paragraph" w:customStyle="1" w:styleId="2442">
    <w:name w:val="Char Char Char Char Char Char1 Char Char Char1 Char Char Char Char Char Char Char2"/>
    <w:basedOn w:val="1"/>
    <w:qFormat/>
    <w:uiPriority w:val="0"/>
    <w:pPr>
      <w:ind w:firstLine="200" w:firstLineChars="200"/>
    </w:pPr>
    <w:rPr>
      <w:rFonts w:ascii="Times New Roman" w:hAnsi="Times New Roman" w:eastAsia="宋体" w:cs="Times New Roman"/>
      <w:sz w:val="24"/>
      <w:szCs w:val="20"/>
    </w:rPr>
  </w:style>
  <w:style w:type="character" w:customStyle="1" w:styleId="2443">
    <w:name w:val="Char Char432"/>
    <w:qFormat/>
    <w:uiPriority w:val="0"/>
    <w:rPr>
      <w:rFonts w:ascii="黑体" w:eastAsia="宋体"/>
      <w:b/>
      <w:snapToGrid w:val="0"/>
      <w:color w:val="000000"/>
      <w:kern w:val="2"/>
      <w:sz w:val="44"/>
      <w:szCs w:val="24"/>
      <w:lang w:val="en-US" w:eastAsia="zh-CN" w:bidi="ar-SA"/>
    </w:rPr>
  </w:style>
  <w:style w:type="character" w:customStyle="1" w:styleId="2444">
    <w:name w:val="Char Char422"/>
    <w:qFormat/>
    <w:uiPriority w:val="0"/>
    <w:rPr>
      <w:rFonts w:hint="eastAsia" w:ascii="黑体" w:eastAsia="黑体"/>
      <w:b/>
      <w:snapToGrid w:val="0"/>
      <w:color w:val="008000"/>
      <w:kern w:val="2"/>
      <w:sz w:val="28"/>
      <w:szCs w:val="24"/>
      <w:lang w:val="en-US" w:eastAsia="zh-CN" w:bidi="ar-SA"/>
    </w:rPr>
  </w:style>
  <w:style w:type="character" w:customStyle="1" w:styleId="2445">
    <w:name w:val="Char Char412"/>
    <w:qFormat/>
    <w:uiPriority w:val="0"/>
    <w:rPr>
      <w:rFonts w:hint="eastAsia" w:ascii="黑体" w:eastAsia="黑体"/>
      <w:b/>
      <w:snapToGrid w:val="0"/>
      <w:color w:val="008000"/>
      <w:kern w:val="2"/>
      <w:sz w:val="24"/>
      <w:szCs w:val="24"/>
      <w:lang w:val="en-US" w:eastAsia="zh-CN" w:bidi="ar-SA"/>
    </w:rPr>
  </w:style>
  <w:style w:type="paragraph" w:customStyle="1" w:styleId="2446">
    <w:name w:val="Char2 Char Char Char Char Char Char Char Char1 Char1"/>
    <w:basedOn w:val="1"/>
    <w:qFormat/>
    <w:uiPriority w:val="0"/>
    <w:pPr>
      <w:spacing w:line="440" w:lineRule="exact"/>
      <w:ind w:firstLine="200" w:firstLineChars="200"/>
    </w:pPr>
    <w:rPr>
      <w:rFonts w:ascii="宋体" w:hAnsi="宋体" w:eastAsia="宋体" w:cs="Courier New"/>
      <w:sz w:val="32"/>
      <w:szCs w:val="32"/>
    </w:rPr>
  </w:style>
  <w:style w:type="paragraph" w:customStyle="1" w:styleId="2447">
    <w:name w:val="无间隔4"/>
    <w:qFormat/>
    <w:uiPriority w:val="0"/>
    <w:pPr>
      <w:widowControl w:val="0"/>
      <w:adjustRightInd w:val="0"/>
    </w:pPr>
    <w:rPr>
      <w:rFonts w:ascii="Times New Roman" w:hAnsi="Times New Roman" w:eastAsia="宋体" w:cs="Times New Roman"/>
      <w:kern w:val="2"/>
      <w:sz w:val="21"/>
      <w:szCs w:val="24"/>
      <w:lang w:val="en-US" w:eastAsia="zh-CN" w:bidi="ar-SA"/>
    </w:rPr>
  </w:style>
  <w:style w:type="character" w:customStyle="1" w:styleId="2448">
    <w:name w:val="Char Char451"/>
    <w:qFormat/>
    <w:uiPriority w:val="0"/>
    <w:rPr>
      <w:rFonts w:eastAsia="宋体"/>
      <w:b/>
      <w:bCs/>
      <w:kern w:val="2"/>
      <w:sz w:val="24"/>
      <w:szCs w:val="24"/>
      <w:lang w:val="en-US" w:eastAsia="zh-CN" w:bidi="ar-SA"/>
    </w:rPr>
  </w:style>
  <w:style w:type="character" w:customStyle="1" w:styleId="2449">
    <w:name w:val="Char Char441"/>
    <w:qFormat/>
    <w:uiPriority w:val="0"/>
    <w:rPr>
      <w:rFonts w:ascii="Arial" w:hAnsi="Arial" w:eastAsia="黑体"/>
      <w:kern w:val="2"/>
      <w:sz w:val="24"/>
      <w:szCs w:val="24"/>
      <w:lang w:val="en-US" w:eastAsia="zh-CN" w:bidi="ar-SA"/>
    </w:rPr>
  </w:style>
  <w:style w:type="paragraph" w:customStyle="1" w:styleId="2450">
    <w:name w:val="样式 标题 6"/>
    <w:basedOn w:val="11"/>
    <w:link w:val="2451"/>
    <w:qFormat/>
    <w:uiPriority w:val="0"/>
    <w:pPr>
      <w:keepLines w:val="0"/>
      <w:adjustRightInd w:val="0"/>
      <w:spacing w:before="0" w:after="0" w:line="360" w:lineRule="auto"/>
      <w:ind w:firstLine="560" w:firstLineChars="200"/>
    </w:pPr>
    <w:rPr>
      <w:rFonts w:eastAsia="宋体" w:cs="Times New Roman"/>
      <w:b w:val="0"/>
      <w:bCs w:val="0"/>
      <w:snapToGrid w:val="0"/>
      <w:kern w:val="0"/>
      <w:sz w:val="28"/>
      <w:szCs w:val="20"/>
    </w:rPr>
  </w:style>
  <w:style w:type="character" w:customStyle="1" w:styleId="2451">
    <w:name w:val="样式 标题 6 Char"/>
    <w:basedOn w:val="379"/>
    <w:link w:val="2450"/>
    <w:qFormat/>
    <w:uiPriority w:val="0"/>
    <w:rPr>
      <w:rFonts w:ascii="Times New Roman" w:hAnsi="Times New Roman" w:eastAsia="宋体" w:cs="Times New Roman"/>
      <w:snapToGrid w:val="0"/>
      <w:kern w:val="0"/>
      <w:sz w:val="28"/>
      <w:szCs w:val="20"/>
    </w:rPr>
  </w:style>
  <w:style w:type="paragraph" w:customStyle="1" w:styleId="2452">
    <w:name w:val="样式 标题 1章 + 段前: 0.5 行 段后: 0.5 行 行距: 单倍行距"/>
    <w:basedOn w:val="6"/>
    <w:qFormat/>
    <w:uiPriority w:val="0"/>
    <w:pPr>
      <w:keepLines w:val="0"/>
      <w:numPr>
        <w:numId w:val="0"/>
      </w:numPr>
      <w:adjustRightInd w:val="0"/>
      <w:snapToGrid w:val="0"/>
      <w:spacing w:before="0" w:afterLines="50" w:line="240" w:lineRule="auto"/>
      <w:jc w:val="both"/>
    </w:pPr>
    <w:rPr>
      <w:rFonts w:ascii="Arial" w:hAnsi="Arial" w:eastAsia="黑体" w:cs="宋体"/>
      <w:b w:val="0"/>
      <w:bCs w:val="0"/>
      <w:snapToGrid w:val="0"/>
      <w:spacing w:val="10"/>
      <w:kern w:val="0"/>
      <w:szCs w:val="32"/>
    </w:rPr>
  </w:style>
  <w:style w:type="paragraph" w:customStyle="1" w:styleId="2453">
    <w:name w:val="标题 63"/>
    <w:basedOn w:val="1"/>
    <w:qFormat/>
    <w:uiPriority w:val="1"/>
    <w:pPr>
      <w:autoSpaceDE w:val="0"/>
      <w:autoSpaceDN w:val="0"/>
      <w:adjustRightInd w:val="0"/>
      <w:spacing w:line="240" w:lineRule="auto"/>
      <w:ind w:left="600"/>
      <w:jc w:val="left"/>
      <w:outlineLvl w:val="5"/>
    </w:pPr>
    <w:rPr>
      <w:rFonts w:ascii="Times New Roman" w:hAnsi="Times New Roman" w:cs="Times New Roman"/>
      <w:b/>
      <w:bCs/>
      <w:kern w:val="0"/>
      <w:sz w:val="24"/>
      <w:szCs w:val="24"/>
    </w:rPr>
  </w:style>
  <w:style w:type="paragraph" w:customStyle="1" w:styleId="2454">
    <w:name w:val="标题 43"/>
    <w:basedOn w:val="1"/>
    <w:qFormat/>
    <w:uiPriority w:val="1"/>
    <w:pPr>
      <w:autoSpaceDE w:val="0"/>
      <w:autoSpaceDN w:val="0"/>
      <w:adjustRightInd w:val="0"/>
      <w:spacing w:line="240" w:lineRule="auto"/>
      <w:ind w:left="240"/>
      <w:jc w:val="left"/>
      <w:outlineLvl w:val="3"/>
    </w:pPr>
    <w:rPr>
      <w:rFonts w:ascii="Microsoft JhengHei" w:hAnsi="Times New Roman" w:eastAsia="Microsoft JhengHei" w:cs="Microsoft JhengHei"/>
      <w:b/>
      <w:bCs/>
      <w:kern w:val="0"/>
      <w:sz w:val="28"/>
      <w:szCs w:val="28"/>
    </w:rPr>
  </w:style>
  <w:style w:type="character" w:customStyle="1" w:styleId="2455">
    <w:name w:val="title1"/>
    <w:basedOn w:val="94"/>
    <w:qFormat/>
    <w:uiPriority w:val="0"/>
    <w:rPr>
      <w:color w:val="000000"/>
    </w:rPr>
  </w:style>
  <w:style w:type="character" w:customStyle="1" w:styleId="2456">
    <w:name w:val="正文小四 Char"/>
    <w:basedOn w:val="94"/>
    <w:link w:val="2457"/>
    <w:qFormat/>
    <w:uiPriority w:val="0"/>
    <w:rPr>
      <w:rFonts w:eastAsia="宋体"/>
      <w:sz w:val="24"/>
      <w:szCs w:val="24"/>
    </w:rPr>
  </w:style>
  <w:style w:type="paragraph" w:customStyle="1" w:styleId="2457">
    <w:name w:val="正文小四"/>
    <w:basedOn w:val="1"/>
    <w:link w:val="2456"/>
    <w:qFormat/>
    <w:uiPriority w:val="0"/>
    <w:pPr>
      <w:ind w:firstLine="200" w:firstLineChars="200"/>
      <w:jc w:val="left"/>
    </w:pPr>
    <w:rPr>
      <w:rFonts w:eastAsia="宋体"/>
      <w:sz w:val="24"/>
      <w:szCs w:val="24"/>
    </w:rPr>
  </w:style>
  <w:style w:type="paragraph" w:customStyle="1" w:styleId="2458">
    <w:name w:val="标题 13"/>
    <w:basedOn w:val="1"/>
    <w:qFormat/>
    <w:uiPriority w:val="1"/>
    <w:pPr>
      <w:autoSpaceDE w:val="0"/>
      <w:autoSpaceDN w:val="0"/>
      <w:adjustRightInd w:val="0"/>
      <w:spacing w:line="240" w:lineRule="auto"/>
      <w:ind w:left="120"/>
      <w:jc w:val="left"/>
      <w:outlineLvl w:val="0"/>
    </w:pPr>
    <w:rPr>
      <w:rFonts w:ascii="Microsoft JhengHei" w:hAnsi="Times New Roman" w:eastAsia="Microsoft JhengHei" w:cs="Microsoft JhengHei"/>
      <w:b/>
      <w:bCs/>
      <w:kern w:val="0"/>
      <w:sz w:val="36"/>
      <w:szCs w:val="36"/>
    </w:rPr>
  </w:style>
  <w:style w:type="paragraph" w:customStyle="1" w:styleId="2459">
    <w:name w:val="标题 22"/>
    <w:basedOn w:val="1"/>
    <w:qFormat/>
    <w:uiPriority w:val="1"/>
    <w:pPr>
      <w:autoSpaceDE w:val="0"/>
      <w:autoSpaceDN w:val="0"/>
      <w:adjustRightInd w:val="0"/>
      <w:spacing w:line="240" w:lineRule="auto"/>
      <w:ind w:left="120"/>
      <w:jc w:val="left"/>
      <w:outlineLvl w:val="1"/>
    </w:pPr>
    <w:rPr>
      <w:rFonts w:ascii="Microsoft JhengHei" w:hAnsi="Times New Roman" w:eastAsia="Microsoft JhengHei" w:cs="Microsoft JhengHei"/>
      <w:b/>
      <w:bCs/>
      <w:kern w:val="0"/>
      <w:sz w:val="32"/>
      <w:szCs w:val="32"/>
    </w:rPr>
  </w:style>
  <w:style w:type="paragraph" w:customStyle="1" w:styleId="2460">
    <w:name w:val="标题 33"/>
    <w:basedOn w:val="1"/>
    <w:qFormat/>
    <w:uiPriority w:val="1"/>
    <w:pPr>
      <w:autoSpaceDE w:val="0"/>
      <w:autoSpaceDN w:val="0"/>
      <w:adjustRightInd w:val="0"/>
      <w:spacing w:line="240" w:lineRule="auto"/>
      <w:ind w:left="120"/>
      <w:jc w:val="left"/>
      <w:outlineLvl w:val="2"/>
    </w:pPr>
    <w:rPr>
      <w:rFonts w:ascii="Times New Roman" w:hAnsi="Times New Roman" w:cs="Times New Roman"/>
      <w:b/>
      <w:bCs/>
      <w:kern w:val="0"/>
      <w:sz w:val="30"/>
      <w:szCs w:val="30"/>
    </w:rPr>
  </w:style>
  <w:style w:type="paragraph" w:customStyle="1" w:styleId="2461">
    <w:name w:val="标题 53"/>
    <w:basedOn w:val="1"/>
    <w:qFormat/>
    <w:uiPriority w:val="1"/>
    <w:pPr>
      <w:autoSpaceDE w:val="0"/>
      <w:autoSpaceDN w:val="0"/>
      <w:adjustRightInd w:val="0"/>
      <w:spacing w:line="240" w:lineRule="auto"/>
      <w:jc w:val="left"/>
      <w:outlineLvl w:val="4"/>
    </w:pPr>
    <w:rPr>
      <w:rFonts w:ascii="Times New Roman" w:hAnsi="Times New Roman" w:cs="Times New Roman"/>
      <w:kern w:val="0"/>
      <w:sz w:val="25"/>
      <w:szCs w:val="25"/>
    </w:rPr>
  </w:style>
  <w:style w:type="table" w:customStyle="1" w:styleId="2462">
    <w:name w:val="Table Normal"/>
    <w:unhideWhenUsed/>
    <w:qFormat/>
    <w:uiPriority w:val="2"/>
    <w:pPr>
      <w:widowControl w:val="0"/>
    </w:pPr>
    <w:rPr>
      <w:sz w:val="22"/>
      <w:szCs w:val="22"/>
      <w:lang w:eastAsia="en-US"/>
    </w:rPr>
    <w:tblPr>
      <w:tblCellMar>
        <w:top w:w="0" w:type="dxa"/>
        <w:left w:w="0" w:type="dxa"/>
        <w:bottom w:w="0" w:type="dxa"/>
        <w:right w:w="0" w:type="dxa"/>
      </w:tblCellMar>
    </w:tblPr>
  </w:style>
  <w:style w:type="character" w:customStyle="1" w:styleId="2463">
    <w:name w:val="description"/>
    <w:basedOn w:val="94"/>
    <w:qFormat/>
    <w:uiPriority w:val="0"/>
  </w:style>
  <w:style w:type="character" w:customStyle="1" w:styleId="2464">
    <w:name w:val="表格文字内容 Char"/>
    <w:link w:val="2465"/>
    <w:qFormat/>
    <w:uiPriority w:val="0"/>
    <w:rPr>
      <w:rFonts w:cs="宋体"/>
      <w:kern w:val="2"/>
      <w:sz w:val="18"/>
    </w:rPr>
  </w:style>
  <w:style w:type="paragraph" w:customStyle="1" w:styleId="2465">
    <w:name w:val="表格文字内容"/>
    <w:basedOn w:val="1"/>
    <w:link w:val="2464"/>
    <w:qFormat/>
    <w:uiPriority w:val="0"/>
    <w:pPr>
      <w:spacing w:line="240" w:lineRule="exact"/>
      <w:jc w:val="center"/>
    </w:pPr>
    <w:rPr>
      <w:rFonts w:cs="宋体"/>
      <w:sz w:val="18"/>
      <w:szCs w:val="20"/>
    </w:rPr>
  </w:style>
  <w:style w:type="paragraph" w:customStyle="1" w:styleId="2466">
    <w:name w:val="1111111"/>
    <w:basedOn w:val="1"/>
    <w:link w:val="2467"/>
    <w:qFormat/>
    <w:uiPriority w:val="0"/>
    <w:pPr>
      <w:adjustRightInd w:val="0"/>
      <w:snapToGrid w:val="0"/>
      <w:ind w:firstLine="480" w:firstLineChars="200"/>
      <w:jc w:val="left"/>
    </w:pPr>
    <w:rPr>
      <w:rFonts w:ascii="Times New Roman" w:hAnsi="Times New Roman" w:eastAsia="宋体" w:cs="Arial Unicode MS"/>
      <w:color w:val="00B050"/>
      <w:sz w:val="24"/>
      <w:szCs w:val="24"/>
    </w:rPr>
  </w:style>
  <w:style w:type="character" w:customStyle="1" w:styleId="2467">
    <w:name w:val="1111111 Char"/>
    <w:link w:val="2466"/>
    <w:qFormat/>
    <w:uiPriority w:val="0"/>
    <w:rPr>
      <w:rFonts w:ascii="Times New Roman" w:hAnsi="Times New Roman" w:eastAsia="宋体" w:cs="Arial Unicode MS"/>
      <w:color w:val="00B050"/>
      <w:kern w:val="2"/>
      <w:sz w:val="24"/>
      <w:szCs w:val="24"/>
    </w:rPr>
  </w:style>
  <w:style w:type="paragraph" w:customStyle="1" w:styleId="2468">
    <w:name w:val="样式35"/>
    <w:basedOn w:val="1"/>
    <w:qFormat/>
    <w:uiPriority w:val="0"/>
    <w:pPr>
      <w:adjustRightInd w:val="0"/>
      <w:spacing w:line="312" w:lineRule="auto"/>
      <w:ind w:firstLine="567"/>
    </w:pPr>
    <w:rPr>
      <w:rFonts w:ascii="宋体" w:hAnsi="Times New Roman" w:eastAsia="宋体" w:cs="Times New Roman"/>
      <w:kern w:val="0"/>
      <w:sz w:val="28"/>
      <w:szCs w:val="20"/>
    </w:rPr>
  </w:style>
  <w:style w:type="paragraph" w:customStyle="1" w:styleId="2469">
    <w:name w:val="正文l"/>
    <w:basedOn w:val="1"/>
    <w:link w:val="2470"/>
    <w:qFormat/>
    <w:uiPriority w:val="0"/>
    <w:pPr>
      <w:autoSpaceDE w:val="0"/>
      <w:autoSpaceDN w:val="0"/>
      <w:adjustRightInd w:val="0"/>
      <w:ind w:firstLine="200" w:firstLineChars="200"/>
    </w:pPr>
    <w:rPr>
      <w:rFonts w:ascii="Times New Roman" w:hAnsi="Times New Roman" w:eastAsia="Times New Roman" w:cs="Arial Unicode MS"/>
      <w:sz w:val="24"/>
      <w:szCs w:val="24"/>
    </w:rPr>
  </w:style>
  <w:style w:type="character" w:customStyle="1" w:styleId="2470">
    <w:name w:val="正文l Char"/>
    <w:link w:val="2469"/>
    <w:qFormat/>
    <w:uiPriority w:val="0"/>
    <w:rPr>
      <w:rFonts w:ascii="Times New Roman" w:hAnsi="Times New Roman" w:eastAsia="Times New Roman" w:cs="Arial Unicode MS"/>
      <w:kern w:val="2"/>
      <w:sz w:val="24"/>
      <w:szCs w:val="24"/>
    </w:rPr>
  </w:style>
  <w:style w:type="character" w:customStyle="1" w:styleId="2471">
    <w:name w:val="正式正文 Char"/>
    <w:link w:val="2472"/>
    <w:qFormat/>
    <w:uiPriority w:val="0"/>
    <w:rPr>
      <w:kern w:val="2"/>
      <w:sz w:val="24"/>
      <w:szCs w:val="24"/>
    </w:rPr>
  </w:style>
  <w:style w:type="paragraph" w:customStyle="1" w:styleId="2472">
    <w:name w:val="正式正文"/>
    <w:basedOn w:val="1"/>
    <w:link w:val="2471"/>
    <w:qFormat/>
    <w:uiPriority w:val="0"/>
    <w:pPr>
      <w:ind w:firstLine="480"/>
    </w:pPr>
    <w:rPr>
      <w:sz w:val="24"/>
      <w:szCs w:val="24"/>
    </w:rPr>
  </w:style>
  <w:style w:type="paragraph" w:customStyle="1" w:styleId="2473">
    <w:name w:val="A-正文"/>
    <w:basedOn w:val="1"/>
    <w:link w:val="2474"/>
    <w:qFormat/>
    <w:uiPriority w:val="0"/>
    <w:pPr>
      <w:widowControl/>
      <w:adjustRightInd w:val="0"/>
      <w:snapToGrid w:val="0"/>
      <w:ind w:firstLine="480" w:firstLineChars="200"/>
    </w:pPr>
    <w:rPr>
      <w:rFonts w:ascii="Times New Roman" w:hAnsi="Times New Roman" w:eastAsia="宋体" w:cs="Arial Unicode MS"/>
      <w:color w:val="00B050"/>
      <w:sz w:val="24"/>
      <w:szCs w:val="24"/>
    </w:rPr>
  </w:style>
  <w:style w:type="character" w:customStyle="1" w:styleId="2474">
    <w:name w:val="A-正文 Char"/>
    <w:link w:val="2473"/>
    <w:qFormat/>
    <w:uiPriority w:val="0"/>
    <w:rPr>
      <w:rFonts w:ascii="Times New Roman" w:hAnsi="Times New Roman" w:eastAsia="宋体" w:cs="Arial Unicode MS"/>
      <w:color w:val="00B050"/>
      <w:kern w:val="2"/>
      <w:sz w:val="24"/>
      <w:szCs w:val="24"/>
    </w:rPr>
  </w:style>
  <w:style w:type="paragraph" w:customStyle="1" w:styleId="2475">
    <w:name w:val="正文lcc"/>
    <w:basedOn w:val="1"/>
    <w:link w:val="2476"/>
    <w:qFormat/>
    <w:uiPriority w:val="0"/>
    <w:pPr>
      <w:widowControl/>
      <w:adjustRightInd w:val="0"/>
      <w:snapToGrid w:val="0"/>
      <w:ind w:firstLine="200" w:firstLineChars="200"/>
      <w:jc w:val="left"/>
    </w:pPr>
    <w:rPr>
      <w:rFonts w:ascii="Times New Roman" w:hAnsi="Times New Roman" w:eastAsia="Times New Roman" w:cs="Arial Unicode MS"/>
      <w:sz w:val="24"/>
      <w:szCs w:val="24"/>
    </w:rPr>
  </w:style>
  <w:style w:type="character" w:customStyle="1" w:styleId="2476">
    <w:name w:val="正文lcc Char"/>
    <w:link w:val="2475"/>
    <w:qFormat/>
    <w:uiPriority w:val="0"/>
    <w:rPr>
      <w:rFonts w:ascii="Times New Roman" w:hAnsi="Times New Roman" w:eastAsia="Times New Roman" w:cs="Arial Unicode MS"/>
      <w:kern w:val="2"/>
      <w:sz w:val="24"/>
      <w:szCs w:val="24"/>
    </w:rPr>
  </w:style>
  <w:style w:type="paragraph" w:customStyle="1" w:styleId="2477">
    <w:name w:val="正文-蓝色"/>
    <w:basedOn w:val="1"/>
    <w:qFormat/>
    <w:uiPriority w:val="0"/>
    <w:pPr>
      <w:ind w:firstLine="200" w:firstLineChars="200"/>
    </w:pPr>
    <w:rPr>
      <w:rFonts w:ascii="Times New Roman" w:hAnsi="Times New Roman" w:eastAsia="宋体" w:cs="Times New Roman"/>
      <w:color w:val="0000FF"/>
      <w:sz w:val="24"/>
      <w:szCs w:val="28"/>
    </w:rPr>
  </w:style>
  <w:style w:type="paragraph" w:customStyle="1" w:styleId="2478">
    <w:name w:val="表格标题-7"/>
    <w:basedOn w:val="1"/>
    <w:next w:val="1"/>
    <w:qFormat/>
    <w:uiPriority w:val="0"/>
    <w:pPr>
      <w:tabs>
        <w:tab w:val="left" w:pos="851"/>
      </w:tabs>
      <w:adjustRightInd w:val="0"/>
      <w:snapToGrid w:val="0"/>
      <w:jc w:val="center"/>
    </w:pPr>
    <w:rPr>
      <w:rFonts w:ascii="Times New Roman" w:hAnsi="Times New Roman" w:eastAsia="宋体" w:cs="Times New Roman"/>
      <w:b/>
      <w:sz w:val="24"/>
      <w:szCs w:val="24"/>
    </w:rPr>
  </w:style>
  <w:style w:type="paragraph" w:customStyle="1" w:styleId="2479">
    <w:name w:val="p19"/>
    <w:basedOn w:val="1"/>
    <w:qFormat/>
    <w:uiPriority w:val="0"/>
    <w:pPr>
      <w:widowControl/>
      <w:spacing w:line="240" w:lineRule="auto"/>
      <w:jc w:val="center"/>
    </w:pPr>
    <w:rPr>
      <w:rFonts w:ascii="Times New Roman" w:hAnsi="Times New Roman" w:eastAsia="宋体" w:cs="Times New Roman"/>
      <w:b/>
      <w:bCs/>
      <w:kern w:val="0"/>
      <w:szCs w:val="24"/>
    </w:rPr>
  </w:style>
  <w:style w:type="paragraph" w:customStyle="1" w:styleId="2480">
    <w:name w:val="Char7"/>
    <w:basedOn w:val="1"/>
    <w:qFormat/>
    <w:uiPriority w:val="0"/>
    <w:pPr>
      <w:spacing w:line="240" w:lineRule="auto"/>
    </w:pPr>
    <w:rPr>
      <w:rFonts w:ascii="Times New Roman" w:hAnsi="Times New Roman" w:eastAsia="宋体" w:cs="Times New Roman"/>
      <w:szCs w:val="24"/>
    </w:rPr>
  </w:style>
  <w:style w:type="paragraph" w:styleId="2481">
    <w:name w:val="List Paragraph"/>
    <w:basedOn w:val="1"/>
    <w:qFormat/>
    <w:uiPriority w:val="1"/>
    <w:pPr>
      <w:spacing w:line="240" w:lineRule="auto"/>
      <w:ind w:firstLine="420" w:firstLineChars="200"/>
    </w:pPr>
    <w:rPr>
      <w:szCs w:val="22"/>
    </w:rPr>
  </w:style>
  <w:style w:type="paragraph" w:customStyle="1" w:styleId="2482">
    <w:name w:val="正文新"/>
    <w:basedOn w:val="1"/>
    <w:next w:val="1"/>
    <w:qFormat/>
    <w:uiPriority w:val="0"/>
    <w:pPr>
      <w:ind w:firstLine="200" w:firstLineChars="200"/>
    </w:pPr>
    <w:rPr>
      <w:rFonts w:ascii="Times New Roman" w:hAnsi="Times New Roman" w:eastAsia="宋体" w:cs="Times New Roman"/>
      <w:sz w:val="24"/>
      <w:szCs w:val="24"/>
    </w:rPr>
  </w:style>
  <w:style w:type="character" w:customStyle="1" w:styleId="2483">
    <w:name w:val="题注 Char2"/>
    <w:qFormat/>
    <w:uiPriority w:val="35"/>
    <w:rPr>
      <w:rFonts w:ascii="Times New Roman" w:hAnsi="Times New Roman" w:cs="Times New Roman"/>
      <w:b/>
      <w:szCs w:val="21"/>
    </w:rPr>
  </w:style>
  <w:style w:type="paragraph" w:customStyle="1" w:styleId="2484">
    <w:name w:val="样式 正文标题2 + 段前: 12 磅 段后: 6 磅"/>
    <w:basedOn w:val="1"/>
    <w:qFormat/>
    <w:uiPriority w:val="0"/>
    <w:pPr>
      <w:keepNext/>
      <w:keepLines/>
      <w:spacing w:before="240" w:after="240"/>
      <w:outlineLvl w:val="0"/>
    </w:pPr>
    <w:rPr>
      <w:rFonts w:ascii="Times New Roman" w:hAnsi="Times New Roman" w:eastAsia="黑体" w:cs="宋体"/>
      <w:b/>
      <w:sz w:val="30"/>
      <w:szCs w:val="20"/>
    </w:rPr>
  </w:style>
  <w:style w:type="paragraph" w:customStyle="1" w:styleId="2485">
    <w:name w:val="样式 正文标题3 + 段前: 6 磅 段后: 6 磅 行距: 多倍行距 1.25 字行"/>
    <w:basedOn w:val="1"/>
    <w:qFormat/>
    <w:uiPriority w:val="0"/>
    <w:pPr>
      <w:keepNext/>
      <w:keepLines/>
      <w:adjustRightInd w:val="0"/>
      <w:snapToGrid w:val="0"/>
      <w:spacing w:before="240" w:after="240" w:line="300" w:lineRule="auto"/>
      <w:outlineLvl w:val="1"/>
    </w:pPr>
    <w:rPr>
      <w:rFonts w:ascii="Times New Roman" w:hAnsi="Times New Roman" w:eastAsia="黑体" w:cs="宋体"/>
      <w:sz w:val="28"/>
      <w:szCs w:val="20"/>
    </w:rPr>
  </w:style>
  <w:style w:type="paragraph" w:customStyle="1" w:styleId="2486">
    <w:name w:val="3级标题"/>
    <w:basedOn w:val="1"/>
    <w:qFormat/>
    <w:uiPriority w:val="0"/>
    <w:pPr>
      <w:jc w:val="left"/>
      <w:outlineLvl w:val="2"/>
    </w:pPr>
    <w:rPr>
      <w:rFonts w:ascii="Times New Roman" w:hAnsi="Times New Roman" w:eastAsia="宋体" w:cs="Times New Roman"/>
      <w:b/>
      <w:kern w:val="18"/>
      <w:sz w:val="24"/>
      <w:szCs w:val="24"/>
    </w:rPr>
  </w:style>
  <w:style w:type="character" w:customStyle="1" w:styleId="2487">
    <w:name w:val="正文wei Char Char"/>
    <w:basedOn w:val="94"/>
    <w:link w:val="2488"/>
    <w:qFormat/>
    <w:uiPriority w:val="0"/>
    <w:rPr>
      <w:rFonts w:ascii="黑体" w:hAnsi="黑体" w:eastAsia="黑体" w:cs="黑体"/>
      <w:color w:val="000000"/>
      <w:kern w:val="2"/>
      <w:sz w:val="24"/>
      <w:szCs w:val="24"/>
      <w:lang w:val="zh-CN"/>
    </w:rPr>
  </w:style>
  <w:style w:type="paragraph" w:customStyle="1" w:styleId="2488">
    <w:name w:val="正文wei"/>
    <w:basedOn w:val="1"/>
    <w:next w:val="1"/>
    <w:link w:val="2487"/>
    <w:qFormat/>
    <w:uiPriority w:val="0"/>
    <w:pPr>
      <w:adjustRightInd w:val="0"/>
      <w:snapToGrid w:val="0"/>
      <w:ind w:firstLine="480" w:firstLineChars="200"/>
    </w:pPr>
    <w:rPr>
      <w:rFonts w:ascii="黑体" w:hAnsi="黑体" w:eastAsia="黑体" w:cs="黑体"/>
      <w:color w:val="000000"/>
      <w:sz w:val="24"/>
      <w:szCs w:val="24"/>
      <w:lang w:val="zh-CN"/>
    </w:rPr>
  </w:style>
  <w:style w:type="character" w:customStyle="1" w:styleId="2489">
    <w:name w:val="表 题注 + 左 段前: 0.5 行1 Char"/>
    <w:basedOn w:val="94"/>
    <w:link w:val="2490"/>
    <w:qFormat/>
    <w:uiPriority w:val="0"/>
    <w:rPr>
      <w:rFonts w:ascii="黑体" w:hAnsi="黑体" w:eastAsia="黑体" w:cs="宋体"/>
      <w:kern w:val="2"/>
      <w:sz w:val="24"/>
    </w:rPr>
  </w:style>
  <w:style w:type="paragraph" w:customStyle="1" w:styleId="2490">
    <w:name w:val="表 题注 + 左 段前: 0.5 行1"/>
    <w:basedOn w:val="25"/>
    <w:link w:val="2489"/>
    <w:qFormat/>
    <w:uiPriority w:val="0"/>
    <w:pPr>
      <w:spacing w:line="240" w:lineRule="auto"/>
      <w:outlineLvl w:val="4"/>
    </w:pPr>
    <w:rPr>
      <w:rFonts w:ascii="黑体" w:hAnsi="黑体" w:eastAsia="黑体" w:cs="宋体"/>
      <w:b w:val="0"/>
      <w:sz w:val="24"/>
    </w:rPr>
  </w:style>
  <w:style w:type="paragraph" w:customStyle="1" w:styleId="2491">
    <w:name w:val="样式56"/>
    <w:basedOn w:val="1"/>
    <w:qFormat/>
    <w:uiPriority w:val="0"/>
    <w:pPr>
      <w:widowControl/>
      <w:spacing w:line="240" w:lineRule="auto"/>
      <w:jc w:val="center"/>
    </w:pPr>
    <w:rPr>
      <w:rFonts w:ascii="Times New Roman" w:hAnsi="Times New Roman" w:eastAsia="宋体" w:cs="Times New Roman"/>
      <w:kern w:val="0"/>
      <w:szCs w:val="20"/>
    </w:rPr>
  </w:style>
  <w:style w:type="character" w:customStyle="1" w:styleId="2492">
    <w:name w:val="【表内字】 Char"/>
    <w:link w:val="2493"/>
    <w:qFormat/>
    <w:uiPriority w:val="0"/>
    <w:rPr>
      <w:rFonts w:ascii="Times New Roman" w:hAnsi="Times New Roman" w:cs="Times New Roman"/>
      <w:szCs w:val="24"/>
    </w:rPr>
  </w:style>
  <w:style w:type="paragraph" w:customStyle="1" w:styleId="2493">
    <w:name w:val="【表内字】"/>
    <w:basedOn w:val="1"/>
    <w:link w:val="2492"/>
    <w:qFormat/>
    <w:uiPriority w:val="0"/>
    <w:pPr>
      <w:spacing w:line="240" w:lineRule="auto"/>
      <w:jc w:val="center"/>
    </w:pPr>
    <w:rPr>
      <w:rFonts w:ascii="Times New Roman" w:hAnsi="Times New Roman" w:cs="Times New Roman"/>
      <w:kern w:val="0"/>
      <w:sz w:val="20"/>
      <w:szCs w:val="24"/>
    </w:rPr>
  </w:style>
  <w:style w:type="character" w:customStyle="1" w:styleId="2494">
    <w:name w:val="C表后正文 Char"/>
    <w:basedOn w:val="94"/>
    <w:link w:val="2495"/>
    <w:qFormat/>
    <w:uiPriority w:val="0"/>
    <w:rPr>
      <w:rFonts w:ascii="Times New Roman" w:hAnsi="Times New Roman" w:eastAsia="宋体" w:cs="Times New Roman"/>
      <w:sz w:val="24"/>
      <w:szCs w:val="24"/>
    </w:rPr>
  </w:style>
  <w:style w:type="paragraph" w:customStyle="1" w:styleId="2495">
    <w:name w:val="C表后正文"/>
    <w:basedOn w:val="1"/>
    <w:link w:val="2494"/>
    <w:qFormat/>
    <w:uiPriority w:val="0"/>
    <w:pPr>
      <w:spacing w:beforeLines="50"/>
      <w:ind w:firstLine="200" w:firstLineChars="200"/>
    </w:pPr>
    <w:rPr>
      <w:rFonts w:ascii="Times New Roman" w:hAnsi="Times New Roman" w:eastAsia="宋体" w:cs="Times New Roman"/>
      <w:kern w:val="0"/>
      <w:sz w:val="24"/>
      <w:szCs w:val="24"/>
    </w:rPr>
  </w:style>
  <w:style w:type="character" w:styleId="2496">
    <w:name w:val="Placeholder Text"/>
    <w:basedOn w:val="94"/>
    <w:unhideWhenUsed/>
    <w:qFormat/>
    <w:uiPriority w:val="99"/>
    <w:rPr>
      <w:color w:val="808080"/>
    </w:rPr>
  </w:style>
  <w:style w:type="paragraph" w:customStyle="1" w:styleId="2497">
    <w:name w:val="Normal+2"/>
    <w:basedOn w:val="271"/>
    <w:next w:val="271"/>
    <w:qFormat/>
    <w:uiPriority w:val="99"/>
    <w:rPr>
      <w:rFonts w:ascii="Arial" w:hAnsi="Arial" w:cs="Arial" w:eastAsiaTheme="minorEastAsia"/>
      <w:color w:val="auto"/>
    </w:rPr>
  </w:style>
  <w:style w:type="paragraph" w:customStyle="1" w:styleId="2498">
    <w:name w:val="修订3"/>
    <w:hidden/>
    <w:unhideWhenUsed/>
    <w:qFormat/>
    <w:uiPriority w:val="99"/>
    <w:rPr>
      <w:rFonts w:asciiTheme="minorHAnsi" w:hAnsiTheme="minorHAnsi" w:eastAsiaTheme="minorEastAsia" w:cstheme="minorBidi"/>
      <w:kern w:val="2"/>
      <w:sz w:val="21"/>
      <w:szCs w:val="21"/>
      <w:lang w:val="en-US" w:eastAsia="zh-CN" w:bidi="ar-SA"/>
    </w:rPr>
  </w:style>
  <w:style w:type="paragraph" w:customStyle="1" w:styleId="2499">
    <w:name w:val="表格标题-3"/>
    <w:basedOn w:val="1"/>
    <w:next w:val="1"/>
    <w:qFormat/>
    <w:uiPriority w:val="0"/>
    <w:pPr>
      <w:numPr>
        <w:ilvl w:val="0"/>
        <w:numId w:val="2"/>
      </w:numPr>
      <w:adjustRightInd w:val="0"/>
      <w:snapToGrid w:val="0"/>
      <w:jc w:val="center"/>
    </w:pPr>
    <w:rPr>
      <w:rFonts w:ascii="Times New Roman" w:hAnsi="Times New Roman" w:eastAsia="黑体" w:cs="Times New Roman"/>
      <w:sz w:val="24"/>
      <w:szCs w:val="24"/>
    </w:rPr>
  </w:style>
  <w:style w:type="character" w:customStyle="1" w:styleId="2500">
    <w:name w:val="排版正文 Char"/>
    <w:qFormat/>
    <w:uiPriority w:val="0"/>
    <w:rPr>
      <w:kern w:val="0"/>
      <w:sz w:val="20"/>
    </w:rPr>
  </w:style>
  <w:style w:type="paragraph" w:customStyle="1" w:styleId="2501">
    <w:name w:val="1 Char Char Char Char"/>
    <w:basedOn w:val="1"/>
    <w:qFormat/>
    <w:uiPriority w:val="0"/>
    <w:pPr>
      <w:spacing w:line="240" w:lineRule="auto"/>
    </w:pPr>
    <w:rPr>
      <w:rFonts w:ascii="Times New Roman" w:hAnsi="Times New Roman" w:eastAsia="宋体" w:cs="Times New Roman"/>
      <w:szCs w:val="24"/>
    </w:rPr>
  </w:style>
  <w:style w:type="paragraph" w:customStyle="1" w:styleId="2502">
    <w:name w:val="正文6"/>
    <w:basedOn w:val="1"/>
    <w:qFormat/>
    <w:uiPriority w:val="0"/>
    <w:pPr>
      <w:adjustRightInd w:val="0"/>
      <w:spacing w:line="480" w:lineRule="exact"/>
      <w:ind w:firstLine="465"/>
      <w:textAlignment w:val="baseline"/>
    </w:pPr>
    <w:rPr>
      <w:rFonts w:ascii="Calibri" w:hAnsi="Calibri" w:eastAsia="宋体" w:cs="Times New Roman"/>
      <w:spacing w:val="-2"/>
      <w:kern w:val="0"/>
      <w:sz w:val="28"/>
      <w:szCs w:val="20"/>
    </w:rPr>
  </w:style>
  <w:style w:type="paragraph" w:customStyle="1" w:styleId="2503">
    <w:name w:val="正文7"/>
    <w:basedOn w:val="1"/>
    <w:qFormat/>
    <w:uiPriority w:val="0"/>
    <w:pPr>
      <w:adjustRightInd w:val="0"/>
      <w:spacing w:line="480" w:lineRule="exact"/>
      <w:ind w:firstLine="465"/>
      <w:textAlignment w:val="baseline"/>
    </w:pPr>
    <w:rPr>
      <w:rFonts w:ascii="Calibri" w:hAnsi="Calibri" w:eastAsia="宋体" w:cs="Times New Roman"/>
      <w:spacing w:val="-2"/>
      <w:kern w:val="0"/>
      <w:sz w:val="28"/>
      <w:szCs w:val="20"/>
    </w:rPr>
  </w:style>
  <w:style w:type="paragraph" w:customStyle="1" w:styleId="2504">
    <w:name w:val="图件标题"/>
    <w:basedOn w:val="1"/>
    <w:qFormat/>
    <w:uiPriority w:val="0"/>
    <w:pPr>
      <w:spacing w:before="156" w:beforeLines="50" w:line="240" w:lineRule="exact"/>
      <w:ind w:firstLine="0" w:firstLineChars="0"/>
      <w:jc w:val="center"/>
    </w:pPr>
    <w:rPr>
      <w:b/>
      <w:sz w:val="21"/>
    </w:rPr>
  </w:style>
  <w:style w:type="paragraph" w:customStyle="1" w:styleId="2505">
    <w:name w:val="正文-黑体"/>
    <w:qFormat/>
    <w:uiPriority w:val="0"/>
    <w:rPr>
      <w:rFonts w:ascii="Times New Roman" w:hAnsi="Times New Roman" w:eastAsia="黑体" w:cs="Times New Roman"/>
      <w:lang w:val="en-US" w:eastAsia="zh-CN" w:bidi="ar-SA"/>
    </w:rPr>
  </w:style>
  <w:style w:type="character" w:customStyle="1" w:styleId="2506">
    <w:name w:val="fontstyle01"/>
    <w:qFormat/>
    <w:uiPriority w:val="0"/>
    <w:rPr>
      <w:rFonts w:hint="eastAsia" w:ascii="宋体" w:hAnsi="宋体" w:eastAsia="宋体"/>
      <w:color w:val="000000"/>
      <w:sz w:val="24"/>
      <w:szCs w:val="24"/>
    </w:rPr>
  </w:style>
  <w:style w:type="paragraph" w:customStyle="1" w:styleId="2507">
    <w:name w:val="hj-正文"/>
    <w:basedOn w:val="1"/>
    <w:qFormat/>
    <w:uiPriority w:val="0"/>
    <w:pPr>
      <w:keepNext w:val="0"/>
      <w:keepLines w:val="0"/>
      <w:widowControl w:val="0"/>
      <w:suppressLineNumbers w:val="0"/>
      <w:spacing w:before="0" w:beforeAutospacing="0" w:after="0" w:afterAutospacing="0" w:line="360" w:lineRule="auto"/>
      <w:ind w:left="0" w:right="0" w:firstLine="480" w:firstLineChars="200"/>
      <w:jc w:val="both"/>
    </w:pPr>
    <w:rPr>
      <w:rFonts w:hint="default" w:ascii="Calibri" w:hAnsi="Calibri" w:eastAsia="宋体" w:cs="Times New Roman"/>
      <w:kern w:val="2"/>
      <w:sz w:val="24"/>
      <w:szCs w:val="24"/>
      <w:lang w:val="en-US" w:eastAsia="zh-CN" w:bidi="ar"/>
    </w:rPr>
  </w:style>
  <w:style w:type="paragraph" w:customStyle="1" w:styleId="2508">
    <w:name w:val="样式 正文缩进 + 首行缩进:  2 字符"/>
    <w:basedOn w:val="24"/>
    <w:qFormat/>
    <w:uiPriority w:val="0"/>
    <w:pPr>
      <w:widowControl/>
      <w:spacing w:line="500" w:lineRule="exact"/>
      <w:ind w:firstLine="200" w:firstLineChars="200"/>
      <w:jc w:val="left"/>
    </w:pPr>
    <w:rPr>
      <w:rFonts w:ascii="Times New Roman" w:hAnsi="Times New Roman"/>
      <w:sz w:val="24"/>
    </w:rPr>
  </w:style>
  <w:style w:type="character" w:customStyle="1" w:styleId="2509">
    <w:name w:val="正文文本缩进 字符"/>
    <w:basedOn w:val="94"/>
    <w:link w:val="3"/>
    <w:qFormat/>
    <w:uiPriority w:val="0"/>
    <w:rPr>
      <w:kern w:val="2"/>
      <w:sz w:val="24"/>
      <w:szCs w:val="22"/>
    </w:rPr>
  </w:style>
  <w:style w:type="character" w:customStyle="1" w:styleId="2510">
    <w:name w:val="正文文本首行缩进 2 字符"/>
    <w:basedOn w:val="2509"/>
    <w:qFormat/>
    <w:uiPriority w:val="0"/>
    <w:rPr>
      <w:kern w:val="2"/>
      <w:sz w:val="24"/>
      <w:szCs w:val="22"/>
    </w:rPr>
  </w:style>
  <w:style w:type="paragraph" w:customStyle="1" w:styleId="2511">
    <w:name w:val="（正文）"/>
    <w:basedOn w:val="46"/>
    <w:qFormat/>
    <w:uiPriority w:val="0"/>
    <w:pPr>
      <w:spacing w:line="360" w:lineRule="auto"/>
      <w:ind w:firstLine="200" w:firstLineChars="200"/>
    </w:pPr>
    <w:rPr>
      <w:rFonts w:cs="Courier New"/>
      <w:szCs w:val="21"/>
    </w:rPr>
  </w:style>
  <w:style w:type="table" w:customStyle="1" w:styleId="2512">
    <w:name w:val="网格型1"/>
    <w:basedOn w:val="91"/>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3">
    <w:name w:val="网格型49"/>
    <w:basedOn w:val="9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4">
    <w:name w:val="网格型117"/>
    <w:basedOn w:val="9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5">
    <w:name w:val="网格型50"/>
    <w:basedOn w:val="9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6">
    <w:name w:val="网格型55"/>
    <w:basedOn w:val="9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7">
    <w:name w:val="表格样式 1刘文"/>
    <w:basedOn w:val="91"/>
    <w:qFormat/>
    <w:uiPriority w:val="0"/>
    <w:pPr>
      <w:jc w:val="center"/>
    </w:pPr>
    <w:rPr>
      <w:rFonts w:ascii="Times New Roman" w:hAnsi="Times New Roman" w:eastAsia="宋体" w:cs="Times New Roman"/>
      <w:kern w:val="0"/>
      <w:sz w:val="20"/>
      <w:szCs w:val="20"/>
    </w:rPr>
    <w:tblPr>
      <w:tblBorders>
        <w:top w:val="single" w:color="auto" w:sz="12" w:space="0"/>
        <w:bottom w:val="single" w:color="auto" w:sz="12" w:space="0"/>
        <w:insideH w:val="single" w:color="auto" w:sz="4" w:space="0"/>
        <w:insideV w:val="single" w:color="auto" w:sz="4" w:space="0"/>
      </w:tblBorders>
      <w:tblCellMar>
        <w:top w:w="0" w:type="dxa"/>
        <w:left w:w="28" w:type="dxa"/>
        <w:bottom w:w="0" w:type="dxa"/>
        <w:right w:w="28" w:type="dxa"/>
      </w:tblCellMar>
    </w:tblPr>
    <w:tcPr>
      <w:vAlign w:val="center"/>
    </w:tcPr>
  </w:style>
  <w:style w:type="paragraph" w:customStyle="1" w:styleId="2518">
    <w:name w:val="Normal_0_0"/>
    <w:qFormat/>
    <w:uiPriority w:val="0"/>
    <w:pPr>
      <w:widowControl w:val="0"/>
      <w:spacing w:line="360" w:lineRule="auto"/>
      <w:ind w:firstLine="200" w:firstLineChars="200"/>
      <w:jc w:val="both"/>
    </w:pPr>
    <w:rPr>
      <w:rFonts w:ascii="Times New Roman" w:hAnsi="Times New Roman" w:eastAsia="仿宋" w:cs="Times New Roman"/>
      <w:kern w:val="2"/>
      <w:sz w:val="28"/>
      <w:szCs w:val="21"/>
    </w:rPr>
  </w:style>
  <w:style w:type="table" w:customStyle="1" w:styleId="2519">
    <w:name w:val="Table Grid_0"/>
    <w:basedOn w:val="91"/>
    <w:qFormat/>
    <w:uiPriority w:val="0"/>
    <w:rPr>
      <w:rFonts w:ascii="Times New Roman" w:hAnsi="Times New Roman" w:eastAsia="仿宋"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520">
    <w:name w:val="No Spacing"/>
    <w:qFormat/>
    <w:uiPriority w:val="1"/>
    <w:pPr>
      <w:widowControl w:val="0"/>
      <w:spacing w:line="340" w:lineRule="exact"/>
      <w:jc w:val="center"/>
    </w:pPr>
    <w:rPr>
      <w:rFonts w:ascii="Times New Roman" w:hAnsi="Times New Roman" w:eastAsia="宋体" w:cs="Times New Roman"/>
      <w:kern w:val="2"/>
      <w:sz w:val="24"/>
      <w:szCs w:val="24"/>
      <w:lang w:val="en-US" w:eastAsia="zh-CN" w:bidi="ar-SA"/>
    </w:rPr>
  </w:style>
  <w:style w:type="paragraph" w:customStyle="1" w:styleId="2521">
    <w:name w:val="Normal_0"/>
    <w:qFormat/>
    <w:uiPriority w:val="0"/>
    <w:pPr>
      <w:widowControl w:val="0"/>
      <w:spacing w:line="360" w:lineRule="auto"/>
      <w:ind w:firstLine="200" w:firstLineChars="200"/>
      <w:jc w:val="both"/>
    </w:pPr>
    <w:rPr>
      <w:rFonts w:ascii="Times New Roman" w:hAnsi="Times New Roman" w:eastAsia="仿宋" w:cs="Times New Roman"/>
      <w:kern w:val="2"/>
      <w:sz w:val="28"/>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2" Type="http://schemas.openxmlformats.org/officeDocument/2006/relationships/fontTable" Target="fontTable.xml"/><Relationship Id="rId81" Type="http://schemas.openxmlformats.org/officeDocument/2006/relationships/customXml" Target="../customXml/item2.xml"/><Relationship Id="rId80" Type="http://schemas.openxmlformats.org/officeDocument/2006/relationships/numbering" Target="numbering.xml"/><Relationship Id="rId8" Type="http://schemas.openxmlformats.org/officeDocument/2006/relationships/footer" Target="footer3.xml"/><Relationship Id="rId79" Type="http://schemas.openxmlformats.org/officeDocument/2006/relationships/customXml" Target="../customXml/item1.xml"/><Relationship Id="rId78" Type="http://schemas.openxmlformats.org/officeDocument/2006/relationships/image" Target="media/image57.png"/><Relationship Id="rId77" Type="http://schemas.openxmlformats.org/officeDocument/2006/relationships/image" Target="media/image56.png"/><Relationship Id="rId76" Type="http://schemas.openxmlformats.org/officeDocument/2006/relationships/image" Target="media/image55.emf"/><Relationship Id="rId75" Type="http://schemas.openxmlformats.org/officeDocument/2006/relationships/image" Target="media/image54.emf"/><Relationship Id="rId74" Type="http://schemas.openxmlformats.org/officeDocument/2006/relationships/image" Target="media/image53.emf"/><Relationship Id="rId73" Type="http://schemas.openxmlformats.org/officeDocument/2006/relationships/image" Target="media/image52.emf"/><Relationship Id="rId72" Type="http://schemas.openxmlformats.org/officeDocument/2006/relationships/image" Target="media/image51.emf"/><Relationship Id="rId71" Type="http://schemas.openxmlformats.org/officeDocument/2006/relationships/image" Target="media/image50.emf"/><Relationship Id="rId70" Type="http://schemas.openxmlformats.org/officeDocument/2006/relationships/image" Target="media/image49.emf"/><Relationship Id="rId7" Type="http://schemas.openxmlformats.org/officeDocument/2006/relationships/header" Target="header1.xml"/><Relationship Id="rId69" Type="http://schemas.openxmlformats.org/officeDocument/2006/relationships/image" Target="media/image48.jpeg"/><Relationship Id="rId68" Type="http://schemas.openxmlformats.org/officeDocument/2006/relationships/image" Target="media/image47.jpeg"/><Relationship Id="rId67" Type="http://schemas.openxmlformats.org/officeDocument/2006/relationships/image" Target="media/image46.jpeg"/><Relationship Id="rId66" Type="http://schemas.openxmlformats.org/officeDocument/2006/relationships/image" Target="media/image45.png"/><Relationship Id="rId65" Type="http://schemas.openxmlformats.org/officeDocument/2006/relationships/image" Target="media/image44.png"/><Relationship Id="rId64" Type="http://schemas.openxmlformats.org/officeDocument/2006/relationships/image" Target="media/image43.jpeg"/><Relationship Id="rId63" Type="http://schemas.openxmlformats.org/officeDocument/2006/relationships/image" Target="media/image42.png"/><Relationship Id="rId62" Type="http://schemas.openxmlformats.org/officeDocument/2006/relationships/image" Target="media/image41.png"/><Relationship Id="rId61" Type="http://schemas.openxmlformats.org/officeDocument/2006/relationships/image" Target="media/image40.jpeg"/><Relationship Id="rId60" Type="http://schemas.openxmlformats.org/officeDocument/2006/relationships/image" Target="media/image39.jpeg"/><Relationship Id="rId6" Type="http://schemas.openxmlformats.org/officeDocument/2006/relationships/footer" Target="footer2.xml"/><Relationship Id="rId59" Type="http://schemas.openxmlformats.org/officeDocument/2006/relationships/image" Target="media/image38.jpeg"/><Relationship Id="rId58" Type="http://schemas.openxmlformats.org/officeDocument/2006/relationships/image" Target="media/image37.jpeg"/><Relationship Id="rId57" Type="http://schemas.openxmlformats.org/officeDocument/2006/relationships/image" Target="media/image36.png"/><Relationship Id="rId56" Type="http://schemas.openxmlformats.org/officeDocument/2006/relationships/image" Target="media/image35.jpeg"/><Relationship Id="rId55" Type="http://schemas.openxmlformats.org/officeDocument/2006/relationships/image" Target="media/image34.png"/><Relationship Id="rId54" Type="http://schemas.openxmlformats.org/officeDocument/2006/relationships/image" Target="media/image33.png"/><Relationship Id="rId53" Type="http://schemas.openxmlformats.org/officeDocument/2006/relationships/image" Target="media/image32.png"/><Relationship Id="rId52" Type="http://schemas.openxmlformats.org/officeDocument/2006/relationships/image" Target="media/image31.png"/><Relationship Id="rId51" Type="http://schemas.openxmlformats.org/officeDocument/2006/relationships/image" Target="media/image30.wmf"/><Relationship Id="rId50" Type="http://schemas.openxmlformats.org/officeDocument/2006/relationships/oleObject" Target="embeddings/oleObject8.bin"/><Relationship Id="rId5" Type="http://schemas.openxmlformats.org/officeDocument/2006/relationships/footer" Target="footer1.xml"/><Relationship Id="rId49" Type="http://schemas.openxmlformats.org/officeDocument/2006/relationships/image" Target="media/image29.png"/><Relationship Id="rId48" Type="http://schemas.openxmlformats.org/officeDocument/2006/relationships/image" Target="media/image28.png"/><Relationship Id="rId47" Type="http://schemas.openxmlformats.org/officeDocument/2006/relationships/image" Target="media/image27.png"/><Relationship Id="rId46" Type="http://schemas.openxmlformats.org/officeDocument/2006/relationships/image" Target="media/image26.wmf"/><Relationship Id="rId45" Type="http://schemas.openxmlformats.org/officeDocument/2006/relationships/image" Target="media/image25.png"/><Relationship Id="rId44" Type="http://schemas.openxmlformats.org/officeDocument/2006/relationships/image" Target="media/image24.png"/><Relationship Id="rId43" Type="http://schemas.openxmlformats.org/officeDocument/2006/relationships/image" Target="media/image23.png"/><Relationship Id="rId42" Type="http://schemas.openxmlformats.org/officeDocument/2006/relationships/image" Target="media/image22.png"/><Relationship Id="rId41" Type="http://schemas.openxmlformats.org/officeDocument/2006/relationships/image" Target="media/image21.png"/><Relationship Id="rId40" Type="http://schemas.openxmlformats.org/officeDocument/2006/relationships/image" Target="media/image20.png"/><Relationship Id="rId4" Type="http://schemas.openxmlformats.org/officeDocument/2006/relationships/endnotes" Target="endnotes.xml"/><Relationship Id="rId39" Type="http://schemas.openxmlformats.org/officeDocument/2006/relationships/image" Target="media/image19.png"/><Relationship Id="rId38" Type="http://schemas.openxmlformats.org/officeDocument/2006/relationships/image" Target="media/image18.png"/><Relationship Id="rId37" Type="http://schemas.openxmlformats.org/officeDocument/2006/relationships/image" Target="media/image17.png"/><Relationship Id="rId36" Type="http://schemas.openxmlformats.org/officeDocument/2006/relationships/image" Target="media/image16.png"/><Relationship Id="rId35" Type="http://schemas.openxmlformats.org/officeDocument/2006/relationships/image" Target="media/image15.emf"/><Relationship Id="rId34" Type="http://schemas.openxmlformats.org/officeDocument/2006/relationships/oleObject" Target="embeddings/oleObject7.bin"/><Relationship Id="rId33" Type="http://schemas.openxmlformats.org/officeDocument/2006/relationships/image" Target="media/image14.emf"/><Relationship Id="rId32" Type="http://schemas.openxmlformats.org/officeDocument/2006/relationships/oleObject" Target="embeddings/oleObject6.bin"/><Relationship Id="rId31" Type="http://schemas.openxmlformats.org/officeDocument/2006/relationships/image" Target="media/image13.emf"/><Relationship Id="rId30" Type="http://schemas.openxmlformats.org/officeDocument/2006/relationships/oleObject" Target="embeddings/oleObject5.bin"/><Relationship Id="rId3" Type="http://schemas.openxmlformats.org/officeDocument/2006/relationships/footnotes" Target="footnotes.xml"/><Relationship Id="rId29" Type="http://schemas.openxmlformats.org/officeDocument/2006/relationships/image" Target="media/image12.jpeg"/><Relationship Id="rId28" Type="http://schemas.openxmlformats.org/officeDocument/2006/relationships/image" Target="media/image11.png"/><Relationship Id="rId27" Type="http://schemas.openxmlformats.org/officeDocument/2006/relationships/image" Target="media/image10.emf"/><Relationship Id="rId26" Type="http://schemas.openxmlformats.org/officeDocument/2006/relationships/oleObject" Target="embeddings/oleObject4.bin"/><Relationship Id="rId25" Type="http://schemas.openxmlformats.org/officeDocument/2006/relationships/image" Target="media/image9.emf"/><Relationship Id="rId24" Type="http://schemas.openxmlformats.org/officeDocument/2006/relationships/oleObject" Target="embeddings/oleObject3.bin"/><Relationship Id="rId23" Type="http://schemas.openxmlformats.org/officeDocument/2006/relationships/image" Target="media/image8.emf"/><Relationship Id="rId22" Type="http://schemas.openxmlformats.org/officeDocument/2006/relationships/oleObject" Target="embeddings/oleObject2.bin"/><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wmf"/><Relationship Id="rId17" Type="http://schemas.openxmlformats.org/officeDocument/2006/relationships/oleObject" Target="embeddings/oleObject1.bin"/><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2.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3073" textRotate="1"/>
    <customShpInfo spid="_x0000_s3074" textRotate="1"/>
    <customShpInfo spid="_x0000_s3079" textRotate="1"/>
    <customShpInfo spid="_x0000_s3075" textRotate="1"/>
    <customShpInfo spid="_x0000_s3076"/>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51"/>
    <customShpInfo spid="_x0000_s2068"/>
    <customShpInfo spid="_x0000_s2067"/>
    <customShpInfo spid="_x0000_s2070"/>
    <customShpInfo spid="_x0000_s2066"/>
    <customShpInfo spid="_x0000_s206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26D6DB-5706-46C3-98F0-2B4064683D9D}">
  <ds:schemaRefs/>
</ds:datastoreItem>
</file>

<file path=docProps/app.xml><?xml version="1.0" encoding="utf-8"?>
<Properties xmlns="http://schemas.openxmlformats.org/officeDocument/2006/extended-properties" xmlns:vt="http://schemas.openxmlformats.org/officeDocument/2006/docPropsVTypes">
  <Template>Normal</Template>
  <Pages>335</Pages>
  <Words>202048</Words>
  <Characters>230759</Characters>
  <Lines>781</Lines>
  <Paragraphs>219</Paragraphs>
  <TotalTime>3</TotalTime>
  <ScaleCrop>false</ScaleCrop>
  <LinksUpToDate>false</LinksUpToDate>
  <CharactersWithSpaces>231910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2019-04-21T15:19:00Z</dcterms:created>
  <dc:creator>60974</dc:creator>
  <cp:lastModifiedBy>Administrator</cp:lastModifiedBy>
  <cp:lastPrinted>2019-07-12T08:36:00Z</cp:lastPrinted>
  <dcterms:modified xsi:type="dcterms:W3CDTF">2023-02-06T03:11:22Z</dcterms:modified>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A79A5587ADA34443B695415D71471762</vt:lpwstr>
  </property>
</Properties>
</file>