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方正小标宋_GBK" w:hAnsi="仿宋_GB2312" w:eastAsia="方正小标宋_GBK" w:cs="仿宋_GB2312"/>
          <w:color w:val="000000"/>
          <w:kern w:val="2"/>
          <w:sz w:val="44"/>
          <w:szCs w:val="44"/>
          <w:lang w:val="en-US" w:eastAsia="zh-CN" w:bidi="ar-SA"/>
        </w:rPr>
        <w:id w:val="0"/>
        <w:docPartObj>
          <w:docPartGallery w:val="Table of Contents"/>
          <w:docPartUnique/>
        </w:docPartObj>
      </w:sdtPr>
      <w:sdtEndPr>
        <w:rPr>
          <w:rFonts w:hint="eastAsia" w:ascii="方正小标宋_GBK" w:hAnsi="仿宋_GB2312" w:eastAsia="方正小标宋_GBK" w:cs="仿宋_GB2312"/>
          <w:b/>
          <w:bCs/>
          <w:color w:val="000000"/>
          <w:kern w:val="2"/>
          <w:sz w:val="44"/>
          <w:szCs w:val="44"/>
          <w:lang w:val="en-US" w:eastAsia="zh-CN" w:bidi="ar-SA"/>
        </w:rPr>
      </w:sdtEndPr>
      <w:sdtContent>
        <w:p>
          <w:pPr>
            <w:pStyle w:val="11"/>
            <w:keepNext w:val="0"/>
            <w:keepLines w:val="0"/>
            <w:pageBreakBefore w:val="0"/>
            <w:widowControl w:val="0"/>
            <w:tabs>
              <w:tab w:val="left" w:pos="1603"/>
              <w:tab w:val="left" w:leader="dot" w:pos="8524"/>
            </w:tabs>
            <w:kinsoku/>
            <w:wordWrap/>
            <w:overflowPunct/>
            <w:topLinePunct w:val="0"/>
            <w:autoSpaceDE w:val="0"/>
            <w:autoSpaceDN w:val="0"/>
            <w:bidi w:val="0"/>
            <w:adjustRightInd/>
            <w:snapToGrid/>
            <w:spacing w:line="300" w:lineRule="exact"/>
            <w:ind w:left="482" w:leftChars="0" w:right="0" w:rightChars="0"/>
            <w:jc w:val="center"/>
            <w:textAlignment w:val="auto"/>
            <w:rPr>
              <w:rFonts w:hint="eastAsia" w:ascii="方正小标宋_GBK" w:hAnsi="仿宋_GB2312" w:eastAsia="方正小标宋_GBK" w:cs="仿宋_GB2312"/>
              <w:color w:val="000000"/>
              <w:kern w:val="2"/>
              <w:sz w:val="44"/>
              <w:szCs w:val="44"/>
              <w:lang w:val="en-US" w:eastAsia="zh-CN" w:bidi="ar-SA"/>
            </w:rPr>
          </w:pPr>
          <w:bookmarkStart w:id="0" w:name="_TOC_250005"/>
          <w:bookmarkEnd w:id="0"/>
          <w:r>
            <w:rPr>
              <w:rFonts w:hint="eastAsia" w:ascii="方正小标宋_GBK" w:hAnsi="仿宋_GB2312" w:eastAsia="方正小标宋_GBK" w:cs="仿宋_GB2312"/>
              <w:color w:val="000000"/>
              <w:kern w:val="2"/>
              <w:sz w:val="44"/>
              <w:szCs w:val="44"/>
              <w:lang w:val="en-US" w:eastAsia="zh-CN" w:bidi="ar-SA"/>
            </w:rPr>
            <w:t>巴城三号桥、老酒厂污水提升泵站工程</w:t>
          </w:r>
        </w:p>
        <w:p>
          <w:pPr>
            <w:pStyle w:val="11"/>
            <w:keepNext w:val="0"/>
            <w:keepLines w:val="0"/>
            <w:pageBreakBefore w:val="0"/>
            <w:widowControl w:val="0"/>
            <w:tabs>
              <w:tab w:val="left" w:pos="1603"/>
              <w:tab w:val="left" w:leader="dot" w:pos="8524"/>
            </w:tabs>
            <w:kinsoku/>
            <w:wordWrap/>
            <w:overflowPunct/>
            <w:topLinePunct w:val="0"/>
            <w:autoSpaceDE w:val="0"/>
            <w:autoSpaceDN w:val="0"/>
            <w:bidi w:val="0"/>
            <w:adjustRightInd/>
            <w:snapToGrid/>
            <w:spacing w:line="300" w:lineRule="exact"/>
            <w:ind w:left="482" w:leftChars="0" w:right="0" w:rightChars="0"/>
            <w:jc w:val="center"/>
            <w:textAlignment w:val="auto"/>
            <w:rPr>
              <w:b/>
              <w:bCs/>
              <w:sz w:val="44"/>
              <w:szCs w:val="44"/>
            </w:rPr>
          </w:pPr>
          <w:r>
            <w:rPr>
              <w:rFonts w:hint="eastAsia" w:ascii="方正小标宋_GBK" w:hAnsi="仿宋_GB2312" w:eastAsia="方正小标宋_GBK" w:cs="仿宋_GB2312"/>
              <w:color w:val="000000"/>
              <w:kern w:val="2"/>
              <w:sz w:val="44"/>
              <w:szCs w:val="44"/>
              <w:lang w:val="en-US" w:eastAsia="zh-CN" w:bidi="ar-SA"/>
            </w:rPr>
            <w:t>施工结算审核服务竞争性磋商公告</w:t>
          </w:r>
          <w:r>
            <w:rPr>
              <w:rFonts w:hint="eastAsia" w:ascii="仿宋" w:hAnsi="仿宋" w:eastAsia="仿宋" w:cs="仿宋"/>
              <w:b w:val="0"/>
              <w:bCs w:val="0"/>
              <w:sz w:val="52"/>
              <w:szCs w:val="52"/>
              <w:lang w:val="en-US" w:eastAsia="zh-CN"/>
            </w:rPr>
            <w:t xml:space="preserve"> </w:t>
          </w:r>
        </w:p>
      </w:sdtContent>
    </w:sdt>
    <w:p>
      <w:pPr>
        <w:spacing w:line="400" w:lineRule="exact"/>
        <w:rPr>
          <w:rFonts w:hint="eastAsia" w:ascii="仿宋" w:hAnsi="仿宋" w:eastAsia="仿宋" w:cs="仿宋"/>
          <w:kern w:val="0"/>
          <w:sz w:val="20"/>
          <w:szCs w:val="20"/>
        </w:rPr>
      </w:pP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602" w:firstLineChars="200"/>
        <w:jc w:val="left"/>
        <w:textAlignment w:val="auto"/>
        <w:rPr>
          <w:rFonts w:hint="eastAsia" w:ascii="仿宋" w:hAnsi="仿宋" w:eastAsia="仿宋" w:cs="仿宋"/>
          <w:sz w:val="30"/>
          <w:szCs w:val="30"/>
        </w:rPr>
      </w:pPr>
      <w:r>
        <w:rPr>
          <w:rFonts w:hint="eastAsia" w:ascii="仿宋" w:hAnsi="仿宋" w:eastAsia="仿宋" w:cs="仿宋"/>
          <w:b/>
          <w:bCs/>
          <w:sz w:val="30"/>
          <w:szCs w:val="30"/>
          <w:u w:val="single"/>
          <w:lang w:eastAsia="zh-CN"/>
        </w:rPr>
        <w:t>巴中市农业投资集团有限公司</w:t>
      </w:r>
      <w:r>
        <w:rPr>
          <w:rFonts w:hint="eastAsia" w:ascii="仿宋" w:hAnsi="仿宋" w:eastAsia="仿宋" w:cs="仿宋"/>
          <w:sz w:val="30"/>
          <w:szCs w:val="30"/>
        </w:rPr>
        <w:t>拟对</w:t>
      </w:r>
      <w:r>
        <w:rPr>
          <w:rFonts w:hint="eastAsia" w:ascii="仿宋" w:hAnsi="仿宋" w:eastAsia="仿宋" w:cs="仿宋"/>
          <w:b/>
          <w:bCs/>
          <w:sz w:val="30"/>
          <w:szCs w:val="30"/>
          <w:u w:val="single"/>
          <w:lang w:val="en-US" w:eastAsia="zh-CN"/>
        </w:rPr>
        <w:t>巴城三号桥、老酒厂污水提升泵站工程</w:t>
      </w:r>
      <w:r>
        <w:rPr>
          <w:rFonts w:hint="eastAsia" w:ascii="仿宋" w:hAnsi="仿宋" w:eastAsia="仿宋" w:cs="仿宋"/>
          <w:sz w:val="30"/>
          <w:szCs w:val="30"/>
          <w:lang w:val="en-US" w:eastAsia="zh-CN"/>
        </w:rPr>
        <w:t>施工结算审核服务</w:t>
      </w:r>
      <w:r>
        <w:rPr>
          <w:rFonts w:hint="eastAsia" w:ascii="仿宋" w:hAnsi="仿宋" w:eastAsia="仿宋" w:cs="仿宋"/>
          <w:bCs/>
          <w:sz w:val="30"/>
          <w:szCs w:val="30"/>
        </w:rPr>
        <w:t>项目</w:t>
      </w:r>
      <w:r>
        <w:rPr>
          <w:rFonts w:hint="eastAsia" w:ascii="仿宋" w:hAnsi="仿宋" w:eastAsia="仿宋" w:cs="仿宋"/>
          <w:sz w:val="30"/>
          <w:szCs w:val="30"/>
        </w:rPr>
        <w:t>进行竞争性磋商</w:t>
      </w:r>
      <w:r>
        <w:rPr>
          <w:rFonts w:hint="eastAsia" w:ascii="仿宋" w:hAnsi="仿宋" w:eastAsia="仿宋" w:cs="仿宋"/>
          <w:sz w:val="30"/>
          <w:szCs w:val="30"/>
          <w:lang w:eastAsia="zh-CN"/>
        </w:rPr>
        <w:t>谈判</w:t>
      </w:r>
      <w:r>
        <w:rPr>
          <w:rFonts w:hint="eastAsia" w:ascii="仿宋" w:hAnsi="仿宋" w:eastAsia="仿宋" w:cs="仿宋"/>
          <w:sz w:val="30"/>
          <w:szCs w:val="30"/>
        </w:rPr>
        <w:t>，兹邀请符合本次要求的供应商参加磋商</w:t>
      </w:r>
      <w:r>
        <w:rPr>
          <w:rFonts w:hint="eastAsia" w:ascii="仿宋" w:hAnsi="仿宋" w:eastAsia="仿宋" w:cs="仿宋"/>
          <w:sz w:val="30"/>
          <w:szCs w:val="30"/>
          <w:lang w:eastAsia="zh-CN"/>
        </w:rPr>
        <w:t>谈判</w:t>
      </w:r>
      <w:r>
        <w:rPr>
          <w:rFonts w:hint="eastAsia" w:ascii="仿宋" w:hAnsi="仿宋" w:eastAsia="仿宋" w:cs="仿宋"/>
          <w:sz w:val="30"/>
          <w:szCs w:val="30"/>
        </w:rPr>
        <w:t>活动。</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黑体" w:hAnsi="黑体" w:eastAsia="黑体" w:cs="黑体"/>
          <w:b w:val="0"/>
          <w:bCs w:val="0"/>
          <w:sz w:val="30"/>
          <w:szCs w:val="30"/>
          <w:lang w:eastAsia="zh-CN"/>
        </w:rPr>
        <w:t>一</w:t>
      </w:r>
      <w:r>
        <w:rPr>
          <w:rFonts w:hint="eastAsia" w:ascii="黑体" w:hAnsi="黑体" w:eastAsia="黑体" w:cs="黑体"/>
          <w:b w:val="0"/>
          <w:bCs w:val="0"/>
          <w:sz w:val="30"/>
          <w:szCs w:val="30"/>
        </w:rPr>
        <w:t>、项目名称：</w:t>
      </w:r>
      <w:r>
        <w:rPr>
          <w:rFonts w:hint="eastAsia" w:ascii="仿宋" w:hAnsi="仿宋" w:eastAsia="仿宋" w:cs="仿宋"/>
          <w:sz w:val="30"/>
          <w:szCs w:val="30"/>
          <w:lang w:val="en-US" w:eastAsia="zh-CN"/>
        </w:rPr>
        <w:t>巴城三号桥、老酒厂污水提升泵站工程施工结算审核服务项目</w:t>
      </w:r>
      <w:r>
        <w:rPr>
          <w:rFonts w:hint="eastAsia" w:ascii="仿宋" w:hAnsi="仿宋" w:eastAsia="仿宋" w:cs="仿宋"/>
          <w:sz w:val="30"/>
          <w:szCs w:val="30"/>
        </w:rPr>
        <w:t>。</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仿宋" w:hAnsi="仿宋" w:eastAsia="仿宋" w:cs="仿宋"/>
          <w:bCs/>
          <w:sz w:val="30"/>
          <w:szCs w:val="30"/>
        </w:rPr>
      </w:pPr>
      <w:r>
        <w:rPr>
          <w:rFonts w:hint="eastAsia" w:ascii="黑体" w:hAnsi="黑体" w:eastAsia="黑体" w:cs="黑体"/>
          <w:b w:val="0"/>
          <w:bCs w:val="0"/>
          <w:sz w:val="30"/>
          <w:szCs w:val="30"/>
          <w:lang w:eastAsia="zh-CN"/>
        </w:rPr>
        <w:t>二</w:t>
      </w:r>
      <w:r>
        <w:rPr>
          <w:rFonts w:hint="eastAsia" w:ascii="黑体" w:hAnsi="黑体" w:eastAsia="黑体" w:cs="黑体"/>
          <w:b w:val="0"/>
          <w:bCs w:val="0"/>
          <w:sz w:val="30"/>
          <w:szCs w:val="30"/>
        </w:rPr>
        <w:t>、资金来源：</w:t>
      </w:r>
      <w:r>
        <w:rPr>
          <w:rFonts w:hint="eastAsia" w:ascii="仿宋" w:hAnsi="仿宋" w:eastAsia="仿宋" w:cs="仿宋"/>
          <w:bCs/>
          <w:sz w:val="30"/>
          <w:szCs w:val="30"/>
        </w:rPr>
        <w:t>财政资金。</w:t>
      </w:r>
    </w:p>
    <w:p>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600" w:firstLineChars="200"/>
        <w:textAlignment w:val="auto"/>
        <w:outlineLvl w:val="9"/>
        <w:rPr>
          <w:rFonts w:hint="eastAsia" w:ascii="仿宋" w:hAnsi="仿宋" w:eastAsia="仿宋"/>
          <w:color w:val="000000"/>
          <w:sz w:val="30"/>
          <w:szCs w:val="30"/>
          <w:lang w:val="en-US" w:eastAsia="zh-CN"/>
        </w:rPr>
      </w:pPr>
      <w:r>
        <w:rPr>
          <w:rFonts w:hint="eastAsia" w:ascii="黑体" w:hAnsi="黑体" w:eastAsia="黑体" w:cs="黑体"/>
          <w:b w:val="0"/>
          <w:bCs w:val="0"/>
          <w:sz w:val="30"/>
          <w:szCs w:val="30"/>
          <w:lang w:eastAsia="zh-CN"/>
        </w:rPr>
        <w:t>三</w:t>
      </w:r>
      <w:r>
        <w:rPr>
          <w:rFonts w:hint="eastAsia" w:ascii="黑体" w:hAnsi="黑体" w:eastAsia="黑体" w:cs="黑体"/>
          <w:b w:val="0"/>
          <w:bCs w:val="0"/>
          <w:sz w:val="30"/>
          <w:szCs w:val="30"/>
        </w:rPr>
        <w:t>、</w:t>
      </w:r>
      <w:r>
        <w:rPr>
          <w:rFonts w:hint="eastAsia" w:ascii="黑体" w:hAnsi="黑体" w:eastAsia="黑体" w:cs="黑体"/>
          <w:b w:val="0"/>
          <w:bCs w:val="0"/>
          <w:sz w:val="30"/>
          <w:szCs w:val="30"/>
          <w:lang w:eastAsia="zh-CN"/>
        </w:rPr>
        <w:t>项目</w:t>
      </w:r>
      <w:r>
        <w:rPr>
          <w:rFonts w:hint="eastAsia" w:ascii="黑体" w:hAnsi="黑体" w:eastAsia="黑体" w:cs="黑体"/>
          <w:b w:val="0"/>
          <w:bCs w:val="0"/>
          <w:sz w:val="30"/>
          <w:szCs w:val="30"/>
        </w:rPr>
        <w:t>地点：</w:t>
      </w:r>
      <w:r>
        <w:rPr>
          <w:rFonts w:hint="eastAsia" w:ascii="仿宋" w:hAnsi="仿宋" w:eastAsia="仿宋" w:cs="仿宋"/>
          <w:sz w:val="30"/>
          <w:szCs w:val="30"/>
        </w:rPr>
        <w:t>巴中市</w:t>
      </w:r>
      <w:r>
        <w:rPr>
          <w:rFonts w:hint="eastAsia" w:cs="仿宋"/>
          <w:sz w:val="30"/>
          <w:szCs w:val="30"/>
          <w:lang w:eastAsia="zh-CN"/>
        </w:rPr>
        <w:t>。</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仿宋" w:hAnsi="仿宋" w:eastAsia="仿宋" w:cs="仿宋"/>
          <w:bCs/>
          <w:sz w:val="30"/>
          <w:szCs w:val="30"/>
        </w:rPr>
      </w:pPr>
      <w:r>
        <w:rPr>
          <w:rFonts w:hint="eastAsia" w:ascii="黑体" w:hAnsi="黑体" w:eastAsia="黑体" w:cs="黑体"/>
          <w:b w:val="0"/>
          <w:bCs w:val="0"/>
          <w:sz w:val="30"/>
          <w:szCs w:val="30"/>
          <w:lang w:eastAsia="zh-CN"/>
        </w:rPr>
        <w:t>四、服务</w:t>
      </w:r>
      <w:r>
        <w:rPr>
          <w:rFonts w:hint="eastAsia" w:ascii="黑体" w:hAnsi="黑体" w:eastAsia="黑体" w:cs="黑体"/>
          <w:b w:val="0"/>
          <w:bCs w:val="0"/>
          <w:sz w:val="30"/>
          <w:szCs w:val="30"/>
        </w:rPr>
        <w:t>范围：</w:t>
      </w:r>
      <w:r>
        <w:rPr>
          <w:rFonts w:hint="eastAsia" w:ascii="仿宋" w:hAnsi="仿宋" w:eastAsia="仿宋" w:cs="仿宋"/>
          <w:bCs/>
          <w:sz w:val="30"/>
          <w:szCs w:val="30"/>
        </w:rPr>
        <w:t>本项目施工图纸及工程量清单范围所含的全部</w:t>
      </w:r>
      <w:r>
        <w:rPr>
          <w:rFonts w:hint="eastAsia" w:ascii="仿宋" w:hAnsi="仿宋" w:eastAsia="仿宋" w:cs="仿宋"/>
          <w:bCs/>
          <w:sz w:val="30"/>
          <w:szCs w:val="30"/>
          <w:lang w:eastAsia="zh-CN"/>
        </w:rPr>
        <w:t>工程结算审计、配合完成审计核查及结算工作</w:t>
      </w:r>
      <w:r>
        <w:rPr>
          <w:rFonts w:hint="eastAsia" w:ascii="仿宋" w:hAnsi="仿宋" w:eastAsia="仿宋" w:cs="仿宋"/>
          <w:bCs/>
          <w:sz w:val="30"/>
          <w:szCs w:val="30"/>
        </w:rPr>
        <w:t>。</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rPr>
        <w:t>五、供应商</w:t>
      </w:r>
      <w:r>
        <w:rPr>
          <w:rFonts w:hint="eastAsia" w:ascii="黑体" w:hAnsi="黑体" w:eastAsia="黑体" w:cs="黑体"/>
          <w:b w:val="0"/>
          <w:bCs w:val="0"/>
          <w:sz w:val="30"/>
          <w:szCs w:val="30"/>
          <w:lang w:eastAsia="zh-CN"/>
        </w:rPr>
        <w:t>的资格要求</w:t>
      </w:r>
    </w:p>
    <w:p>
      <w:pPr>
        <w:pStyle w:val="23"/>
        <w:keepNext w:val="0"/>
        <w:keepLines w:val="0"/>
        <w:pageBreakBefore w:val="0"/>
        <w:widowControl w:val="0"/>
        <w:kinsoku/>
        <w:wordWrap/>
        <w:overflowPunct/>
        <w:topLinePunct w:val="0"/>
        <w:bidi w:val="0"/>
        <w:adjustRightInd/>
        <w:snapToGrid/>
        <w:spacing w:line="500" w:lineRule="exact"/>
        <w:ind w:firstLine="640"/>
        <w:textAlignment w:val="auto"/>
        <w:rPr>
          <w:rFonts w:hint="eastAsia" w:ascii="仿宋" w:hAnsi="仿宋" w:eastAsia="仿宋" w:cs="仿宋"/>
          <w:sz w:val="30"/>
          <w:szCs w:val="30"/>
        </w:rPr>
      </w:pPr>
      <w:r>
        <w:rPr>
          <w:rFonts w:hint="eastAsia" w:ascii="仿宋" w:hAnsi="仿宋" w:eastAsia="仿宋" w:cs="仿宋"/>
          <w:sz w:val="30"/>
          <w:szCs w:val="30"/>
        </w:rPr>
        <w:t>1.具有独立承担民事责任的能力；</w:t>
      </w:r>
    </w:p>
    <w:p>
      <w:pPr>
        <w:keepNext w:val="0"/>
        <w:keepLines w:val="0"/>
        <w:pageBreakBefore w:val="0"/>
        <w:widowControl w:val="0"/>
        <w:tabs>
          <w:tab w:val="left" w:pos="7665"/>
        </w:tabs>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2.具有良好的商业信誉和健全的财务会计制度；</w:t>
      </w:r>
    </w:p>
    <w:p>
      <w:pPr>
        <w:keepNext w:val="0"/>
        <w:keepLines w:val="0"/>
        <w:pageBreakBefore w:val="0"/>
        <w:widowControl w:val="0"/>
        <w:tabs>
          <w:tab w:val="left" w:pos="7665"/>
        </w:tabs>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3.具有履行合同所必须的设备和专业技术能力；</w:t>
      </w:r>
    </w:p>
    <w:p>
      <w:pPr>
        <w:keepNext w:val="0"/>
        <w:keepLines w:val="0"/>
        <w:pageBreakBefore w:val="0"/>
        <w:widowControl w:val="0"/>
        <w:tabs>
          <w:tab w:val="left" w:pos="7665"/>
        </w:tabs>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4.具有依法缴纳税收和社会保障资金的良好记录；</w:t>
      </w:r>
    </w:p>
    <w:p>
      <w:pPr>
        <w:keepNext w:val="0"/>
        <w:keepLines w:val="0"/>
        <w:pageBreakBefore w:val="0"/>
        <w:widowControl w:val="0"/>
        <w:tabs>
          <w:tab w:val="left" w:pos="7665"/>
        </w:tabs>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5.参加本次政府采购活动前三年内，在经营活动中没有重大违法记录；</w:t>
      </w:r>
    </w:p>
    <w:p>
      <w:pPr>
        <w:keepNext w:val="0"/>
        <w:keepLines w:val="0"/>
        <w:pageBreakBefore w:val="0"/>
        <w:widowControl w:val="0"/>
        <w:tabs>
          <w:tab w:val="left" w:pos="7665"/>
        </w:tabs>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6.供应商及法定代表人（非法人为主要负责人、自然人本人）近3年来无行贿犯罪记录；</w:t>
      </w:r>
    </w:p>
    <w:p>
      <w:pPr>
        <w:keepNext w:val="0"/>
        <w:keepLines w:val="0"/>
        <w:pageBreakBefore w:val="0"/>
        <w:widowControl w:val="0"/>
        <w:tabs>
          <w:tab w:val="left" w:pos="7665"/>
        </w:tabs>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7.法律、行政法规规定的其他条件；</w:t>
      </w:r>
    </w:p>
    <w:p>
      <w:pPr>
        <w:keepNext w:val="0"/>
        <w:keepLines w:val="0"/>
        <w:pageBreakBefore w:val="0"/>
        <w:widowControl w:val="0"/>
        <w:tabs>
          <w:tab w:val="left" w:pos="7665"/>
        </w:tabs>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8.投标人</w:t>
      </w:r>
      <w:r>
        <w:rPr>
          <w:rFonts w:hint="eastAsia" w:ascii="仿宋" w:hAnsi="仿宋" w:eastAsia="仿宋" w:cs="仿宋"/>
          <w:sz w:val="30"/>
          <w:szCs w:val="30"/>
          <w:lang w:val="en-US" w:eastAsia="zh-CN"/>
        </w:rPr>
        <w:t>具备独立企业法人资格，</w:t>
      </w:r>
      <w:r>
        <w:rPr>
          <w:rFonts w:hint="eastAsia" w:cs="仿宋"/>
          <w:sz w:val="30"/>
          <w:szCs w:val="30"/>
          <w:lang w:val="en-US" w:eastAsia="zh-CN"/>
        </w:rPr>
        <w:t>行</w:t>
      </w:r>
      <w:r>
        <w:rPr>
          <w:rFonts w:hint="eastAsia" w:ascii="仿宋" w:hAnsi="仿宋" w:eastAsia="仿宋" w:cs="仿宋"/>
          <w:sz w:val="30"/>
          <w:szCs w:val="30"/>
          <w:lang w:val="en-US" w:eastAsia="zh-CN"/>
        </w:rPr>
        <w:t>政主管部门核发的造</w:t>
      </w:r>
      <w:r>
        <w:rPr>
          <w:rFonts w:hint="eastAsia" w:ascii="仿宋" w:hAnsi="仿宋" w:eastAsia="仿宋" w:cs="仿宋"/>
          <w:sz w:val="30"/>
          <w:szCs w:val="30"/>
        </w:rPr>
        <w:t>价咨询甲级资质。</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rPr>
        <w:t>六、严禁参加本次采购活动的供应商</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根据《关于在政府采购活动中查询及使用信用记录有关问题的通知》（财库〔2016〕125号）的要求，在本项目公告发布之日前被“信用中国”网站（www.creditchina.gov.cn）、“中国政府采购网”网站（www.ccgp.gov.cn）等列入失信被执行人名单、重大税收违法案件当事人名单、政府采购严重违法失信行为记录名单且在有效期内的供应商严禁参加本项目的采购活动。</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为采购项目提供整体设计、规范编制或者项目管理、监理、检测等服务的供应商，不得参加本采购项目。供应商为采购人、采购代理机构在确定采购需求、编制磋商文件过程中提供咨询论证，其提供的咨询论证意见成为磋商文件中规定的供应商资格条件、技术服务商务要求、评审因素和标准、政府采购合同等实质性内容条款的，视同为采购项目提供规范编制。</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rPr>
        <w:t>七、磋商文件获取</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eastAsia="zh-CN"/>
        </w:rPr>
        <w:t>凡有意参加本次磋商的供应商</w:t>
      </w:r>
      <w:r>
        <w:rPr>
          <w:rFonts w:hint="eastAsia" w:ascii="仿宋" w:hAnsi="仿宋" w:eastAsia="仿宋" w:cs="仿宋"/>
          <w:sz w:val="30"/>
          <w:szCs w:val="30"/>
        </w:rPr>
        <w:t>，请于</w:t>
      </w:r>
      <w:r>
        <w:rPr>
          <w:rFonts w:hint="eastAsia" w:ascii="仿宋" w:hAnsi="仿宋" w:eastAsia="仿宋" w:cs="仿宋"/>
          <w:sz w:val="30"/>
          <w:szCs w:val="30"/>
          <w:lang w:val="en-US" w:eastAsia="zh-CN"/>
        </w:rPr>
        <w:t>2021</w:t>
      </w:r>
      <w:r>
        <w:rPr>
          <w:rFonts w:hint="eastAsia" w:ascii="仿宋" w:hAnsi="仿宋" w:eastAsia="仿宋" w:cs="仿宋"/>
          <w:sz w:val="30"/>
          <w:szCs w:val="30"/>
        </w:rPr>
        <w:t>年</w:t>
      </w:r>
      <w:r>
        <w:rPr>
          <w:rFonts w:hint="eastAsia" w:ascii="仿宋" w:hAnsi="仿宋" w:eastAsia="仿宋" w:cs="仿宋"/>
          <w:sz w:val="30"/>
          <w:szCs w:val="30"/>
          <w:lang w:val="en-US" w:eastAsia="zh-CN"/>
        </w:rPr>
        <w:t>01</w:t>
      </w:r>
      <w:r>
        <w:rPr>
          <w:rFonts w:hint="eastAsia" w:ascii="仿宋" w:hAnsi="仿宋" w:eastAsia="仿宋" w:cs="仿宋"/>
          <w:sz w:val="30"/>
          <w:szCs w:val="30"/>
        </w:rPr>
        <w:t>月</w:t>
      </w:r>
      <w:r>
        <w:rPr>
          <w:rFonts w:hint="eastAsia" w:ascii="仿宋" w:hAnsi="仿宋" w:eastAsia="仿宋" w:cs="仿宋"/>
          <w:sz w:val="30"/>
          <w:szCs w:val="30"/>
          <w:lang w:val="en-US" w:eastAsia="zh-CN"/>
        </w:rPr>
        <w:t>08</w:t>
      </w:r>
      <w:r>
        <w:rPr>
          <w:rFonts w:hint="eastAsia" w:ascii="仿宋" w:hAnsi="仿宋" w:eastAsia="仿宋" w:cs="仿宋"/>
          <w:sz w:val="30"/>
          <w:szCs w:val="30"/>
        </w:rPr>
        <w:t>日至</w:t>
      </w:r>
      <w:r>
        <w:rPr>
          <w:rFonts w:hint="eastAsia" w:ascii="仿宋" w:hAnsi="仿宋" w:eastAsia="仿宋" w:cs="仿宋"/>
          <w:sz w:val="30"/>
          <w:szCs w:val="30"/>
          <w:lang w:val="en-US" w:eastAsia="zh-CN"/>
        </w:rPr>
        <w:t>2021</w:t>
      </w:r>
      <w:r>
        <w:rPr>
          <w:rFonts w:hint="eastAsia" w:ascii="仿宋" w:hAnsi="仿宋" w:eastAsia="仿宋" w:cs="仿宋"/>
          <w:sz w:val="30"/>
          <w:szCs w:val="30"/>
        </w:rPr>
        <w:t>年</w:t>
      </w:r>
      <w:r>
        <w:rPr>
          <w:rFonts w:hint="eastAsia" w:ascii="仿宋" w:hAnsi="仿宋" w:eastAsia="仿宋" w:cs="仿宋"/>
          <w:sz w:val="30"/>
          <w:szCs w:val="30"/>
          <w:lang w:val="en-US" w:eastAsia="zh-CN"/>
        </w:rPr>
        <w:t>01</w:t>
      </w:r>
      <w:r>
        <w:rPr>
          <w:rFonts w:hint="eastAsia" w:ascii="仿宋" w:hAnsi="仿宋" w:eastAsia="仿宋" w:cs="仿宋"/>
          <w:sz w:val="30"/>
          <w:szCs w:val="30"/>
        </w:rPr>
        <w:t>月</w:t>
      </w:r>
      <w:r>
        <w:rPr>
          <w:rFonts w:hint="eastAsia" w:ascii="仿宋" w:hAnsi="仿宋" w:eastAsia="仿宋" w:cs="仿宋"/>
          <w:color w:val="FF0000"/>
          <w:sz w:val="30"/>
          <w:szCs w:val="30"/>
          <w:lang w:val="en-US" w:eastAsia="zh-CN"/>
        </w:rPr>
        <w:t>14</w:t>
      </w:r>
      <w:r>
        <w:rPr>
          <w:rFonts w:hint="eastAsia" w:ascii="仿宋" w:hAnsi="仿宋" w:eastAsia="仿宋" w:cs="仿宋"/>
          <w:sz w:val="30"/>
          <w:szCs w:val="30"/>
          <w:lang w:val="en-US" w:eastAsia="zh-CN"/>
        </w:rPr>
        <w:t>日,每天上午9:30至11:30,下午15:00至17:30(北京时间，法定节假日除外)到巴中市农业投资集团有限公司（巴中市巴州</w:t>
      </w:r>
      <w:r>
        <w:rPr>
          <w:rFonts w:hint="eastAsia" w:ascii="仿宋" w:hAnsi="仿宋" w:eastAsia="仿宋" w:cs="仿宋"/>
          <w:sz w:val="30"/>
          <w:szCs w:val="30"/>
          <w:lang w:eastAsia="zh-CN"/>
        </w:rPr>
        <w:t>大道容邦国际2号写字楼16层）报</w:t>
      </w:r>
      <w:r>
        <w:rPr>
          <w:rFonts w:hint="eastAsia" w:ascii="仿宋" w:hAnsi="仿宋" w:eastAsia="仿宋" w:cs="仿宋"/>
          <w:sz w:val="30"/>
          <w:szCs w:val="30"/>
        </w:rPr>
        <w:t>名领取招标文件。</w:t>
      </w:r>
      <w:r>
        <w:rPr>
          <w:rFonts w:hint="eastAsia" w:ascii="仿宋" w:hAnsi="仿宋" w:eastAsia="仿宋" w:cs="仿宋"/>
          <w:sz w:val="30"/>
          <w:szCs w:val="30"/>
          <w:lang w:val="en-US" w:eastAsia="zh-CN"/>
        </w:rPr>
        <w:t xml:space="preserve"> </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报名时携带介绍信、身份证复印件、公司营业执照及资质证书现场查验，并留加盖鲜章的复印</w:t>
      </w:r>
      <w:bookmarkStart w:id="3" w:name="_GoBack"/>
      <w:bookmarkEnd w:id="3"/>
      <w:r>
        <w:rPr>
          <w:rFonts w:hint="eastAsia" w:ascii="仿宋" w:hAnsi="仿宋" w:eastAsia="仿宋" w:cs="仿宋"/>
          <w:sz w:val="30"/>
          <w:szCs w:val="30"/>
          <w:lang w:eastAsia="zh-CN"/>
        </w:rPr>
        <w:t>件，审核通过方可获取</w:t>
      </w:r>
      <w:r>
        <w:rPr>
          <w:rFonts w:hint="eastAsia" w:ascii="仿宋" w:hAnsi="仿宋" w:eastAsia="仿宋" w:cs="仿宋"/>
          <w:sz w:val="30"/>
          <w:szCs w:val="30"/>
        </w:rPr>
        <w:t>招标</w:t>
      </w:r>
      <w:r>
        <w:rPr>
          <w:rFonts w:hint="eastAsia" w:ascii="仿宋" w:hAnsi="仿宋" w:eastAsia="仿宋" w:cs="仿宋"/>
          <w:sz w:val="30"/>
          <w:szCs w:val="30"/>
          <w:lang w:eastAsia="zh-CN"/>
        </w:rPr>
        <w:t>文件。</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lang w:eastAsia="zh-CN"/>
        </w:rPr>
        <w:t>八、</w:t>
      </w:r>
      <w:r>
        <w:rPr>
          <w:rFonts w:hint="eastAsia" w:ascii="黑体" w:hAnsi="黑体" w:eastAsia="黑体" w:cs="黑体"/>
          <w:b w:val="0"/>
          <w:bCs w:val="0"/>
          <w:sz w:val="30"/>
          <w:szCs w:val="30"/>
        </w:rPr>
        <w:t>响应文件递交</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仿宋" w:hAnsi="仿宋" w:eastAsia="仿宋" w:cs="仿宋"/>
          <w:sz w:val="30"/>
          <w:szCs w:val="30"/>
        </w:rPr>
      </w:pPr>
      <w:r>
        <w:rPr>
          <w:rFonts w:hint="eastAsia" w:ascii="仿宋" w:hAnsi="仿宋" w:eastAsia="仿宋" w:cs="仿宋"/>
          <w:bCs/>
          <w:sz w:val="30"/>
          <w:szCs w:val="30"/>
        </w:rPr>
        <w:t>截止时间</w:t>
      </w:r>
      <w:r>
        <w:rPr>
          <w:rFonts w:hint="eastAsia" w:cs="仿宋"/>
          <w:bCs/>
          <w:sz w:val="30"/>
          <w:szCs w:val="30"/>
          <w:lang w:eastAsia="zh-CN"/>
        </w:rPr>
        <w:t>：</w:t>
      </w:r>
      <w:r>
        <w:rPr>
          <w:rFonts w:hint="eastAsia" w:ascii="仿宋" w:hAnsi="仿宋" w:eastAsia="仿宋" w:cs="仿宋"/>
          <w:bCs/>
          <w:sz w:val="30"/>
          <w:szCs w:val="30"/>
        </w:rPr>
        <w:t>202</w:t>
      </w:r>
      <w:r>
        <w:rPr>
          <w:rFonts w:hint="eastAsia" w:ascii="仿宋" w:hAnsi="仿宋" w:eastAsia="仿宋" w:cs="仿宋"/>
          <w:bCs/>
          <w:sz w:val="30"/>
          <w:szCs w:val="30"/>
          <w:lang w:val="en-US" w:eastAsia="zh-CN"/>
        </w:rPr>
        <w:t>1</w:t>
      </w:r>
      <w:r>
        <w:rPr>
          <w:rFonts w:hint="eastAsia" w:ascii="仿宋" w:hAnsi="仿宋" w:eastAsia="仿宋" w:cs="仿宋"/>
          <w:bCs/>
          <w:sz w:val="30"/>
          <w:szCs w:val="30"/>
        </w:rPr>
        <w:t>年1月</w:t>
      </w:r>
      <w:r>
        <w:rPr>
          <w:rFonts w:hint="eastAsia" w:ascii="仿宋" w:hAnsi="仿宋" w:eastAsia="仿宋" w:cs="仿宋"/>
          <w:bCs/>
          <w:sz w:val="30"/>
          <w:szCs w:val="30"/>
          <w:lang w:val="en-US" w:eastAsia="zh-CN"/>
        </w:rPr>
        <w:t>18</w:t>
      </w:r>
      <w:r>
        <w:rPr>
          <w:rFonts w:hint="eastAsia" w:ascii="仿宋" w:hAnsi="仿宋" w:eastAsia="仿宋" w:cs="仿宋"/>
          <w:bCs/>
          <w:sz w:val="30"/>
          <w:szCs w:val="30"/>
        </w:rPr>
        <w:t>日</w:t>
      </w:r>
      <w:r>
        <w:rPr>
          <w:rFonts w:hint="eastAsia" w:ascii="仿宋" w:hAnsi="仿宋" w:eastAsia="仿宋" w:cs="仿宋"/>
          <w:bCs/>
          <w:sz w:val="30"/>
          <w:szCs w:val="30"/>
          <w:lang w:val="en-US" w:eastAsia="zh-CN"/>
        </w:rPr>
        <w:t>09</w:t>
      </w:r>
      <w:r>
        <w:rPr>
          <w:rFonts w:hint="eastAsia" w:ascii="仿宋" w:hAnsi="仿宋" w:eastAsia="仿宋" w:cs="仿宋"/>
          <w:bCs/>
          <w:sz w:val="30"/>
          <w:szCs w:val="30"/>
        </w:rPr>
        <w:t>：</w:t>
      </w:r>
      <w:r>
        <w:rPr>
          <w:rFonts w:hint="eastAsia" w:ascii="仿宋" w:hAnsi="仿宋" w:eastAsia="仿宋" w:cs="仿宋"/>
          <w:bCs/>
          <w:sz w:val="30"/>
          <w:szCs w:val="30"/>
          <w:lang w:val="en-US" w:eastAsia="zh-CN"/>
        </w:rPr>
        <w:t>0</w:t>
      </w:r>
      <w:r>
        <w:rPr>
          <w:rFonts w:hint="eastAsia" w:ascii="仿宋" w:hAnsi="仿宋" w:eastAsia="仿宋" w:cs="仿宋"/>
          <w:bCs/>
          <w:sz w:val="30"/>
          <w:szCs w:val="30"/>
        </w:rPr>
        <w:t>0</w:t>
      </w:r>
      <w:r>
        <w:rPr>
          <w:rFonts w:hint="eastAsia" w:ascii="仿宋" w:hAnsi="仿宋" w:eastAsia="仿宋" w:cs="仿宋"/>
          <w:sz w:val="30"/>
          <w:szCs w:val="30"/>
        </w:rPr>
        <w:t>（北京时间）。</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仿宋" w:hAnsi="仿宋" w:eastAsia="仿宋" w:cs="仿宋"/>
          <w:bCs/>
          <w:sz w:val="30"/>
          <w:szCs w:val="30"/>
        </w:rPr>
      </w:pPr>
      <w:r>
        <w:rPr>
          <w:rFonts w:hint="eastAsia" w:cs="仿宋"/>
          <w:sz w:val="30"/>
          <w:szCs w:val="30"/>
          <w:lang w:eastAsia="zh-CN"/>
        </w:rPr>
        <w:t>地</w:t>
      </w:r>
      <w:r>
        <w:rPr>
          <w:rFonts w:hint="eastAsia" w:cs="仿宋"/>
          <w:sz w:val="30"/>
          <w:szCs w:val="30"/>
          <w:lang w:val="en-US" w:eastAsia="zh-CN"/>
        </w:rPr>
        <w:t xml:space="preserve">    </w:t>
      </w:r>
      <w:r>
        <w:rPr>
          <w:rFonts w:hint="eastAsia" w:cs="仿宋"/>
          <w:sz w:val="30"/>
          <w:szCs w:val="30"/>
          <w:lang w:eastAsia="zh-CN"/>
        </w:rPr>
        <w:t>点</w:t>
      </w:r>
      <w:r>
        <w:rPr>
          <w:rFonts w:hint="eastAsia" w:ascii="仿宋" w:hAnsi="仿宋" w:eastAsia="仿宋" w:cs="仿宋"/>
          <w:sz w:val="30"/>
          <w:szCs w:val="30"/>
        </w:rPr>
        <w:t>：</w:t>
      </w:r>
      <w:r>
        <w:rPr>
          <w:rFonts w:hint="eastAsia" w:ascii="仿宋" w:hAnsi="仿宋" w:eastAsia="仿宋" w:cs="仿宋"/>
          <w:sz w:val="30"/>
          <w:szCs w:val="30"/>
          <w:lang w:val="en-US" w:eastAsia="zh-CN"/>
        </w:rPr>
        <w:t>巴中市巴州</w:t>
      </w:r>
      <w:r>
        <w:rPr>
          <w:rFonts w:hint="eastAsia" w:ascii="仿宋" w:hAnsi="仿宋" w:eastAsia="仿宋" w:cs="仿宋"/>
          <w:sz w:val="30"/>
          <w:szCs w:val="30"/>
          <w:lang w:eastAsia="zh-CN"/>
        </w:rPr>
        <w:t>大道容邦国际2号写字楼16层</w:t>
      </w:r>
      <w:r>
        <w:rPr>
          <w:rFonts w:hint="eastAsia" w:ascii="仿宋" w:hAnsi="仿宋" w:eastAsia="仿宋" w:cs="仿宋"/>
          <w:bCs/>
          <w:sz w:val="30"/>
          <w:szCs w:val="30"/>
        </w:rPr>
        <w:t xml:space="preserve">                          </w:t>
      </w:r>
    </w:p>
    <w:p>
      <w:pPr>
        <w:keepNext w:val="0"/>
        <w:keepLines w:val="0"/>
        <w:pageBreakBefore w:val="0"/>
        <w:widowControl w:val="0"/>
        <w:kinsoku/>
        <w:wordWrap/>
        <w:overflowPunct/>
        <w:topLinePunct w:val="0"/>
        <w:bidi w:val="0"/>
        <w:adjustRightInd/>
        <w:snapToGrid/>
        <w:spacing w:line="500" w:lineRule="exact"/>
        <w:ind w:firstLine="600" w:firstLineChars="200"/>
        <w:textAlignment w:val="auto"/>
        <w:rPr>
          <w:rFonts w:hint="eastAsia" w:ascii="黑体" w:hAnsi="黑体" w:eastAsia="黑体" w:cs="黑体"/>
          <w:b w:val="0"/>
          <w:bCs w:val="0"/>
          <w:sz w:val="30"/>
          <w:szCs w:val="30"/>
          <w:lang w:eastAsia="zh-CN"/>
        </w:rPr>
      </w:pPr>
      <w:r>
        <w:rPr>
          <w:rFonts w:hint="eastAsia" w:ascii="黑体" w:hAnsi="黑体" w:eastAsia="黑体" w:cs="黑体"/>
          <w:b w:val="0"/>
          <w:bCs w:val="0"/>
          <w:sz w:val="30"/>
          <w:szCs w:val="30"/>
          <w:lang w:eastAsia="zh-CN"/>
        </w:rPr>
        <w:t>九、发布公告的媒介</w:t>
      </w:r>
    </w:p>
    <w:p>
      <w:pPr>
        <w:pStyle w:val="23"/>
        <w:keepNext w:val="0"/>
        <w:keepLines w:val="0"/>
        <w:pageBreakBefore w:val="0"/>
        <w:widowControl w:val="0"/>
        <w:numPr>
          <w:ilvl w:val="0"/>
          <w:numId w:val="0"/>
        </w:numPr>
        <w:kinsoku/>
        <w:wordWrap/>
        <w:overflowPunct/>
        <w:topLinePunct w:val="0"/>
        <w:bidi w:val="0"/>
        <w:adjustRightInd/>
        <w:snapToGrid/>
        <w:spacing w:line="500" w:lineRule="exact"/>
        <w:ind w:right="0" w:rightChars="0" w:firstLine="600" w:firstLineChars="200"/>
        <w:textAlignment w:val="auto"/>
        <w:rPr>
          <w:rFonts w:hint="eastAsia" w:ascii="仿宋" w:hAnsi="仿宋" w:eastAsia="仿宋" w:cs="仿宋"/>
          <w:sz w:val="30"/>
          <w:szCs w:val="30"/>
          <w:lang w:val="en-US" w:eastAsia="zh-CN" w:bidi="zh-CN"/>
        </w:rPr>
      </w:pPr>
      <w:r>
        <w:rPr>
          <w:rFonts w:hint="eastAsia" w:ascii="仿宋" w:hAnsi="仿宋" w:eastAsia="仿宋" w:cs="仿宋"/>
          <w:sz w:val="30"/>
          <w:szCs w:val="30"/>
          <w:lang w:val="en-US" w:eastAsia="zh-CN" w:bidi="zh-CN"/>
        </w:rPr>
        <w:t>本次竞争性磋商公告在巴中市农业投资集团有限公司网站（www.bzntjt.cn）公开发布。</w:t>
      </w:r>
    </w:p>
    <w:p>
      <w:pPr>
        <w:pStyle w:val="23"/>
        <w:keepNext w:val="0"/>
        <w:keepLines w:val="0"/>
        <w:pageBreakBefore w:val="0"/>
        <w:widowControl w:val="0"/>
        <w:kinsoku/>
        <w:wordWrap/>
        <w:overflowPunct/>
        <w:topLinePunct w:val="0"/>
        <w:bidi w:val="0"/>
        <w:adjustRightInd/>
        <w:snapToGrid/>
        <w:spacing w:line="500" w:lineRule="exact"/>
        <w:ind w:firstLine="640"/>
        <w:textAlignment w:val="auto"/>
        <w:rPr>
          <w:rFonts w:hint="eastAsia" w:ascii="黑体" w:hAnsi="黑体" w:eastAsia="黑体" w:cs="黑体"/>
          <w:b w:val="0"/>
          <w:bCs w:val="0"/>
          <w:sz w:val="30"/>
          <w:szCs w:val="30"/>
        </w:rPr>
      </w:pPr>
      <w:r>
        <w:rPr>
          <w:rFonts w:hint="eastAsia" w:ascii="黑体" w:hAnsi="黑体" w:eastAsia="黑体" w:cs="黑体"/>
          <w:b w:val="0"/>
          <w:bCs w:val="0"/>
          <w:sz w:val="30"/>
          <w:szCs w:val="30"/>
        </w:rPr>
        <w:t>十、联系方式</w:t>
      </w:r>
    </w:p>
    <w:p>
      <w:pPr>
        <w:pStyle w:val="23"/>
        <w:keepNext w:val="0"/>
        <w:keepLines w:val="0"/>
        <w:pageBreakBefore w:val="0"/>
        <w:widowControl w:val="0"/>
        <w:kinsoku/>
        <w:wordWrap/>
        <w:overflowPunct/>
        <w:topLinePunct w:val="0"/>
        <w:bidi w:val="0"/>
        <w:adjustRightInd/>
        <w:snapToGrid/>
        <w:spacing w:line="500" w:lineRule="exact"/>
        <w:ind w:firstLine="64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采购人</w:t>
      </w:r>
      <w:r>
        <w:rPr>
          <w:rFonts w:hint="eastAsia" w:ascii="仿宋" w:hAnsi="仿宋" w:eastAsia="仿宋" w:cs="仿宋"/>
          <w:sz w:val="30"/>
          <w:szCs w:val="30"/>
        </w:rPr>
        <w:t>：</w:t>
      </w:r>
      <w:r>
        <w:rPr>
          <w:rFonts w:hint="eastAsia" w:ascii="仿宋" w:hAnsi="仿宋" w:eastAsia="仿宋" w:cs="仿宋"/>
          <w:sz w:val="30"/>
          <w:szCs w:val="30"/>
          <w:lang w:eastAsia="zh-CN"/>
        </w:rPr>
        <w:t>巴中市农业投资集团有限公司</w:t>
      </w:r>
    </w:p>
    <w:p>
      <w:pPr>
        <w:pStyle w:val="23"/>
        <w:keepNext w:val="0"/>
        <w:keepLines w:val="0"/>
        <w:pageBreakBefore w:val="0"/>
        <w:widowControl w:val="0"/>
        <w:kinsoku/>
        <w:wordWrap/>
        <w:overflowPunct/>
        <w:topLinePunct w:val="0"/>
        <w:bidi w:val="0"/>
        <w:adjustRightInd/>
        <w:snapToGrid/>
        <w:spacing w:line="500" w:lineRule="exact"/>
        <w:ind w:firstLine="640"/>
        <w:textAlignment w:val="auto"/>
        <w:rPr>
          <w:rFonts w:hint="eastAsia" w:ascii="仿宋" w:hAnsi="仿宋" w:eastAsia="仿宋" w:cs="仿宋"/>
          <w:color w:val="FF0000"/>
          <w:sz w:val="30"/>
          <w:szCs w:val="30"/>
        </w:rPr>
      </w:pPr>
      <w:r>
        <w:rPr>
          <w:rFonts w:hint="eastAsia" w:ascii="仿宋" w:hAnsi="仿宋" w:eastAsia="仿宋" w:cs="仿宋"/>
          <w:sz w:val="30"/>
          <w:szCs w:val="30"/>
        </w:rPr>
        <w:t>联 系 人：</w:t>
      </w:r>
      <w:r>
        <w:rPr>
          <w:rFonts w:hint="eastAsia" w:ascii="仿宋" w:hAnsi="仿宋" w:eastAsia="仿宋" w:cs="仿宋"/>
          <w:sz w:val="30"/>
          <w:szCs w:val="30"/>
          <w:lang w:val="en-US" w:eastAsia="zh-CN"/>
        </w:rPr>
        <w:t>侯</w:t>
      </w:r>
      <w:r>
        <w:rPr>
          <w:rFonts w:hint="eastAsia" w:ascii="仿宋" w:hAnsi="仿宋" w:eastAsia="仿宋" w:cs="仿宋"/>
          <w:sz w:val="30"/>
          <w:szCs w:val="30"/>
          <w:lang w:eastAsia="zh-CN"/>
        </w:rPr>
        <w:t>女士</w:t>
      </w:r>
    </w:p>
    <w:p>
      <w:pPr>
        <w:pStyle w:val="23"/>
        <w:keepNext w:val="0"/>
        <w:keepLines w:val="0"/>
        <w:pageBreakBefore w:val="0"/>
        <w:widowControl w:val="0"/>
        <w:kinsoku/>
        <w:wordWrap/>
        <w:overflowPunct/>
        <w:topLinePunct w:val="0"/>
        <w:bidi w:val="0"/>
        <w:adjustRightInd/>
        <w:snapToGrid/>
        <w:spacing w:line="500" w:lineRule="exact"/>
        <w:ind w:firstLine="640"/>
        <w:textAlignment w:val="auto"/>
        <w:rPr>
          <w:rFonts w:hint="default"/>
          <w:lang w:val="en-US"/>
        </w:rPr>
      </w:pPr>
      <w:r>
        <w:rPr>
          <w:rFonts w:hint="eastAsia" w:ascii="仿宋" w:hAnsi="仿宋" w:eastAsia="仿宋" w:cs="仿宋"/>
          <w:sz w:val="30"/>
          <w:szCs w:val="30"/>
        </w:rPr>
        <w:t>电    话：</w:t>
      </w:r>
      <w:bookmarkStart w:id="1" w:name="_TOC_250004"/>
      <w:bookmarkEnd w:id="1"/>
      <w:bookmarkStart w:id="2" w:name="_TOC_250000"/>
      <w:bookmarkEnd w:id="2"/>
      <w:r>
        <w:rPr>
          <w:rFonts w:hint="eastAsia" w:ascii="仿宋" w:hAnsi="仿宋" w:eastAsia="仿宋" w:cs="仿宋"/>
          <w:sz w:val="30"/>
          <w:szCs w:val="30"/>
          <w:lang w:val="en-US" w:eastAsia="zh-CN"/>
        </w:rPr>
        <w:t>15328252255</w:t>
      </w:r>
    </w:p>
    <w:sectPr>
      <w:headerReference r:id="rId3" w:type="default"/>
      <w:footerReference r:id="rId4" w:type="default"/>
      <w:pgSz w:w="11910" w:h="16840"/>
      <w:pgMar w:top="1440" w:right="1320" w:bottom="1520" w:left="1320" w:header="1075" w:footer="1330" w:gutter="0"/>
      <w:pgNumType w:fmt="decimal"/>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10"/>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47</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211F3"/>
    <w:rsid w:val="042E4305"/>
    <w:rsid w:val="08D50042"/>
    <w:rsid w:val="1511581D"/>
    <w:rsid w:val="1624610F"/>
    <w:rsid w:val="1AEA2FFA"/>
    <w:rsid w:val="1D1C54F2"/>
    <w:rsid w:val="2C8E1F84"/>
    <w:rsid w:val="2E3E6757"/>
    <w:rsid w:val="2E4412C1"/>
    <w:rsid w:val="2F2153A8"/>
    <w:rsid w:val="30002821"/>
    <w:rsid w:val="35D34AC0"/>
    <w:rsid w:val="380D2001"/>
    <w:rsid w:val="38EF4083"/>
    <w:rsid w:val="495E21DB"/>
    <w:rsid w:val="4E0C52DF"/>
    <w:rsid w:val="663D605B"/>
    <w:rsid w:val="74B858C4"/>
    <w:rsid w:val="7A2A0C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4">
    <w:name w:val="heading 1"/>
    <w:basedOn w:val="1"/>
    <w:next w:val="1"/>
    <w:qFormat/>
    <w:uiPriority w:val="1"/>
    <w:pPr>
      <w:spacing w:before="89"/>
      <w:ind w:left="1"/>
      <w:jc w:val="center"/>
      <w:outlineLvl w:val="1"/>
    </w:pPr>
    <w:rPr>
      <w:rFonts w:ascii="黑体" w:hAnsi="黑体" w:eastAsia="黑体" w:cs="黑体"/>
      <w:b/>
      <w:bCs/>
      <w:sz w:val="36"/>
      <w:szCs w:val="36"/>
      <w:lang w:val="zh-CN" w:eastAsia="zh-CN" w:bidi="zh-CN"/>
    </w:rPr>
  </w:style>
  <w:style w:type="paragraph" w:styleId="5">
    <w:name w:val="heading 2"/>
    <w:basedOn w:val="1"/>
    <w:next w:val="1"/>
    <w:qFormat/>
    <w:uiPriority w:val="1"/>
    <w:pPr>
      <w:ind w:left="559"/>
      <w:jc w:val="center"/>
      <w:outlineLvl w:val="2"/>
    </w:pPr>
    <w:rPr>
      <w:rFonts w:ascii="楷体" w:hAnsi="楷体" w:eastAsia="楷体" w:cs="楷体"/>
      <w:b/>
      <w:bCs/>
      <w:sz w:val="32"/>
      <w:szCs w:val="32"/>
      <w:lang w:val="zh-CN" w:eastAsia="zh-CN" w:bidi="zh-CN"/>
    </w:rPr>
  </w:style>
  <w:style w:type="paragraph" w:styleId="6">
    <w:name w:val="heading 3"/>
    <w:basedOn w:val="1"/>
    <w:next w:val="1"/>
    <w:qFormat/>
    <w:uiPriority w:val="1"/>
    <w:pPr>
      <w:spacing w:before="64"/>
      <w:ind w:left="804"/>
      <w:outlineLvl w:val="3"/>
    </w:pPr>
    <w:rPr>
      <w:rFonts w:ascii="宋体" w:hAnsi="宋体" w:eastAsia="宋体" w:cs="宋体"/>
      <w:sz w:val="32"/>
      <w:szCs w:val="32"/>
      <w:lang w:val="zh-CN" w:eastAsia="zh-CN" w:bidi="zh-CN"/>
    </w:rPr>
  </w:style>
  <w:style w:type="paragraph" w:styleId="7">
    <w:name w:val="heading 4"/>
    <w:basedOn w:val="1"/>
    <w:next w:val="1"/>
    <w:qFormat/>
    <w:uiPriority w:val="1"/>
    <w:pPr>
      <w:ind w:left="1082"/>
      <w:outlineLvl w:val="4"/>
    </w:pPr>
    <w:rPr>
      <w:rFonts w:ascii="黑体" w:hAnsi="黑体" w:eastAsia="黑体" w:cs="黑体"/>
      <w:b/>
      <w:bCs/>
      <w:sz w:val="30"/>
      <w:szCs w:val="30"/>
      <w:lang w:val="zh-CN" w:eastAsia="zh-CN" w:bidi="zh-CN"/>
    </w:rPr>
  </w:style>
  <w:style w:type="paragraph" w:styleId="8">
    <w:name w:val="heading 5"/>
    <w:basedOn w:val="1"/>
    <w:next w:val="1"/>
    <w:qFormat/>
    <w:uiPriority w:val="1"/>
    <w:pPr>
      <w:ind w:left="1468" w:hanging="425"/>
      <w:outlineLvl w:val="5"/>
    </w:pPr>
    <w:rPr>
      <w:rFonts w:ascii="仿宋" w:hAnsi="仿宋" w:eastAsia="仿宋" w:cs="仿宋"/>
      <w:b/>
      <w:bCs/>
      <w:sz w:val="28"/>
      <w:szCs w:val="28"/>
      <w:lang w:val="zh-CN" w:eastAsia="zh-CN" w:bidi="zh-CN"/>
    </w:rPr>
  </w:style>
  <w:style w:type="character" w:default="1" w:styleId="14">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1"/>
    <w:rPr>
      <w:rFonts w:ascii="仿宋" w:hAnsi="仿宋" w:eastAsia="仿宋" w:cs="仿宋"/>
      <w:sz w:val="28"/>
      <w:szCs w:val="28"/>
      <w:lang w:val="zh-CN" w:eastAsia="zh-CN" w:bidi="zh-CN"/>
    </w:rPr>
  </w:style>
  <w:style w:type="paragraph" w:styleId="3">
    <w:name w:val="Subtitle"/>
    <w:basedOn w:val="1"/>
    <w:next w:val="1"/>
    <w:qFormat/>
    <w:uiPriority w:val="0"/>
    <w:pPr>
      <w:spacing w:before="240" w:after="60" w:line="312" w:lineRule="auto"/>
      <w:jc w:val="center"/>
      <w:outlineLvl w:val="1"/>
    </w:pPr>
    <w:rPr>
      <w:rFonts w:ascii="Cambria" w:hAnsi="Cambria" w:eastAsia="Times New Roman"/>
      <w:b/>
      <w:bCs/>
      <w:kern w:val="28"/>
      <w:sz w:val="32"/>
      <w:szCs w:val="32"/>
    </w:rPr>
  </w:style>
  <w:style w:type="paragraph" w:styleId="9">
    <w:name w:val="Body Text Indent"/>
    <w:basedOn w:val="1"/>
    <w:qFormat/>
    <w:uiPriority w:val="0"/>
    <w:pPr>
      <w:ind w:firstLine="630"/>
    </w:pPr>
    <w:rPr>
      <w:rFonts w:ascii="Times New Roman" w:hAnsi="Times New Roman" w:eastAsia="宋体" w:cs="Times New Roman"/>
      <w:sz w:val="32"/>
      <w:szCs w:val="20"/>
    </w:rPr>
  </w:style>
  <w:style w:type="paragraph" w:styleId="10">
    <w:name w:val="footer"/>
    <w:basedOn w:val="1"/>
    <w:qFormat/>
    <w:uiPriority w:val="0"/>
    <w:pPr>
      <w:tabs>
        <w:tab w:val="center" w:pos="4153"/>
        <w:tab w:val="right" w:pos="8306"/>
      </w:tabs>
      <w:snapToGrid w:val="0"/>
      <w:jc w:val="left"/>
    </w:pPr>
    <w:rPr>
      <w:sz w:val="18"/>
    </w:rPr>
  </w:style>
  <w:style w:type="paragraph" w:styleId="11">
    <w:name w:val="toc 1"/>
    <w:basedOn w:val="1"/>
    <w:next w:val="1"/>
    <w:qFormat/>
    <w:uiPriority w:val="1"/>
    <w:pPr>
      <w:spacing w:before="241"/>
      <w:ind w:left="482"/>
    </w:pPr>
    <w:rPr>
      <w:rFonts w:ascii="仿宋" w:hAnsi="仿宋" w:eastAsia="仿宋" w:cs="仿宋"/>
      <w:sz w:val="28"/>
      <w:szCs w:val="28"/>
      <w:lang w:val="zh-CN" w:eastAsia="zh-CN" w:bidi="zh-CN"/>
    </w:rPr>
  </w:style>
  <w:style w:type="paragraph" w:styleId="12">
    <w:name w:val="Normal (Web)"/>
    <w:basedOn w:val="1"/>
    <w:qFormat/>
    <w:uiPriority w:val="0"/>
    <w:pPr>
      <w:widowControl/>
      <w:spacing w:before="100" w:beforeAutospacing="1" w:after="100" w:afterAutospacing="1"/>
      <w:jc w:val="left"/>
    </w:pPr>
    <w:rPr>
      <w:rFonts w:ascii="宋体" w:hAnsi="Times New Roman" w:eastAsia="宋体" w:cs="Times New Roman"/>
      <w:kern w:val="0"/>
      <w:sz w:val="18"/>
      <w:szCs w:val="18"/>
    </w:rPr>
  </w:style>
  <w:style w:type="character" w:styleId="15">
    <w:name w:val="FollowedHyperlink"/>
    <w:basedOn w:val="14"/>
    <w:qFormat/>
    <w:uiPriority w:val="0"/>
    <w:rPr>
      <w:color w:val="3D3D3D"/>
      <w:u w:val="none"/>
    </w:rPr>
  </w:style>
  <w:style w:type="character" w:styleId="16">
    <w:name w:val="HTML Definition"/>
    <w:basedOn w:val="14"/>
    <w:qFormat/>
    <w:uiPriority w:val="0"/>
  </w:style>
  <w:style w:type="character" w:styleId="17">
    <w:name w:val="HTML Variable"/>
    <w:basedOn w:val="14"/>
    <w:qFormat/>
    <w:uiPriority w:val="0"/>
  </w:style>
  <w:style w:type="character" w:styleId="18">
    <w:name w:val="Hyperlink"/>
    <w:basedOn w:val="14"/>
    <w:qFormat/>
    <w:uiPriority w:val="0"/>
    <w:rPr>
      <w:color w:val="3D3D3D"/>
      <w:u w:val="none"/>
    </w:rPr>
  </w:style>
  <w:style w:type="character" w:styleId="19">
    <w:name w:val="HTML Code"/>
    <w:basedOn w:val="14"/>
    <w:qFormat/>
    <w:uiPriority w:val="0"/>
    <w:rPr>
      <w:rFonts w:ascii="Courier New" w:hAnsi="Courier New"/>
      <w:sz w:val="20"/>
    </w:rPr>
  </w:style>
  <w:style w:type="character" w:styleId="20">
    <w:name w:val="HTML Cite"/>
    <w:basedOn w:val="14"/>
    <w:qFormat/>
    <w:uiPriority w:val="0"/>
  </w:style>
  <w:style w:type="paragraph" w:styleId="21">
    <w:name w:val="List Paragraph"/>
    <w:basedOn w:val="1"/>
    <w:qFormat/>
    <w:uiPriority w:val="1"/>
    <w:pPr>
      <w:ind w:left="482" w:firstLine="561"/>
    </w:pPr>
    <w:rPr>
      <w:rFonts w:ascii="仿宋" w:hAnsi="仿宋" w:eastAsia="仿宋" w:cs="仿宋"/>
      <w:lang w:val="zh-CN" w:eastAsia="zh-CN" w:bidi="zh-CN"/>
    </w:rPr>
  </w:style>
  <w:style w:type="paragraph" w:customStyle="1" w:styleId="22">
    <w:name w:val="Table Paragraph"/>
    <w:basedOn w:val="1"/>
    <w:qFormat/>
    <w:uiPriority w:val="1"/>
    <w:rPr>
      <w:rFonts w:ascii="仿宋" w:hAnsi="仿宋" w:eastAsia="仿宋" w:cs="仿宋"/>
      <w:lang w:val="zh-CN" w:eastAsia="zh-CN" w:bidi="zh-CN"/>
    </w:rPr>
  </w:style>
  <w:style w:type="paragraph" w:customStyle="1" w:styleId="23">
    <w:name w:val="正文首行缩进两字符"/>
    <w:basedOn w:val="1"/>
    <w:qFormat/>
    <w:uiPriority w:val="0"/>
    <w:pPr>
      <w:spacing w:line="360" w:lineRule="auto"/>
      <w:ind w:firstLine="200" w:firstLineChars="200"/>
    </w:pPr>
    <w:rPr>
      <w:rFonts w:ascii="Times New Roman" w:hAnsi="Times New Roman" w:eastAsia="宋体" w:cs="Times New Roman"/>
    </w:rPr>
  </w:style>
  <w:style w:type="paragraph" w:customStyle="1" w:styleId="24">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5">
    <w:name w:val="GW-正文"/>
    <w:basedOn w:val="1"/>
    <w:qFormat/>
    <w:uiPriority w:val="0"/>
    <w:pPr>
      <w:spacing w:line="360" w:lineRule="auto"/>
      <w:ind w:firstLine="200" w:firstLineChars="200"/>
    </w:pPr>
    <w:rPr>
      <w:rFonts w:eastAsia="仿宋_GB2312"/>
      <w:sz w:val="24"/>
    </w:rPr>
  </w:style>
  <w:style w:type="character" w:customStyle="1" w:styleId="26">
    <w:name w:val="img"/>
    <w:basedOn w:val="14"/>
    <w:qFormat/>
    <w:uiPriority w:val="0"/>
  </w:style>
  <w:style w:type="character" w:customStyle="1" w:styleId="27">
    <w:name w:val="img1"/>
    <w:basedOn w:val="1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2021-01-08T03:30:11Z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KSOSaveFontToCloudKey">
    <vt:lpwstr>0_btnclosed</vt:lpwstr>
  </property>
</Properties>
</file>